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1E130D">
      <w:pPr>
        <w:rPr>
          <w:rFonts w:ascii="仿宋_GB2312" w:hAnsi="仿宋_GB2312" w:eastAsia="仿宋_GB2312" w:cs="仿宋_GB2312"/>
          <w:sz w:val="36"/>
          <w:szCs w:val="36"/>
        </w:rPr>
      </w:pPr>
    </w:p>
    <w:p w14:paraId="27168271">
      <w:pPr>
        <w:rPr>
          <w:rFonts w:ascii="仿宋_GB2312" w:hAnsi="仿宋_GB2312" w:eastAsia="仿宋_GB2312" w:cs="仿宋_GB2312"/>
          <w:sz w:val="36"/>
          <w:szCs w:val="36"/>
        </w:rPr>
      </w:pPr>
    </w:p>
    <w:p w14:paraId="39507C0B">
      <w:pPr>
        <w:rPr>
          <w:rFonts w:ascii="仿宋_GB2312" w:hAnsi="仿宋_GB2312" w:eastAsia="仿宋_GB2312" w:cs="仿宋_GB2312"/>
          <w:sz w:val="36"/>
          <w:szCs w:val="36"/>
        </w:rPr>
      </w:pPr>
    </w:p>
    <w:p w14:paraId="253E7CB8">
      <w:pPr>
        <w:rPr>
          <w:rFonts w:ascii="仿宋_GB2312" w:hAnsi="仿宋_GB2312" w:eastAsia="仿宋_GB2312" w:cs="仿宋_GB2312"/>
          <w:sz w:val="36"/>
          <w:szCs w:val="36"/>
        </w:rPr>
      </w:pPr>
    </w:p>
    <w:p w14:paraId="38D673AE">
      <w:pPr>
        <w:adjustRightInd w:val="0"/>
        <w:snapToGrid w:val="0"/>
        <w:jc w:val="center"/>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23F534D6">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2B41F9BE"/>
    <w:p w14:paraId="7B46E584">
      <w:pPr>
        <w:rPr>
          <w:rFonts w:eastAsia="仿宋"/>
          <w:sz w:val="44"/>
          <w:szCs w:val="44"/>
        </w:rPr>
      </w:pPr>
    </w:p>
    <w:p w14:paraId="60946ADA">
      <w:pPr>
        <w:ind w:firstLine="1040"/>
        <w:rPr>
          <w:rFonts w:eastAsia="仿宋"/>
          <w:sz w:val="44"/>
          <w:szCs w:val="44"/>
        </w:rPr>
      </w:pPr>
    </w:p>
    <w:p w14:paraId="6F8B0FEC">
      <w:pPr>
        <w:ind w:firstLine="1040"/>
        <w:rPr>
          <w:rFonts w:eastAsia="仿宋"/>
          <w:sz w:val="44"/>
          <w:szCs w:val="44"/>
        </w:rPr>
      </w:pPr>
    </w:p>
    <w:p w14:paraId="2F6689AB">
      <w:pPr>
        <w:ind w:firstLine="1040"/>
        <w:rPr>
          <w:rFonts w:eastAsia="仿宋"/>
          <w:sz w:val="44"/>
          <w:szCs w:val="44"/>
        </w:rPr>
      </w:pPr>
    </w:p>
    <w:p w14:paraId="2E8ED24B">
      <w:pPr>
        <w:adjustRightInd w:val="0"/>
        <w:snapToGrid w:val="0"/>
        <w:spacing w:line="288" w:lineRule="auto"/>
        <w:ind w:firstLine="360" w:firstLineChars="100"/>
        <w:jc w:val="left"/>
        <w:rPr>
          <w:rFonts w:hint="eastAsia" w:ascii="仿宋_GB2312" w:eastAsia="仿宋_GB2312"/>
          <w:sz w:val="36"/>
          <w:szCs w:val="36"/>
        </w:rPr>
      </w:pPr>
      <w:bookmarkStart w:id="0" w:name="_Hlk57884087"/>
    </w:p>
    <w:p w14:paraId="59983511">
      <w:pPr>
        <w:adjustRightInd w:val="0"/>
        <w:snapToGrid w:val="0"/>
        <w:spacing w:line="288" w:lineRule="auto"/>
        <w:ind w:firstLine="360" w:firstLineChars="100"/>
        <w:jc w:val="left"/>
        <w:rPr>
          <w:rFonts w:hint="default" w:ascii="Times New Roman" w:hAnsi="Times New Roman" w:eastAsia="仿宋_GB2312" w:cs="Times New Roman"/>
          <w:sz w:val="36"/>
          <w:szCs w:val="36"/>
        </w:rPr>
      </w:pPr>
      <w:r>
        <w:rPr>
          <w:rFonts w:hint="eastAsia" w:ascii="仿宋_GB2312" w:eastAsia="仿宋_GB2312"/>
          <w:sz w:val="36"/>
          <w:szCs w:val="36"/>
        </w:rPr>
        <w:t>项目名称：</w:t>
      </w:r>
      <w:r>
        <w:rPr>
          <w:rFonts w:hint="eastAsia" w:ascii="仿宋_GB2312" w:eastAsia="仿宋_GB2312"/>
          <w:sz w:val="36"/>
          <w:szCs w:val="36"/>
          <w:u w:val="single"/>
        </w:rPr>
        <w:t>木材加工及进出口贸易项</w:t>
      </w:r>
      <w:r>
        <w:rPr>
          <w:rFonts w:hint="default" w:ascii="Times New Roman" w:hAnsi="Times New Roman" w:eastAsia="仿宋_GB2312" w:cs="Times New Roman"/>
          <w:sz w:val="36"/>
          <w:szCs w:val="36"/>
          <w:u w:val="single"/>
        </w:rPr>
        <w:t xml:space="preserve">目 </w:t>
      </w:r>
    </w:p>
    <w:p w14:paraId="4F6F5ED6">
      <w:pPr>
        <w:adjustRightInd w:val="0"/>
        <w:snapToGrid w:val="0"/>
        <w:spacing w:line="288" w:lineRule="auto"/>
        <w:ind w:firstLine="360" w:firstLineChars="100"/>
        <w:jc w:val="left"/>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rPr>
        <w:t xml:space="preserve"> 宿州吉顺木业有限公司 </w:t>
      </w:r>
    </w:p>
    <w:p w14:paraId="68F08CCF">
      <w:pPr>
        <w:adjustRightInd w:val="0"/>
        <w:snapToGrid w:val="0"/>
        <w:spacing w:line="288" w:lineRule="auto"/>
        <w:ind w:firstLine="360" w:firstLineChars="100"/>
        <w:jc w:val="left"/>
        <w:rPr>
          <w:rFonts w:ascii="仿宋_GB2312" w:eastAsia="仿宋_GB2312"/>
          <w:sz w:val="36"/>
          <w:szCs w:val="36"/>
          <w:u w:val="single"/>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202</w:t>
      </w:r>
      <w:r>
        <w:rPr>
          <w:rFonts w:hint="eastAsia" w:eastAsia="仿宋_GB2312" w:cs="Times New Roman"/>
          <w:sz w:val="36"/>
          <w:szCs w:val="36"/>
          <w:u w:val="single"/>
          <w:lang w:val="en-US" w:eastAsia="zh-CN"/>
        </w:rPr>
        <w:t>5</w:t>
      </w:r>
      <w:r>
        <w:rPr>
          <w:rFonts w:hint="default" w:ascii="Times New Roman" w:hAnsi="Times New Roman" w:eastAsia="仿宋_GB2312" w:cs="Times New Roman"/>
          <w:sz w:val="36"/>
          <w:szCs w:val="36"/>
          <w:u w:val="single"/>
        </w:rPr>
        <w:t>年</w:t>
      </w:r>
      <w:r>
        <w:rPr>
          <w:rFonts w:hint="eastAsia" w:eastAsia="仿宋_GB2312" w:cs="Times New Roman"/>
          <w:sz w:val="36"/>
          <w:szCs w:val="36"/>
          <w:u w:val="single"/>
          <w:lang w:val="en-US" w:eastAsia="zh-CN"/>
        </w:rPr>
        <w:t>6</w:t>
      </w:r>
      <w:r>
        <w:rPr>
          <w:rFonts w:hint="default" w:ascii="Times New Roman" w:hAnsi="Times New Roman" w:eastAsia="仿宋_GB2312" w:cs="Times New Roman"/>
          <w:sz w:val="36"/>
          <w:szCs w:val="36"/>
          <w:u w:val="single"/>
        </w:rPr>
        <w:t xml:space="preserve">月   </w:t>
      </w:r>
      <w:r>
        <w:rPr>
          <w:rFonts w:hint="eastAsia" w:ascii="仿宋_GB2312" w:eastAsia="仿宋_GB2312"/>
          <w:sz w:val="36"/>
          <w:szCs w:val="36"/>
          <w:u w:val="single"/>
        </w:rPr>
        <w:t xml:space="preserve">         </w:t>
      </w:r>
    </w:p>
    <w:p w14:paraId="28C2D337">
      <w:pPr>
        <w:adjustRightInd w:val="0"/>
        <w:snapToGrid w:val="0"/>
        <w:spacing w:line="288" w:lineRule="auto"/>
        <w:ind w:firstLine="1040"/>
        <w:rPr>
          <w:rFonts w:ascii="仿宋_GB2312" w:eastAsia="仿宋_GB2312"/>
          <w:sz w:val="36"/>
          <w:szCs w:val="36"/>
          <w:u w:val="single"/>
        </w:rPr>
      </w:pPr>
    </w:p>
    <w:p w14:paraId="77DBB8B1">
      <w:pPr>
        <w:adjustRightInd w:val="0"/>
        <w:snapToGrid w:val="0"/>
        <w:spacing w:line="288" w:lineRule="auto"/>
        <w:ind w:firstLine="1040"/>
        <w:rPr>
          <w:rFonts w:ascii="仿宋_GB2312" w:eastAsia="仿宋_GB2312"/>
          <w:sz w:val="36"/>
          <w:szCs w:val="36"/>
        </w:rPr>
      </w:pPr>
    </w:p>
    <w:p w14:paraId="30440CC7">
      <w:pPr>
        <w:adjustRightInd w:val="0"/>
        <w:snapToGrid w:val="0"/>
        <w:spacing w:line="288" w:lineRule="auto"/>
        <w:ind w:firstLine="1040"/>
        <w:rPr>
          <w:rFonts w:ascii="仿宋_GB2312" w:eastAsia="仿宋_GB2312"/>
          <w:sz w:val="36"/>
          <w:szCs w:val="36"/>
        </w:rPr>
      </w:pPr>
    </w:p>
    <w:p w14:paraId="0491B21D">
      <w:pPr>
        <w:adjustRightInd w:val="0"/>
        <w:snapToGrid w:val="0"/>
        <w:spacing w:line="288" w:lineRule="auto"/>
        <w:rPr>
          <w:rFonts w:ascii="仿宋_GB2312" w:eastAsia="仿宋_GB2312"/>
          <w:sz w:val="36"/>
          <w:szCs w:val="36"/>
        </w:rPr>
      </w:pPr>
    </w:p>
    <w:bookmarkEnd w:id="0"/>
    <w:p w14:paraId="561C1813">
      <w:pPr>
        <w:adjustRightInd w:val="0"/>
        <w:snapToGrid w:val="0"/>
        <w:spacing w:line="288" w:lineRule="auto"/>
        <w:jc w:val="center"/>
        <w:rPr>
          <w:rFonts w:hint="eastAsia" w:ascii="楷体_GB2312" w:eastAsia="楷体_GB2312"/>
          <w:sz w:val="36"/>
          <w:szCs w:val="36"/>
        </w:rPr>
      </w:pPr>
    </w:p>
    <w:p w14:paraId="7C140212">
      <w:pPr>
        <w:adjustRightInd w:val="0"/>
        <w:snapToGrid w:val="0"/>
        <w:spacing w:line="288" w:lineRule="auto"/>
        <w:jc w:val="center"/>
        <w:rPr>
          <w:rFonts w:hint="eastAsia" w:ascii="楷体_GB2312" w:eastAsia="楷体_GB2312"/>
          <w:sz w:val="36"/>
          <w:szCs w:val="36"/>
        </w:rPr>
      </w:pPr>
    </w:p>
    <w:p w14:paraId="213A10C6">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0369A360">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p w14:paraId="02B75C36">
      <w:pPr>
        <w:pStyle w:val="26"/>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82"/>
        <w:gridCol w:w="1637"/>
        <w:gridCol w:w="1879"/>
        <w:gridCol w:w="2972"/>
      </w:tblGrid>
      <w:tr w14:paraId="638457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2382" w:type="dxa"/>
            <w:tcMar>
              <w:top w:w="16" w:type="dxa"/>
              <w:left w:w="16" w:type="dxa"/>
              <w:right w:w="16" w:type="dxa"/>
            </w:tcMar>
            <w:vAlign w:val="center"/>
          </w:tcPr>
          <w:p w14:paraId="26CC7758">
            <w:pPr>
              <w:adjustRightInd w:val="0"/>
              <w:snapToGrid w:val="0"/>
              <w:jc w:val="center"/>
            </w:pPr>
            <w:r>
              <w:t>建设项目名称</w:t>
            </w:r>
          </w:p>
        </w:tc>
        <w:tc>
          <w:tcPr>
            <w:tcW w:w="6488" w:type="dxa"/>
            <w:gridSpan w:val="3"/>
            <w:vAlign w:val="center"/>
          </w:tcPr>
          <w:p w14:paraId="134F41B0">
            <w:pPr>
              <w:adjustRightInd w:val="0"/>
              <w:snapToGrid w:val="0"/>
              <w:jc w:val="center"/>
              <w:rPr>
                <w:rFonts w:hint="eastAsia" w:eastAsia="宋体"/>
                <w:lang w:val="en-US" w:eastAsia="zh-CN"/>
              </w:rPr>
            </w:pPr>
            <w:r>
              <w:rPr>
                <w:rFonts w:hint="eastAsia"/>
              </w:rPr>
              <w:t>木材加工及进出口贸易项</w:t>
            </w:r>
            <w:r>
              <w:rPr>
                <w:rFonts w:hint="eastAsia"/>
                <w:lang w:val="en-US" w:eastAsia="zh-CN"/>
              </w:rPr>
              <w:t>目</w:t>
            </w:r>
          </w:p>
        </w:tc>
      </w:tr>
      <w:tr w14:paraId="3E7561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681689A">
            <w:pPr>
              <w:adjustRightInd w:val="0"/>
              <w:snapToGrid w:val="0"/>
              <w:jc w:val="center"/>
            </w:pPr>
            <w:r>
              <w:t>项目代码</w:t>
            </w:r>
          </w:p>
        </w:tc>
        <w:tc>
          <w:tcPr>
            <w:tcW w:w="6488" w:type="dxa"/>
            <w:gridSpan w:val="3"/>
            <w:vAlign w:val="center"/>
          </w:tcPr>
          <w:p w14:paraId="368F74EF">
            <w:pPr>
              <w:adjustRightInd w:val="0"/>
              <w:snapToGrid w:val="0"/>
              <w:jc w:val="center"/>
              <w:rPr>
                <w:rFonts w:hint="default" w:eastAsia="宋体"/>
                <w:lang w:val="en-US" w:eastAsia="zh-CN"/>
              </w:rPr>
            </w:pPr>
            <w:r>
              <w:rPr>
                <w:rFonts w:hint="default" w:eastAsia="宋体"/>
                <w:lang w:val="en-US" w:eastAsia="zh-CN"/>
              </w:rPr>
              <w:t>2311-341324-04-01-379981</w:t>
            </w:r>
          </w:p>
        </w:tc>
      </w:tr>
      <w:tr w14:paraId="7A6A2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DC7D596">
            <w:pPr>
              <w:adjustRightInd w:val="0"/>
              <w:snapToGrid w:val="0"/>
              <w:jc w:val="center"/>
            </w:pPr>
            <w:r>
              <w:t>建设单位联系人</w:t>
            </w:r>
          </w:p>
        </w:tc>
        <w:tc>
          <w:tcPr>
            <w:tcW w:w="1637" w:type="dxa"/>
            <w:vAlign w:val="center"/>
          </w:tcPr>
          <w:p w14:paraId="5690C67D">
            <w:pPr>
              <w:adjustRightInd w:val="0"/>
              <w:snapToGrid w:val="0"/>
              <w:jc w:val="center"/>
              <w:rPr>
                <w:rFonts w:hint="default" w:eastAsia="宋体"/>
                <w:lang w:val="en-US" w:eastAsia="zh-CN"/>
              </w:rPr>
            </w:pPr>
            <w:r>
              <w:rPr>
                <w:rFonts w:hint="eastAsia"/>
                <w:lang w:val="en-US" w:eastAsia="zh-CN"/>
              </w:rPr>
              <w:t>***</w:t>
            </w:r>
          </w:p>
        </w:tc>
        <w:tc>
          <w:tcPr>
            <w:tcW w:w="1879" w:type="dxa"/>
            <w:vAlign w:val="center"/>
          </w:tcPr>
          <w:p w14:paraId="0AE685DC">
            <w:pPr>
              <w:adjustRightInd w:val="0"/>
              <w:snapToGrid w:val="0"/>
              <w:jc w:val="center"/>
            </w:pPr>
            <w:r>
              <w:t>联系方式</w:t>
            </w:r>
          </w:p>
        </w:tc>
        <w:tc>
          <w:tcPr>
            <w:tcW w:w="2972" w:type="dxa"/>
            <w:vAlign w:val="center"/>
          </w:tcPr>
          <w:p w14:paraId="4A847E7F">
            <w:pPr>
              <w:widowControl/>
              <w:jc w:val="center"/>
              <w:rPr>
                <w:rFonts w:hint="default" w:eastAsia="宋体"/>
                <w:lang w:val="en-US" w:eastAsia="zh-CN"/>
              </w:rPr>
            </w:pPr>
          </w:p>
        </w:tc>
      </w:tr>
      <w:tr w14:paraId="7C296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12C4212">
            <w:pPr>
              <w:adjustRightInd w:val="0"/>
              <w:snapToGrid w:val="0"/>
              <w:jc w:val="center"/>
            </w:pPr>
            <w:r>
              <w:t>建设地点</w:t>
            </w:r>
          </w:p>
        </w:tc>
        <w:tc>
          <w:tcPr>
            <w:tcW w:w="6488" w:type="dxa"/>
            <w:gridSpan w:val="3"/>
            <w:vAlign w:val="center"/>
          </w:tcPr>
          <w:p w14:paraId="4AE6B675">
            <w:pPr>
              <w:adjustRightInd w:val="0"/>
              <w:snapToGrid w:val="0"/>
              <w:jc w:val="center"/>
              <w:rPr>
                <w:rFonts w:hint="default" w:eastAsia="宋体"/>
                <w:lang w:val="en-US" w:eastAsia="zh-CN"/>
              </w:rPr>
            </w:pPr>
            <w:r>
              <w:rPr>
                <w:rFonts w:hint="eastAsia"/>
                <w:lang w:val="en-US" w:eastAsia="zh-CN"/>
              </w:rPr>
              <w:t>安徽省泗县经济开发区赤山路和南柳路交汇口西北角</w:t>
            </w:r>
          </w:p>
        </w:tc>
      </w:tr>
      <w:tr w14:paraId="74B94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48C2E409">
            <w:pPr>
              <w:adjustRightInd w:val="0"/>
              <w:snapToGrid w:val="0"/>
              <w:jc w:val="center"/>
            </w:pPr>
            <w:r>
              <w:t>地理坐标</w:t>
            </w:r>
          </w:p>
        </w:tc>
        <w:tc>
          <w:tcPr>
            <w:tcW w:w="6488" w:type="dxa"/>
            <w:gridSpan w:val="3"/>
            <w:vAlign w:val="center"/>
          </w:tcPr>
          <w:p w14:paraId="1D15B9B0">
            <w:pPr>
              <w:pStyle w:val="11"/>
              <w:jc w:val="center"/>
            </w:pPr>
            <w:r>
              <w:t>（</w:t>
            </w:r>
            <w:r>
              <w:rPr>
                <w:rFonts w:hint="eastAsia"/>
              </w:rPr>
              <w:t>东经</w:t>
            </w:r>
            <w:r>
              <w:rPr>
                <w:rFonts w:hint="eastAsia"/>
                <w:u w:val="single"/>
              </w:rPr>
              <w:t>117</w:t>
            </w:r>
            <w:r>
              <w:t>度</w:t>
            </w:r>
            <w:r>
              <w:rPr>
                <w:rFonts w:hint="eastAsia"/>
                <w:u w:val="single"/>
                <w:lang w:val="en-US" w:eastAsia="zh-CN"/>
              </w:rPr>
              <w:t>54</w:t>
            </w:r>
            <w:r>
              <w:t>分</w:t>
            </w:r>
            <w:r>
              <w:rPr>
                <w:rFonts w:hint="eastAsia"/>
                <w:u w:val="single"/>
                <w:lang w:val="en-US" w:eastAsia="zh-CN"/>
              </w:rPr>
              <w:t>51.559</w:t>
            </w:r>
            <w:r>
              <w:t>秒，</w:t>
            </w:r>
            <w:r>
              <w:rPr>
                <w:rFonts w:hint="eastAsia"/>
              </w:rPr>
              <w:t>北纬</w:t>
            </w:r>
            <w:r>
              <w:rPr>
                <w:rFonts w:hint="eastAsia"/>
                <w:u w:val="single"/>
              </w:rPr>
              <w:t>33</w:t>
            </w:r>
            <w:r>
              <w:t>度</w:t>
            </w:r>
            <w:r>
              <w:rPr>
                <w:rFonts w:hint="eastAsia"/>
                <w:u w:val="single"/>
                <w:lang w:val="en-US" w:eastAsia="zh-CN"/>
              </w:rPr>
              <w:t>27</w:t>
            </w:r>
            <w:r>
              <w:t>分</w:t>
            </w:r>
            <w:r>
              <w:rPr>
                <w:rFonts w:hint="eastAsia"/>
                <w:u w:val="single"/>
                <w:lang w:val="en-US" w:eastAsia="zh-CN"/>
              </w:rPr>
              <w:t>58.373</w:t>
            </w:r>
            <w:r>
              <w:t>秒）</w:t>
            </w:r>
          </w:p>
        </w:tc>
      </w:tr>
      <w:tr w14:paraId="70379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14:paraId="74B6BA4F">
            <w:pPr>
              <w:adjustRightInd w:val="0"/>
              <w:snapToGrid w:val="0"/>
              <w:jc w:val="center"/>
            </w:pPr>
            <w:r>
              <w:t>国民经济</w:t>
            </w:r>
          </w:p>
          <w:p w14:paraId="659F1411">
            <w:pPr>
              <w:adjustRightInd w:val="0"/>
              <w:snapToGrid w:val="0"/>
              <w:jc w:val="center"/>
            </w:pPr>
            <w:r>
              <w:t>行业类别</w:t>
            </w:r>
          </w:p>
        </w:tc>
        <w:tc>
          <w:tcPr>
            <w:tcW w:w="1637" w:type="dxa"/>
            <w:vAlign w:val="center"/>
          </w:tcPr>
          <w:p w14:paraId="1045C2D7">
            <w:pPr>
              <w:adjustRightInd w:val="0"/>
              <w:snapToGrid w:val="0"/>
              <w:jc w:val="center"/>
              <w:rPr>
                <w:rFonts w:hint="default"/>
                <w:lang w:val="en-US"/>
              </w:rPr>
            </w:pPr>
            <w:r>
              <w:rPr>
                <w:rFonts w:hint="eastAsia"/>
              </w:rPr>
              <w:t>C20</w:t>
            </w:r>
            <w:r>
              <w:rPr>
                <w:rFonts w:hint="eastAsia"/>
                <w:lang w:val="en-US" w:eastAsia="zh-CN"/>
              </w:rPr>
              <w:t>35</w:t>
            </w:r>
            <w:r>
              <w:rPr>
                <w:rFonts w:hint="eastAsia"/>
              </w:rPr>
              <w:t xml:space="preserve"> </w:t>
            </w:r>
            <w:r>
              <w:rPr>
                <w:rFonts w:hint="eastAsia"/>
                <w:lang w:val="en-US" w:eastAsia="zh-CN"/>
              </w:rPr>
              <w:t>木制容器制造</w:t>
            </w:r>
          </w:p>
        </w:tc>
        <w:tc>
          <w:tcPr>
            <w:tcW w:w="1879" w:type="dxa"/>
            <w:vAlign w:val="center"/>
          </w:tcPr>
          <w:p w14:paraId="0D8A2030">
            <w:pPr>
              <w:adjustRightInd w:val="0"/>
              <w:snapToGrid w:val="0"/>
              <w:jc w:val="center"/>
            </w:pPr>
            <w:r>
              <w:t>建设项目</w:t>
            </w:r>
          </w:p>
          <w:p w14:paraId="2AFAF35E">
            <w:pPr>
              <w:adjustRightInd w:val="0"/>
              <w:snapToGrid w:val="0"/>
              <w:jc w:val="center"/>
            </w:pPr>
            <w:r>
              <w:t>行业类别</w:t>
            </w:r>
          </w:p>
        </w:tc>
        <w:tc>
          <w:tcPr>
            <w:tcW w:w="2972" w:type="dxa"/>
            <w:vAlign w:val="center"/>
          </w:tcPr>
          <w:p w14:paraId="5E027C53">
            <w:pPr>
              <w:adjustRightInd w:val="0"/>
              <w:snapToGrid w:val="0"/>
              <w:jc w:val="center"/>
            </w:pPr>
            <w:r>
              <w:rPr>
                <w:rFonts w:hint="eastAsia"/>
              </w:rPr>
              <w:t>十七、木材加工和木、竹、藤、棕、草制品业20“3</w:t>
            </w:r>
            <w:r>
              <w:rPr>
                <w:rFonts w:hint="eastAsia"/>
                <w:lang w:val="en-US" w:eastAsia="zh-CN"/>
              </w:rPr>
              <w:t>3</w:t>
            </w:r>
            <w:r>
              <w:rPr>
                <w:rFonts w:hint="eastAsia"/>
              </w:rPr>
              <w:t>.</w:t>
            </w:r>
            <w:r>
              <w:rPr>
                <w:rFonts w:hint="eastAsia"/>
                <w:lang w:val="en-US" w:eastAsia="zh-CN"/>
              </w:rPr>
              <w:t>木质制品制造203，含木片烘干、水煮、染色等工艺的</w:t>
            </w:r>
            <w:r>
              <w:rPr>
                <w:rFonts w:hint="eastAsia"/>
              </w:rPr>
              <w:t>”</w:t>
            </w:r>
          </w:p>
        </w:tc>
      </w:tr>
      <w:tr w14:paraId="4A96B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14:paraId="5E093D0A">
            <w:pPr>
              <w:adjustRightInd w:val="0"/>
              <w:snapToGrid w:val="0"/>
              <w:jc w:val="center"/>
            </w:pPr>
            <w:r>
              <w:t>建设性质</w:t>
            </w:r>
          </w:p>
        </w:tc>
        <w:tc>
          <w:tcPr>
            <w:tcW w:w="1637" w:type="dxa"/>
            <w:vAlign w:val="center"/>
          </w:tcPr>
          <w:p w14:paraId="10099167">
            <w:pPr>
              <w:jc w:val="left"/>
            </w:pPr>
            <w:r>
              <w:rPr>
                <w:rFonts w:hint="eastAsia" w:ascii="宋体" w:hAnsi="宋体" w:cs="宋体"/>
                <w:lang w:eastAsia="zh-CN"/>
              </w:rPr>
              <w:t>☑</w:t>
            </w:r>
            <w:r>
              <w:t>新建（迁建）</w:t>
            </w:r>
          </w:p>
          <w:p w14:paraId="5C2D5293">
            <w:pPr>
              <w:jc w:val="left"/>
            </w:pPr>
            <w:r>
              <w:rPr>
                <w:rFonts w:hint="eastAsia" w:ascii="宋体" w:hAnsi="宋体" w:cs="宋体"/>
              </w:rPr>
              <w:t>□</w:t>
            </w:r>
            <w:r>
              <w:t>改建</w:t>
            </w:r>
          </w:p>
          <w:p w14:paraId="2148A719">
            <w:pPr>
              <w:jc w:val="left"/>
            </w:pPr>
            <w:r>
              <w:rPr>
                <w:rFonts w:hint="eastAsia" w:ascii="宋体" w:hAnsi="宋体" w:cs="宋体"/>
              </w:rPr>
              <w:sym w:font="Wingdings 2" w:char="00A3"/>
            </w:r>
            <w:r>
              <w:t>扩建</w:t>
            </w:r>
          </w:p>
          <w:p w14:paraId="02B25ED0">
            <w:pPr>
              <w:jc w:val="left"/>
            </w:pPr>
            <w:r>
              <w:rPr>
                <w:rFonts w:hint="eastAsia" w:ascii="宋体" w:hAnsi="宋体" w:cs="宋体"/>
              </w:rPr>
              <w:t>□</w:t>
            </w:r>
            <w:r>
              <w:t>技术改造</w:t>
            </w:r>
          </w:p>
        </w:tc>
        <w:tc>
          <w:tcPr>
            <w:tcW w:w="1879" w:type="dxa"/>
            <w:vAlign w:val="center"/>
          </w:tcPr>
          <w:p w14:paraId="0BC8BC40">
            <w:pPr>
              <w:adjustRightInd w:val="0"/>
              <w:snapToGrid w:val="0"/>
              <w:jc w:val="center"/>
            </w:pPr>
            <w:r>
              <w:t>建设项目</w:t>
            </w:r>
          </w:p>
          <w:p w14:paraId="463621DD">
            <w:pPr>
              <w:adjustRightInd w:val="0"/>
              <w:snapToGrid w:val="0"/>
              <w:jc w:val="center"/>
            </w:pPr>
            <w:r>
              <w:t>申报情形</w:t>
            </w:r>
          </w:p>
        </w:tc>
        <w:tc>
          <w:tcPr>
            <w:tcW w:w="2972" w:type="dxa"/>
            <w:vAlign w:val="center"/>
          </w:tcPr>
          <w:p w14:paraId="1E056FCF">
            <w:pPr>
              <w:jc w:val="left"/>
            </w:pPr>
            <w:r>
              <w:rPr>
                <w:rFonts w:hint="eastAsia" w:ascii="宋体" w:hAnsi="宋体" w:cs="宋体"/>
              </w:rPr>
              <w:t>☑</w:t>
            </w:r>
            <w:r>
              <w:t>首次申报项目</w:t>
            </w:r>
          </w:p>
          <w:p w14:paraId="0BDC7072">
            <w:pPr>
              <w:jc w:val="left"/>
            </w:pPr>
            <w:r>
              <w:rPr>
                <w:rFonts w:hint="eastAsia" w:ascii="宋体" w:hAnsi="宋体" w:cs="宋体"/>
              </w:rPr>
              <w:t>□</w:t>
            </w:r>
            <w:r>
              <w:t>不予批准后再次申报项目</w:t>
            </w:r>
          </w:p>
          <w:p w14:paraId="597F8BB5">
            <w:pPr>
              <w:jc w:val="left"/>
            </w:pPr>
            <w:r>
              <w:rPr>
                <w:rFonts w:hint="eastAsia" w:ascii="宋体" w:hAnsi="宋体" w:cs="宋体"/>
              </w:rPr>
              <w:t>□</w:t>
            </w:r>
            <w:r>
              <w:t>超五年重新审核项目</w:t>
            </w:r>
          </w:p>
          <w:p w14:paraId="7085832E">
            <w:pPr>
              <w:jc w:val="left"/>
            </w:pPr>
            <w:r>
              <w:rPr>
                <w:rFonts w:hint="eastAsia" w:ascii="宋体" w:hAnsi="宋体" w:cs="宋体"/>
              </w:rPr>
              <w:t>□</w:t>
            </w:r>
            <w:r>
              <w:t>重大变动重新报批项目</w:t>
            </w:r>
          </w:p>
        </w:tc>
      </w:tr>
      <w:tr w14:paraId="77E10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14:paraId="534DEDA7">
            <w:pPr>
              <w:adjustRightInd w:val="0"/>
              <w:snapToGrid w:val="0"/>
              <w:jc w:val="center"/>
            </w:pPr>
            <w:r>
              <w:t>项目审批（核准/</w:t>
            </w:r>
          </w:p>
          <w:p w14:paraId="63FFC6C4">
            <w:pPr>
              <w:adjustRightInd w:val="0"/>
              <w:snapToGrid w:val="0"/>
              <w:jc w:val="center"/>
            </w:pPr>
            <w:r>
              <w:t>备案）部门（选填）</w:t>
            </w:r>
          </w:p>
        </w:tc>
        <w:tc>
          <w:tcPr>
            <w:tcW w:w="1637" w:type="dxa"/>
            <w:vAlign w:val="center"/>
          </w:tcPr>
          <w:p w14:paraId="2B3F5A14">
            <w:pPr>
              <w:adjustRightInd w:val="0"/>
              <w:snapToGrid w:val="0"/>
              <w:jc w:val="center"/>
              <w:rPr>
                <w:rFonts w:hint="default" w:eastAsia="宋体"/>
                <w:lang w:val="en-US" w:eastAsia="zh-CN"/>
              </w:rPr>
            </w:pPr>
            <w:r>
              <w:rPr>
                <w:rFonts w:hint="eastAsia"/>
                <w:lang w:val="en-US" w:eastAsia="zh-CN"/>
              </w:rPr>
              <w:t>泗县发展和改革委员会</w:t>
            </w:r>
          </w:p>
        </w:tc>
        <w:tc>
          <w:tcPr>
            <w:tcW w:w="1879" w:type="dxa"/>
            <w:vAlign w:val="center"/>
          </w:tcPr>
          <w:p w14:paraId="2F43A7E1">
            <w:pPr>
              <w:adjustRightInd w:val="0"/>
              <w:snapToGrid w:val="0"/>
              <w:jc w:val="center"/>
            </w:pPr>
            <w:r>
              <w:t>项目审批（核准/</w:t>
            </w:r>
          </w:p>
          <w:p w14:paraId="4271F828">
            <w:pPr>
              <w:adjustRightInd w:val="0"/>
              <w:snapToGrid w:val="0"/>
              <w:jc w:val="center"/>
            </w:pPr>
            <w:r>
              <w:t>备案）文号（选填）</w:t>
            </w:r>
          </w:p>
        </w:tc>
        <w:tc>
          <w:tcPr>
            <w:tcW w:w="2972" w:type="dxa"/>
            <w:vAlign w:val="center"/>
          </w:tcPr>
          <w:p w14:paraId="1858F298">
            <w:pPr>
              <w:adjustRightInd w:val="0"/>
              <w:snapToGrid w:val="0"/>
              <w:jc w:val="center"/>
              <w:rPr>
                <w:rFonts w:hint="default" w:eastAsia="宋体"/>
                <w:lang w:val="en-US" w:eastAsia="zh-CN"/>
              </w:rPr>
            </w:pPr>
            <w:r>
              <w:rPr>
                <w:rFonts w:hint="eastAsia"/>
                <w:lang w:val="en-US" w:eastAsia="zh-CN"/>
              </w:rPr>
              <w:t>泗发改备案【2023】179号</w:t>
            </w:r>
          </w:p>
        </w:tc>
      </w:tr>
      <w:tr w14:paraId="59EE7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6730D5F">
            <w:pPr>
              <w:adjustRightInd w:val="0"/>
              <w:snapToGrid w:val="0"/>
              <w:jc w:val="center"/>
            </w:pPr>
            <w:r>
              <w:t>总投资（万元）</w:t>
            </w:r>
          </w:p>
        </w:tc>
        <w:tc>
          <w:tcPr>
            <w:tcW w:w="1637" w:type="dxa"/>
            <w:vAlign w:val="center"/>
          </w:tcPr>
          <w:p w14:paraId="06F30104">
            <w:pPr>
              <w:adjustRightInd w:val="0"/>
              <w:snapToGrid w:val="0"/>
              <w:jc w:val="center"/>
              <w:rPr>
                <w:rFonts w:hint="default" w:eastAsia="宋体"/>
                <w:color w:val="0000FF"/>
                <w:lang w:val="en-US" w:eastAsia="zh-CN"/>
              </w:rPr>
            </w:pPr>
            <w:r>
              <w:rPr>
                <w:rFonts w:hint="eastAsia"/>
                <w:lang w:val="en-US" w:eastAsia="zh-CN"/>
              </w:rPr>
              <w:t>10400</w:t>
            </w:r>
          </w:p>
        </w:tc>
        <w:tc>
          <w:tcPr>
            <w:tcW w:w="1879" w:type="dxa"/>
            <w:tcMar>
              <w:top w:w="16" w:type="dxa"/>
              <w:left w:w="16" w:type="dxa"/>
              <w:right w:w="16" w:type="dxa"/>
            </w:tcMar>
            <w:vAlign w:val="center"/>
          </w:tcPr>
          <w:p w14:paraId="32711C18">
            <w:pPr>
              <w:adjustRightInd w:val="0"/>
              <w:snapToGrid w:val="0"/>
              <w:jc w:val="center"/>
            </w:pPr>
            <w:r>
              <w:t>环保投资（万元）</w:t>
            </w:r>
          </w:p>
        </w:tc>
        <w:tc>
          <w:tcPr>
            <w:tcW w:w="2972" w:type="dxa"/>
            <w:vAlign w:val="center"/>
          </w:tcPr>
          <w:p w14:paraId="1762DAA7">
            <w:pPr>
              <w:adjustRightInd w:val="0"/>
              <w:snapToGrid w:val="0"/>
              <w:jc w:val="center"/>
              <w:rPr>
                <w:rFonts w:hint="default" w:eastAsia="宋体"/>
                <w:lang w:val="en-US" w:eastAsia="zh-CN"/>
              </w:rPr>
            </w:pPr>
            <w:r>
              <w:rPr>
                <w:rFonts w:hint="eastAsia"/>
                <w:lang w:val="en-US" w:eastAsia="zh-CN"/>
              </w:rPr>
              <w:t>50</w:t>
            </w:r>
          </w:p>
        </w:tc>
      </w:tr>
      <w:tr w14:paraId="34DD1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4F06BD5">
            <w:pPr>
              <w:adjustRightInd w:val="0"/>
              <w:snapToGrid w:val="0"/>
              <w:jc w:val="center"/>
            </w:pPr>
            <w:r>
              <w:t>环保投资占比（%）</w:t>
            </w:r>
          </w:p>
        </w:tc>
        <w:tc>
          <w:tcPr>
            <w:tcW w:w="1637" w:type="dxa"/>
            <w:vAlign w:val="center"/>
          </w:tcPr>
          <w:p w14:paraId="4236244B">
            <w:pPr>
              <w:adjustRightInd w:val="0"/>
              <w:snapToGrid w:val="0"/>
              <w:jc w:val="center"/>
              <w:rPr>
                <w:rFonts w:hint="default" w:eastAsia="宋体"/>
                <w:lang w:val="en-US" w:eastAsia="zh-CN"/>
              </w:rPr>
            </w:pPr>
            <w:r>
              <w:rPr>
                <w:rFonts w:hint="eastAsia"/>
                <w:lang w:val="en-US" w:eastAsia="zh-CN"/>
              </w:rPr>
              <w:t>0.48</w:t>
            </w:r>
          </w:p>
        </w:tc>
        <w:tc>
          <w:tcPr>
            <w:tcW w:w="1879" w:type="dxa"/>
            <w:tcMar>
              <w:top w:w="16" w:type="dxa"/>
              <w:left w:w="16" w:type="dxa"/>
              <w:right w:w="16" w:type="dxa"/>
            </w:tcMar>
            <w:vAlign w:val="center"/>
          </w:tcPr>
          <w:p w14:paraId="37FBE56D">
            <w:pPr>
              <w:adjustRightInd w:val="0"/>
              <w:snapToGrid w:val="0"/>
              <w:jc w:val="center"/>
            </w:pPr>
            <w:r>
              <w:t>施工工期</w:t>
            </w:r>
          </w:p>
        </w:tc>
        <w:tc>
          <w:tcPr>
            <w:tcW w:w="2972" w:type="dxa"/>
            <w:vAlign w:val="center"/>
          </w:tcPr>
          <w:p w14:paraId="119F346D">
            <w:pPr>
              <w:adjustRightInd w:val="0"/>
              <w:snapToGrid w:val="0"/>
              <w:jc w:val="center"/>
            </w:pPr>
            <w:r>
              <w:rPr>
                <w:rFonts w:hint="eastAsia"/>
                <w:lang w:val="en-US" w:eastAsia="zh-CN"/>
              </w:rPr>
              <w:t>3</w:t>
            </w:r>
            <w:r>
              <w:rPr>
                <w:rFonts w:hint="eastAsia"/>
              </w:rPr>
              <w:t>个月</w:t>
            </w:r>
          </w:p>
        </w:tc>
      </w:tr>
      <w:tr w14:paraId="244CE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2EDB0C0">
            <w:pPr>
              <w:adjustRightInd w:val="0"/>
              <w:snapToGrid w:val="0"/>
              <w:jc w:val="center"/>
            </w:pPr>
            <w:r>
              <w:t>是否开工建设</w:t>
            </w:r>
          </w:p>
        </w:tc>
        <w:tc>
          <w:tcPr>
            <w:tcW w:w="1637" w:type="dxa"/>
            <w:vAlign w:val="center"/>
          </w:tcPr>
          <w:p w14:paraId="795A852B">
            <w:pPr>
              <w:adjustRightInd w:val="0"/>
              <w:snapToGrid w:val="0"/>
            </w:pPr>
            <w:r>
              <w:rPr>
                <w:rFonts w:hint="eastAsia" w:ascii="宋体" w:hAnsi="宋体" w:cs="宋体"/>
              </w:rPr>
              <w:t>☑</w:t>
            </w:r>
            <w:r>
              <w:t>否</w:t>
            </w:r>
          </w:p>
          <w:p w14:paraId="734E13FF">
            <w:pPr>
              <w:adjustRightInd w:val="0"/>
              <w:snapToGrid w:val="0"/>
            </w:pPr>
            <w:r>
              <w:rPr>
                <w:rFonts w:hint="eastAsia" w:ascii="宋体" w:hAnsi="宋体" w:cs="宋体"/>
              </w:rPr>
              <w:t>□</w:t>
            </w:r>
            <w:r>
              <w:t>是：</w:t>
            </w:r>
            <w:r>
              <w:rPr>
                <w:u w:val="single"/>
              </w:rPr>
              <w:t xml:space="preserve">             </w:t>
            </w:r>
          </w:p>
        </w:tc>
        <w:tc>
          <w:tcPr>
            <w:tcW w:w="1879" w:type="dxa"/>
            <w:tcMar>
              <w:top w:w="16" w:type="dxa"/>
              <w:left w:w="16" w:type="dxa"/>
              <w:right w:w="16" w:type="dxa"/>
            </w:tcMar>
            <w:vAlign w:val="center"/>
          </w:tcPr>
          <w:p w14:paraId="18C8722F">
            <w:pPr>
              <w:adjustRightInd w:val="0"/>
              <w:snapToGrid w:val="0"/>
              <w:jc w:val="center"/>
              <w:rPr>
                <w:spacing w:val="-6"/>
              </w:rPr>
            </w:pPr>
            <w:r>
              <w:rPr>
                <w:spacing w:val="-6"/>
              </w:rPr>
              <w:t>用地（用海）</w:t>
            </w:r>
          </w:p>
          <w:p w14:paraId="5939856A">
            <w:pPr>
              <w:adjustRightInd w:val="0"/>
              <w:snapToGrid w:val="0"/>
              <w:jc w:val="center"/>
            </w:pPr>
            <w:r>
              <w:rPr>
                <w:spacing w:val="-6"/>
              </w:rPr>
              <w:t>面积（m</w:t>
            </w:r>
            <w:r>
              <w:rPr>
                <w:spacing w:val="-6"/>
                <w:vertAlign w:val="superscript"/>
              </w:rPr>
              <w:t>2</w:t>
            </w:r>
            <w:r>
              <w:rPr>
                <w:spacing w:val="-6"/>
              </w:rPr>
              <w:t>）</w:t>
            </w:r>
          </w:p>
        </w:tc>
        <w:tc>
          <w:tcPr>
            <w:tcW w:w="2972" w:type="dxa"/>
            <w:vAlign w:val="center"/>
          </w:tcPr>
          <w:p w14:paraId="08E6E7A2">
            <w:pPr>
              <w:adjustRightInd w:val="0"/>
              <w:snapToGrid w:val="0"/>
              <w:jc w:val="center"/>
              <w:rPr>
                <w:rFonts w:hint="default" w:eastAsia="宋体"/>
                <w:lang w:val="en-US" w:eastAsia="zh-CN"/>
              </w:rPr>
            </w:pPr>
            <w:r>
              <w:rPr>
                <w:rFonts w:hint="eastAsia"/>
                <w:color w:val="auto"/>
                <w:lang w:val="en-US" w:eastAsia="zh-CN"/>
              </w:rPr>
              <w:t>13398</w:t>
            </w:r>
          </w:p>
        </w:tc>
      </w:tr>
      <w:tr w14:paraId="2BAF8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382" w:type="dxa"/>
            <w:vAlign w:val="center"/>
          </w:tcPr>
          <w:p w14:paraId="62F71885">
            <w:pPr>
              <w:autoSpaceDE w:val="0"/>
              <w:autoSpaceDN w:val="0"/>
              <w:adjustRightInd w:val="0"/>
              <w:snapToGrid w:val="0"/>
              <w:jc w:val="center"/>
              <w:rPr>
                <w:kern w:val="0"/>
              </w:rPr>
            </w:pPr>
            <w:r>
              <w:rPr>
                <w:kern w:val="0"/>
              </w:rPr>
              <w:t>专项评价设置情况</w:t>
            </w:r>
          </w:p>
        </w:tc>
        <w:tc>
          <w:tcPr>
            <w:tcW w:w="6488" w:type="dxa"/>
            <w:gridSpan w:val="3"/>
            <w:vAlign w:val="center"/>
          </w:tcPr>
          <w:p w14:paraId="7C127C47">
            <w:pPr>
              <w:autoSpaceDE w:val="0"/>
              <w:autoSpaceDN w:val="0"/>
              <w:adjustRightInd w:val="0"/>
              <w:snapToGrid w:val="0"/>
              <w:jc w:val="center"/>
              <w:rPr>
                <w:kern w:val="0"/>
              </w:rPr>
            </w:pPr>
            <w:r>
              <w:rPr>
                <w:rFonts w:hint="eastAsia" w:cs="宋体"/>
                <w:lang w:bidi="ar"/>
              </w:rPr>
              <w:t>无</w:t>
            </w:r>
          </w:p>
        </w:tc>
      </w:tr>
      <w:tr w14:paraId="3DAF0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7" w:hRule="atLeast"/>
          <w:jc w:val="center"/>
        </w:trPr>
        <w:tc>
          <w:tcPr>
            <w:tcW w:w="2382" w:type="dxa"/>
            <w:vAlign w:val="center"/>
          </w:tcPr>
          <w:p w14:paraId="7C366607">
            <w:pPr>
              <w:autoSpaceDE w:val="0"/>
              <w:autoSpaceDN w:val="0"/>
              <w:adjustRightInd w:val="0"/>
              <w:snapToGrid w:val="0"/>
              <w:jc w:val="center"/>
              <w:rPr>
                <w:kern w:val="0"/>
              </w:rPr>
            </w:pPr>
            <w:r>
              <w:t>规划情况</w:t>
            </w:r>
          </w:p>
        </w:tc>
        <w:tc>
          <w:tcPr>
            <w:tcW w:w="6488" w:type="dxa"/>
            <w:gridSpan w:val="3"/>
            <w:shd w:val="clear" w:color="auto" w:fill="auto"/>
            <w:vAlign w:val="center"/>
          </w:tcPr>
          <w:p w14:paraId="3167AF39">
            <w:pPr>
              <w:autoSpaceDE w:val="0"/>
              <w:autoSpaceDN w:val="0"/>
              <w:adjustRightInd w:val="0"/>
              <w:snapToGrid w:val="0"/>
              <w:spacing w:line="360" w:lineRule="auto"/>
              <w:jc w:val="left"/>
              <w:rPr>
                <w:rFonts w:hint="eastAsia" w:eastAsia="宋体"/>
                <w:lang w:eastAsia="zh-CN"/>
              </w:rPr>
            </w:pPr>
            <w:r>
              <w:rPr>
                <w:b/>
                <w:bCs/>
                <w:kern w:val="0"/>
              </w:rPr>
              <w:t>规划名称：</w:t>
            </w:r>
            <w:r>
              <w:rPr>
                <w:rFonts w:hint="default" w:ascii="Times New Roman" w:hAnsi="Times New Roman" w:cs="Times New Roman"/>
                <w:kern w:val="0"/>
                <w:lang w:eastAsia="zh-CN"/>
              </w:rPr>
              <w:t>《</w:t>
            </w:r>
            <w:r>
              <w:rPr>
                <w:kern w:val="0"/>
              </w:rPr>
              <w:t>安徽泗县经济开发区总体发展规划</w:t>
            </w:r>
            <w:r>
              <w:rPr>
                <w:rFonts w:hint="default" w:ascii="Times New Roman" w:hAnsi="Times New Roman" w:cs="Times New Roman"/>
                <w:kern w:val="0"/>
              </w:rPr>
              <w:t>（2013-2030）</w:t>
            </w:r>
            <w:r>
              <w:rPr>
                <w:rFonts w:hint="default" w:ascii="Times New Roman" w:hAnsi="Times New Roman" w:cs="Times New Roman"/>
                <w:kern w:val="0"/>
                <w:lang w:eastAsia="zh-CN"/>
              </w:rPr>
              <w:t>》</w:t>
            </w:r>
          </w:p>
          <w:p w14:paraId="611D5F12">
            <w:pPr>
              <w:autoSpaceDE w:val="0"/>
              <w:autoSpaceDN w:val="0"/>
              <w:adjustRightInd w:val="0"/>
              <w:snapToGrid w:val="0"/>
              <w:spacing w:line="360" w:lineRule="auto"/>
              <w:jc w:val="left"/>
            </w:pPr>
            <w:r>
              <w:rPr>
                <w:b/>
                <w:bCs/>
                <w:kern w:val="0"/>
              </w:rPr>
              <w:t>审批机关：</w:t>
            </w:r>
            <w:r>
              <w:rPr>
                <w:rFonts w:hint="eastAsia"/>
              </w:rPr>
              <w:t>安徽省人民政府</w:t>
            </w:r>
          </w:p>
          <w:p w14:paraId="1D76FDE1">
            <w:pPr>
              <w:spacing w:before="0" w:after="0" w:line="360" w:lineRule="auto"/>
              <w:ind w:right="0" w:rightChars="0"/>
              <w:rPr>
                <w:rFonts w:ascii="Times New Roman" w:hAnsi="Times New Roman" w:eastAsia="宋体" w:cs="Times New Roman"/>
                <w:bCs/>
                <w:kern w:val="2"/>
                <w:sz w:val="24"/>
                <w:szCs w:val="24"/>
                <w:lang w:val="en-US" w:eastAsia="zh-CN" w:bidi="ar-SA"/>
              </w:rPr>
            </w:pPr>
            <w:r>
              <w:rPr>
                <w:b/>
                <w:bCs/>
                <w:sz w:val="24"/>
                <w:szCs w:val="24"/>
              </w:rPr>
              <w:t>审批文件名称和文号：</w:t>
            </w:r>
            <w:r>
              <w:rPr>
                <w:rFonts w:hint="eastAsia"/>
                <w:sz w:val="24"/>
                <w:szCs w:val="28"/>
              </w:rPr>
              <w:t>《安徽省人民政府关于同意安徽泗县经济开发区扩区的批复》，皖政秘【2014】124号</w:t>
            </w:r>
          </w:p>
        </w:tc>
      </w:tr>
      <w:tr w14:paraId="273CC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461DDA17">
            <w:pPr>
              <w:adjustRightInd w:val="0"/>
              <w:snapToGrid w:val="0"/>
              <w:jc w:val="center"/>
            </w:pPr>
            <w:r>
              <w:t>规划环境影响</w:t>
            </w:r>
          </w:p>
          <w:p w14:paraId="083BA69F">
            <w:pPr>
              <w:adjustRightInd w:val="0"/>
              <w:snapToGrid w:val="0"/>
              <w:jc w:val="center"/>
              <w:rPr>
                <w:kern w:val="0"/>
              </w:rPr>
            </w:pPr>
            <w:r>
              <w:t>评价情况</w:t>
            </w:r>
          </w:p>
        </w:tc>
        <w:tc>
          <w:tcPr>
            <w:tcW w:w="6488" w:type="dxa"/>
            <w:gridSpan w:val="3"/>
            <w:shd w:val="clear" w:color="auto" w:fill="auto"/>
            <w:vAlign w:val="center"/>
          </w:tcPr>
          <w:p w14:paraId="42F5E9C9">
            <w:pPr>
              <w:autoSpaceDE w:val="0"/>
              <w:autoSpaceDN w:val="0"/>
              <w:adjustRightInd w:val="0"/>
              <w:snapToGrid w:val="0"/>
              <w:spacing w:line="360" w:lineRule="auto"/>
            </w:pPr>
            <w:r>
              <w:rPr>
                <w:rFonts w:hint="eastAsia"/>
                <w:b/>
                <w:bCs/>
              </w:rPr>
              <w:t>规划环境影响评价文件名称：</w:t>
            </w:r>
            <w:r>
              <w:rPr>
                <w:rFonts w:hint="eastAsia"/>
              </w:rPr>
              <w:t>《安徽泗县经济开发区总体发展规划环境影响报告书》</w:t>
            </w:r>
          </w:p>
          <w:p w14:paraId="5F4C7EAE">
            <w:pPr>
              <w:autoSpaceDE w:val="0"/>
              <w:autoSpaceDN w:val="0"/>
              <w:adjustRightInd w:val="0"/>
              <w:snapToGrid w:val="0"/>
              <w:spacing w:line="360" w:lineRule="auto"/>
            </w:pPr>
            <w:r>
              <w:rPr>
                <w:rFonts w:hint="eastAsia"/>
                <w:b/>
                <w:bCs/>
              </w:rPr>
              <w:t>审查机关</w:t>
            </w:r>
            <w:r>
              <w:rPr>
                <w:rFonts w:hint="eastAsia"/>
                <w:b/>
                <w:bCs/>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原</w:t>
            </w:r>
            <w:r>
              <w:rPr>
                <w:rFonts w:hint="eastAsia"/>
                <w:color w:val="000000" w:themeColor="text1"/>
                <w14:textFill>
                  <w14:solidFill>
                    <w14:schemeClr w14:val="tx1"/>
                  </w14:solidFill>
                </w14:textFill>
              </w:rPr>
              <w:t>安徽省环境保护厅</w:t>
            </w:r>
          </w:p>
          <w:p w14:paraId="23E64814">
            <w:pPr>
              <w:widowControl/>
              <w:spacing w:line="360" w:lineRule="auto"/>
            </w:pPr>
            <w:r>
              <w:rPr>
                <w:rFonts w:hint="eastAsia"/>
                <w:b/>
                <w:bCs/>
              </w:rPr>
              <w:t>审查文件名称及文号：</w:t>
            </w:r>
            <w:r>
              <w:rPr>
                <w:rFonts w:hint="eastAsia"/>
              </w:rPr>
              <w:t>《安徽省环保厅关于安徽泗县经济开发区总体发展规划环境影响报告书审查意见的函》皖环函【2014】</w:t>
            </w:r>
            <w:r>
              <w:t>645号</w:t>
            </w:r>
          </w:p>
          <w:p w14:paraId="2FBF9E19">
            <w:pPr>
              <w:autoSpaceDE w:val="0"/>
              <w:autoSpaceDN w:val="0"/>
              <w:adjustRightInd w:val="0"/>
              <w:snapToGrid w:val="0"/>
              <w:spacing w:line="360" w:lineRule="auto"/>
            </w:pPr>
            <w:r>
              <w:rPr>
                <w:rFonts w:hint="eastAsia" w:ascii="宋体" w:hAnsi="宋体" w:cs="宋体"/>
                <w:b/>
                <w:bCs/>
                <w:kern w:val="0"/>
              </w:rPr>
              <w:t>规划环境影响评价文件名称：</w:t>
            </w:r>
            <w:r>
              <w:rPr>
                <w:rFonts w:hint="eastAsia"/>
              </w:rPr>
              <w:t>《安徽泗县经济开发区总体发展规划环境影响跟踪评价报告书》</w:t>
            </w:r>
          </w:p>
          <w:p w14:paraId="470553AE">
            <w:pPr>
              <w:autoSpaceDE w:val="0"/>
              <w:autoSpaceDN w:val="0"/>
              <w:adjustRightInd w:val="0"/>
              <w:snapToGrid w:val="0"/>
              <w:spacing w:line="360" w:lineRule="auto"/>
            </w:pPr>
            <w:r>
              <w:rPr>
                <w:rFonts w:hint="eastAsia" w:ascii="宋体" w:hAnsi="宋体" w:cs="宋体"/>
                <w:b/>
                <w:bCs/>
                <w:kern w:val="0"/>
              </w:rPr>
              <w:t>审查机关：</w:t>
            </w:r>
            <w:r>
              <w:rPr>
                <w:rFonts w:hint="eastAsia" w:ascii="宋体" w:hAnsi="宋体" w:cs="宋体"/>
                <w:kern w:val="0"/>
              </w:rPr>
              <w:t>宿州市生态环境局</w:t>
            </w:r>
          </w:p>
          <w:p w14:paraId="40678E07">
            <w:pPr>
              <w:autoSpaceDE w:val="0"/>
              <w:autoSpaceDN w:val="0"/>
              <w:adjustRightInd w:val="0"/>
              <w:snapToGrid w:val="0"/>
              <w:spacing w:line="360" w:lineRule="auto"/>
              <w:jc w:val="left"/>
              <w:rPr>
                <w:rFonts w:ascii="Times New Roman" w:hAnsi="Times New Roman" w:eastAsia="宋体" w:cs="Times New Roman"/>
                <w:kern w:val="2"/>
                <w:sz w:val="24"/>
                <w:szCs w:val="24"/>
                <w:lang w:val="en-US" w:eastAsia="zh-CN" w:bidi="ar-SA"/>
              </w:rPr>
            </w:pPr>
            <w:r>
              <w:rPr>
                <w:rFonts w:hint="eastAsia" w:ascii="宋体" w:hAnsi="宋体" w:cs="宋体"/>
                <w:b/>
                <w:bCs/>
                <w:kern w:val="0"/>
              </w:rPr>
              <w:t>审查文件名称及文号：</w:t>
            </w:r>
            <w:r>
              <w:rPr>
                <w:rFonts w:hint="eastAsia"/>
              </w:rPr>
              <w:t>《</w:t>
            </w:r>
            <w:r>
              <w:rPr>
                <w:rFonts w:hint="eastAsia" w:ascii="宋体" w:hAnsi="宋体" w:cs="宋体"/>
                <w:kern w:val="0"/>
              </w:rPr>
              <w:t>宿州市生态环境局关于安徽泗县经济开发区总体发展规划环境影响跟踪评价报告书的审查意见</w:t>
            </w:r>
            <w:r>
              <w:rPr>
                <w:rFonts w:hint="eastAsia"/>
              </w:rPr>
              <w:t>》，宿环函【2020】101号</w:t>
            </w:r>
          </w:p>
        </w:tc>
      </w:tr>
      <w:tr w14:paraId="5F63A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14:paraId="3E4CC246">
            <w:pPr>
              <w:autoSpaceDE w:val="0"/>
              <w:autoSpaceDN w:val="0"/>
              <w:adjustRightInd w:val="0"/>
              <w:snapToGrid w:val="0"/>
              <w:jc w:val="center"/>
              <w:rPr>
                <w:kern w:val="0"/>
              </w:rPr>
            </w:pPr>
            <w:r>
              <w:rPr>
                <w:kern w:val="0"/>
              </w:rPr>
              <w:t>规划及规划环境</w:t>
            </w:r>
          </w:p>
          <w:p w14:paraId="5490F761">
            <w:pPr>
              <w:autoSpaceDE w:val="0"/>
              <w:autoSpaceDN w:val="0"/>
              <w:adjustRightInd w:val="0"/>
              <w:snapToGrid w:val="0"/>
              <w:jc w:val="center"/>
            </w:pPr>
            <w:r>
              <w:rPr>
                <w:kern w:val="0"/>
              </w:rPr>
              <w:t>影响评价符合性分析</w:t>
            </w:r>
          </w:p>
        </w:tc>
        <w:tc>
          <w:tcPr>
            <w:tcW w:w="6488" w:type="dxa"/>
            <w:gridSpan w:val="3"/>
            <w:shd w:val="clear" w:color="auto" w:fill="auto"/>
            <w:vAlign w:val="center"/>
          </w:tcPr>
          <w:p w14:paraId="1FDC1444">
            <w:pPr>
              <w:autoSpaceDE w:val="0"/>
              <w:autoSpaceDN w:val="0"/>
              <w:adjustRightInd w:val="0"/>
              <w:snapToGrid w:val="0"/>
              <w:spacing w:line="360" w:lineRule="auto"/>
              <w:rPr>
                <w:rFonts w:hint="eastAsia"/>
                <w:b/>
                <w:bCs/>
                <w:kern w:val="0"/>
              </w:rPr>
            </w:pPr>
            <w:r>
              <w:rPr>
                <w:rFonts w:hint="eastAsia"/>
                <w:b/>
                <w:bCs/>
                <w:kern w:val="0"/>
              </w:rPr>
              <w:t>1、泗县经济开发区规划范围及主导产业</w:t>
            </w:r>
          </w:p>
          <w:p w14:paraId="29AE5B38">
            <w:pPr>
              <w:autoSpaceDE w:val="0"/>
              <w:autoSpaceDN w:val="0"/>
              <w:adjustRightInd w:val="0"/>
              <w:snapToGrid w:val="0"/>
              <w:spacing w:line="360" w:lineRule="auto"/>
              <w:ind w:firstLine="480" w:firstLineChars="200"/>
              <w:rPr>
                <w:rFonts w:hint="eastAsia"/>
                <w:kern w:val="0"/>
              </w:rPr>
            </w:pPr>
            <w:r>
              <w:rPr>
                <w:rFonts w:hint="eastAsia"/>
                <w:kern w:val="0"/>
              </w:rPr>
              <w:t>安徽泗县经济开发区于2005年6月正式成立，并于2006年8月8日经安徽省人民政府以皖政秘【2006】136号《安徽省人民政府关于设立安徽泗县经济开发区的批复》文件批准设立为省级开发区，开发区总体规划面积为3.88平方公里，为进一步拓展开发区发展空间，安徽省人民政府于2014年7月1日以《安徽省人民政府关于同意安徽泗县经济开发区扩区的批复》（皖政秘【2014】124号），同意泗县经济开发区扩区，扩区后总面积18.0052平方公里，2013年11月泗县经济开发区</w:t>
            </w:r>
            <w:r>
              <w:rPr>
                <w:rFonts w:hint="eastAsia"/>
                <w:kern w:val="0"/>
                <w:lang w:val="en-US" w:eastAsia="zh-CN"/>
              </w:rPr>
              <w:t>管</w:t>
            </w:r>
            <w:r>
              <w:rPr>
                <w:rFonts w:hint="eastAsia"/>
                <w:kern w:val="0"/>
              </w:rPr>
              <w:t>委会委托天津天发源环境保护事务代理中心有限公司开展安徽泗县经济开发区总体发展规划的环境影响评价工作，并于2014年5</w:t>
            </w:r>
            <w:r>
              <w:rPr>
                <w:rFonts w:hint="eastAsia"/>
                <w:color w:val="000000" w:themeColor="text1"/>
                <w:kern w:val="0"/>
                <w14:textFill>
                  <w14:solidFill>
                    <w14:schemeClr w14:val="tx1"/>
                  </w14:solidFill>
                </w14:textFill>
              </w:rPr>
              <w:t>月</w:t>
            </w:r>
            <w:r>
              <w:rPr>
                <w:rFonts w:hint="eastAsia"/>
                <w:color w:val="000000" w:themeColor="text1"/>
                <w:kern w:val="0"/>
                <w:lang w:val="en-US" w:eastAsia="zh-CN"/>
                <w14:textFill>
                  <w14:solidFill>
                    <w14:schemeClr w14:val="tx1"/>
                  </w14:solidFill>
                </w14:textFill>
              </w:rPr>
              <w:t>取得</w:t>
            </w:r>
            <w:r>
              <w:rPr>
                <w:rFonts w:hint="eastAsia"/>
                <w:color w:val="000000" w:themeColor="text1"/>
                <w:kern w:val="0"/>
                <w14:textFill>
                  <w14:solidFill>
                    <w14:schemeClr w14:val="tx1"/>
                  </w14:solidFill>
                </w14:textFill>
              </w:rPr>
              <w:t>了</w:t>
            </w:r>
            <w:r>
              <w:rPr>
                <w:rFonts w:hint="eastAsia"/>
                <w:color w:val="000000" w:themeColor="text1"/>
                <w:lang w:val="en-US" w:eastAsia="zh-CN"/>
                <w14:textFill>
                  <w14:solidFill>
                    <w14:schemeClr w14:val="tx1"/>
                  </w14:solidFill>
                </w14:textFill>
              </w:rPr>
              <w:t>原</w:t>
            </w:r>
            <w:r>
              <w:rPr>
                <w:rFonts w:hint="eastAsia"/>
                <w:color w:val="000000" w:themeColor="text1"/>
                <w:kern w:val="0"/>
                <w14:textFill>
                  <w14:solidFill>
                    <w14:schemeClr w14:val="tx1"/>
                  </w14:solidFill>
                </w14:textFill>
              </w:rPr>
              <w:t>安徽省环保厅关于安徽泗</w:t>
            </w:r>
            <w:r>
              <w:rPr>
                <w:rFonts w:hint="eastAsia"/>
                <w:kern w:val="0"/>
              </w:rPr>
              <w:t>县经济开发区总体发展规划环境影响报告书审查意见的函（皖环函【2014】645号）。安徽泗县经济开发区的规划范围为原批复和扩区的全部范围，四至界限：东至东三环路；西至西三环路；南至新汴河；北至古汴河。规划总面积约18.0052平方公里。</w:t>
            </w:r>
          </w:p>
          <w:p w14:paraId="61C3FE3B">
            <w:pPr>
              <w:autoSpaceDE w:val="0"/>
              <w:autoSpaceDN w:val="0"/>
              <w:adjustRightInd w:val="0"/>
              <w:snapToGrid w:val="0"/>
              <w:spacing w:line="360" w:lineRule="auto"/>
              <w:ind w:firstLine="480" w:firstLineChars="200"/>
              <w:rPr>
                <w:rFonts w:hint="eastAsia"/>
                <w:kern w:val="0"/>
              </w:rPr>
            </w:pPr>
            <w:r>
              <w:rPr>
                <w:rFonts w:hint="eastAsia"/>
                <w:kern w:val="0"/>
              </w:rPr>
              <w:t>泗县经济开发区主导产业为机械电子、纺织服装、农产品加工。</w:t>
            </w:r>
          </w:p>
          <w:p w14:paraId="505B8537">
            <w:pPr>
              <w:pStyle w:val="13"/>
              <w:kinsoku w:val="0"/>
              <w:overflowPunct w:val="0"/>
              <w:adjustRightInd w:val="0"/>
              <w:spacing w:before="0" w:beforeLines="0" w:after="0" w:line="360" w:lineRule="auto"/>
              <w:ind w:right="0" w:firstLine="480" w:firstLineChars="200"/>
              <w:rPr>
                <w:rFonts w:ascii="宋体" w:hAnsi="宋体" w:cs="宋体"/>
                <w:sz w:val="24"/>
              </w:rPr>
            </w:pPr>
            <w:r>
              <w:rPr>
                <w:rFonts w:hint="eastAsia"/>
                <w:kern w:val="0"/>
                <w:sz w:val="24"/>
                <w:szCs w:val="28"/>
              </w:rPr>
              <w:t>根据泗县经济开发区用地布局图，本项目占地为工业用地，用地性质符合要求。本项目位于</w:t>
            </w:r>
            <w:r>
              <w:rPr>
                <w:rFonts w:hint="eastAsia"/>
                <w:kern w:val="0"/>
                <w:sz w:val="24"/>
                <w:szCs w:val="28"/>
                <w:lang w:eastAsia="zh-CN"/>
              </w:rPr>
              <w:t>安徽省宿州市泗县经济开发区赤山路和南柳路交汇口西北角</w:t>
            </w:r>
            <w:r>
              <w:rPr>
                <w:rFonts w:hint="eastAsia"/>
                <w:kern w:val="0"/>
                <w:sz w:val="24"/>
                <w:szCs w:val="28"/>
              </w:rPr>
              <w:t>，</w:t>
            </w:r>
            <w:r>
              <w:rPr>
                <w:rFonts w:hint="eastAsia"/>
                <w:kern w:val="0"/>
                <w:sz w:val="24"/>
                <w:szCs w:val="28"/>
                <w:lang w:val="en-US" w:eastAsia="zh-CN"/>
              </w:rPr>
              <w:t>行业类别</w:t>
            </w:r>
            <w:r>
              <w:rPr>
                <w:rFonts w:hint="eastAsia"/>
                <w:kern w:val="0"/>
                <w:sz w:val="24"/>
                <w:szCs w:val="28"/>
              </w:rPr>
              <w:t>属于C20</w:t>
            </w:r>
            <w:r>
              <w:rPr>
                <w:rFonts w:hint="eastAsia"/>
                <w:kern w:val="0"/>
                <w:sz w:val="24"/>
                <w:szCs w:val="28"/>
                <w:lang w:val="en-US" w:eastAsia="zh-CN"/>
              </w:rPr>
              <w:t>35</w:t>
            </w:r>
            <w:r>
              <w:rPr>
                <w:rFonts w:hint="eastAsia"/>
                <w:kern w:val="0"/>
                <w:sz w:val="24"/>
                <w:szCs w:val="28"/>
              </w:rPr>
              <w:t xml:space="preserve"> 木制容器制造</w:t>
            </w:r>
            <w:r>
              <w:rPr>
                <w:rFonts w:ascii="Times New Roman" w:hAnsi="Times New Roman" w:cs="Times New Roman"/>
                <w:sz w:val="24"/>
              </w:rPr>
              <w:t>，</w:t>
            </w:r>
            <w:r>
              <w:rPr>
                <w:rFonts w:hint="eastAsia" w:ascii="宋体" w:hAnsi="宋体" w:cs="宋体"/>
                <w:sz w:val="24"/>
              </w:rPr>
              <w:t>不属于园区禁止和限制入区的企业类别，与主导产业不完全相符，属于低能耗、轻污染型产业，</w:t>
            </w:r>
            <w:r>
              <w:rPr>
                <w:rFonts w:hint="eastAsia" w:ascii="宋体" w:hAnsi="宋体" w:cs="宋体"/>
                <w:sz w:val="24"/>
                <w:lang w:val="en-US" w:eastAsia="zh-CN"/>
              </w:rPr>
              <w:t>且项目产品木托盘为园区多家企业产品运输需要，属于配套园区配套产品，</w:t>
            </w:r>
            <w:r>
              <w:rPr>
                <w:rFonts w:hint="eastAsia" w:ascii="宋体" w:hAnsi="宋体" w:cs="宋体"/>
                <w:sz w:val="24"/>
              </w:rPr>
              <w:t>可以适度入区。</w:t>
            </w:r>
          </w:p>
          <w:p w14:paraId="6D86DADB">
            <w:pPr>
              <w:widowControl/>
              <w:kinsoku w:val="0"/>
              <w:overflowPunct w:val="0"/>
              <w:adjustRightInd w:val="0"/>
              <w:snapToGrid w:val="0"/>
              <w:spacing w:before="0" w:beforeLines="0" w:after="0" w:line="360" w:lineRule="auto"/>
              <w:ind w:right="0" w:firstLine="480" w:firstLineChars="200"/>
              <w:jc w:val="both"/>
              <w:rPr>
                <w:rFonts w:ascii="Times New Roman" w:hAnsi="Times New Roman" w:eastAsia="宋体" w:cs="Times New Roman"/>
                <w:kern w:val="0"/>
                <w:sz w:val="24"/>
                <w:szCs w:val="24"/>
                <w:lang w:val="en-US" w:eastAsia="zh-CN" w:bidi="ar-SA"/>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项目不属于“两高”项目，且不属于《产业结构调整指导目录》（2024年本）中限制类、淘汰类项目，因此项目为允许类，符合园区产业规划</w:t>
            </w:r>
            <w:r>
              <w:rPr>
                <w:rFonts w:ascii="Times New Roman" w:hAnsi="Times New Roman" w:eastAsia="宋体" w:cs="Times New Roman"/>
                <w:kern w:val="0"/>
                <w:sz w:val="24"/>
                <w:szCs w:val="24"/>
                <w:lang w:val="en-US" w:eastAsia="zh-CN" w:bidi="ar-SA"/>
              </w:rPr>
              <w:t>。</w:t>
            </w:r>
          </w:p>
          <w:p w14:paraId="4BD3285E">
            <w:pPr>
              <w:adjustRightInd w:val="0"/>
              <w:snapToGrid w:val="0"/>
              <w:spacing w:before="0" w:beforeLines="0" w:line="360" w:lineRule="auto"/>
              <w:ind w:firstLine="480" w:firstLineChars="200"/>
              <w:rPr>
                <w:rFonts w:hint="eastAsia"/>
                <w:kern w:val="0"/>
              </w:rPr>
            </w:pPr>
            <w:r>
              <w:rPr>
                <w:rFonts w:hint="eastAsia" w:ascii="Times New Roman" w:hAnsi="Times New Roman" w:cs="Times New Roman"/>
              </w:rPr>
              <w:t>本项目产品为木</w:t>
            </w:r>
            <w:r>
              <w:rPr>
                <w:rFonts w:hint="eastAsia" w:ascii="Times New Roman" w:hAnsi="Times New Roman" w:cs="Times New Roman"/>
                <w:lang w:val="en-US" w:eastAsia="zh-CN"/>
              </w:rPr>
              <w:t>托盘</w:t>
            </w:r>
            <w:r>
              <w:rPr>
                <w:rFonts w:hint="eastAsia" w:ascii="Times New Roman" w:hAnsi="Times New Roman" w:cs="Times New Roman"/>
                <w:kern w:val="0"/>
              </w:rPr>
              <w:t>，</w:t>
            </w:r>
            <w:r>
              <w:rPr>
                <w:rFonts w:hint="eastAsia" w:ascii="Times New Roman" w:hAnsi="Times New Roman" w:cs="Times New Roman"/>
              </w:rPr>
              <w:t>不属于高能耗、高污染、高耗水型行业；不建设小型燃煤锅炉；项目生产工艺中不涉及电镀处理工艺，</w:t>
            </w:r>
            <w:r>
              <w:rPr>
                <w:rFonts w:hint="eastAsia" w:ascii="Times New Roman" w:hAnsi="Times New Roman" w:cs="Times New Roman"/>
                <w:lang w:val="en-US" w:eastAsia="zh-CN"/>
              </w:rPr>
              <w:t>不属于园区禁入的企业和项目</w:t>
            </w:r>
            <w:r>
              <w:rPr>
                <w:rFonts w:hint="eastAsia"/>
                <w:kern w:val="0"/>
              </w:rPr>
              <w:t>。</w:t>
            </w:r>
          </w:p>
          <w:p w14:paraId="482B802C">
            <w:pPr>
              <w:autoSpaceDE w:val="0"/>
              <w:autoSpaceDN w:val="0"/>
              <w:adjustRightInd w:val="0"/>
              <w:snapToGrid w:val="0"/>
              <w:spacing w:line="360" w:lineRule="auto"/>
              <w:rPr>
                <w:rFonts w:hint="eastAsia"/>
                <w:b/>
                <w:bCs/>
                <w:kern w:val="0"/>
              </w:rPr>
            </w:pPr>
            <w:r>
              <w:rPr>
                <w:rFonts w:hint="eastAsia"/>
                <w:b/>
                <w:bCs/>
                <w:kern w:val="0"/>
                <w:lang w:val="en-US" w:eastAsia="zh-CN"/>
              </w:rPr>
              <w:t>2</w:t>
            </w:r>
            <w:r>
              <w:rPr>
                <w:rFonts w:hint="eastAsia"/>
                <w:b/>
                <w:bCs/>
                <w:kern w:val="0"/>
              </w:rPr>
              <w:t>、与规划环境影响评价结论及审查意见的符合性</w:t>
            </w:r>
          </w:p>
          <w:p w14:paraId="52F271DE">
            <w:pPr>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bidi="ar"/>
              </w:rPr>
              <w:t>根据《安徽省环保厅关于安徽泗县经济开发区总体发展规划环境影响报告书审查意见的函》（皖环函[2014]645号）和《宿州市生态环境局关于安徽泗县经济开发区总体发展规划影响跟踪评价报告书的审查意见》（宿环函</w:t>
            </w:r>
            <w:r>
              <w:rPr>
                <w:rFonts w:ascii="Times New Roman" w:hAnsi="Times New Roman" w:cs="Times New Roman"/>
                <w:color w:val="auto"/>
                <w:lang w:bidi="ar"/>
              </w:rPr>
              <w:t>[</w:t>
            </w:r>
            <w:r>
              <w:rPr>
                <w:rFonts w:hint="eastAsia" w:ascii="Times New Roman" w:hAnsi="Times New Roman" w:cs="Times New Roman"/>
                <w:color w:val="auto"/>
                <w:lang w:bidi="ar"/>
              </w:rPr>
              <w:t>2020</w:t>
            </w:r>
            <w:r>
              <w:rPr>
                <w:rFonts w:ascii="Times New Roman" w:hAnsi="Times New Roman" w:cs="Times New Roman"/>
                <w:color w:val="auto"/>
                <w:lang w:bidi="ar"/>
              </w:rPr>
              <w:t>]</w:t>
            </w:r>
            <w:r>
              <w:rPr>
                <w:rFonts w:hint="eastAsia" w:ascii="Times New Roman" w:hAnsi="Times New Roman" w:cs="Times New Roman"/>
                <w:color w:val="auto"/>
                <w:lang w:bidi="ar"/>
              </w:rPr>
              <w:t>101号），本项目与审查意见相符性分析见下表所示。</w:t>
            </w:r>
          </w:p>
          <w:p w14:paraId="621F2FDE">
            <w:pPr>
              <w:widowControl w:val="0"/>
              <w:spacing w:line="360" w:lineRule="auto"/>
              <w:ind w:firstLine="480" w:firstLineChars="200"/>
              <w:jc w:val="both"/>
              <w:rPr>
                <w:rFonts w:hint="eastAsia" w:ascii="Times New Roman" w:hAnsi="Times New Roman" w:eastAsia="宋体" w:cs="Times New Roman"/>
                <w:b w:val="0"/>
                <w:bCs/>
                <w:color w:val="auto"/>
                <w:kern w:val="2"/>
                <w:sz w:val="24"/>
                <w:szCs w:val="24"/>
                <w:lang w:val="en-US" w:eastAsia="zh-CN" w:bidi="ar-SA"/>
              </w:rPr>
            </w:pPr>
            <w:r>
              <w:rPr>
                <w:rFonts w:ascii="Times New Roman" w:hAnsi="Times New Roman" w:eastAsia="宋体" w:cs="Times New Roman"/>
                <w:b w:val="0"/>
                <w:bCs/>
                <w:color w:val="auto"/>
                <w:kern w:val="2"/>
                <w:sz w:val="24"/>
                <w:szCs w:val="24"/>
                <w:lang w:val="en-US" w:eastAsia="zh-CN" w:bidi="ar-SA"/>
              </w:rPr>
              <w:t>（1）根据《</w:t>
            </w:r>
            <w:r>
              <w:rPr>
                <w:rFonts w:ascii="宋体" w:hAnsi="宋体" w:eastAsia="宋体" w:cs="宋体"/>
                <w:b w:val="0"/>
                <w:bCs/>
                <w:color w:val="auto"/>
                <w:kern w:val="2"/>
                <w:sz w:val="24"/>
                <w:szCs w:val="24"/>
                <w:lang w:val="en-US" w:eastAsia="zh-CN" w:bidi="ar-SA"/>
              </w:rPr>
              <w:t>安徽省环保厅关于安徽泗县经济开发区总体发展规划环境影响报告书审查意见的</w:t>
            </w:r>
            <w:r>
              <w:rPr>
                <w:rFonts w:ascii="Times New Roman" w:hAnsi="Times New Roman" w:eastAsia="宋体" w:cs="Times New Roman"/>
                <w:b w:val="0"/>
                <w:bCs/>
                <w:color w:val="auto"/>
                <w:kern w:val="2"/>
                <w:sz w:val="24"/>
                <w:szCs w:val="24"/>
                <w:lang w:val="en-US" w:eastAsia="zh-CN" w:bidi="ar-SA"/>
              </w:rPr>
              <w:t>函》（皖环函[2014]645号），本项目与审查意见相符性分析见下表所示。</w:t>
            </w:r>
          </w:p>
          <w:p w14:paraId="1D953BA4">
            <w:pPr>
              <w:widowControl/>
              <w:spacing w:line="240" w:lineRule="auto"/>
              <w:jc w:val="center"/>
              <w:rPr>
                <w:rFonts w:ascii="Times New Roman" w:hAnsi="Times New Roman" w:cs="Times New Roman"/>
                <w:b/>
                <w:bCs/>
                <w:color w:val="auto"/>
                <w:lang w:bidi="ar"/>
              </w:rPr>
            </w:pPr>
            <w:r>
              <w:rPr>
                <w:rFonts w:ascii="Times New Roman" w:hAnsi="Times New Roman" w:cs="Times New Roman"/>
                <w:b/>
                <w:bCs/>
                <w:color w:val="auto"/>
                <w:lang w:bidi="ar"/>
              </w:rPr>
              <w:t>表1</w:t>
            </w:r>
            <w:r>
              <w:rPr>
                <w:rFonts w:hint="eastAsia" w:ascii="Times New Roman" w:hAnsi="Times New Roman" w:cs="Times New Roman"/>
                <w:b/>
                <w:bCs/>
                <w:color w:val="auto"/>
                <w:lang w:val="en-US" w:eastAsia="zh-CN" w:bidi="ar"/>
              </w:rPr>
              <w:t>-</w:t>
            </w:r>
            <w:r>
              <w:rPr>
                <w:rFonts w:ascii="Times New Roman" w:hAnsi="Times New Roman" w:cs="Times New Roman"/>
                <w:b/>
                <w:bCs/>
                <w:color w:val="auto"/>
                <w:lang w:bidi="ar"/>
              </w:rPr>
              <w:t>1  项目与规划环评审查意见符合性分析</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712"/>
              <w:gridCol w:w="1981"/>
              <w:gridCol w:w="879"/>
            </w:tblGrid>
            <w:tr w14:paraId="6762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5ED81AA1">
                  <w:pPr>
                    <w:widowControl/>
                    <w:spacing w:line="240" w:lineRule="auto"/>
                    <w:jc w:val="center"/>
                    <w:rPr>
                      <w:rFonts w:ascii="Times New Roman" w:hAnsi="Times New Roman" w:cs="Times New Roman"/>
                      <w:b/>
                      <w:bCs/>
                      <w:color w:val="auto"/>
                      <w:sz w:val="21"/>
                      <w:szCs w:val="21"/>
                      <w:lang w:bidi="ar"/>
                    </w:rPr>
                  </w:pPr>
                  <w:r>
                    <w:rPr>
                      <w:rFonts w:ascii="Times New Roman" w:hAnsi="Times New Roman" w:cs="Times New Roman"/>
                      <w:b/>
                      <w:bCs/>
                      <w:color w:val="auto"/>
                      <w:sz w:val="21"/>
                      <w:szCs w:val="21"/>
                      <w:lang w:bidi="ar"/>
                    </w:rPr>
                    <w:t>序号</w:t>
                  </w:r>
                </w:p>
              </w:tc>
              <w:tc>
                <w:tcPr>
                  <w:tcW w:w="2166" w:type="pct"/>
                  <w:vAlign w:val="center"/>
                </w:tcPr>
                <w:p w14:paraId="4DC5B46D">
                  <w:pPr>
                    <w:widowControl/>
                    <w:spacing w:line="240" w:lineRule="auto"/>
                    <w:jc w:val="center"/>
                    <w:rPr>
                      <w:rFonts w:ascii="Times New Roman" w:hAnsi="Times New Roman" w:cs="Times New Roman"/>
                      <w:b/>
                      <w:bCs/>
                      <w:color w:val="auto"/>
                      <w:sz w:val="21"/>
                      <w:szCs w:val="21"/>
                      <w:lang w:bidi="ar"/>
                    </w:rPr>
                  </w:pPr>
                  <w:r>
                    <w:rPr>
                      <w:rFonts w:ascii="Times New Roman" w:hAnsi="Times New Roman" w:cs="Times New Roman"/>
                      <w:b/>
                      <w:bCs/>
                      <w:color w:val="auto"/>
                      <w:sz w:val="21"/>
                      <w:szCs w:val="21"/>
                      <w:lang w:bidi="ar"/>
                    </w:rPr>
                    <w:t>审查意见</w:t>
                  </w:r>
                </w:p>
              </w:tc>
              <w:tc>
                <w:tcPr>
                  <w:tcW w:w="1582" w:type="pct"/>
                  <w:vAlign w:val="center"/>
                </w:tcPr>
                <w:p w14:paraId="786824FC">
                  <w:pPr>
                    <w:widowControl/>
                    <w:spacing w:line="240" w:lineRule="auto"/>
                    <w:jc w:val="center"/>
                    <w:rPr>
                      <w:rFonts w:ascii="Times New Roman" w:hAnsi="Times New Roman" w:cs="Times New Roman"/>
                      <w:b/>
                      <w:bCs/>
                      <w:color w:val="auto"/>
                      <w:sz w:val="21"/>
                      <w:szCs w:val="21"/>
                      <w:lang w:bidi="ar"/>
                    </w:rPr>
                  </w:pPr>
                  <w:r>
                    <w:rPr>
                      <w:rFonts w:ascii="Times New Roman" w:hAnsi="Times New Roman" w:cs="Times New Roman"/>
                      <w:b/>
                      <w:bCs/>
                      <w:color w:val="auto"/>
                      <w:sz w:val="21"/>
                      <w:szCs w:val="21"/>
                      <w:lang w:bidi="ar"/>
                    </w:rPr>
                    <w:t>本项目</w:t>
                  </w:r>
                </w:p>
              </w:tc>
              <w:tc>
                <w:tcPr>
                  <w:tcW w:w="702" w:type="pct"/>
                  <w:vAlign w:val="center"/>
                </w:tcPr>
                <w:p w14:paraId="54CE2F71">
                  <w:pPr>
                    <w:widowControl/>
                    <w:spacing w:line="240" w:lineRule="auto"/>
                    <w:jc w:val="center"/>
                    <w:rPr>
                      <w:rFonts w:ascii="Times New Roman" w:hAnsi="Times New Roman" w:cs="Times New Roman"/>
                      <w:b/>
                      <w:bCs/>
                      <w:color w:val="auto"/>
                      <w:sz w:val="21"/>
                      <w:szCs w:val="21"/>
                      <w:lang w:bidi="ar"/>
                    </w:rPr>
                  </w:pPr>
                  <w:r>
                    <w:rPr>
                      <w:rFonts w:ascii="Times New Roman" w:hAnsi="Times New Roman" w:cs="Times New Roman"/>
                      <w:b/>
                      <w:bCs/>
                      <w:color w:val="auto"/>
                      <w:sz w:val="21"/>
                      <w:szCs w:val="21"/>
                      <w:lang w:bidi="ar"/>
                    </w:rPr>
                    <w:t>符合性</w:t>
                  </w:r>
                </w:p>
              </w:tc>
            </w:tr>
            <w:tr w14:paraId="237C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3E2EC000">
                  <w:pPr>
                    <w:widowControl/>
                    <w:spacing w:line="240" w:lineRule="auto"/>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1</w:t>
                  </w:r>
                </w:p>
              </w:tc>
              <w:tc>
                <w:tcPr>
                  <w:tcW w:w="2166" w:type="pct"/>
                  <w:vAlign w:val="center"/>
                </w:tcPr>
                <w:p w14:paraId="62ED09F1">
                  <w:pPr>
                    <w:widowControl/>
                    <w:spacing w:line="240" w:lineRule="auto"/>
                    <w:jc w:val="center"/>
                    <w:rPr>
                      <w:rFonts w:ascii="Times New Roman" w:hAnsi="Times New Roman" w:cs="Times New Roman"/>
                      <w:color w:val="auto"/>
                      <w:sz w:val="21"/>
                      <w:szCs w:val="21"/>
                      <w:lang w:bidi="ar"/>
                    </w:rPr>
                  </w:pPr>
                  <w:r>
                    <w:rPr>
                      <w:rFonts w:hint="eastAsia" w:ascii="Times New Roman" w:hAnsi="Times New Roman" w:cs="Times New Roman"/>
                      <w:color w:val="auto"/>
                      <w:sz w:val="21"/>
                      <w:szCs w:val="21"/>
                      <w:lang w:bidi="ar"/>
                    </w:rPr>
                    <w:t>充分考虑居住区域环境要求，进一步调整开发区空间布局、组团结构，必要时设置生态隔离措施，减轻和避免各功能区之间，项目之间的相互影响</w:t>
                  </w:r>
                </w:p>
              </w:tc>
              <w:tc>
                <w:tcPr>
                  <w:tcW w:w="1582" w:type="pct"/>
                  <w:vAlign w:val="center"/>
                </w:tcPr>
                <w:p w14:paraId="3D270A07">
                  <w:pPr>
                    <w:widowControl/>
                    <w:spacing w:line="240" w:lineRule="auto"/>
                    <w:jc w:val="center"/>
                    <w:rPr>
                      <w:rFonts w:ascii="Times New Roman" w:hAnsi="Times New Roman" w:cs="Times New Roman"/>
                      <w:color w:val="auto"/>
                      <w:sz w:val="21"/>
                      <w:szCs w:val="21"/>
                      <w:lang w:bidi="ar"/>
                    </w:rPr>
                  </w:pPr>
                  <w:r>
                    <w:rPr>
                      <w:rFonts w:hint="eastAsia" w:ascii="Times New Roman" w:hAnsi="Times New Roman" w:cs="Times New Roman"/>
                      <w:color w:val="auto"/>
                      <w:sz w:val="21"/>
                      <w:szCs w:val="21"/>
                      <w:lang w:bidi="ar"/>
                    </w:rPr>
                    <w:t>本项目属于</w:t>
                  </w:r>
                  <w:r>
                    <w:rPr>
                      <w:rFonts w:hint="eastAsia" w:cs="Times New Roman"/>
                      <w:color w:val="auto"/>
                      <w:sz w:val="21"/>
                      <w:szCs w:val="21"/>
                      <w:lang w:eastAsia="zh-CN" w:bidi="ar"/>
                    </w:rPr>
                    <w:t>C2035 木制容器制造</w:t>
                  </w:r>
                  <w:r>
                    <w:rPr>
                      <w:rFonts w:hint="eastAsia" w:ascii="Times New Roman" w:hAnsi="Times New Roman" w:cs="Times New Roman"/>
                      <w:color w:val="auto"/>
                      <w:sz w:val="21"/>
                      <w:szCs w:val="21"/>
                    </w:rPr>
                    <w:t>，</w:t>
                  </w:r>
                  <w:r>
                    <w:rPr>
                      <w:rFonts w:hint="eastAsia" w:cs="Times New Roman"/>
                      <w:color w:val="auto"/>
                      <w:sz w:val="21"/>
                      <w:szCs w:val="21"/>
                      <w:lang w:val="en-US" w:eastAsia="zh-CN"/>
                    </w:rPr>
                    <w:t>周边500m范围内无居民区，</w:t>
                  </w:r>
                  <w:r>
                    <w:rPr>
                      <w:rFonts w:hint="eastAsia" w:ascii="Times New Roman" w:hAnsi="Times New Roman" w:cs="Times New Roman"/>
                      <w:color w:val="auto"/>
                      <w:sz w:val="21"/>
                      <w:szCs w:val="21"/>
                      <w:lang w:bidi="ar"/>
                    </w:rPr>
                    <w:t>不会对功能区和其他企业造成影响</w:t>
                  </w:r>
                </w:p>
              </w:tc>
              <w:tc>
                <w:tcPr>
                  <w:tcW w:w="702" w:type="pct"/>
                  <w:vAlign w:val="center"/>
                </w:tcPr>
                <w:p w14:paraId="0FF4F256">
                  <w:pPr>
                    <w:widowControl/>
                    <w:spacing w:line="240" w:lineRule="auto"/>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符合</w:t>
                  </w:r>
                </w:p>
              </w:tc>
            </w:tr>
            <w:tr w14:paraId="5B2E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2436F392">
                  <w:pPr>
                    <w:widowControl/>
                    <w:spacing w:line="240" w:lineRule="auto"/>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2</w:t>
                  </w:r>
                </w:p>
              </w:tc>
              <w:tc>
                <w:tcPr>
                  <w:tcW w:w="2166" w:type="pct"/>
                  <w:vAlign w:val="center"/>
                </w:tcPr>
                <w:p w14:paraId="0272A24D">
                  <w:pPr>
                    <w:widowControl/>
                    <w:spacing w:line="240" w:lineRule="auto"/>
                    <w:jc w:val="center"/>
                    <w:rPr>
                      <w:rFonts w:ascii="Times New Roman" w:hAnsi="Times New Roman" w:cs="Times New Roman"/>
                      <w:color w:val="auto"/>
                      <w:sz w:val="21"/>
                      <w:szCs w:val="21"/>
                      <w:lang w:bidi="ar"/>
                    </w:rPr>
                  </w:pPr>
                  <w:r>
                    <w:rPr>
                      <w:rFonts w:hint="eastAsia" w:ascii="Times New Roman" w:hAnsi="Times New Roman" w:cs="Times New Roman"/>
                      <w:color w:val="auto"/>
                      <w:sz w:val="21"/>
                      <w:szCs w:val="21"/>
                      <w:lang w:bidi="ar"/>
                    </w:rPr>
                    <w:t>实行最严格的水资源管理制度。对开发区实行水资源总量控制管理制度，制定并实施开发区节水和中水利用规划，积极推进企业内，企业间水资源的梯级利用和企业用水总量控制，认真研究分质供水并适时实施，切实控制高耗水、高耗能，污水排放量大的项目建设；逐步取缔企业自备水井，新建项目一律不得开采地下水</w:t>
                  </w:r>
                </w:p>
              </w:tc>
              <w:tc>
                <w:tcPr>
                  <w:tcW w:w="1582" w:type="pct"/>
                  <w:vAlign w:val="center"/>
                </w:tcPr>
                <w:p w14:paraId="6779049A">
                  <w:pPr>
                    <w:widowControl/>
                    <w:spacing w:line="240" w:lineRule="auto"/>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本项目用水来自</w:t>
                  </w:r>
                  <w:r>
                    <w:rPr>
                      <w:rFonts w:hint="eastAsia" w:ascii="Times New Roman" w:hAnsi="Times New Roman" w:cs="Times New Roman"/>
                      <w:color w:val="auto"/>
                      <w:sz w:val="21"/>
                      <w:szCs w:val="21"/>
                      <w:lang w:bidi="ar"/>
                    </w:rPr>
                    <w:t>开发区</w:t>
                  </w:r>
                  <w:r>
                    <w:rPr>
                      <w:rFonts w:ascii="Times New Roman" w:hAnsi="Times New Roman" w:cs="Times New Roman"/>
                      <w:color w:val="auto"/>
                      <w:sz w:val="21"/>
                      <w:szCs w:val="21"/>
                      <w:lang w:bidi="ar"/>
                    </w:rPr>
                    <w:t>自来水管网，不自建备用水井，项目不属于国家明令禁止的项目，项目不属于高耗能、污水排放量大的项目，项目产生的</w:t>
                  </w:r>
                  <w:r>
                    <w:rPr>
                      <w:rFonts w:hint="eastAsia" w:ascii="Times New Roman" w:hAnsi="Times New Roman" w:cs="Times New Roman"/>
                      <w:color w:val="auto"/>
                      <w:sz w:val="21"/>
                      <w:szCs w:val="21"/>
                      <w:lang w:bidi="ar"/>
                    </w:rPr>
                    <w:t>生活污水经</w:t>
                  </w:r>
                  <w:r>
                    <w:rPr>
                      <w:rFonts w:hint="eastAsia" w:ascii="Times New Roman" w:hAnsi="Times New Roman" w:cs="Times New Roman"/>
                      <w:color w:val="auto"/>
                      <w:sz w:val="21"/>
                      <w:szCs w:val="21"/>
                      <w:lang w:val="en-US" w:eastAsia="zh-CN" w:bidi="ar"/>
                    </w:rPr>
                    <w:t>园区</w:t>
                  </w:r>
                  <w:r>
                    <w:rPr>
                      <w:rFonts w:hint="eastAsia" w:ascii="Times New Roman" w:hAnsi="Times New Roman" w:cs="Times New Roman"/>
                      <w:color w:val="auto"/>
                      <w:sz w:val="21"/>
                      <w:szCs w:val="21"/>
                      <w:lang w:bidi="ar"/>
                    </w:rPr>
                    <w:t>化粪池</w:t>
                  </w:r>
                  <w:r>
                    <w:rPr>
                      <w:rFonts w:ascii="Times New Roman" w:hAnsi="Times New Roman" w:cs="Times New Roman"/>
                      <w:color w:val="auto"/>
                      <w:sz w:val="21"/>
                      <w:szCs w:val="21"/>
                      <w:lang w:bidi="ar"/>
                    </w:rPr>
                    <w:t>处理后进入泗县工业污水处理厂进一步处理</w:t>
                  </w:r>
                </w:p>
              </w:tc>
              <w:tc>
                <w:tcPr>
                  <w:tcW w:w="702" w:type="pct"/>
                  <w:vAlign w:val="center"/>
                </w:tcPr>
                <w:p w14:paraId="40FC87AB">
                  <w:pPr>
                    <w:widowControl/>
                    <w:spacing w:line="240" w:lineRule="auto"/>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符合</w:t>
                  </w:r>
                </w:p>
              </w:tc>
            </w:tr>
            <w:tr w14:paraId="711F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5412A659">
                  <w:pPr>
                    <w:widowControl/>
                    <w:spacing w:line="240" w:lineRule="auto"/>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3</w:t>
                  </w:r>
                </w:p>
              </w:tc>
              <w:tc>
                <w:tcPr>
                  <w:tcW w:w="2166" w:type="pct"/>
                  <w:vAlign w:val="center"/>
                </w:tcPr>
                <w:p w14:paraId="76B774D2">
                  <w:pPr>
                    <w:widowControl/>
                    <w:spacing w:line="240" w:lineRule="auto"/>
                    <w:jc w:val="center"/>
                    <w:rPr>
                      <w:rFonts w:ascii="Times New Roman" w:hAnsi="Times New Roman" w:cs="Times New Roman"/>
                      <w:color w:val="auto"/>
                      <w:sz w:val="21"/>
                      <w:szCs w:val="21"/>
                      <w:lang w:bidi="ar"/>
                    </w:rPr>
                  </w:pPr>
                  <w:r>
                    <w:rPr>
                      <w:rFonts w:hint="eastAsia" w:ascii="Times New Roman" w:hAnsi="Times New Roman" w:cs="Times New Roman"/>
                      <w:color w:val="auto"/>
                      <w:sz w:val="21"/>
                      <w:szCs w:val="21"/>
                      <w:lang w:bidi="ar"/>
                    </w:rPr>
                    <w:t>充分考虑与区域产业布局的互补，</w:t>
                  </w:r>
                  <w:r>
                    <w:rPr>
                      <w:rFonts w:ascii="Times New Roman" w:hAnsi="Times New Roman" w:cs="Times New Roman"/>
                      <w:color w:val="auto"/>
                      <w:sz w:val="21"/>
                      <w:szCs w:val="21"/>
                      <w:lang w:bidi="ar"/>
                    </w:rPr>
                    <w:t>进一步优化发展重点，严格控制非主导产业项目入区。</w:t>
                  </w:r>
                  <w:r>
                    <w:rPr>
                      <w:rFonts w:hint="eastAsia" w:ascii="Times New Roman" w:hAnsi="Times New Roman" w:cs="Times New Roman"/>
                      <w:color w:val="auto"/>
                      <w:sz w:val="21"/>
                      <w:szCs w:val="21"/>
                      <w:lang w:bidi="ar"/>
                    </w:rPr>
                    <w:t>入区项目要采用先进的生产工艺和装备，采用高水平的污染治理措施。清洁生产水平现阶段要按国内先进水平要求，并逐步提高，最大限度控制开发区污染物排放量和排放强度。建立并实施不符合规划、产业准入和环保准入条件项目的退出机制。开发区不得新建含印染、制革工艺的项目，审慎研究并合理控制屠宰项目的规模</w:t>
                  </w:r>
                </w:p>
              </w:tc>
              <w:tc>
                <w:tcPr>
                  <w:tcW w:w="1582" w:type="pct"/>
                  <w:vAlign w:val="center"/>
                </w:tcPr>
                <w:p w14:paraId="4CEA78DA">
                  <w:pPr>
                    <w:widowControl/>
                    <w:spacing w:line="240" w:lineRule="auto"/>
                    <w:jc w:val="center"/>
                    <w:rPr>
                      <w:rFonts w:ascii="Times New Roman" w:hAnsi="Times New Roman" w:cs="Times New Roman"/>
                      <w:color w:val="auto"/>
                      <w:sz w:val="21"/>
                      <w:szCs w:val="21"/>
                      <w:lang w:bidi="ar"/>
                    </w:rPr>
                  </w:pPr>
                  <w:r>
                    <w:rPr>
                      <w:rFonts w:ascii="Times New Roman" w:hAnsi="Times New Roman" w:cs="Times New Roman"/>
                      <w:color w:val="auto"/>
                      <w:kern w:val="0"/>
                      <w:sz w:val="21"/>
                      <w:szCs w:val="21"/>
                    </w:rPr>
                    <w:t>本项目</w:t>
                  </w:r>
                  <w:r>
                    <w:rPr>
                      <w:rFonts w:hint="eastAsia" w:ascii="Times New Roman" w:hAnsi="Times New Roman" w:cs="Times New Roman"/>
                      <w:color w:val="auto"/>
                      <w:kern w:val="0"/>
                      <w:sz w:val="21"/>
                      <w:szCs w:val="21"/>
                    </w:rPr>
                    <w:t>为</w:t>
                  </w:r>
                  <w:r>
                    <w:rPr>
                      <w:rFonts w:hint="eastAsia" w:cs="Times New Roman"/>
                      <w:color w:val="auto"/>
                      <w:kern w:val="0"/>
                      <w:sz w:val="21"/>
                      <w:szCs w:val="21"/>
                      <w:lang w:val="en-US" w:eastAsia="zh-CN"/>
                    </w:rPr>
                    <w:t>行业类别为</w:t>
                  </w:r>
                  <w:r>
                    <w:rPr>
                      <w:rFonts w:hint="eastAsia" w:cs="Times New Roman"/>
                      <w:color w:val="auto"/>
                      <w:kern w:val="0"/>
                      <w:sz w:val="21"/>
                      <w:szCs w:val="21"/>
                      <w:lang w:eastAsia="zh-CN"/>
                    </w:rPr>
                    <w:t>C2035 木制容器制造</w:t>
                  </w:r>
                  <w:r>
                    <w:rPr>
                      <w:rFonts w:hint="eastAsia" w:ascii="Times New Roman" w:hAnsi="Times New Roman" w:cs="Times New Roman"/>
                      <w:color w:val="auto"/>
                      <w:kern w:val="0"/>
                      <w:sz w:val="21"/>
                      <w:szCs w:val="21"/>
                    </w:rPr>
                    <w:t>，本项目采用的生产工艺不属于高耗水工艺，产生的污染物采取合理的处理措施处理后均可达标排放</w:t>
                  </w:r>
                </w:p>
              </w:tc>
              <w:tc>
                <w:tcPr>
                  <w:tcW w:w="702" w:type="pct"/>
                  <w:vAlign w:val="center"/>
                </w:tcPr>
                <w:p w14:paraId="72F2F2FC">
                  <w:pPr>
                    <w:widowControl/>
                    <w:spacing w:line="240" w:lineRule="auto"/>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符合</w:t>
                  </w:r>
                </w:p>
              </w:tc>
            </w:tr>
          </w:tbl>
          <w:p w14:paraId="0F45DDAF">
            <w:pPr>
              <w:autoSpaceDE w:val="0"/>
              <w:autoSpaceDN w:val="0"/>
              <w:adjustRightInd w:val="0"/>
              <w:snapToGrid w:val="0"/>
              <w:spacing w:line="360" w:lineRule="auto"/>
              <w:ind w:firstLine="480" w:firstLineChars="200"/>
              <w:rPr>
                <w:rFonts w:hint="eastAsia"/>
                <w:kern w:val="0"/>
              </w:rPr>
            </w:pPr>
            <w:r>
              <w:rPr>
                <w:rFonts w:hint="eastAsia"/>
                <w:kern w:val="0"/>
                <w:lang w:eastAsia="zh-CN"/>
              </w:rPr>
              <w:t>（</w:t>
            </w:r>
            <w:r>
              <w:rPr>
                <w:rFonts w:hint="eastAsia"/>
                <w:kern w:val="0"/>
                <w:lang w:val="en-US" w:eastAsia="zh-CN"/>
              </w:rPr>
              <w:t>2</w:t>
            </w:r>
            <w:r>
              <w:rPr>
                <w:rFonts w:hint="eastAsia"/>
                <w:kern w:val="0"/>
                <w:lang w:eastAsia="zh-CN"/>
              </w:rPr>
              <w:t>）</w:t>
            </w:r>
            <w:r>
              <w:rPr>
                <w:rFonts w:hint="eastAsia"/>
                <w:kern w:val="0"/>
                <w:lang w:val="en-US" w:eastAsia="zh-CN"/>
              </w:rPr>
              <w:t>本项目与</w:t>
            </w:r>
            <w:r>
              <w:rPr>
                <w:rFonts w:hint="eastAsia"/>
                <w:kern w:val="0"/>
              </w:rPr>
              <w:t>《宿州市生态环境局关于安徽泗县经济开发区总体发展规划影响跟踪评价报告书的审查意见》（宿环函【2020】101号）</w:t>
            </w:r>
            <w:r>
              <w:rPr>
                <w:rFonts w:hint="eastAsia"/>
                <w:kern w:val="0"/>
                <w:lang w:val="en-US" w:eastAsia="zh-CN"/>
              </w:rPr>
              <w:t>，</w:t>
            </w:r>
            <w:r>
              <w:rPr>
                <w:rFonts w:hint="eastAsia"/>
                <w:kern w:val="0"/>
              </w:rPr>
              <w:t>本项目与泗县经济开发区规划环境影响跟踪评价报告书的审查意见相符性分析见下表所示。</w:t>
            </w:r>
          </w:p>
          <w:p w14:paraId="01FF5A50">
            <w:pPr>
              <w:autoSpaceDE w:val="0"/>
              <w:autoSpaceDN w:val="0"/>
              <w:adjustRightInd w:val="0"/>
              <w:snapToGrid w:val="0"/>
              <w:spacing w:line="240" w:lineRule="auto"/>
              <w:jc w:val="center"/>
              <w:rPr>
                <w:rFonts w:hint="eastAsia"/>
                <w:b/>
                <w:bCs/>
                <w:kern w:val="0"/>
              </w:rPr>
            </w:pPr>
            <w:r>
              <w:rPr>
                <w:rFonts w:hint="eastAsia"/>
                <w:b/>
                <w:bCs/>
                <w:kern w:val="0"/>
              </w:rPr>
              <w:t>表1</w:t>
            </w:r>
            <w:r>
              <w:rPr>
                <w:rFonts w:hint="eastAsia"/>
                <w:b/>
                <w:bCs/>
                <w:kern w:val="0"/>
                <w:lang w:val="en-US" w:eastAsia="zh-CN"/>
              </w:rPr>
              <w:t>-2</w:t>
            </w:r>
            <w:r>
              <w:rPr>
                <w:rFonts w:hint="eastAsia"/>
                <w:b/>
                <w:bCs/>
                <w:kern w:val="0"/>
              </w:rPr>
              <w:t xml:space="preserve">  项目与规划环评审查意见符合性分析</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943"/>
              <w:gridCol w:w="1751"/>
              <w:gridCol w:w="919"/>
            </w:tblGrid>
            <w:tr w14:paraId="0A65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61" w:type="dxa"/>
                  <w:vAlign w:val="center"/>
                </w:tcPr>
                <w:p w14:paraId="3D48E763">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序号</w:t>
                  </w:r>
                </w:p>
              </w:tc>
              <w:tc>
                <w:tcPr>
                  <w:tcW w:w="3061" w:type="dxa"/>
                  <w:vAlign w:val="center"/>
                </w:tcPr>
                <w:p w14:paraId="19AAE62B">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审查意见</w:t>
                  </w:r>
                </w:p>
              </w:tc>
              <w:tc>
                <w:tcPr>
                  <w:tcW w:w="1803" w:type="dxa"/>
                  <w:vAlign w:val="center"/>
                </w:tcPr>
                <w:p w14:paraId="25D3EC47">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本项目</w:t>
                  </w:r>
                </w:p>
              </w:tc>
              <w:tc>
                <w:tcPr>
                  <w:tcW w:w="945" w:type="dxa"/>
                  <w:vAlign w:val="center"/>
                </w:tcPr>
                <w:p w14:paraId="4FB10481">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符合性</w:t>
                  </w:r>
                </w:p>
              </w:tc>
            </w:tr>
            <w:tr w14:paraId="40FC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15FAA2FD">
                  <w:pPr>
                    <w:autoSpaceDE w:val="0"/>
                    <w:autoSpaceDN w:val="0"/>
                    <w:adjustRightInd w:val="0"/>
                    <w:snapToGrid w:val="0"/>
                    <w:spacing w:line="240" w:lineRule="auto"/>
                    <w:jc w:val="center"/>
                    <w:rPr>
                      <w:rFonts w:hint="eastAsia"/>
                      <w:kern w:val="0"/>
                      <w:sz w:val="21"/>
                      <w:szCs w:val="21"/>
                    </w:rPr>
                  </w:pPr>
                  <w:r>
                    <w:rPr>
                      <w:rFonts w:hint="eastAsia"/>
                      <w:kern w:val="0"/>
                      <w:sz w:val="21"/>
                      <w:szCs w:val="21"/>
                    </w:rPr>
                    <w:t>1</w:t>
                  </w:r>
                </w:p>
              </w:tc>
              <w:tc>
                <w:tcPr>
                  <w:tcW w:w="3061" w:type="dxa"/>
                  <w:vAlign w:val="center"/>
                </w:tcPr>
                <w:p w14:paraId="637EAC78">
                  <w:pPr>
                    <w:autoSpaceDE w:val="0"/>
                    <w:autoSpaceDN w:val="0"/>
                    <w:adjustRightInd w:val="0"/>
                    <w:snapToGrid w:val="0"/>
                    <w:spacing w:line="240" w:lineRule="auto"/>
                    <w:jc w:val="center"/>
                    <w:rPr>
                      <w:rFonts w:hint="eastAsia"/>
                      <w:kern w:val="0"/>
                      <w:sz w:val="21"/>
                      <w:szCs w:val="21"/>
                    </w:rPr>
                  </w:pPr>
                  <w:r>
                    <w:rPr>
                      <w:rFonts w:hint="eastAsia"/>
                      <w:kern w:val="0"/>
                      <w:sz w:val="21"/>
                      <w:szCs w:val="21"/>
                    </w:rPr>
                    <w:t>严格项目行业准入和资源环境准入。禁止负面清单中行业企业入驻；新入区项目应按照规划功能布局入驻。优化调整开发区空间布局、组团结构，设置生态隔离措施，减轻和避免各功能区之间、项目之间的相互影响。</w:t>
                  </w:r>
                </w:p>
              </w:tc>
              <w:tc>
                <w:tcPr>
                  <w:tcW w:w="1803" w:type="dxa"/>
                  <w:vAlign w:val="center"/>
                </w:tcPr>
                <w:p w14:paraId="72707279">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本项目位于</w:t>
                  </w:r>
                  <w:r>
                    <w:rPr>
                      <w:rFonts w:hint="eastAsia"/>
                      <w:kern w:val="0"/>
                      <w:sz w:val="21"/>
                      <w:szCs w:val="21"/>
                      <w:lang w:eastAsia="zh-CN"/>
                    </w:rPr>
                    <w:t>安徽省宿州市泗县经济开发区赤山路和南柳路交汇口西北角</w:t>
                  </w:r>
                  <w:r>
                    <w:rPr>
                      <w:rFonts w:hint="eastAsia"/>
                      <w:kern w:val="0"/>
                      <w:sz w:val="21"/>
                      <w:szCs w:val="21"/>
                    </w:rPr>
                    <w:t>，</w:t>
                  </w:r>
                  <w:r>
                    <w:rPr>
                      <w:rFonts w:hint="eastAsia"/>
                      <w:kern w:val="0"/>
                      <w:sz w:val="21"/>
                      <w:szCs w:val="21"/>
                      <w:lang w:val="en-US" w:eastAsia="zh-CN"/>
                    </w:rPr>
                    <w:t>行业类别</w:t>
                  </w:r>
                  <w:r>
                    <w:rPr>
                      <w:rFonts w:hint="eastAsia"/>
                      <w:kern w:val="0"/>
                      <w:sz w:val="21"/>
                      <w:szCs w:val="21"/>
                    </w:rPr>
                    <w:t>属于</w:t>
                  </w:r>
                  <w:r>
                    <w:rPr>
                      <w:rFonts w:hint="eastAsia"/>
                      <w:kern w:val="0"/>
                      <w:sz w:val="21"/>
                      <w:szCs w:val="21"/>
                      <w:lang w:eastAsia="zh-CN"/>
                    </w:rPr>
                    <w:t>C2035 木制容器制造</w:t>
                  </w:r>
                  <w:r>
                    <w:rPr>
                      <w:rFonts w:hint="eastAsia"/>
                      <w:kern w:val="0"/>
                      <w:sz w:val="21"/>
                      <w:szCs w:val="21"/>
                    </w:rPr>
                    <w:t>，</w:t>
                  </w:r>
                  <w:r>
                    <w:rPr>
                      <w:rFonts w:hint="eastAsia"/>
                      <w:kern w:val="0"/>
                      <w:sz w:val="21"/>
                      <w:szCs w:val="21"/>
                      <w:lang w:val="en-US" w:eastAsia="zh-CN"/>
                    </w:rPr>
                    <w:t>不属于负面清单中行业企业</w:t>
                  </w:r>
                </w:p>
              </w:tc>
              <w:tc>
                <w:tcPr>
                  <w:tcW w:w="945" w:type="dxa"/>
                  <w:vAlign w:val="center"/>
                </w:tcPr>
                <w:p w14:paraId="1E53BB68">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1945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256B272C">
                  <w:pPr>
                    <w:autoSpaceDE w:val="0"/>
                    <w:autoSpaceDN w:val="0"/>
                    <w:adjustRightInd w:val="0"/>
                    <w:snapToGrid w:val="0"/>
                    <w:spacing w:line="240" w:lineRule="auto"/>
                    <w:jc w:val="center"/>
                    <w:rPr>
                      <w:rFonts w:hint="eastAsia"/>
                      <w:kern w:val="0"/>
                      <w:sz w:val="21"/>
                      <w:szCs w:val="21"/>
                    </w:rPr>
                  </w:pPr>
                  <w:r>
                    <w:rPr>
                      <w:rFonts w:hint="eastAsia"/>
                      <w:kern w:val="0"/>
                      <w:sz w:val="21"/>
                      <w:szCs w:val="21"/>
                    </w:rPr>
                    <w:t>2</w:t>
                  </w:r>
                </w:p>
              </w:tc>
              <w:tc>
                <w:tcPr>
                  <w:tcW w:w="3061" w:type="dxa"/>
                  <w:vAlign w:val="center"/>
                </w:tcPr>
                <w:p w14:paraId="22E8AFAA">
                  <w:pPr>
                    <w:autoSpaceDE w:val="0"/>
                    <w:autoSpaceDN w:val="0"/>
                    <w:adjustRightInd w:val="0"/>
                    <w:snapToGrid w:val="0"/>
                    <w:spacing w:line="240" w:lineRule="auto"/>
                    <w:jc w:val="center"/>
                    <w:rPr>
                      <w:rFonts w:hint="eastAsia"/>
                      <w:kern w:val="0"/>
                      <w:sz w:val="21"/>
                      <w:szCs w:val="21"/>
                    </w:rPr>
                  </w:pPr>
                  <w:r>
                    <w:rPr>
                      <w:rFonts w:hint="eastAsia"/>
                      <w:kern w:val="0"/>
                      <w:sz w:val="21"/>
                      <w:szCs w:val="21"/>
                    </w:rPr>
                    <w:t>强化水资源管理，积极推进企业内、企业间水资源梯级利用和企业用水总量控制，切实提高水资源利用率。严禁建设国家明令禁止的项目，严格控制高耗水、高耗能、污水排放量大的项目建设；已建和拟入区建设项目应严格执行水环境保护相关标准和要求。开发区内企业不得自行开采地下水用于工业生产。排查现有企业自备水井的取水合法性；加快推进雨污管网、中水回用和集中供热等基础设施建设。强化园区污水收集，做好污水处理厂的运营和管理，确保稳定达标排放</w:t>
                  </w:r>
                </w:p>
              </w:tc>
              <w:tc>
                <w:tcPr>
                  <w:tcW w:w="1803" w:type="dxa"/>
                  <w:vAlign w:val="center"/>
                </w:tcPr>
                <w:p w14:paraId="66B48BDF">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本项目用水来自园区自来水管网，不自建备用水井，项目不属于国家明令禁止的项目，项目不属于高耗能、污水排放量大的项目，项目产生的废水经处理后进入泗县工业污水处理厂进一步处理</w:t>
                  </w:r>
                </w:p>
              </w:tc>
              <w:tc>
                <w:tcPr>
                  <w:tcW w:w="945" w:type="dxa"/>
                  <w:vAlign w:val="center"/>
                </w:tcPr>
                <w:p w14:paraId="0A0B0A21">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1A31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0D538CC0">
                  <w:pPr>
                    <w:autoSpaceDE w:val="0"/>
                    <w:autoSpaceDN w:val="0"/>
                    <w:adjustRightInd w:val="0"/>
                    <w:snapToGrid w:val="0"/>
                    <w:spacing w:line="240" w:lineRule="auto"/>
                    <w:jc w:val="center"/>
                    <w:rPr>
                      <w:rFonts w:hint="eastAsia"/>
                      <w:kern w:val="0"/>
                      <w:sz w:val="21"/>
                      <w:szCs w:val="21"/>
                    </w:rPr>
                  </w:pPr>
                  <w:r>
                    <w:rPr>
                      <w:rFonts w:hint="eastAsia"/>
                      <w:kern w:val="0"/>
                      <w:sz w:val="21"/>
                      <w:szCs w:val="21"/>
                    </w:rPr>
                    <w:t>3</w:t>
                  </w:r>
                </w:p>
              </w:tc>
              <w:tc>
                <w:tcPr>
                  <w:tcW w:w="3061" w:type="dxa"/>
                  <w:vAlign w:val="center"/>
                </w:tcPr>
                <w:p w14:paraId="22E2DADE">
                  <w:pPr>
                    <w:autoSpaceDE w:val="0"/>
                    <w:autoSpaceDN w:val="0"/>
                    <w:adjustRightInd w:val="0"/>
                    <w:snapToGrid w:val="0"/>
                    <w:spacing w:line="240" w:lineRule="auto"/>
                    <w:jc w:val="center"/>
                    <w:rPr>
                      <w:rFonts w:hint="eastAsia"/>
                      <w:kern w:val="0"/>
                      <w:sz w:val="21"/>
                      <w:szCs w:val="21"/>
                    </w:rPr>
                  </w:pPr>
                  <w:r>
                    <w:rPr>
                      <w:rFonts w:hint="eastAsia"/>
                      <w:kern w:val="0"/>
                      <w:sz w:val="21"/>
                      <w:szCs w:val="21"/>
                    </w:rPr>
                    <w:t>进一步优化发展重点，严格控制非主导产业项目入区。对不符合开发区产业定位和环保要求以及容易引起突发性环境风险的项目应禁止入区建设。建立并实施不符合规划、产业准入和环保准入条件的项目退出机制。大力推进园区产业升级改造工程，通过关、停、并、转、迁，加速转型或淘汰不符合工业用地性质、产业定位及环保要求的企业</w:t>
                  </w:r>
                </w:p>
              </w:tc>
              <w:tc>
                <w:tcPr>
                  <w:tcW w:w="1803" w:type="dxa"/>
                  <w:vAlign w:val="center"/>
                </w:tcPr>
                <w:p w14:paraId="7C45E12C">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本项目属于园区主导产业项目，项目属于符合工业用地性质、产业定位及环保要求的企业</w:t>
                  </w:r>
                </w:p>
              </w:tc>
              <w:tc>
                <w:tcPr>
                  <w:tcW w:w="945" w:type="dxa"/>
                  <w:vAlign w:val="center"/>
                </w:tcPr>
                <w:p w14:paraId="51F12A6A">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0C41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49E26816">
                  <w:pPr>
                    <w:autoSpaceDE w:val="0"/>
                    <w:autoSpaceDN w:val="0"/>
                    <w:adjustRightInd w:val="0"/>
                    <w:snapToGrid w:val="0"/>
                    <w:spacing w:line="240" w:lineRule="auto"/>
                    <w:jc w:val="center"/>
                    <w:rPr>
                      <w:rFonts w:hint="eastAsia"/>
                      <w:kern w:val="0"/>
                      <w:sz w:val="21"/>
                      <w:szCs w:val="21"/>
                    </w:rPr>
                  </w:pPr>
                  <w:r>
                    <w:rPr>
                      <w:rFonts w:hint="eastAsia"/>
                      <w:kern w:val="0"/>
                      <w:sz w:val="21"/>
                      <w:szCs w:val="21"/>
                    </w:rPr>
                    <w:t>4</w:t>
                  </w:r>
                </w:p>
              </w:tc>
              <w:tc>
                <w:tcPr>
                  <w:tcW w:w="3061" w:type="dxa"/>
                  <w:vAlign w:val="center"/>
                </w:tcPr>
                <w:p w14:paraId="1E94576E">
                  <w:pPr>
                    <w:autoSpaceDE w:val="0"/>
                    <w:autoSpaceDN w:val="0"/>
                    <w:adjustRightInd w:val="0"/>
                    <w:snapToGrid w:val="0"/>
                    <w:spacing w:line="240" w:lineRule="auto"/>
                    <w:jc w:val="center"/>
                    <w:rPr>
                      <w:rFonts w:hint="eastAsia"/>
                      <w:kern w:val="0"/>
                      <w:sz w:val="21"/>
                      <w:szCs w:val="21"/>
                    </w:rPr>
                  </w:pPr>
                  <w:r>
                    <w:rPr>
                      <w:rFonts w:hint="eastAsia"/>
                      <w:kern w:val="0"/>
                      <w:sz w:val="21"/>
                      <w:szCs w:val="21"/>
                    </w:rPr>
                    <w:t>加快实施产业结构调整与升级，夯实主导产业定位，逐步实现产业转型；建立产业引入清单管理，严格执行环境准入制度。引进项目的生产工艺、设备、污染治理技术及单位产品污染物排放和资源利用率均需达到同行业国内先进水平。</w:t>
                  </w:r>
                </w:p>
              </w:tc>
              <w:tc>
                <w:tcPr>
                  <w:tcW w:w="1803" w:type="dxa"/>
                  <w:vAlign w:val="center"/>
                </w:tcPr>
                <w:p w14:paraId="1980D6DC">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本项目使用的生产工艺、设备、污染治理技术及单位产品污染物排放标准和资源利用率均可达到同行业国内先进水平</w:t>
                  </w:r>
                </w:p>
              </w:tc>
              <w:tc>
                <w:tcPr>
                  <w:tcW w:w="945" w:type="dxa"/>
                  <w:vAlign w:val="center"/>
                </w:tcPr>
                <w:p w14:paraId="7A2F4B0F">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7F90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7DCB3E08">
                  <w:pPr>
                    <w:autoSpaceDE w:val="0"/>
                    <w:autoSpaceDN w:val="0"/>
                    <w:adjustRightInd w:val="0"/>
                    <w:snapToGrid w:val="0"/>
                    <w:spacing w:line="240" w:lineRule="auto"/>
                    <w:jc w:val="center"/>
                    <w:rPr>
                      <w:rFonts w:hint="eastAsia"/>
                      <w:kern w:val="0"/>
                      <w:sz w:val="21"/>
                      <w:szCs w:val="21"/>
                    </w:rPr>
                  </w:pPr>
                  <w:r>
                    <w:rPr>
                      <w:rFonts w:hint="eastAsia"/>
                      <w:kern w:val="0"/>
                      <w:sz w:val="21"/>
                      <w:szCs w:val="21"/>
                    </w:rPr>
                    <w:t>5</w:t>
                  </w:r>
                </w:p>
              </w:tc>
              <w:tc>
                <w:tcPr>
                  <w:tcW w:w="3061" w:type="dxa"/>
                  <w:vAlign w:val="center"/>
                </w:tcPr>
                <w:p w14:paraId="657F7FFE">
                  <w:pPr>
                    <w:autoSpaceDE w:val="0"/>
                    <w:autoSpaceDN w:val="0"/>
                    <w:adjustRightInd w:val="0"/>
                    <w:snapToGrid w:val="0"/>
                    <w:spacing w:line="240" w:lineRule="auto"/>
                    <w:jc w:val="center"/>
                    <w:rPr>
                      <w:rFonts w:hint="eastAsia"/>
                      <w:kern w:val="0"/>
                      <w:sz w:val="21"/>
                      <w:szCs w:val="21"/>
                    </w:rPr>
                  </w:pPr>
                  <w:r>
                    <w:rPr>
                      <w:rFonts w:hint="eastAsia"/>
                      <w:kern w:val="0"/>
                      <w:sz w:val="21"/>
                      <w:szCs w:val="21"/>
                    </w:rPr>
                    <w:t>扎实推进节能减排工作。应采取工艺改造、节水管理等措施控制和减少现有企业的资源消耗水平及污染物排放强度。加强挥发性有机物防治，园区现有主要VOCs及异味废气排放企业开展综合治理工作，加强日常监测、监督管理和预防控制</w:t>
                  </w:r>
                </w:p>
              </w:tc>
              <w:tc>
                <w:tcPr>
                  <w:tcW w:w="1803" w:type="dxa"/>
                  <w:vAlign w:val="center"/>
                </w:tcPr>
                <w:p w14:paraId="529B6441">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本项目采用的生产工艺不属于高耗水工艺，项目产生的废气</w:t>
                  </w:r>
                  <w:r>
                    <w:rPr>
                      <w:rFonts w:hint="eastAsia"/>
                      <w:kern w:val="0"/>
                      <w:sz w:val="21"/>
                      <w:szCs w:val="21"/>
                      <w:lang w:val="en-US" w:eastAsia="zh-CN"/>
                    </w:rPr>
                    <w:t>主要为粉尘</w:t>
                  </w:r>
                  <w:r>
                    <w:rPr>
                      <w:rFonts w:hint="eastAsia"/>
                      <w:kern w:val="0"/>
                      <w:sz w:val="21"/>
                      <w:szCs w:val="21"/>
                    </w:rPr>
                    <w:t>，产生的污染物采取合理的处理措施处理后均可达标排放</w:t>
                  </w:r>
                </w:p>
              </w:tc>
              <w:tc>
                <w:tcPr>
                  <w:tcW w:w="945" w:type="dxa"/>
                  <w:vAlign w:val="center"/>
                </w:tcPr>
                <w:p w14:paraId="031A85D2">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r w14:paraId="389D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vAlign w:val="center"/>
                </w:tcPr>
                <w:p w14:paraId="5DD038BD">
                  <w:pPr>
                    <w:autoSpaceDE w:val="0"/>
                    <w:autoSpaceDN w:val="0"/>
                    <w:adjustRightInd w:val="0"/>
                    <w:snapToGrid w:val="0"/>
                    <w:spacing w:line="240" w:lineRule="auto"/>
                    <w:jc w:val="center"/>
                    <w:rPr>
                      <w:rFonts w:hint="eastAsia"/>
                      <w:kern w:val="0"/>
                      <w:sz w:val="21"/>
                      <w:szCs w:val="21"/>
                    </w:rPr>
                  </w:pPr>
                  <w:r>
                    <w:rPr>
                      <w:rFonts w:hint="eastAsia"/>
                      <w:kern w:val="0"/>
                      <w:sz w:val="21"/>
                      <w:szCs w:val="21"/>
                    </w:rPr>
                    <w:t>6</w:t>
                  </w:r>
                </w:p>
              </w:tc>
              <w:tc>
                <w:tcPr>
                  <w:tcW w:w="3061" w:type="dxa"/>
                  <w:vAlign w:val="center"/>
                </w:tcPr>
                <w:p w14:paraId="0850FFF6">
                  <w:pPr>
                    <w:autoSpaceDE w:val="0"/>
                    <w:autoSpaceDN w:val="0"/>
                    <w:adjustRightInd w:val="0"/>
                    <w:snapToGrid w:val="0"/>
                    <w:spacing w:line="240" w:lineRule="auto"/>
                    <w:jc w:val="center"/>
                    <w:rPr>
                      <w:rFonts w:hint="eastAsia"/>
                      <w:kern w:val="0"/>
                      <w:sz w:val="21"/>
                      <w:szCs w:val="21"/>
                    </w:rPr>
                  </w:pPr>
                  <w:r>
                    <w:rPr>
                      <w:rFonts w:hint="eastAsia"/>
                      <w:kern w:val="0"/>
                      <w:sz w:val="21"/>
                      <w:szCs w:val="21"/>
                    </w:rPr>
                    <w:t>严格落实污染物排放总量控制要求，采取有效措施减少粉尘、挥发性有机物、化学需氧量、氨氮、总氮、总磷等污染物的排放量，切实维护区域环境质量和生态功能</w:t>
                  </w:r>
                </w:p>
              </w:tc>
              <w:tc>
                <w:tcPr>
                  <w:tcW w:w="1803" w:type="dxa"/>
                  <w:vAlign w:val="center"/>
                </w:tcPr>
                <w:p w14:paraId="5D7B7F9B">
                  <w:pPr>
                    <w:autoSpaceDE w:val="0"/>
                    <w:autoSpaceDN w:val="0"/>
                    <w:adjustRightInd w:val="0"/>
                    <w:snapToGrid w:val="0"/>
                    <w:spacing w:line="240" w:lineRule="auto"/>
                    <w:jc w:val="center"/>
                    <w:rPr>
                      <w:rFonts w:hint="eastAsia"/>
                      <w:kern w:val="0"/>
                      <w:sz w:val="21"/>
                      <w:szCs w:val="21"/>
                    </w:rPr>
                  </w:pPr>
                  <w:r>
                    <w:rPr>
                      <w:rFonts w:hint="eastAsia"/>
                      <w:kern w:val="0"/>
                      <w:sz w:val="21"/>
                      <w:szCs w:val="21"/>
                    </w:rPr>
                    <w:t>本项目严格落实污染物排放总量控制要求，所产生的污染物均采取了有效的环保措施</w:t>
                  </w:r>
                </w:p>
              </w:tc>
              <w:tc>
                <w:tcPr>
                  <w:tcW w:w="945" w:type="dxa"/>
                  <w:vAlign w:val="center"/>
                </w:tcPr>
                <w:p w14:paraId="642BF4E2">
                  <w:pPr>
                    <w:autoSpaceDE w:val="0"/>
                    <w:autoSpaceDN w:val="0"/>
                    <w:adjustRightInd w:val="0"/>
                    <w:snapToGrid w:val="0"/>
                    <w:spacing w:line="240" w:lineRule="auto"/>
                    <w:jc w:val="center"/>
                    <w:rPr>
                      <w:rFonts w:hint="eastAsia"/>
                      <w:kern w:val="0"/>
                      <w:sz w:val="21"/>
                      <w:szCs w:val="21"/>
                    </w:rPr>
                  </w:pPr>
                  <w:r>
                    <w:rPr>
                      <w:rFonts w:hint="eastAsia"/>
                      <w:kern w:val="0"/>
                      <w:sz w:val="21"/>
                      <w:szCs w:val="21"/>
                    </w:rPr>
                    <w:t>符合</w:t>
                  </w:r>
                </w:p>
              </w:tc>
            </w:tr>
          </w:tbl>
          <w:p w14:paraId="22C89A42">
            <w:pPr>
              <w:widowControl/>
              <w:adjustRightInd w:val="0"/>
              <w:snapToGrid w:val="0"/>
              <w:spacing w:before="120" w:beforeLines="50" w:line="360" w:lineRule="auto"/>
              <w:ind w:firstLine="480" w:firstLineChars="200"/>
              <w:jc w:val="left"/>
              <w:rPr>
                <w:rFonts w:hint="eastAsia" w:ascii="宋体" w:hAnsi="宋体" w:cs="宋体"/>
                <w:b/>
                <w:bCs/>
                <w:kern w:val="0"/>
              </w:rPr>
            </w:pPr>
            <w:r>
              <w:rPr>
                <w:rFonts w:hint="eastAsia"/>
                <w:kern w:val="0"/>
              </w:rPr>
              <w:t>上表分析可知，项目与《安徽省环保厅关于安徽泗县经济开发区总体发展规划环境影响报告书审查意见的函》（皖环函[2014]645号）和《宿州市生态环境局关于安徽泗县经济开发区总体发展规划影响跟踪评价报告书的审查意见》（宿环函[2020]101号）中要求相符。</w:t>
            </w:r>
          </w:p>
        </w:tc>
      </w:tr>
      <w:tr w14:paraId="765A6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2382" w:type="dxa"/>
            <w:vAlign w:val="center"/>
          </w:tcPr>
          <w:p w14:paraId="733AD1FD">
            <w:pPr>
              <w:autoSpaceDE w:val="0"/>
              <w:autoSpaceDN w:val="0"/>
              <w:adjustRightInd w:val="0"/>
              <w:snapToGrid w:val="0"/>
              <w:jc w:val="center"/>
              <w:rPr>
                <w:kern w:val="0"/>
              </w:rPr>
            </w:pPr>
            <w:r>
              <w:rPr>
                <w:kern w:val="0"/>
              </w:rPr>
              <w:t>其他符合性分析</w:t>
            </w:r>
          </w:p>
        </w:tc>
        <w:tc>
          <w:tcPr>
            <w:tcW w:w="6488" w:type="dxa"/>
            <w:gridSpan w:val="3"/>
            <w:vAlign w:val="center"/>
          </w:tcPr>
          <w:p w14:paraId="21E0FFED">
            <w:pPr>
              <w:pStyle w:val="64"/>
              <w:widowControl/>
              <w:adjustRightInd w:val="0"/>
              <w:snapToGrid w:val="0"/>
              <w:spacing w:before="120" w:beforeLines="50" w:line="360" w:lineRule="auto"/>
              <w:ind w:firstLine="0" w:firstLineChars="0"/>
              <w:rPr>
                <w:b/>
                <w:bCs/>
              </w:rPr>
            </w:pPr>
            <w:r>
              <w:rPr>
                <w:rFonts w:hint="eastAsia" w:cs="宋体"/>
                <w:b/>
                <w:bCs/>
              </w:rPr>
              <w:t>1、产业政策符合性分析</w:t>
            </w:r>
          </w:p>
          <w:p w14:paraId="0196944B">
            <w:pPr>
              <w:spacing w:line="360" w:lineRule="auto"/>
              <w:ind w:firstLine="480" w:firstLineChars="200"/>
              <w:rPr>
                <w:rFonts w:cs="宋体"/>
                <w:lang w:bidi="ar"/>
              </w:rPr>
            </w:pPr>
            <w:r>
              <w:rPr>
                <w:rFonts w:hint="eastAsia" w:cs="宋体"/>
                <w:lang w:bidi="ar"/>
              </w:rPr>
              <w:t>根据《产业结构调整指导目录（</w:t>
            </w:r>
            <w:r>
              <w:rPr>
                <w:lang w:bidi="ar"/>
              </w:rPr>
              <w:t>20</w:t>
            </w:r>
            <w:r>
              <w:rPr>
                <w:rFonts w:hint="eastAsia"/>
                <w:lang w:val="en-US" w:eastAsia="zh-CN" w:bidi="ar"/>
              </w:rPr>
              <w:t>24</w:t>
            </w:r>
            <w:r>
              <w:rPr>
                <w:rFonts w:hint="eastAsia" w:cs="宋体"/>
                <w:lang w:bidi="ar"/>
              </w:rPr>
              <w:t>年本）》，本项目不属于鼓励类、限制类和淘汰类，属于允许类项目。</w:t>
            </w:r>
          </w:p>
          <w:p w14:paraId="4023D189">
            <w:pPr>
              <w:spacing w:line="360" w:lineRule="auto"/>
              <w:ind w:firstLine="480" w:firstLineChars="200"/>
            </w:pPr>
            <w:r>
              <w:rPr>
                <w:rFonts w:hint="eastAsia" w:cs="宋体"/>
                <w:lang w:bidi="ar"/>
              </w:rPr>
              <w:t>本项目于</w:t>
            </w:r>
            <w:r>
              <w:rPr>
                <w:lang w:bidi="ar"/>
              </w:rPr>
              <w:t>20</w:t>
            </w:r>
            <w:r>
              <w:rPr>
                <w:rFonts w:hint="eastAsia"/>
                <w:lang w:val="en-US" w:eastAsia="zh-CN" w:bidi="ar"/>
              </w:rPr>
              <w:t>23</w:t>
            </w:r>
            <w:r>
              <w:rPr>
                <w:rFonts w:hint="eastAsia" w:cs="宋体"/>
                <w:lang w:bidi="ar"/>
              </w:rPr>
              <w:t>年</w:t>
            </w:r>
            <w:r>
              <w:rPr>
                <w:rFonts w:hint="eastAsia" w:cs="宋体"/>
                <w:lang w:val="en-US" w:eastAsia="zh-CN" w:bidi="ar"/>
              </w:rPr>
              <w:t>11</w:t>
            </w:r>
            <w:r>
              <w:rPr>
                <w:rFonts w:hint="eastAsia" w:cs="宋体"/>
                <w:lang w:bidi="ar"/>
              </w:rPr>
              <w:t>月</w:t>
            </w:r>
            <w:r>
              <w:rPr>
                <w:rFonts w:hint="eastAsia" w:cs="宋体"/>
                <w:lang w:val="en-US" w:eastAsia="zh-CN" w:bidi="ar"/>
              </w:rPr>
              <w:t>17</w:t>
            </w:r>
            <w:r>
              <w:rPr>
                <w:rFonts w:hint="eastAsia" w:cs="宋体"/>
                <w:lang w:bidi="ar"/>
              </w:rPr>
              <w:t>日由泗县发展和改革委员会予以备案。</w:t>
            </w:r>
            <w:r>
              <w:rPr>
                <w:rFonts w:hint="eastAsia" w:cs="宋体"/>
                <w:lang w:eastAsia="zh-CN" w:bidi="ar"/>
              </w:rPr>
              <w:t>项目代码为2311-341324-04-01-379981。</w:t>
            </w:r>
            <w:r>
              <w:rPr>
                <w:rFonts w:hint="eastAsia" w:cs="宋体"/>
                <w:lang w:bidi="ar"/>
              </w:rPr>
              <w:t>因此，本项目的建设符合地方相关产业政策要求。</w:t>
            </w:r>
          </w:p>
          <w:p w14:paraId="5B7EACBC">
            <w:pPr>
              <w:widowControl/>
              <w:adjustRightInd w:val="0"/>
              <w:snapToGrid w:val="0"/>
              <w:spacing w:line="360" w:lineRule="auto"/>
              <w:ind w:firstLine="480" w:firstLineChars="200"/>
              <w:jc w:val="left"/>
            </w:pPr>
            <w:r>
              <w:rPr>
                <w:rFonts w:hint="eastAsia"/>
                <w:lang w:bidi="ar"/>
              </w:rPr>
              <w:t>综上所述，本项目符合国家和地方产业政策要求。</w:t>
            </w:r>
          </w:p>
          <w:p w14:paraId="68AB447C">
            <w:pPr>
              <w:pStyle w:val="26"/>
              <w:widowControl w:val="0"/>
              <w:spacing w:before="0" w:beforeAutospacing="0" w:after="0" w:afterAutospacing="0" w:line="360" w:lineRule="auto"/>
              <w:jc w:val="both"/>
              <w:rPr>
                <w:b/>
                <w:bCs/>
              </w:rPr>
            </w:pPr>
            <w:r>
              <w:rPr>
                <w:rFonts w:hint="eastAsia" w:ascii="Times New Roman" w:hAnsi="Times New Roman" w:cs="宋体"/>
                <w:b/>
                <w:bCs/>
                <w:kern w:val="2"/>
                <w:szCs w:val="24"/>
                <w:lang w:bidi="ar"/>
              </w:rPr>
              <w:t>2、</w:t>
            </w:r>
            <w:r>
              <w:rPr>
                <w:rFonts w:hint="eastAsia" w:ascii="Times New Roman" w:hAnsi="Times New Roman" w:cs="宋体"/>
                <w:b/>
                <w:bCs/>
                <w:kern w:val="2"/>
                <w:szCs w:val="24"/>
                <w:lang w:val="en-US" w:eastAsia="zh-CN" w:bidi="ar"/>
              </w:rPr>
              <w:t>选址可行性</w:t>
            </w:r>
            <w:r>
              <w:rPr>
                <w:rFonts w:hint="eastAsia" w:ascii="Times New Roman" w:hAnsi="Times New Roman" w:cs="宋体"/>
                <w:b/>
                <w:bCs/>
                <w:kern w:val="2"/>
                <w:szCs w:val="24"/>
                <w:lang w:bidi="ar"/>
              </w:rPr>
              <w:t>分析</w:t>
            </w:r>
          </w:p>
          <w:p w14:paraId="7BDF0105">
            <w:pPr>
              <w:widowControl/>
              <w:spacing w:line="360" w:lineRule="auto"/>
              <w:ind w:firstLine="480" w:firstLineChars="200"/>
              <w:jc w:val="left"/>
              <w:rPr>
                <w:color w:val="000000" w:themeColor="text1"/>
                <w:szCs w:val="32"/>
                <w:lang w:bidi="ar"/>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位于</w:t>
            </w:r>
            <w:r>
              <w:rPr>
                <w:rFonts w:hint="eastAsia" w:ascii="Times New Roman" w:hAnsi="Times New Roman" w:cs="Times New Roman"/>
                <w:color w:val="000000" w:themeColor="text1"/>
                <w14:textFill>
                  <w14:solidFill>
                    <w14:schemeClr w14:val="tx1"/>
                  </w14:solidFill>
                </w14:textFill>
              </w:rPr>
              <w:t>安徽省泗县经济开发区赤山路和南柳路交汇口西北角</w:t>
            </w:r>
            <w:r>
              <w:rPr>
                <w:rFonts w:hint="eastAsia" w:ascii="Times New Roman" w:hAnsi="Times New Roman" w:cs="Times New Roman"/>
                <w:color w:val="000000" w:themeColor="text1"/>
                <w:lang w:bidi="ar"/>
                <w14:textFill>
                  <w14:solidFill>
                    <w14:schemeClr w14:val="tx1"/>
                  </w14:solidFill>
                </w14:textFill>
              </w:rPr>
              <w:t>，</w:t>
            </w:r>
            <w:r>
              <w:rPr>
                <w:rFonts w:hint="eastAsia" w:cs="Times New Roman"/>
                <w:color w:val="000000" w:themeColor="text1"/>
                <w:lang w:val="en-US" w:eastAsia="zh-CN" w:bidi="ar"/>
                <w14:textFill>
                  <w14:solidFill>
                    <w14:schemeClr w14:val="tx1"/>
                  </w14:solidFill>
                </w14:textFill>
              </w:rPr>
              <w:t>已取得土地证，</w:t>
            </w:r>
            <w:r>
              <w:rPr>
                <w:rFonts w:hint="eastAsia" w:ascii="Times New Roman" w:hAnsi="Times New Roman" w:cs="Times New Roman"/>
                <w:color w:val="000000" w:themeColor="text1"/>
                <w:szCs w:val="32"/>
                <w:lang w:bidi="ar"/>
                <w14:textFill>
                  <w14:solidFill>
                    <w14:schemeClr w14:val="tx1"/>
                  </w14:solidFill>
                </w14:textFill>
              </w:rPr>
              <w:t>根据</w:t>
            </w:r>
            <w:r>
              <w:rPr>
                <w:rFonts w:ascii="Times New Roman" w:hAnsi="Times New Roman" w:cs="Times New Roman"/>
                <w:color w:val="000000" w:themeColor="text1"/>
                <w:szCs w:val="32"/>
                <w14:textFill>
                  <w14:solidFill>
                    <w14:schemeClr w14:val="tx1"/>
                  </w14:solidFill>
                </w14:textFill>
              </w:rPr>
              <w:t>《安徽泗县经济开发区总体发展规划(2013-2030)》</w:t>
            </w:r>
            <w:r>
              <w:rPr>
                <w:rFonts w:hint="eastAsia" w:ascii="Times New Roman" w:hAnsi="Times New Roman" w:cs="Times New Roman"/>
                <w:color w:val="000000" w:themeColor="text1"/>
                <w:szCs w:val="32"/>
                <w:lang w:bidi="ar"/>
                <w14:textFill>
                  <w14:solidFill>
                    <w14:schemeClr w14:val="tx1"/>
                  </w14:solidFill>
                </w14:textFill>
              </w:rPr>
              <w:t>，项目所在地属于工业用地，项目属于</w:t>
            </w:r>
            <w:r>
              <w:rPr>
                <w:rFonts w:hint="eastAsia" w:cs="Times New Roman"/>
                <w:color w:val="000000" w:themeColor="text1"/>
                <w:szCs w:val="32"/>
                <w:lang w:eastAsia="zh-CN" w:bidi="ar"/>
                <w14:textFill>
                  <w14:solidFill>
                    <w14:schemeClr w14:val="tx1"/>
                  </w14:solidFill>
                </w14:textFill>
              </w:rPr>
              <w:t>木制容器制造</w:t>
            </w:r>
            <w:r>
              <w:rPr>
                <w:rFonts w:hint="eastAsia" w:ascii="Times New Roman" w:hAnsi="Times New Roman" w:cs="Times New Roman"/>
                <w:color w:val="000000" w:themeColor="text1"/>
                <w:szCs w:val="32"/>
                <w:lang w:bidi="ar"/>
                <w14:textFill>
                  <w14:solidFill>
                    <w14:schemeClr w14:val="tx1"/>
                  </w14:solidFill>
                </w14:textFill>
              </w:rPr>
              <w:t>，项目用地</w:t>
            </w:r>
            <w:r>
              <w:rPr>
                <w:rFonts w:hint="eastAsia" w:cs="Times New Roman"/>
                <w:color w:val="000000" w:themeColor="text1"/>
                <w:szCs w:val="32"/>
                <w:lang w:val="en-US" w:eastAsia="zh-CN" w:bidi="ar"/>
                <w14:textFill>
                  <w14:solidFill>
                    <w14:schemeClr w14:val="tx1"/>
                  </w14:solidFill>
                </w14:textFill>
              </w:rPr>
              <w:t>性质</w:t>
            </w:r>
            <w:r>
              <w:rPr>
                <w:rFonts w:hint="eastAsia" w:ascii="Times New Roman" w:hAnsi="Times New Roman" w:cs="Times New Roman"/>
                <w:color w:val="000000" w:themeColor="text1"/>
                <w:szCs w:val="32"/>
                <w:lang w:bidi="ar"/>
                <w14:textFill>
                  <w14:solidFill>
                    <w14:schemeClr w14:val="tx1"/>
                  </w14:solidFill>
                </w14:textFill>
              </w:rPr>
              <w:t>符合泗县开发区用地</w:t>
            </w:r>
            <w:r>
              <w:rPr>
                <w:rFonts w:hint="eastAsia" w:cs="Times New Roman"/>
                <w:color w:val="000000" w:themeColor="text1"/>
                <w:szCs w:val="32"/>
                <w:lang w:val="en-US" w:eastAsia="zh-CN" w:bidi="ar"/>
                <w14:textFill>
                  <w14:solidFill>
                    <w14:schemeClr w14:val="tx1"/>
                  </w14:solidFill>
                </w14:textFill>
              </w:rPr>
              <w:t>规划</w:t>
            </w:r>
            <w:r>
              <w:rPr>
                <w:rFonts w:hint="eastAsia" w:ascii="Times New Roman" w:hAnsi="Times New Roman" w:cs="Times New Roman"/>
                <w:color w:val="000000" w:themeColor="text1"/>
                <w:szCs w:val="32"/>
                <w:lang w:bidi="ar"/>
                <w14:textFill>
                  <w14:solidFill>
                    <w14:schemeClr w14:val="tx1"/>
                  </w14:solidFill>
                </w14:textFill>
              </w:rPr>
              <w:t>。</w:t>
            </w:r>
          </w:p>
          <w:p w14:paraId="3D6864F8">
            <w:pPr>
              <w:pStyle w:val="4"/>
              <w:snapToGrid w:val="0"/>
              <w:spacing w:line="360" w:lineRule="auto"/>
              <w:ind w:left="0" w:firstLine="480" w:firstLineChars="200"/>
              <w:rPr>
                <w:color w:val="auto"/>
                <w:lang w:bidi="ar"/>
              </w:rPr>
            </w:pPr>
            <w:r>
              <w:rPr>
                <w:rFonts w:hint="eastAsia"/>
                <w:lang w:bidi="ar"/>
              </w:rPr>
              <w:t>项目</w:t>
            </w:r>
            <w:r>
              <w:rPr>
                <w:rFonts w:hint="eastAsia"/>
              </w:rPr>
              <w:t>厂区北侧为</w:t>
            </w:r>
            <w:r>
              <w:rPr>
                <w:rFonts w:hint="eastAsia"/>
                <w:lang w:val="en-US" w:eastAsia="zh-CN"/>
              </w:rPr>
              <w:t>空地</w:t>
            </w:r>
            <w:r>
              <w:rPr>
                <w:rFonts w:hint="eastAsia"/>
              </w:rPr>
              <w:t>；南侧为</w:t>
            </w:r>
            <w:r>
              <w:rPr>
                <w:rFonts w:hint="eastAsia"/>
                <w:lang w:val="en-US" w:eastAsia="zh-CN"/>
              </w:rPr>
              <w:t>南柳路</w:t>
            </w:r>
            <w:r>
              <w:rPr>
                <w:rFonts w:hint="eastAsia"/>
              </w:rPr>
              <w:t>；西侧</w:t>
            </w:r>
            <w:r>
              <w:rPr>
                <w:rFonts w:hint="eastAsia"/>
                <w:lang w:eastAsia="zh-Hans"/>
              </w:rPr>
              <w:t>为</w:t>
            </w:r>
            <w:r>
              <w:rPr>
                <w:rFonts w:hint="eastAsia"/>
                <w:lang w:val="en-US" w:eastAsia="zh-CN"/>
              </w:rPr>
              <w:t>空地</w:t>
            </w:r>
            <w:r>
              <w:rPr>
                <w:rFonts w:hint="eastAsia"/>
              </w:rPr>
              <w:t>；东侧为</w:t>
            </w:r>
            <w:r>
              <w:rPr>
                <w:rFonts w:hint="eastAsia"/>
                <w:lang w:val="en-US" w:eastAsia="zh-CN"/>
              </w:rPr>
              <w:t>赤山</w:t>
            </w:r>
            <w:r>
              <w:rPr>
                <w:rFonts w:hint="eastAsia"/>
              </w:rPr>
              <w:t>路</w:t>
            </w:r>
            <w:r>
              <w:rPr>
                <w:rFonts w:hint="eastAsia"/>
                <w:lang w:eastAsia="zh-CN"/>
              </w:rPr>
              <w:t>。项目新建厂房，厂界周边无自然保护区、风景名胜区、其他著名旅游景点和文物古迹和居住区等环境敏感点</w:t>
            </w:r>
            <w:r>
              <w:rPr>
                <w:rFonts w:hint="eastAsia"/>
                <w:color w:val="auto"/>
                <w:szCs w:val="24"/>
              </w:rPr>
              <w:t>，</w:t>
            </w:r>
            <w:r>
              <w:rPr>
                <w:rFonts w:hint="eastAsia"/>
                <w:color w:val="auto"/>
                <w:lang w:bidi="ar"/>
              </w:rPr>
              <w:t>且交通方便。</w:t>
            </w:r>
          </w:p>
          <w:p w14:paraId="5A41D261">
            <w:pPr>
              <w:widowControl/>
              <w:spacing w:line="360" w:lineRule="auto"/>
              <w:ind w:firstLine="480" w:firstLineChars="200"/>
              <w:jc w:val="left"/>
              <w:rPr>
                <w:color w:val="auto"/>
                <w:lang w:bidi="ar"/>
              </w:rPr>
            </w:pPr>
            <w:r>
              <w:rPr>
                <w:rFonts w:hint="eastAsia"/>
                <w:color w:val="auto"/>
                <w:lang w:bidi="ar"/>
              </w:rPr>
              <w:t>综上分析，本项目选址符合产业定位要求，用地性质为工业用地，项目的选址基本合理。</w:t>
            </w:r>
          </w:p>
          <w:p w14:paraId="2CEF7ACA">
            <w:pPr>
              <w:spacing w:line="360" w:lineRule="auto"/>
              <w:rPr>
                <w:b/>
                <w:bCs/>
                <w:kern w:val="0"/>
              </w:rPr>
            </w:pPr>
            <w:r>
              <w:rPr>
                <w:rFonts w:hint="eastAsia" w:cs="宋体"/>
                <w:b/>
                <w:bCs/>
                <w:color w:val="auto"/>
                <w:lang w:bidi="ar"/>
              </w:rPr>
              <w:t>3、</w:t>
            </w:r>
            <w:r>
              <w:rPr>
                <w:rFonts w:hint="eastAsia"/>
                <w:b/>
                <w:bCs/>
                <w:color w:val="auto"/>
                <w:kern w:val="0"/>
              </w:rPr>
              <w:t>“三线一单”符合性分</w:t>
            </w:r>
            <w:r>
              <w:rPr>
                <w:rFonts w:hint="eastAsia"/>
                <w:b/>
                <w:bCs/>
                <w:kern w:val="0"/>
              </w:rPr>
              <w:t>析：</w:t>
            </w:r>
          </w:p>
          <w:p w14:paraId="4D799B1E">
            <w:pPr>
              <w:spacing w:line="360" w:lineRule="auto"/>
              <w:ind w:firstLine="480"/>
              <w:rPr>
                <w:bCs/>
                <w:kern w:val="0"/>
              </w:rPr>
            </w:pPr>
            <w:r>
              <w:rPr>
                <w:bCs/>
                <w:kern w:val="0"/>
              </w:rPr>
              <w:t>（1）生态保护红线</w:t>
            </w:r>
          </w:p>
          <w:p w14:paraId="7B3F0F1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b/>
                <w:bCs/>
                <w:kern w:val="0"/>
                <w:sz w:val="24"/>
              </w:rPr>
            </w:pPr>
            <w:r>
              <w:rPr>
                <w:rFonts w:hint="eastAsia" w:ascii="Times New Roman" w:hAnsi="Times New Roman" w:eastAsia="宋体" w:cs="宋体"/>
                <w:kern w:val="0"/>
                <w:sz w:val="24"/>
                <w:lang w:val="en-US" w:eastAsia="zh-CN"/>
              </w:rPr>
              <w:t>根据</w:t>
            </w:r>
            <w:r>
              <w:rPr>
                <w:rFonts w:hint="eastAsia" w:ascii="Times New Roman" w:hAnsi="Times New Roman" w:eastAsia="宋体" w:cs="宋体"/>
                <w:kern w:val="0"/>
                <w:sz w:val="24"/>
              </w:rPr>
              <w:t>《宿州市生态环境分区管控编制文本》，宿州市生态保护红线区面积为349.58km</w:t>
            </w:r>
            <w:r>
              <w:rPr>
                <w:rFonts w:hint="eastAsia" w:ascii="Times New Roman" w:hAnsi="Times New Roman" w:eastAsia="宋体" w:cs="宋体"/>
                <w:kern w:val="0"/>
                <w:sz w:val="24"/>
                <w:vertAlign w:val="superscript"/>
              </w:rPr>
              <w:t>2</w:t>
            </w:r>
            <w:r>
              <w:rPr>
                <w:rFonts w:hint="eastAsia" w:ascii="Times New Roman" w:hAnsi="Times New Roman" w:eastAsia="宋体" w:cs="宋体"/>
                <w:kern w:val="0"/>
                <w:sz w:val="24"/>
              </w:rPr>
              <w:t>，占全市国土面积的3.51%，宿州市内泗县和灵璧县红线面积比例最低，分别只为县域面积的1.55%和0.39%。砀山县的红线面积最高为9.52%。宿州市的生态保护红线主要分布在以下片区：</w:t>
            </w:r>
          </w:p>
          <w:p w14:paraId="1AB37917">
            <w:pPr>
              <w:keepNext w:val="0"/>
              <w:keepLines w:val="0"/>
              <w:suppressLineNumbers w:val="0"/>
              <w:adjustRightInd w:val="0"/>
              <w:snapToGrid w:val="0"/>
              <w:spacing w:before="0" w:beforeAutospacing="0" w:after="0" w:afterAutospacing="0"/>
              <w:ind w:left="0" w:right="0" w:firstLine="482" w:firstLineChars="200"/>
              <w:jc w:val="center"/>
              <w:rPr>
                <w:rFonts w:hint="default" w:eastAsia="仿宋"/>
                <w:b/>
                <w:color w:val="000000" w:themeColor="text1"/>
                <w:szCs w:val="28"/>
                <w14:textFill>
                  <w14:solidFill>
                    <w14:schemeClr w14:val="tx1"/>
                  </w14:solidFill>
                </w14:textFill>
              </w:rPr>
            </w:pPr>
            <w:r>
              <w:rPr>
                <w:rFonts w:hint="eastAsia" w:ascii="宋体" w:hAnsi="宋体" w:cs="宋体"/>
                <w:b/>
                <w:bCs/>
                <w:color w:val="000000" w:themeColor="text1"/>
                <w14:textFill>
                  <w14:solidFill>
                    <w14:schemeClr w14:val="tx1"/>
                  </w14:solidFill>
                </w14:textFill>
              </w:rPr>
              <w:t>表</w:t>
            </w:r>
            <w:r>
              <w:rPr>
                <w:rFonts w:hint="default"/>
                <w:b/>
                <w:bCs/>
                <w:color w:val="000000" w:themeColor="text1"/>
                <w14:textFill>
                  <w14:solidFill>
                    <w14:schemeClr w14:val="tx1"/>
                  </w14:solidFill>
                </w14:textFill>
              </w:rPr>
              <w:t>1</w:t>
            </w: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 xml:space="preserve">  宿州市生态保护红线登记表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876"/>
              <w:gridCol w:w="959"/>
              <w:gridCol w:w="2150"/>
              <w:gridCol w:w="899"/>
              <w:gridCol w:w="794"/>
            </w:tblGrid>
            <w:tr w14:paraId="63DD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vAlign w:val="center"/>
                </w:tcPr>
                <w:p w14:paraId="63B8704A">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类型</w:t>
                  </w:r>
                </w:p>
              </w:tc>
              <w:tc>
                <w:tcPr>
                  <w:tcW w:w="699" w:type="pct"/>
                  <w:vAlign w:val="center"/>
                </w:tcPr>
                <w:p w14:paraId="3EA0B977">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765" w:type="pct"/>
                  <w:vAlign w:val="center"/>
                </w:tcPr>
                <w:p w14:paraId="0737D81E">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生态系统特征</w:t>
                  </w:r>
                </w:p>
              </w:tc>
              <w:tc>
                <w:tcPr>
                  <w:tcW w:w="1715" w:type="pct"/>
                  <w:vAlign w:val="center"/>
                </w:tcPr>
                <w:p w14:paraId="08D4C5D6">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保护地名录</w:t>
                  </w:r>
                </w:p>
              </w:tc>
              <w:tc>
                <w:tcPr>
                  <w:tcW w:w="717" w:type="pct"/>
                  <w:vAlign w:val="center"/>
                </w:tcPr>
                <w:p w14:paraId="711D0A82">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所属</w:t>
                  </w:r>
                </w:p>
                <w:p w14:paraId="26FBAAD3">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行政区</w:t>
                  </w:r>
                </w:p>
              </w:tc>
              <w:tc>
                <w:tcPr>
                  <w:tcW w:w="633" w:type="pct"/>
                  <w:vAlign w:val="center"/>
                </w:tcPr>
                <w:p w14:paraId="27D3B728">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面积</w:t>
                  </w:r>
                </w:p>
                <w:p w14:paraId="14228FAF">
                  <w:pPr>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/km</w:t>
                  </w:r>
                  <w:r>
                    <w:rPr>
                      <w:b/>
                      <w:color w:val="000000" w:themeColor="text1"/>
                      <w:sz w:val="21"/>
                      <w:szCs w:val="21"/>
                      <w:vertAlign w:val="superscript"/>
                      <w14:textFill>
                        <w14:solidFill>
                          <w14:schemeClr w14:val="tx1"/>
                        </w14:solidFill>
                      </w14:textFill>
                    </w:rPr>
                    <w:t>2</w:t>
                  </w:r>
                </w:p>
              </w:tc>
            </w:tr>
            <w:tr w14:paraId="1E35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vMerge w:val="restart"/>
                  <w:vAlign w:val="center"/>
                </w:tcPr>
                <w:p w14:paraId="7E0C1B53">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Ⅱ水土保持生态保护红线</w:t>
                  </w:r>
                </w:p>
              </w:tc>
              <w:tc>
                <w:tcPr>
                  <w:tcW w:w="699" w:type="pct"/>
                  <w:vMerge w:val="restart"/>
                  <w:vAlign w:val="center"/>
                </w:tcPr>
                <w:p w14:paraId="440B5CCF">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Ⅱ-1淮北河间平原农产品提供及水土保持生态保护红线</w:t>
                  </w:r>
                </w:p>
              </w:tc>
              <w:tc>
                <w:tcPr>
                  <w:tcW w:w="765" w:type="pct"/>
                  <w:vMerge w:val="restart"/>
                  <w:vAlign w:val="center"/>
                </w:tcPr>
                <w:p w14:paraId="20D78EC1">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暖温带落叶阔叶林带</w:t>
                  </w:r>
                </w:p>
              </w:tc>
              <w:tc>
                <w:tcPr>
                  <w:tcW w:w="1715" w:type="pct"/>
                  <w:vMerge w:val="restart"/>
                  <w:vAlign w:val="center"/>
                </w:tcPr>
                <w:p w14:paraId="5040156E">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宿州大方寺省级自然保护区、泗县沱河省级自然保护区、泗县新汴河省级湿地自然公园、安徽灵璧磬云山国家地质自然公园、泗县沱河省级自然保护区、安徽泗县石龙湖国家湿地公园</w:t>
                  </w:r>
                </w:p>
              </w:tc>
              <w:tc>
                <w:tcPr>
                  <w:tcW w:w="717" w:type="pct"/>
                  <w:vAlign w:val="center"/>
                </w:tcPr>
                <w:p w14:paraId="10394086">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灵璧县</w:t>
                  </w:r>
                </w:p>
              </w:tc>
              <w:tc>
                <w:tcPr>
                  <w:tcW w:w="633" w:type="pct"/>
                  <w:vAlign w:val="center"/>
                </w:tcPr>
                <w:p w14:paraId="7D4A83E6">
                  <w:pPr>
                    <w:spacing w:line="240" w:lineRule="auto"/>
                    <w:jc w:val="center"/>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8.</w:t>
                  </w:r>
                  <w:r>
                    <w:rPr>
                      <w:rFonts w:hint="eastAsia"/>
                      <w:color w:val="000000" w:themeColor="text1"/>
                      <w:sz w:val="21"/>
                      <w:szCs w:val="21"/>
                      <w:lang w:val="en-US" w:eastAsia="zh-CN"/>
                      <w14:textFill>
                        <w14:solidFill>
                          <w14:schemeClr w14:val="tx1"/>
                        </w14:solidFill>
                      </w14:textFill>
                    </w:rPr>
                    <w:t>2</w:t>
                  </w:r>
                </w:p>
              </w:tc>
            </w:tr>
            <w:tr w14:paraId="0DC7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vMerge w:val="continue"/>
                  <w:vAlign w:val="center"/>
                </w:tcPr>
                <w:p w14:paraId="6061F243">
                  <w:pPr>
                    <w:spacing w:line="240" w:lineRule="auto"/>
                    <w:jc w:val="center"/>
                    <w:rPr>
                      <w:color w:val="000000" w:themeColor="text1"/>
                      <w:sz w:val="21"/>
                      <w:szCs w:val="21"/>
                      <w14:textFill>
                        <w14:solidFill>
                          <w14:schemeClr w14:val="tx1"/>
                        </w14:solidFill>
                      </w14:textFill>
                    </w:rPr>
                  </w:pPr>
                </w:p>
              </w:tc>
              <w:tc>
                <w:tcPr>
                  <w:tcW w:w="699" w:type="pct"/>
                  <w:vMerge w:val="continue"/>
                  <w:vAlign w:val="center"/>
                </w:tcPr>
                <w:p w14:paraId="2B7A65A4">
                  <w:pPr>
                    <w:spacing w:line="240" w:lineRule="auto"/>
                    <w:jc w:val="center"/>
                    <w:rPr>
                      <w:color w:val="000000" w:themeColor="text1"/>
                      <w:sz w:val="21"/>
                      <w:szCs w:val="21"/>
                      <w14:textFill>
                        <w14:solidFill>
                          <w14:schemeClr w14:val="tx1"/>
                        </w14:solidFill>
                      </w14:textFill>
                    </w:rPr>
                  </w:pPr>
                </w:p>
              </w:tc>
              <w:tc>
                <w:tcPr>
                  <w:tcW w:w="765" w:type="pct"/>
                  <w:vMerge w:val="continue"/>
                  <w:vAlign w:val="center"/>
                </w:tcPr>
                <w:p w14:paraId="78D01AD7">
                  <w:pPr>
                    <w:spacing w:line="240" w:lineRule="auto"/>
                    <w:jc w:val="center"/>
                    <w:rPr>
                      <w:color w:val="000000" w:themeColor="text1"/>
                      <w:sz w:val="21"/>
                      <w:szCs w:val="21"/>
                      <w14:textFill>
                        <w14:solidFill>
                          <w14:schemeClr w14:val="tx1"/>
                        </w14:solidFill>
                      </w14:textFill>
                    </w:rPr>
                  </w:pPr>
                </w:p>
              </w:tc>
              <w:tc>
                <w:tcPr>
                  <w:tcW w:w="1715" w:type="pct"/>
                  <w:vMerge w:val="continue"/>
                  <w:vAlign w:val="center"/>
                </w:tcPr>
                <w:p w14:paraId="74CFDF72">
                  <w:pPr>
                    <w:spacing w:line="240" w:lineRule="auto"/>
                    <w:jc w:val="center"/>
                    <w:rPr>
                      <w:color w:val="000000" w:themeColor="text1"/>
                      <w:sz w:val="21"/>
                      <w:szCs w:val="21"/>
                      <w14:textFill>
                        <w14:solidFill>
                          <w14:schemeClr w14:val="tx1"/>
                        </w14:solidFill>
                      </w14:textFill>
                    </w:rPr>
                  </w:pPr>
                </w:p>
              </w:tc>
              <w:tc>
                <w:tcPr>
                  <w:tcW w:w="717" w:type="pct"/>
                  <w:vAlign w:val="center"/>
                </w:tcPr>
                <w:p w14:paraId="67E7833F">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泗县</w:t>
                  </w:r>
                </w:p>
              </w:tc>
              <w:tc>
                <w:tcPr>
                  <w:tcW w:w="633" w:type="pct"/>
                  <w:vAlign w:val="center"/>
                </w:tcPr>
                <w:p w14:paraId="11A9E795">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28.82</w:t>
                  </w:r>
                </w:p>
              </w:tc>
            </w:tr>
            <w:tr w14:paraId="12CB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pct"/>
                  <w:vMerge w:val="continue"/>
                  <w:vAlign w:val="center"/>
                </w:tcPr>
                <w:p w14:paraId="13DC8402">
                  <w:pPr>
                    <w:spacing w:line="240" w:lineRule="auto"/>
                    <w:jc w:val="center"/>
                    <w:rPr>
                      <w:color w:val="000000" w:themeColor="text1"/>
                      <w:sz w:val="21"/>
                      <w:szCs w:val="21"/>
                      <w14:textFill>
                        <w14:solidFill>
                          <w14:schemeClr w14:val="tx1"/>
                        </w14:solidFill>
                      </w14:textFill>
                    </w:rPr>
                  </w:pPr>
                </w:p>
              </w:tc>
              <w:tc>
                <w:tcPr>
                  <w:tcW w:w="699" w:type="pct"/>
                  <w:vMerge w:val="continue"/>
                  <w:vAlign w:val="center"/>
                </w:tcPr>
                <w:p w14:paraId="76BD9FB6">
                  <w:pPr>
                    <w:spacing w:line="240" w:lineRule="auto"/>
                    <w:jc w:val="center"/>
                    <w:rPr>
                      <w:color w:val="000000" w:themeColor="text1"/>
                      <w:sz w:val="21"/>
                      <w:szCs w:val="21"/>
                      <w14:textFill>
                        <w14:solidFill>
                          <w14:schemeClr w14:val="tx1"/>
                        </w14:solidFill>
                      </w14:textFill>
                    </w:rPr>
                  </w:pPr>
                </w:p>
              </w:tc>
              <w:tc>
                <w:tcPr>
                  <w:tcW w:w="765" w:type="pct"/>
                  <w:vMerge w:val="continue"/>
                  <w:vAlign w:val="center"/>
                </w:tcPr>
                <w:p w14:paraId="16D4C020">
                  <w:pPr>
                    <w:spacing w:line="240" w:lineRule="auto"/>
                    <w:jc w:val="center"/>
                    <w:rPr>
                      <w:color w:val="000000" w:themeColor="text1"/>
                      <w:sz w:val="21"/>
                      <w:szCs w:val="21"/>
                      <w14:textFill>
                        <w14:solidFill>
                          <w14:schemeClr w14:val="tx1"/>
                        </w14:solidFill>
                      </w14:textFill>
                    </w:rPr>
                  </w:pPr>
                </w:p>
              </w:tc>
              <w:tc>
                <w:tcPr>
                  <w:tcW w:w="1715" w:type="pct"/>
                  <w:vMerge w:val="continue"/>
                  <w:vAlign w:val="center"/>
                </w:tcPr>
                <w:p w14:paraId="0DAB46C7">
                  <w:pPr>
                    <w:spacing w:line="240" w:lineRule="auto"/>
                    <w:jc w:val="center"/>
                    <w:rPr>
                      <w:color w:val="000000" w:themeColor="text1"/>
                      <w:sz w:val="21"/>
                      <w:szCs w:val="21"/>
                      <w14:textFill>
                        <w14:solidFill>
                          <w14:schemeClr w14:val="tx1"/>
                        </w14:solidFill>
                      </w14:textFill>
                    </w:rPr>
                  </w:pPr>
                </w:p>
              </w:tc>
              <w:tc>
                <w:tcPr>
                  <w:tcW w:w="717" w:type="pct"/>
                  <w:vAlign w:val="center"/>
                </w:tcPr>
                <w:p w14:paraId="0F96540C">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埇桥区</w:t>
                  </w:r>
                </w:p>
              </w:tc>
              <w:tc>
                <w:tcPr>
                  <w:tcW w:w="633" w:type="pct"/>
                  <w:vAlign w:val="center"/>
                </w:tcPr>
                <w:p w14:paraId="4EA03BFD">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65.24</w:t>
                  </w:r>
                </w:p>
              </w:tc>
            </w:tr>
            <w:tr w14:paraId="6881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7" w:hRule="atLeast"/>
              </w:trPr>
              <w:tc>
                <w:tcPr>
                  <w:tcW w:w="467" w:type="pct"/>
                  <w:vMerge w:val="restart"/>
                  <w:vAlign w:val="center"/>
                </w:tcPr>
                <w:p w14:paraId="6D6A4924">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Ⅲ生物多样性维护生态保护红线</w:t>
                  </w:r>
                </w:p>
              </w:tc>
              <w:tc>
                <w:tcPr>
                  <w:tcW w:w="699" w:type="pct"/>
                  <w:vMerge w:val="restart"/>
                  <w:vAlign w:val="center"/>
                </w:tcPr>
                <w:p w14:paraId="308A9921">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Ⅲ-1淮北平原北部生物多样性维护及水土保持生态保护红线</w:t>
                  </w:r>
                </w:p>
              </w:tc>
              <w:tc>
                <w:tcPr>
                  <w:tcW w:w="765" w:type="pct"/>
                  <w:vMerge w:val="restart"/>
                  <w:vAlign w:val="center"/>
                </w:tcPr>
                <w:p w14:paraId="6D8193A2">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暖温带落叶阔叶林带</w:t>
                  </w:r>
                </w:p>
              </w:tc>
              <w:tc>
                <w:tcPr>
                  <w:tcW w:w="1715" w:type="pct"/>
                  <w:vMerge w:val="restart"/>
                  <w:vAlign w:val="center"/>
                </w:tcPr>
                <w:p w14:paraId="5EDA1A7E">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徽砀山酥梨种质资源森林公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717" w:type="pct"/>
                  <w:vAlign w:val="center"/>
                </w:tcPr>
                <w:p w14:paraId="2F900447">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砀山县</w:t>
                  </w:r>
                </w:p>
              </w:tc>
              <w:tc>
                <w:tcPr>
                  <w:tcW w:w="633" w:type="pct"/>
                  <w:vAlign w:val="center"/>
                </w:tcPr>
                <w:p w14:paraId="781EC072">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113.87</w:t>
                  </w:r>
                </w:p>
              </w:tc>
            </w:tr>
            <w:tr w14:paraId="54AE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467" w:type="pct"/>
                  <w:vMerge w:val="continue"/>
                  <w:vAlign w:val="center"/>
                </w:tcPr>
                <w:p w14:paraId="2D4C1A86">
                  <w:pPr>
                    <w:spacing w:line="240" w:lineRule="auto"/>
                    <w:jc w:val="center"/>
                    <w:rPr>
                      <w:color w:val="000000" w:themeColor="text1"/>
                      <w:sz w:val="21"/>
                      <w:szCs w:val="21"/>
                      <w14:textFill>
                        <w14:solidFill>
                          <w14:schemeClr w14:val="tx1"/>
                        </w14:solidFill>
                      </w14:textFill>
                    </w:rPr>
                  </w:pPr>
                </w:p>
              </w:tc>
              <w:tc>
                <w:tcPr>
                  <w:tcW w:w="699" w:type="pct"/>
                  <w:vMerge w:val="continue"/>
                  <w:vAlign w:val="center"/>
                </w:tcPr>
                <w:p w14:paraId="5B8E40F2">
                  <w:pPr>
                    <w:spacing w:line="240" w:lineRule="auto"/>
                    <w:jc w:val="center"/>
                    <w:rPr>
                      <w:color w:val="000000" w:themeColor="text1"/>
                      <w:sz w:val="21"/>
                      <w:szCs w:val="21"/>
                      <w14:textFill>
                        <w14:solidFill>
                          <w14:schemeClr w14:val="tx1"/>
                        </w14:solidFill>
                      </w14:textFill>
                    </w:rPr>
                  </w:pPr>
                </w:p>
              </w:tc>
              <w:tc>
                <w:tcPr>
                  <w:tcW w:w="765" w:type="pct"/>
                  <w:vMerge w:val="continue"/>
                  <w:vAlign w:val="center"/>
                </w:tcPr>
                <w:p w14:paraId="6EAC6B67">
                  <w:pPr>
                    <w:spacing w:line="240" w:lineRule="auto"/>
                    <w:jc w:val="center"/>
                    <w:rPr>
                      <w:color w:val="000000" w:themeColor="text1"/>
                      <w:sz w:val="21"/>
                      <w:szCs w:val="21"/>
                      <w14:textFill>
                        <w14:solidFill>
                          <w14:schemeClr w14:val="tx1"/>
                        </w14:solidFill>
                      </w14:textFill>
                    </w:rPr>
                  </w:pPr>
                </w:p>
              </w:tc>
              <w:tc>
                <w:tcPr>
                  <w:tcW w:w="1715" w:type="pct"/>
                  <w:vMerge w:val="continue"/>
                  <w:vAlign w:val="center"/>
                </w:tcPr>
                <w:p w14:paraId="73DB3CF5">
                  <w:pPr>
                    <w:spacing w:line="240" w:lineRule="auto"/>
                    <w:jc w:val="center"/>
                    <w:rPr>
                      <w:color w:val="000000" w:themeColor="text1"/>
                      <w:sz w:val="21"/>
                      <w:szCs w:val="21"/>
                      <w14:textFill>
                        <w14:solidFill>
                          <w14:schemeClr w14:val="tx1"/>
                        </w14:solidFill>
                      </w14:textFill>
                    </w:rPr>
                  </w:pPr>
                </w:p>
              </w:tc>
              <w:tc>
                <w:tcPr>
                  <w:tcW w:w="717" w:type="pct"/>
                  <w:vAlign w:val="center"/>
                </w:tcPr>
                <w:p w14:paraId="68E6995D">
                  <w:pPr>
                    <w:spacing w:line="24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萧县</w:t>
                  </w:r>
                </w:p>
              </w:tc>
              <w:tc>
                <w:tcPr>
                  <w:tcW w:w="633" w:type="pct"/>
                  <w:vAlign w:val="center"/>
                </w:tcPr>
                <w:p w14:paraId="616B7DF5">
                  <w:pPr>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03.45</w:t>
                  </w:r>
                </w:p>
              </w:tc>
            </w:tr>
          </w:tbl>
          <w:p w14:paraId="474CEA2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pPr>
            <w:r>
              <w:rPr>
                <w:rFonts w:hint="eastAsia"/>
                <w:color w:val="000000" w:themeColor="text1"/>
                <w14:textFill>
                  <w14:solidFill>
                    <w14:schemeClr w14:val="tx1"/>
                  </w14:solidFill>
                </w14:textFill>
              </w:rPr>
              <w:t>本项目位于安徽省宿州市泗县经济开发区，</w:t>
            </w:r>
            <w:r>
              <w:rPr>
                <w:rFonts w:hint="eastAsia"/>
              </w:rPr>
              <w:t>不在生态红线范围</w:t>
            </w:r>
            <w:r>
              <w:rPr>
                <w:rFonts w:hint="eastAsia"/>
                <w:lang w:val="en-US" w:eastAsia="zh-CN"/>
              </w:rPr>
              <w:t>和</w:t>
            </w:r>
            <w:r>
              <w:rPr>
                <w:rFonts w:hint="eastAsia"/>
              </w:rPr>
              <w:t>宿州市生态保护红线内。因此，本项目的建设符合宿州市生态保护红线的要求。</w:t>
            </w:r>
          </w:p>
          <w:p w14:paraId="54890BEF">
            <w:pPr>
              <w:spacing w:line="360" w:lineRule="auto"/>
              <w:ind w:firstLine="480"/>
              <w:rPr>
                <w:bCs/>
                <w:kern w:val="0"/>
              </w:rPr>
            </w:pPr>
            <w:r>
              <w:rPr>
                <w:rFonts w:hint="eastAsia"/>
                <w:bCs/>
                <w:kern w:val="0"/>
              </w:rPr>
              <w:t>（2）环境质量底线</w:t>
            </w:r>
          </w:p>
          <w:p w14:paraId="7411AD1C">
            <w:pPr>
              <w:widowControl/>
              <w:spacing w:line="360" w:lineRule="auto"/>
              <w:ind w:firstLine="480"/>
            </w:pPr>
            <w:r>
              <w:rPr>
                <w:rFonts w:hint="eastAsia"/>
              </w:rPr>
              <w:t>根据2023年宿州市环境质量公告，项目区域大气环境质量不满足《环境空气质量标准》（GB3095-2012）二级标准，为改善环境空气质量情况，在加大调整产业结构、强化环境监督、综合整治面源污染的同时，进一步完善工业污染源治理，取缔分散居民燃煤锅炉的使用，加强施工临时堆土管理及车辆运输管理；严格控制“两高”行业产能；强化“散乱污”企业综合整治；深化工业污染治理；大力培育绿色环保产业；加快调整能源结构，构建清洁低碳高效能源体系；积极调整运输结构，发展绿色交通体系等，采取以上措施，使宿州市区域环境空气质量大大改善。纳污水体石梁河水质不满足《地表水环境质量标准》（GB3838-2002）中III类水质要求。声环境质量可以满足《声环境质量标准》（GB3096-2008）中3类标准。项目运行期产生的污染物均得到合理处置，不会触碰区域环境质量底线。</w:t>
            </w:r>
          </w:p>
          <w:p w14:paraId="1E9147A8">
            <w:pPr>
              <w:spacing w:line="360" w:lineRule="auto"/>
              <w:ind w:firstLine="480"/>
              <w:rPr>
                <w:bCs/>
                <w:kern w:val="0"/>
              </w:rPr>
            </w:pPr>
            <w:r>
              <w:rPr>
                <w:rFonts w:hint="eastAsia"/>
                <w:bCs/>
                <w:kern w:val="0"/>
              </w:rPr>
              <w:t>（3）资源利用上线</w:t>
            </w:r>
          </w:p>
          <w:p w14:paraId="58932571">
            <w:pPr>
              <w:spacing w:line="360" w:lineRule="auto"/>
              <w:ind w:firstLine="480"/>
            </w:pPr>
            <w:r>
              <w:rPr>
                <w:rFonts w:hint="eastAsia"/>
              </w:rPr>
              <w:t>项目所用资源包括水资源、土地资源和能源，本项目水、电均由园区统一供应。本项目营运过程中用水量较少，项目用水远小于园区供水能力。本项目用地性质为工业用地，从资源角度，本项目的建设充分利用了现有土地资源，减少了土地资源的浪费。项目使用能源主要为电，项目不涉及煤炭等高污染能源。</w:t>
            </w:r>
          </w:p>
          <w:p w14:paraId="7210EC08">
            <w:pPr>
              <w:spacing w:line="360" w:lineRule="auto"/>
              <w:ind w:left="480" w:leftChars="200"/>
              <w:rPr>
                <w:bCs/>
              </w:rPr>
            </w:pPr>
            <w:r>
              <w:rPr>
                <w:rFonts w:hint="eastAsia"/>
                <w:bCs/>
              </w:rPr>
              <w:t>（4）环境准入负面清单</w:t>
            </w:r>
          </w:p>
          <w:p w14:paraId="03F0E634">
            <w:pPr>
              <w:adjustRightInd w:val="0"/>
              <w:snapToGrid w:val="0"/>
              <w:spacing w:before="120" w:beforeLines="50" w:line="360" w:lineRule="auto"/>
              <w:ind w:firstLine="480" w:firstLineChars="200"/>
              <w:rPr>
                <w:kern w:val="0"/>
              </w:rPr>
            </w:pPr>
            <w:r>
              <w:rPr>
                <w:kern w:val="0"/>
              </w:rPr>
              <w:t>本项目不属于《产业结构调整指导目录（</w:t>
            </w:r>
            <w:r>
              <w:rPr>
                <w:rFonts w:hint="eastAsia"/>
                <w:kern w:val="0"/>
                <w:lang w:val="en-US" w:eastAsia="zh-CN"/>
              </w:rPr>
              <w:t>2024</w:t>
            </w:r>
            <w:r>
              <w:rPr>
                <w:kern w:val="0"/>
              </w:rPr>
              <w:t>年本）》</w:t>
            </w:r>
            <w:r>
              <w:rPr>
                <w:rFonts w:hint="eastAsia"/>
                <w:kern w:val="0"/>
              </w:rPr>
              <w:t>中</w:t>
            </w:r>
            <w:r>
              <w:rPr>
                <w:kern w:val="0"/>
              </w:rPr>
              <w:t>限制类和淘汰类，</w:t>
            </w:r>
            <w:r>
              <w:rPr>
                <w:rFonts w:hint="eastAsia"/>
                <w:kern w:val="0"/>
                <w:lang w:val="en-US" w:eastAsia="zh-CN"/>
              </w:rPr>
              <w:t>视为</w:t>
            </w:r>
            <w:r>
              <w:rPr>
                <w:kern w:val="0"/>
              </w:rPr>
              <w:t>允许类</w:t>
            </w:r>
            <w:r>
              <w:rPr>
                <w:rFonts w:hint="eastAsia"/>
                <w:kern w:val="0"/>
              </w:rPr>
              <w:t>项目</w:t>
            </w:r>
            <w:r>
              <w:rPr>
                <w:kern w:val="0"/>
              </w:rPr>
              <w:t>，不</w:t>
            </w:r>
            <w:r>
              <w:rPr>
                <w:rFonts w:hint="eastAsia"/>
                <w:kern w:val="0"/>
                <w:lang w:val="en-US" w:eastAsia="zh-CN"/>
              </w:rPr>
              <w:t>属于</w:t>
            </w:r>
            <w:r>
              <w:rPr>
                <w:kern w:val="0"/>
              </w:rPr>
              <w:t>负面清单内。</w:t>
            </w:r>
          </w:p>
          <w:p w14:paraId="177A6726">
            <w:pPr>
              <w:adjustRightInd w:val="0"/>
              <w:snapToGrid w:val="0"/>
              <w:spacing w:before="0" w:beforeLines="0" w:line="360" w:lineRule="auto"/>
              <w:ind w:firstLine="480" w:firstLineChars="200"/>
              <w:rPr>
                <w:kern w:val="0"/>
              </w:rPr>
            </w:pPr>
            <w:r>
              <w:rPr>
                <w:kern w:val="0"/>
              </w:rPr>
              <w:t>本项目不属于环境准入负面清单。</w:t>
            </w:r>
          </w:p>
          <w:p w14:paraId="1E872DFA">
            <w:pPr>
              <w:spacing w:beforeLines="0" w:line="360" w:lineRule="auto"/>
              <w:ind w:firstLine="480"/>
            </w:pPr>
            <w:r>
              <w:rPr>
                <w:lang w:bidi="ar"/>
              </w:rPr>
              <w:t>综上分析，本项目建设符合</w:t>
            </w:r>
            <w:r>
              <w:rPr>
                <w:rFonts w:hint="eastAsia"/>
                <w:lang w:bidi="ar"/>
              </w:rPr>
              <w:t>“</w:t>
            </w:r>
            <w:r>
              <w:rPr>
                <w:lang w:bidi="ar"/>
              </w:rPr>
              <w:t>三线一单</w:t>
            </w:r>
            <w:r>
              <w:rPr>
                <w:rFonts w:hint="eastAsia"/>
                <w:lang w:bidi="ar"/>
              </w:rPr>
              <w:t>”</w:t>
            </w:r>
            <w:r>
              <w:rPr>
                <w:lang w:bidi="ar"/>
              </w:rPr>
              <w:t>的要求。</w:t>
            </w:r>
          </w:p>
          <w:p w14:paraId="2E7F16B1">
            <w:pPr>
              <w:spacing w:line="360" w:lineRule="auto"/>
              <w:rPr>
                <w:b/>
                <w:kern w:val="0"/>
              </w:rPr>
            </w:pPr>
            <w:r>
              <w:rPr>
                <w:rFonts w:hint="eastAsia"/>
                <w:b/>
              </w:rPr>
              <w:t>4、</w:t>
            </w:r>
            <w:r>
              <w:rPr>
                <w:rFonts w:hint="eastAsia"/>
                <w:b/>
                <w:kern w:val="0"/>
              </w:rPr>
              <w:t>与相关政策相符性</w:t>
            </w:r>
          </w:p>
          <w:p w14:paraId="2B5E160C">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ascii="Times New Roman" w:hAnsi="Times New Roman" w:eastAsia="宋体" w:cs="Times New Roman"/>
                <w:b/>
                <w:kern w:val="0"/>
              </w:rPr>
            </w:pPr>
            <w:r>
              <w:rPr>
                <w:rFonts w:hint="eastAsia" w:ascii="Times New Roman" w:hAnsi="Times New Roman" w:eastAsia="宋体" w:cs="Times New Roman"/>
                <w:b/>
                <w:kern w:val="0"/>
              </w:rPr>
              <w:t>（1）与《国务院关于印发“十四五”节能减排综合工作方案的通知》的相符性</w:t>
            </w:r>
          </w:p>
          <w:p w14:paraId="63BEBC35">
            <w:pPr>
              <w:keepNext/>
              <w:keepLines/>
              <w:widowControl w:val="0"/>
              <w:numPr>
                <w:ilvl w:val="2"/>
                <w:numId w:val="0"/>
              </w:numPr>
              <w:adjustRightInd w:val="0"/>
              <w:snapToGrid w:val="0"/>
              <w:spacing w:before="0" w:after="0" w:line="240" w:lineRule="auto"/>
              <w:jc w:val="center"/>
              <w:outlineLvl w:val="2"/>
              <w:rPr>
                <w:rFonts w:ascii="Times New Roman" w:hAnsi="Times New Roman" w:eastAsia="宋体" w:cs="Times New Roman"/>
                <w:b/>
                <w:bCs/>
                <w:kern w:val="2"/>
                <w:sz w:val="24"/>
                <w:szCs w:val="24"/>
                <w:lang w:val="en-US" w:eastAsia="zh-CN" w:bidi="ar-SA"/>
              </w:rPr>
            </w:pPr>
            <w:r>
              <w:rPr>
                <w:rFonts w:ascii="Times New Roman" w:hAnsi="Times New Roman" w:eastAsia="宋体" w:cs="Times New Roman"/>
                <w:b/>
                <w:bCs/>
                <w:kern w:val="2"/>
                <w:sz w:val="24"/>
                <w:szCs w:val="24"/>
                <w:lang w:val="en-US" w:eastAsia="zh-CN" w:bidi="ar-SA"/>
              </w:rPr>
              <w:t>表1</w:t>
            </w:r>
            <w:r>
              <w:rPr>
                <w:rFonts w:hint="eastAsia" w:ascii="Times New Roman" w:hAnsi="Times New Roman" w:eastAsia="宋体" w:cs="Times New Roman"/>
                <w:b/>
                <w:bCs/>
                <w:kern w:val="2"/>
                <w:sz w:val="24"/>
                <w:szCs w:val="24"/>
                <w:lang w:val="en-US" w:eastAsia="zh-CN" w:bidi="ar-SA"/>
              </w:rPr>
              <w:t xml:space="preserve">-4 </w:t>
            </w:r>
            <w:r>
              <w:rPr>
                <w:rFonts w:ascii="Times New Roman" w:hAnsi="Times New Roman" w:eastAsia="宋体" w:cs="Times New Roman"/>
                <w:b/>
                <w:bCs/>
                <w:kern w:val="2"/>
                <w:sz w:val="24"/>
                <w:szCs w:val="24"/>
                <w:lang w:val="en-US" w:eastAsia="zh-CN" w:bidi="ar-SA"/>
              </w:rPr>
              <w:t xml:space="preserve"> 与</w:t>
            </w:r>
            <w:r>
              <w:rPr>
                <w:rFonts w:hint="eastAsia" w:ascii="Times New Roman" w:hAnsi="Times New Roman" w:eastAsia="宋体" w:cs="Times New Roman"/>
                <w:b/>
                <w:bCs/>
                <w:kern w:val="2"/>
                <w:sz w:val="24"/>
                <w:szCs w:val="24"/>
                <w:lang w:val="en-US" w:eastAsia="zh-CN" w:bidi="ar-SA"/>
              </w:rPr>
              <w:t>《国务院关于印发“十四五”节能减排综合工作方案的通知》的相符性</w:t>
            </w:r>
          </w:p>
          <w:tbl>
            <w:tblPr>
              <w:tblStyle w:val="30"/>
              <w:tblW w:w="6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568"/>
              <w:gridCol w:w="1985"/>
              <w:gridCol w:w="924"/>
            </w:tblGrid>
            <w:tr w14:paraId="185B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dxa"/>
                  <w:vAlign w:val="center"/>
                </w:tcPr>
                <w:p w14:paraId="0E2D90F2">
                  <w:pPr>
                    <w:jc w:val="center"/>
                    <w:rPr>
                      <w:rFonts w:ascii="Times New Roman" w:hAnsi="Times New Roman" w:eastAsia="宋体" w:cs="Times New Roman"/>
                      <w:b/>
                      <w:bCs/>
                      <w:sz w:val="21"/>
                      <w:szCs w:val="21"/>
                      <w:lang w:bidi="ar"/>
                    </w:rPr>
                  </w:pPr>
                  <w:r>
                    <w:rPr>
                      <w:rFonts w:ascii="Times New Roman" w:hAnsi="Times New Roman" w:eastAsia="宋体" w:cs="Times New Roman"/>
                      <w:b/>
                      <w:bCs/>
                      <w:sz w:val="21"/>
                      <w:szCs w:val="21"/>
                      <w:lang w:bidi="ar"/>
                    </w:rPr>
                    <w:t>序号</w:t>
                  </w:r>
                </w:p>
              </w:tc>
              <w:tc>
                <w:tcPr>
                  <w:tcW w:w="2568" w:type="dxa"/>
                  <w:vAlign w:val="center"/>
                </w:tcPr>
                <w:p w14:paraId="38A4523C">
                  <w:pPr>
                    <w:jc w:val="center"/>
                    <w:rPr>
                      <w:rFonts w:ascii="Times New Roman" w:hAnsi="Times New Roman" w:eastAsia="宋体" w:cs="Times New Roman"/>
                      <w:b/>
                      <w:bCs/>
                      <w:sz w:val="21"/>
                      <w:szCs w:val="21"/>
                      <w:lang w:bidi="ar"/>
                    </w:rPr>
                  </w:pPr>
                  <w:r>
                    <w:rPr>
                      <w:rFonts w:hint="eastAsia" w:ascii="Times New Roman" w:hAnsi="Times New Roman" w:eastAsia="宋体" w:cs="Times New Roman"/>
                      <w:b/>
                      <w:bCs/>
                      <w:sz w:val="21"/>
                      <w:szCs w:val="21"/>
                      <w:lang w:bidi="ar"/>
                    </w:rPr>
                    <w:t>方案内容</w:t>
                  </w:r>
                </w:p>
              </w:tc>
              <w:tc>
                <w:tcPr>
                  <w:tcW w:w="1985" w:type="dxa"/>
                  <w:vAlign w:val="center"/>
                </w:tcPr>
                <w:p w14:paraId="6BEDC2E3">
                  <w:pPr>
                    <w:jc w:val="center"/>
                    <w:rPr>
                      <w:rFonts w:ascii="Times New Roman" w:hAnsi="Times New Roman" w:eastAsia="宋体" w:cs="Times New Roman"/>
                      <w:b/>
                      <w:bCs/>
                      <w:sz w:val="21"/>
                      <w:szCs w:val="21"/>
                      <w:lang w:bidi="ar"/>
                    </w:rPr>
                  </w:pPr>
                  <w:r>
                    <w:rPr>
                      <w:rFonts w:ascii="Times New Roman" w:hAnsi="Times New Roman" w:eastAsia="宋体" w:cs="Times New Roman"/>
                      <w:b/>
                      <w:bCs/>
                      <w:sz w:val="21"/>
                      <w:szCs w:val="21"/>
                      <w:lang w:bidi="ar"/>
                    </w:rPr>
                    <w:t>项目情况</w:t>
                  </w:r>
                </w:p>
              </w:tc>
              <w:tc>
                <w:tcPr>
                  <w:tcW w:w="924" w:type="dxa"/>
                  <w:vAlign w:val="center"/>
                </w:tcPr>
                <w:p w14:paraId="42F0E364">
                  <w:pPr>
                    <w:jc w:val="center"/>
                    <w:rPr>
                      <w:rFonts w:ascii="Times New Roman" w:hAnsi="Times New Roman" w:eastAsia="宋体" w:cs="Times New Roman"/>
                      <w:b/>
                      <w:bCs/>
                      <w:sz w:val="21"/>
                      <w:szCs w:val="21"/>
                      <w:lang w:bidi="ar"/>
                    </w:rPr>
                  </w:pPr>
                  <w:r>
                    <w:rPr>
                      <w:rFonts w:ascii="Times New Roman" w:hAnsi="Times New Roman" w:eastAsia="宋体" w:cs="Times New Roman"/>
                      <w:b/>
                      <w:bCs/>
                      <w:sz w:val="21"/>
                      <w:szCs w:val="21"/>
                      <w:lang w:bidi="ar"/>
                    </w:rPr>
                    <w:t>相符性</w:t>
                  </w:r>
                </w:p>
              </w:tc>
            </w:tr>
            <w:tr w14:paraId="333F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dxa"/>
                  <w:vAlign w:val="center"/>
                </w:tcPr>
                <w:p w14:paraId="72239D56">
                  <w:pPr>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1</w:t>
                  </w:r>
                </w:p>
              </w:tc>
              <w:tc>
                <w:tcPr>
                  <w:tcW w:w="2568" w:type="dxa"/>
                  <w:vAlign w:val="center"/>
                </w:tcPr>
                <w:p w14:paraId="20A95870">
                  <w:pPr>
                    <w:autoSpaceDE w:val="0"/>
                    <w:autoSpaceDN w:val="0"/>
                    <w:adjustRightInd w:val="0"/>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重点行业绿色升级工程。以钢铁、有色金属、建材、石化化工等行业为重点，推进节能改造和污染物深度治理。推广高效精馏系统、高温高压干熄焦、富氧强化熔炼等节能技术，鼓励将高炉—转炉长流程炼钢转型为电炉短流程炼钢。推进钢铁、水泥、焦化行业及燃煤锅炉超低排放改造，到2025年，完成5.3亿吨钢铁产能超低排放改造，大气污染防治重点区域燃煤锅炉全面实现超低排放</w:t>
                  </w:r>
                </w:p>
              </w:tc>
              <w:tc>
                <w:tcPr>
                  <w:tcW w:w="1985" w:type="dxa"/>
                  <w:vAlign w:val="center"/>
                </w:tcPr>
                <w:p w14:paraId="1946B14F">
                  <w:pPr>
                    <w:jc w:val="center"/>
                    <w:rPr>
                      <w:rFonts w:ascii="Times New Roman" w:hAnsi="Times New Roman" w:eastAsia="宋体" w:cs="Times New Roman"/>
                      <w:sz w:val="21"/>
                      <w:szCs w:val="21"/>
                      <w:lang w:bidi="ar"/>
                    </w:rPr>
                  </w:pPr>
                  <w:r>
                    <w:rPr>
                      <w:rFonts w:hint="eastAsia" w:ascii="Times New Roman" w:hAnsi="Times New Roman" w:eastAsia="宋体" w:cs="Times New Roman"/>
                      <w:sz w:val="21"/>
                      <w:szCs w:val="21"/>
                      <w:lang w:bidi="ar"/>
                    </w:rPr>
                    <w:t>本项目为</w:t>
                  </w:r>
                  <w:r>
                    <w:rPr>
                      <w:rFonts w:hint="eastAsia" w:cs="Times New Roman"/>
                      <w:sz w:val="21"/>
                      <w:szCs w:val="21"/>
                      <w:lang w:eastAsia="zh-CN" w:bidi="ar"/>
                    </w:rPr>
                    <w:t>木制容器制造</w:t>
                  </w:r>
                  <w:r>
                    <w:rPr>
                      <w:rFonts w:hint="eastAsia" w:ascii="Times New Roman" w:hAnsi="Times New Roman" w:eastAsia="宋体" w:cs="Times New Roman"/>
                      <w:sz w:val="21"/>
                      <w:szCs w:val="21"/>
                      <w:lang w:bidi="ar"/>
                    </w:rPr>
                    <w:t>，不属于上述行业</w:t>
                  </w:r>
                </w:p>
              </w:tc>
              <w:tc>
                <w:tcPr>
                  <w:tcW w:w="924" w:type="dxa"/>
                  <w:vAlign w:val="center"/>
                </w:tcPr>
                <w:p w14:paraId="4067D689">
                  <w:pPr>
                    <w:jc w:val="center"/>
                    <w:rPr>
                      <w:rFonts w:ascii="Times New Roman" w:hAnsi="Times New Roman" w:eastAsia="宋体" w:cs="Times New Roman"/>
                      <w:sz w:val="21"/>
                      <w:szCs w:val="21"/>
                      <w:lang w:bidi="ar"/>
                    </w:rPr>
                  </w:pPr>
                  <w:r>
                    <w:rPr>
                      <w:rFonts w:hint="eastAsia" w:ascii="Times New Roman" w:hAnsi="Times New Roman" w:eastAsia="宋体" w:cs="Times New Roman"/>
                      <w:sz w:val="21"/>
                      <w:szCs w:val="21"/>
                      <w:lang w:bidi="ar"/>
                    </w:rPr>
                    <w:t>相符</w:t>
                  </w:r>
                </w:p>
              </w:tc>
            </w:tr>
            <w:tr w14:paraId="0E49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dxa"/>
                  <w:vAlign w:val="center"/>
                </w:tcPr>
                <w:p w14:paraId="04728900">
                  <w:pPr>
                    <w:jc w:val="center"/>
                    <w:rPr>
                      <w:rFonts w:ascii="Times New Roman" w:hAnsi="Times New Roman" w:eastAsia="宋体" w:cs="Times New Roman"/>
                      <w:sz w:val="21"/>
                      <w:szCs w:val="21"/>
                      <w:lang w:bidi="ar"/>
                    </w:rPr>
                  </w:pPr>
                  <w:r>
                    <w:rPr>
                      <w:rFonts w:hint="eastAsia" w:ascii="Times New Roman" w:hAnsi="Times New Roman" w:eastAsia="宋体" w:cs="Times New Roman"/>
                      <w:sz w:val="21"/>
                      <w:szCs w:val="21"/>
                      <w:lang w:bidi="ar"/>
                    </w:rPr>
                    <w:t>2</w:t>
                  </w:r>
                </w:p>
              </w:tc>
              <w:tc>
                <w:tcPr>
                  <w:tcW w:w="2568" w:type="dxa"/>
                  <w:vAlign w:val="center"/>
                </w:tcPr>
                <w:p w14:paraId="0691AEF2">
                  <w:pPr>
                    <w:autoSpaceDE w:val="0"/>
                    <w:autoSpaceDN w:val="0"/>
                    <w:adjustRightInd w:val="0"/>
                    <w:jc w:val="center"/>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园区节能环保提升工程。引导工业企业向园区集聚，推动工业园区能源系统整体优化和污染综合整治，鼓励工业企业、园区优先利用可再生能源。以省级以上工业园区为重点，推进供热、供电、污水处理、中水回用等公共基础设施共建共享，对进水浓度异常的污水处理厂开展片区管网系统化整治，加强一般固体废物、危险废物集中贮存和处置，推动挥发性有机物、电镀废水及特征污染物集中治理等</w:t>
                  </w:r>
                  <w:r>
                    <w:rPr>
                      <w:rFonts w:hint="eastAsia" w:ascii="Times New Roman" w:hAnsi="Times New Roman" w:eastAsia="宋体" w:cs="Times New Roman"/>
                      <w:kern w:val="0"/>
                      <w:sz w:val="21"/>
                      <w:szCs w:val="21"/>
                      <w:lang w:eastAsia="zh-CN" w:bidi="ar"/>
                    </w:rPr>
                    <w:t>“</w:t>
                  </w:r>
                  <w:r>
                    <w:rPr>
                      <w:rFonts w:ascii="Times New Roman" w:hAnsi="Times New Roman" w:eastAsia="宋体" w:cs="Times New Roman"/>
                      <w:kern w:val="0"/>
                      <w:sz w:val="21"/>
                      <w:szCs w:val="21"/>
                      <w:lang w:bidi="ar"/>
                    </w:rPr>
                    <w:t>绿岛</w:t>
                  </w:r>
                  <w:r>
                    <w:rPr>
                      <w:rFonts w:hint="eastAsia" w:ascii="Times New Roman" w:hAnsi="Times New Roman" w:eastAsia="宋体" w:cs="Times New Roman"/>
                      <w:kern w:val="0"/>
                      <w:sz w:val="21"/>
                      <w:szCs w:val="21"/>
                      <w:lang w:eastAsia="zh-CN" w:bidi="ar"/>
                    </w:rPr>
                    <w:t>”</w:t>
                  </w:r>
                  <w:r>
                    <w:rPr>
                      <w:rFonts w:ascii="Times New Roman" w:hAnsi="Times New Roman" w:eastAsia="宋体" w:cs="Times New Roman"/>
                      <w:kern w:val="0"/>
                      <w:sz w:val="21"/>
                      <w:szCs w:val="21"/>
                      <w:lang w:bidi="ar"/>
                    </w:rPr>
                    <w:t>项目建设。到2025年，建成一批节能环保示范园区</w:t>
                  </w:r>
                </w:p>
              </w:tc>
              <w:tc>
                <w:tcPr>
                  <w:tcW w:w="1985" w:type="dxa"/>
                  <w:vAlign w:val="center"/>
                </w:tcPr>
                <w:p w14:paraId="6C29B252">
                  <w:pPr>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项目位于</w:t>
                  </w:r>
                  <w:r>
                    <w:rPr>
                      <w:rFonts w:hint="eastAsia" w:ascii="Times New Roman" w:hAnsi="Times New Roman" w:eastAsia="宋体" w:cs="Times New Roman"/>
                      <w:sz w:val="21"/>
                      <w:szCs w:val="21"/>
                      <w:lang w:val="en-US" w:eastAsia="zh-CN" w:bidi="ar"/>
                    </w:rPr>
                    <w:t>泗县</w:t>
                  </w:r>
                  <w:r>
                    <w:rPr>
                      <w:rFonts w:ascii="Times New Roman" w:hAnsi="Times New Roman" w:eastAsia="宋体" w:cs="Times New Roman"/>
                      <w:sz w:val="21"/>
                      <w:szCs w:val="21"/>
                      <w:lang w:bidi="ar"/>
                    </w:rPr>
                    <w:t>经济</w:t>
                  </w:r>
                  <w:r>
                    <w:rPr>
                      <w:rFonts w:ascii="Times New Roman" w:hAnsi="Times New Roman" w:eastAsia="宋体" w:cs="Times New Roman"/>
                      <w:color w:val="auto"/>
                      <w:sz w:val="21"/>
                      <w:szCs w:val="21"/>
                      <w:lang w:bidi="ar"/>
                    </w:rPr>
                    <w:t>开发区</w:t>
                  </w:r>
                  <w:r>
                    <w:rPr>
                      <w:rFonts w:hint="eastAsia" w:ascii="Times New Roman" w:hAnsi="Times New Roman" w:eastAsia="宋体" w:cs="Times New Roman"/>
                      <w:color w:val="auto"/>
                      <w:sz w:val="21"/>
                      <w:szCs w:val="21"/>
                      <w:lang w:bidi="ar"/>
                    </w:rPr>
                    <w:t>内</w:t>
                  </w:r>
                  <w:r>
                    <w:rPr>
                      <w:rFonts w:ascii="Times New Roman" w:hAnsi="Times New Roman" w:eastAsia="宋体" w:cs="Times New Roman"/>
                      <w:color w:val="auto"/>
                      <w:sz w:val="21"/>
                      <w:szCs w:val="21"/>
                      <w:lang w:bidi="ar"/>
                    </w:rPr>
                    <w:t>，不属于</w:t>
                  </w:r>
                  <w:r>
                    <w:rPr>
                      <w:rFonts w:hint="eastAsia" w:ascii="Times New Roman" w:hAnsi="Times New Roman" w:eastAsia="宋体" w:cs="Times New Roman"/>
                      <w:color w:val="auto"/>
                      <w:sz w:val="21"/>
                      <w:szCs w:val="21"/>
                      <w:lang w:bidi="ar"/>
                    </w:rPr>
                    <w:t>“</w:t>
                  </w:r>
                  <w:r>
                    <w:rPr>
                      <w:rFonts w:ascii="Times New Roman" w:hAnsi="Times New Roman" w:eastAsia="宋体" w:cs="Times New Roman"/>
                      <w:color w:val="auto"/>
                      <w:sz w:val="21"/>
                      <w:szCs w:val="21"/>
                      <w:lang w:bidi="ar"/>
                    </w:rPr>
                    <w:t>散乱污</w:t>
                  </w:r>
                  <w:r>
                    <w:rPr>
                      <w:rFonts w:hint="eastAsia" w:ascii="Times New Roman" w:hAnsi="Times New Roman" w:eastAsia="宋体" w:cs="Times New Roman"/>
                      <w:color w:val="auto"/>
                      <w:sz w:val="21"/>
                      <w:szCs w:val="21"/>
                      <w:lang w:bidi="ar"/>
                    </w:rPr>
                    <w:t>”</w:t>
                  </w:r>
                  <w:r>
                    <w:rPr>
                      <w:rFonts w:ascii="Times New Roman" w:hAnsi="Times New Roman" w:eastAsia="宋体" w:cs="Times New Roman"/>
                      <w:color w:val="auto"/>
                      <w:sz w:val="21"/>
                      <w:szCs w:val="21"/>
                      <w:lang w:bidi="ar"/>
                    </w:rPr>
                    <w:t>企业</w:t>
                  </w:r>
                  <w:r>
                    <w:rPr>
                      <w:rFonts w:hint="eastAsia" w:ascii="Times New Roman" w:hAnsi="Times New Roman" w:eastAsia="宋体" w:cs="Times New Roman"/>
                      <w:color w:val="auto"/>
                      <w:sz w:val="21"/>
                      <w:szCs w:val="21"/>
                      <w:lang w:bidi="ar"/>
                    </w:rPr>
                    <w:t>，项目产生的生活污水经化粪池处理</w:t>
                  </w:r>
                  <w:r>
                    <w:rPr>
                      <w:rFonts w:hint="eastAsia" w:cs="Times New Roman"/>
                      <w:color w:val="auto"/>
                      <w:sz w:val="21"/>
                      <w:szCs w:val="21"/>
                      <w:lang w:val="en-US" w:eastAsia="zh-CN" w:bidi="ar"/>
                    </w:rPr>
                    <w:t>后</w:t>
                  </w:r>
                  <w:r>
                    <w:rPr>
                      <w:rFonts w:hint="eastAsia" w:ascii="Times New Roman" w:hAnsi="Times New Roman" w:eastAsia="宋体" w:cs="Times New Roman"/>
                      <w:color w:val="auto"/>
                      <w:sz w:val="21"/>
                      <w:szCs w:val="21"/>
                      <w:lang w:eastAsia="zh-CN" w:bidi="ar"/>
                    </w:rPr>
                    <w:t>，</w:t>
                  </w:r>
                  <w:r>
                    <w:rPr>
                      <w:rFonts w:hint="eastAsia" w:ascii="Times New Roman" w:hAnsi="Times New Roman" w:eastAsia="宋体" w:cs="Times New Roman"/>
                      <w:color w:val="auto"/>
                      <w:sz w:val="21"/>
                      <w:szCs w:val="21"/>
                      <w:lang w:val="en-US" w:eastAsia="zh-CN" w:bidi="ar"/>
                    </w:rPr>
                    <w:t>废水</w:t>
                  </w:r>
                  <w:r>
                    <w:rPr>
                      <w:rFonts w:hint="eastAsia" w:ascii="Times New Roman" w:hAnsi="Times New Roman" w:eastAsia="宋体" w:cs="Times New Roman"/>
                      <w:color w:val="auto"/>
                      <w:sz w:val="21"/>
                      <w:szCs w:val="21"/>
                      <w:lang w:bidi="ar"/>
                    </w:rPr>
                    <w:t>经污水管网排入</w:t>
                  </w:r>
                  <w:r>
                    <w:rPr>
                      <w:rFonts w:hint="eastAsia" w:ascii="Times New Roman" w:hAnsi="Times New Roman" w:eastAsia="宋体" w:cs="Times New Roman"/>
                      <w:color w:val="auto"/>
                      <w:sz w:val="21"/>
                      <w:szCs w:val="21"/>
                      <w:lang w:val="en-US" w:eastAsia="zh-CN" w:bidi="ar"/>
                    </w:rPr>
                    <w:t>泗县工业污水处理厂</w:t>
                  </w:r>
                  <w:r>
                    <w:rPr>
                      <w:rFonts w:hint="eastAsia" w:ascii="Times New Roman" w:hAnsi="Times New Roman" w:eastAsia="宋体" w:cs="Times New Roman"/>
                      <w:color w:val="auto"/>
                      <w:sz w:val="21"/>
                      <w:szCs w:val="21"/>
                      <w:lang w:bidi="ar"/>
                    </w:rPr>
                    <w:t>进一步处理</w:t>
                  </w:r>
                </w:p>
              </w:tc>
              <w:tc>
                <w:tcPr>
                  <w:tcW w:w="924" w:type="dxa"/>
                  <w:vAlign w:val="center"/>
                </w:tcPr>
                <w:p w14:paraId="737FB13F">
                  <w:pPr>
                    <w:jc w:val="center"/>
                    <w:rPr>
                      <w:rFonts w:ascii="Times New Roman" w:hAnsi="Times New Roman" w:eastAsia="宋体" w:cs="Times New Roman"/>
                      <w:sz w:val="21"/>
                      <w:szCs w:val="21"/>
                      <w:lang w:bidi="ar"/>
                    </w:rPr>
                  </w:pPr>
                  <w:r>
                    <w:rPr>
                      <w:rFonts w:hint="eastAsia" w:ascii="Times New Roman" w:hAnsi="Times New Roman" w:eastAsia="宋体" w:cs="Times New Roman"/>
                      <w:sz w:val="21"/>
                      <w:szCs w:val="21"/>
                      <w:lang w:bidi="ar"/>
                    </w:rPr>
                    <w:t>相符</w:t>
                  </w:r>
                </w:p>
              </w:tc>
            </w:tr>
          </w:tbl>
          <w:p w14:paraId="1131FA7A">
            <w:pPr>
              <w:adjustRightInd w:val="0"/>
              <w:snapToGrid w:val="0"/>
              <w:spacing w:before="120" w:beforeLines="50" w:line="360" w:lineRule="auto"/>
              <w:ind w:firstLine="482" w:firstLineChars="200"/>
              <w:jc w:val="left"/>
              <w:rPr>
                <w:rFonts w:ascii="Times New Roman" w:hAnsi="Times New Roman" w:eastAsia="宋体" w:cs="Times New Roman"/>
                <w:b/>
                <w:bCs/>
                <w:spacing w:val="0"/>
                <w:sz w:val="24"/>
              </w:rPr>
            </w:pPr>
            <w:r>
              <w:rPr>
                <w:rFonts w:hint="eastAsia" w:ascii="Times New Roman" w:hAnsi="Times New Roman" w:eastAsia="宋体" w:cs="Times New Roman"/>
                <w:b/>
                <w:bCs/>
                <w:spacing w:val="0"/>
                <w:sz w:val="24"/>
              </w:rPr>
              <w:t>（</w:t>
            </w:r>
            <w:r>
              <w:rPr>
                <w:rFonts w:hint="eastAsia" w:ascii="Times New Roman" w:hAnsi="Times New Roman" w:eastAsia="宋体" w:cs="Times New Roman"/>
                <w:b/>
                <w:bCs/>
                <w:spacing w:val="0"/>
                <w:sz w:val="24"/>
                <w:lang w:val="en-US" w:eastAsia="zh-CN"/>
              </w:rPr>
              <w:t>2</w:t>
            </w:r>
            <w:r>
              <w:rPr>
                <w:rFonts w:hint="eastAsia" w:ascii="Times New Roman" w:hAnsi="Times New Roman" w:eastAsia="宋体" w:cs="Times New Roman"/>
                <w:b/>
                <w:bCs/>
                <w:spacing w:val="0"/>
                <w:sz w:val="24"/>
              </w:rPr>
              <w:t>）与《</w:t>
            </w:r>
            <w:r>
              <w:rPr>
                <w:rFonts w:ascii="Helvetica" w:hAnsi="Helvetica" w:eastAsia="Helvetica" w:cs="Helvetica"/>
                <w:b/>
                <w:bCs/>
                <w:spacing w:val="0"/>
                <w:sz w:val="24"/>
                <w:shd w:val="clear" w:color="auto" w:fill="FFFFFF"/>
              </w:rPr>
              <w:t>安徽省</w:t>
            </w:r>
            <w:r>
              <w:rPr>
                <w:rFonts w:hint="eastAsia" w:ascii="Helvetica" w:hAnsi="Helvetica" w:eastAsia="宋体" w:cs="Helvetica"/>
                <w:b/>
                <w:bCs/>
                <w:spacing w:val="0"/>
                <w:sz w:val="24"/>
                <w:shd w:val="clear" w:color="auto" w:fill="FFFFFF"/>
              </w:rPr>
              <w:t>“</w:t>
            </w:r>
            <w:r>
              <w:rPr>
                <w:rFonts w:ascii="Helvetica" w:hAnsi="Helvetica" w:eastAsia="Helvetica" w:cs="Helvetica"/>
                <w:b/>
                <w:bCs/>
                <w:spacing w:val="0"/>
                <w:sz w:val="24"/>
                <w:shd w:val="clear" w:color="auto" w:fill="FFFFFF"/>
              </w:rPr>
              <w:t>三线一单</w:t>
            </w:r>
            <w:r>
              <w:rPr>
                <w:rFonts w:hint="eastAsia" w:ascii="Helvetica" w:hAnsi="Helvetica" w:eastAsia="宋体" w:cs="Helvetica"/>
                <w:b/>
                <w:bCs/>
                <w:spacing w:val="0"/>
                <w:sz w:val="24"/>
                <w:shd w:val="clear" w:color="auto" w:fill="FFFFFF"/>
              </w:rPr>
              <w:t>”</w:t>
            </w:r>
            <w:r>
              <w:rPr>
                <w:rFonts w:ascii="Helvetica" w:hAnsi="Helvetica" w:eastAsia="Helvetica" w:cs="Helvetica"/>
                <w:b/>
                <w:bCs/>
                <w:spacing w:val="0"/>
                <w:sz w:val="24"/>
                <w:shd w:val="clear" w:color="auto" w:fill="FFFFFF"/>
              </w:rPr>
              <w:t>生态环境分区管控管理办法（暂行）</w:t>
            </w:r>
            <w:r>
              <w:rPr>
                <w:rFonts w:hint="eastAsia" w:ascii="Times New Roman" w:hAnsi="Times New Roman" w:eastAsia="宋体" w:cs="Times New Roman"/>
                <w:b/>
                <w:bCs/>
                <w:spacing w:val="0"/>
                <w:sz w:val="24"/>
              </w:rPr>
              <w:t>》相符性分析</w:t>
            </w:r>
          </w:p>
          <w:p w14:paraId="0DB1A997">
            <w:pPr>
              <w:jc w:val="center"/>
              <w:outlineLvl w:val="0"/>
              <w:rPr>
                <w:rFonts w:ascii="Times New Roman" w:hAnsi="Times New Roman" w:eastAsia="宋体" w:cs="Times New Roman"/>
                <w:b/>
                <w:bCs/>
              </w:rPr>
            </w:pPr>
            <w:r>
              <w:rPr>
                <w:rFonts w:hint="eastAsia" w:ascii="Times New Roman" w:hAnsi="Times New Roman" w:eastAsia="宋体" w:cs="Times New Roman"/>
                <w:b/>
                <w:bCs/>
              </w:rPr>
              <w:t>表1</w:t>
            </w:r>
            <w:r>
              <w:rPr>
                <w:rFonts w:hint="eastAsia" w:ascii="Times New Roman" w:hAnsi="Times New Roman" w:eastAsia="宋体" w:cs="Times New Roman"/>
                <w:b/>
                <w:bCs/>
                <w:lang w:val="en-US" w:eastAsia="zh-CN"/>
              </w:rPr>
              <w:t>-5</w:t>
            </w:r>
            <w:r>
              <w:rPr>
                <w:rFonts w:hint="eastAsia" w:ascii="Times New Roman" w:hAnsi="Times New Roman" w:eastAsia="宋体" w:cs="Times New Roman"/>
                <w:b/>
                <w:bCs/>
              </w:rPr>
              <w:t xml:space="preserve">  与《</w:t>
            </w:r>
            <w:r>
              <w:rPr>
                <w:rFonts w:ascii="Helvetica" w:hAnsi="Helvetica" w:eastAsia="Helvetica" w:cs="Helvetica"/>
                <w:b/>
                <w:bCs/>
                <w:spacing w:val="8"/>
                <w:shd w:val="clear" w:color="auto" w:fill="FFFFFF"/>
              </w:rPr>
              <w:t>安徽省“三线一单”生态环境分区管控管理办法（暂行）</w:t>
            </w:r>
            <w:r>
              <w:rPr>
                <w:rFonts w:hint="eastAsia" w:ascii="Times New Roman" w:hAnsi="Times New Roman" w:eastAsia="宋体" w:cs="Times New Roman"/>
                <w:b/>
                <w:bCs/>
              </w:rPr>
              <w:t>》相符性分析一览表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3343"/>
              <w:gridCol w:w="710"/>
            </w:tblGrid>
            <w:tr w14:paraId="1C14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3" w:type="pct"/>
                  <w:vAlign w:val="center"/>
                </w:tcPr>
                <w:p w14:paraId="439F03A8">
                  <w:pPr>
                    <w:jc w:val="center"/>
                    <w:rPr>
                      <w:rFonts w:ascii="Times New Roman" w:hAnsi="Times New Roman" w:eastAsia="宋体" w:cs="Times New Roman"/>
                      <w:b/>
                      <w:bCs/>
                      <w:sz w:val="21"/>
                      <w:szCs w:val="21"/>
                      <w:lang w:bidi="ar"/>
                    </w:rPr>
                  </w:pPr>
                  <w:r>
                    <w:rPr>
                      <w:rFonts w:hint="eastAsia" w:ascii="宋体" w:hAnsi="宋体" w:eastAsia="宋体" w:cs="宋体"/>
                      <w:b/>
                      <w:bCs/>
                      <w:sz w:val="21"/>
                      <w:szCs w:val="21"/>
                      <w:lang w:bidi="ar"/>
                    </w:rPr>
                    <w:t>文件内容</w:t>
                  </w:r>
                </w:p>
              </w:tc>
              <w:tc>
                <w:tcPr>
                  <w:tcW w:w="2669" w:type="pct"/>
                  <w:vAlign w:val="center"/>
                </w:tcPr>
                <w:p w14:paraId="146FEFB7">
                  <w:pPr>
                    <w:jc w:val="center"/>
                    <w:rPr>
                      <w:rFonts w:ascii="Times New Roman" w:hAnsi="Times New Roman" w:eastAsia="宋体" w:cs="Times New Roman"/>
                      <w:b/>
                      <w:bCs/>
                      <w:sz w:val="21"/>
                      <w:szCs w:val="21"/>
                      <w:lang w:bidi="ar"/>
                    </w:rPr>
                  </w:pPr>
                  <w:r>
                    <w:rPr>
                      <w:rFonts w:hint="eastAsia" w:ascii="Times New Roman" w:hAnsi="Times New Roman" w:eastAsia="宋体" w:cs="Times New Roman"/>
                      <w:b/>
                      <w:bCs/>
                      <w:sz w:val="21"/>
                      <w:szCs w:val="21"/>
                      <w:lang w:bidi="ar"/>
                    </w:rPr>
                    <w:t>本</w:t>
                  </w:r>
                  <w:r>
                    <w:rPr>
                      <w:rFonts w:ascii="Times New Roman" w:hAnsi="Times New Roman" w:eastAsia="宋体" w:cs="Times New Roman"/>
                      <w:b/>
                      <w:bCs/>
                      <w:sz w:val="21"/>
                      <w:szCs w:val="21"/>
                      <w:lang w:bidi="ar"/>
                    </w:rPr>
                    <w:t>项目情况</w:t>
                  </w:r>
                </w:p>
              </w:tc>
              <w:tc>
                <w:tcPr>
                  <w:tcW w:w="567" w:type="pct"/>
                  <w:vAlign w:val="center"/>
                </w:tcPr>
                <w:p w14:paraId="287766B2">
                  <w:pPr>
                    <w:jc w:val="center"/>
                    <w:rPr>
                      <w:rFonts w:ascii="Times New Roman" w:hAnsi="Times New Roman" w:eastAsia="宋体" w:cs="Times New Roman"/>
                      <w:b/>
                      <w:bCs/>
                      <w:sz w:val="21"/>
                      <w:szCs w:val="21"/>
                      <w:lang w:bidi="ar"/>
                    </w:rPr>
                  </w:pPr>
                  <w:r>
                    <w:rPr>
                      <w:rFonts w:ascii="Times New Roman" w:hAnsi="Times New Roman" w:eastAsia="宋体" w:cs="Times New Roman"/>
                      <w:b/>
                      <w:bCs/>
                      <w:sz w:val="21"/>
                      <w:szCs w:val="21"/>
                      <w:lang w:bidi="ar"/>
                    </w:rPr>
                    <w:t>相符性</w:t>
                  </w:r>
                </w:p>
              </w:tc>
            </w:tr>
            <w:tr w14:paraId="2C49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3" w:type="pct"/>
                  <w:vAlign w:val="center"/>
                </w:tcPr>
                <w:p w14:paraId="1ECECD7D">
                  <w:pPr>
                    <w:jc w:val="center"/>
                    <w:rPr>
                      <w:rFonts w:ascii="Times New Roman" w:hAnsi="Times New Roman" w:eastAsia="宋体" w:cs="Times New Roman"/>
                      <w:sz w:val="21"/>
                      <w:szCs w:val="21"/>
                    </w:rPr>
                  </w:pPr>
                  <w:r>
                    <w:rPr>
                      <w:rFonts w:hint="eastAsia" w:ascii="宋体" w:hAnsi="宋体" w:eastAsia="宋体" w:cs="宋体"/>
                      <w:sz w:val="21"/>
                      <w:szCs w:val="21"/>
                      <w:shd w:val="clear" w:color="auto" w:fill="FFFFFF"/>
                    </w:rPr>
                    <w:t>在建设项目环评中，做好与“三线一单”生态环境分区管控相符性分析，充分论证是否符合生态环境准入清单要求，对不符合的依法不予审批。</w:t>
                  </w:r>
                </w:p>
              </w:tc>
              <w:tc>
                <w:tcPr>
                  <w:tcW w:w="2669" w:type="pct"/>
                  <w:vAlign w:val="center"/>
                </w:tcPr>
                <w:p w14:paraId="644062A7">
                  <w:pPr>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本项目为</w:t>
                  </w:r>
                  <w:r>
                    <w:rPr>
                      <w:rFonts w:hint="eastAsia" w:cs="Times New Roman"/>
                      <w:sz w:val="21"/>
                      <w:szCs w:val="21"/>
                      <w:lang w:eastAsia="zh-CN" w:bidi="ar"/>
                    </w:rPr>
                    <w:t>木制容器制造</w:t>
                  </w:r>
                  <w:r>
                    <w:rPr>
                      <w:rFonts w:hint="eastAsia" w:ascii="Times New Roman" w:hAnsi="Times New Roman" w:eastAsia="宋体" w:cs="Times New Roman"/>
                      <w:sz w:val="21"/>
                      <w:szCs w:val="21"/>
                      <w:lang w:bidi="ar"/>
                    </w:rPr>
                    <w:t>，</w:t>
                  </w:r>
                  <w:r>
                    <w:rPr>
                      <w:rFonts w:ascii="Times New Roman" w:hAnsi="Times New Roman" w:eastAsia="宋体" w:cs="Times New Roman"/>
                      <w:sz w:val="21"/>
                      <w:szCs w:val="21"/>
                      <w:lang w:bidi="ar"/>
                    </w:rPr>
                    <w:t>对照《宿州市</w:t>
                  </w:r>
                  <w:r>
                    <w:rPr>
                      <w:rFonts w:hint="eastAsia" w:ascii="Times New Roman" w:hAnsi="Times New Roman" w:eastAsia="宋体" w:cs="Times New Roman"/>
                      <w:sz w:val="21"/>
                      <w:szCs w:val="21"/>
                      <w:lang w:bidi="ar"/>
                    </w:rPr>
                    <w:t>“</w:t>
                  </w:r>
                  <w:r>
                    <w:rPr>
                      <w:rFonts w:ascii="Times New Roman" w:hAnsi="Times New Roman" w:eastAsia="宋体" w:cs="Times New Roman"/>
                      <w:sz w:val="21"/>
                      <w:szCs w:val="21"/>
                      <w:lang w:bidi="ar"/>
                    </w:rPr>
                    <w:t>三线一单</w:t>
                  </w:r>
                  <w:r>
                    <w:rPr>
                      <w:rFonts w:hint="eastAsia" w:ascii="Times New Roman" w:hAnsi="Times New Roman" w:eastAsia="宋体" w:cs="Times New Roman"/>
                      <w:sz w:val="21"/>
                      <w:szCs w:val="21"/>
                      <w:lang w:bidi="ar"/>
                    </w:rPr>
                    <w:t>”</w:t>
                  </w:r>
                  <w:r>
                    <w:rPr>
                      <w:rFonts w:ascii="Times New Roman" w:hAnsi="Times New Roman" w:eastAsia="宋体" w:cs="Times New Roman"/>
                      <w:sz w:val="21"/>
                      <w:szCs w:val="21"/>
                      <w:lang w:bidi="ar"/>
                    </w:rPr>
                    <w:t>生态环境准入清单》中的宿州市生态环境准入清单的准入要求，</w:t>
                  </w:r>
                  <w:r>
                    <w:rPr>
                      <w:rFonts w:hint="eastAsia" w:ascii="Times New Roman" w:hAnsi="Times New Roman" w:eastAsia="宋体" w:cs="Times New Roman"/>
                      <w:sz w:val="21"/>
                      <w:szCs w:val="21"/>
                      <w:lang w:bidi="ar"/>
                    </w:rPr>
                    <w:t>项目</w:t>
                  </w:r>
                  <w:r>
                    <w:rPr>
                      <w:rFonts w:ascii="Times New Roman" w:hAnsi="Times New Roman" w:eastAsia="宋体" w:cs="Times New Roman"/>
                      <w:sz w:val="21"/>
                      <w:szCs w:val="21"/>
                      <w:lang w:bidi="ar"/>
                    </w:rPr>
                    <w:t>不属于禁止开发建设活动和限制开发建设活动，因此，项目的建设符合宿州市生态环境准入清单中的准入要求</w:t>
                  </w:r>
                </w:p>
              </w:tc>
              <w:tc>
                <w:tcPr>
                  <w:tcW w:w="567" w:type="pct"/>
                  <w:vAlign w:val="center"/>
                </w:tcPr>
                <w:p w14:paraId="2472FF18">
                  <w:pPr>
                    <w:jc w:val="center"/>
                    <w:rPr>
                      <w:rFonts w:ascii="Times New Roman" w:hAnsi="Times New Roman" w:eastAsia="宋体" w:cs="Times New Roman"/>
                      <w:sz w:val="21"/>
                      <w:szCs w:val="21"/>
                      <w:lang w:bidi="ar"/>
                    </w:rPr>
                  </w:pPr>
                  <w:r>
                    <w:rPr>
                      <w:rFonts w:ascii="Times New Roman" w:hAnsi="Times New Roman" w:eastAsia="宋体" w:cs="Times New Roman"/>
                      <w:sz w:val="21"/>
                      <w:szCs w:val="21"/>
                      <w:lang w:bidi="ar"/>
                    </w:rPr>
                    <w:t>相符</w:t>
                  </w:r>
                </w:p>
              </w:tc>
            </w:tr>
          </w:tbl>
          <w:p w14:paraId="06AF1B00">
            <w:pPr>
              <w:adjustRightInd w:val="0"/>
              <w:snapToGrid w:val="0"/>
              <w:spacing w:before="120" w:beforeLines="50" w:line="360" w:lineRule="auto"/>
              <w:ind w:firstLine="482"/>
              <w:jc w:val="left"/>
              <w:rPr>
                <w:rFonts w:ascii="Times New Roman" w:hAnsi="Times New Roman" w:eastAsia="宋体" w:cs="Times New Roman"/>
                <w:b/>
                <w:bCs/>
                <w:color w:val="auto"/>
                <w:szCs w:val="24"/>
              </w:rPr>
            </w:pPr>
            <w:r>
              <w:rPr>
                <w:rFonts w:hint="eastAsia" w:ascii="Times New Roman" w:hAnsi="Times New Roman" w:eastAsia="宋体" w:cs="Times New Roman"/>
                <w:b/>
                <w:bCs/>
                <w:color w:val="auto"/>
                <w:szCs w:val="24"/>
              </w:rPr>
              <w:t>（</w:t>
            </w:r>
            <w:r>
              <w:rPr>
                <w:rFonts w:hint="eastAsia" w:ascii="Times New Roman" w:hAnsi="Times New Roman" w:eastAsia="宋体" w:cs="Times New Roman"/>
                <w:b/>
                <w:bCs/>
                <w:color w:val="auto"/>
                <w:szCs w:val="24"/>
                <w:lang w:val="en-US" w:eastAsia="zh-CN"/>
              </w:rPr>
              <w:t>3</w:t>
            </w:r>
            <w:r>
              <w:rPr>
                <w:rFonts w:hint="eastAsia" w:ascii="Times New Roman" w:hAnsi="Times New Roman" w:eastAsia="宋体" w:cs="Times New Roman"/>
                <w:b/>
                <w:bCs/>
                <w:color w:val="auto"/>
                <w:szCs w:val="24"/>
              </w:rPr>
              <w:t>）</w:t>
            </w:r>
            <w:r>
              <w:rPr>
                <w:rFonts w:hint="eastAsia" w:ascii="Times New Roman" w:hAnsi="Times New Roman" w:eastAsia="宋体" w:cs="Times New Roman"/>
                <w:b/>
                <w:bCs/>
              </w:rPr>
              <w:t>与《</w:t>
            </w:r>
            <w:r>
              <w:rPr>
                <w:rFonts w:ascii="Helvetica" w:hAnsi="Helvetica" w:eastAsia="Helvetica" w:cs="Helvetica"/>
                <w:b/>
                <w:bCs/>
                <w:spacing w:val="8"/>
                <w:shd w:val="clear" w:color="auto" w:fill="FFFFFF"/>
              </w:rPr>
              <w:t>安徽省“三线一单”生态环境分区管控管理办法（暂行）</w:t>
            </w:r>
            <w:r>
              <w:rPr>
                <w:rFonts w:hint="eastAsia" w:ascii="Times New Roman" w:hAnsi="Times New Roman" w:eastAsia="宋体" w:cs="Times New Roman"/>
                <w:b/>
                <w:bCs/>
              </w:rPr>
              <w:t>》相符性分析</w:t>
            </w:r>
          </w:p>
          <w:p w14:paraId="4876B88F">
            <w:pPr>
              <w:spacing w:line="360" w:lineRule="auto"/>
              <w:ind w:firstLine="480" w:firstLineChars="200"/>
              <w:jc w:val="left"/>
              <w:outlineLvl w:val="0"/>
              <w:rPr>
                <w:rFonts w:hint="eastAsia" w:ascii="Times New Roman" w:hAnsi="Times New Roman" w:eastAsia="宋体" w:cs="Times New Roman"/>
                <w:b w:val="0"/>
                <w:bCs w:val="0"/>
                <w:color w:val="auto"/>
              </w:rPr>
            </w:pPr>
            <w:r>
              <w:rPr>
                <w:rFonts w:hint="eastAsia" w:cs="Times New Roman"/>
                <w:b w:val="0"/>
                <w:bCs w:val="0"/>
                <w:color w:val="auto"/>
                <w:lang w:val="en-US" w:eastAsia="zh-CN"/>
              </w:rPr>
              <w:t>①</w:t>
            </w:r>
            <w:r>
              <w:rPr>
                <w:rFonts w:hint="eastAsia" w:ascii="Times New Roman" w:hAnsi="Times New Roman" w:eastAsia="宋体" w:cs="Times New Roman"/>
                <w:b w:val="0"/>
                <w:bCs w:val="0"/>
                <w:color w:val="auto"/>
              </w:rPr>
              <w:t>在“安徽省三线一单公众服务平台”查询，查询结果为重点管控单元21，管控单元细类为水重点/大气重点，</w:t>
            </w:r>
            <w:r>
              <w:rPr>
                <w:rFonts w:hint="eastAsia" w:cs="Times New Roman"/>
                <w:b w:val="0"/>
                <w:bCs w:val="0"/>
                <w:color w:val="auto"/>
                <w:lang w:val="en-US" w:eastAsia="zh-CN"/>
              </w:rPr>
              <w:t>则</w:t>
            </w:r>
            <w:r>
              <w:rPr>
                <w:rFonts w:hint="eastAsia" w:ascii="Times New Roman" w:hAnsi="Times New Roman" w:eastAsia="宋体" w:cs="Times New Roman"/>
                <w:b w:val="0"/>
                <w:bCs w:val="0"/>
                <w:color w:val="auto"/>
              </w:rPr>
              <w:t>本项目位于大气重点管控区、水环境工业污染重点管控区以及土壤一般管控区（安徽省三线一单公众服务平台查询结果详见附图）。</w:t>
            </w:r>
          </w:p>
          <w:p w14:paraId="3B57A8E1">
            <w:pPr>
              <w:spacing w:line="360" w:lineRule="auto"/>
              <w:ind w:firstLine="480" w:firstLineChars="200"/>
              <w:jc w:val="left"/>
              <w:outlineLvl w:val="0"/>
              <w:rPr>
                <w:rFonts w:hint="eastAsia" w:ascii="Times New Roman" w:hAnsi="Times New Roman" w:eastAsia="宋体" w:cs="Times New Roman"/>
                <w:b w:val="0"/>
                <w:bCs w:val="0"/>
                <w:color w:val="auto"/>
              </w:rPr>
            </w:pPr>
            <w:r>
              <w:rPr>
                <w:rFonts w:hint="eastAsia" w:cs="Times New Roman"/>
                <w:b w:val="0"/>
                <w:bCs w:val="0"/>
                <w:color w:val="auto"/>
                <w:lang w:val="en-US" w:eastAsia="zh-CN"/>
              </w:rPr>
              <w:t>②</w:t>
            </w:r>
            <w:r>
              <w:rPr>
                <w:rFonts w:hint="eastAsia" w:ascii="Times New Roman" w:hAnsi="Times New Roman" w:eastAsia="宋体" w:cs="Times New Roman"/>
                <w:b w:val="0"/>
                <w:bCs w:val="0"/>
                <w:color w:val="auto"/>
              </w:rPr>
              <w:t>根据《宿州市“三线一单”文本》及宿州市大气环境分区管控图、水环境分区管控图、土壤污染风险分区管控图等图件，本项目位于大气重点管控区、水环境工业污染重点管控区以及土壤一般管控区，具体内容见下表以及附图。</w:t>
            </w:r>
          </w:p>
          <w:p w14:paraId="7945B4F7">
            <w:pPr>
              <w:spacing w:line="360" w:lineRule="auto"/>
              <w:ind w:firstLine="480" w:firstLineChars="200"/>
              <w:jc w:val="left"/>
              <w:outlineLvl w:val="0"/>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两种方式查询结果一致，与《安徽省“三线一单”生态环境分区管控管理办法（暂行）》相符性分析如下：</w:t>
            </w:r>
          </w:p>
          <w:p w14:paraId="37518685">
            <w:pPr>
              <w:spacing w:line="240" w:lineRule="auto"/>
              <w:jc w:val="center"/>
              <w:outlineLvl w:val="0"/>
              <w:rPr>
                <w:rFonts w:ascii="Times New Roman" w:hAnsi="Times New Roman" w:eastAsia="宋体" w:cs="Times New Roman"/>
                <w:b/>
                <w:bCs/>
              </w:rPr>
            </w:pPr>
            <w:r>
              <w:rPr>
                <w:rFonts w:ascii="Times New Roman" w:hAnsi="Times New Roman" w:eastAsia="宋体" w:cs="Times New Roman"/>
                <w:b/>
                <w:bCs/>
              </w:rPr>
              <w:t>表</w:t>
            </w:r>
            <w:r>
              <w:rPr>
                <w:rFonts w:hint="eastAsia" w:ascii="Times New Roman" w:hAnsi="Times New Roman" w:eastAsia="宋体" w:cs="Times New Roman"/>
                <w:b/>
                <w:bCs/>
              </w:rPr>
              <w:t>1</w:t>
            </w:r>
            <w:r>
              <w:rPr>
                <w:rFonts w:hint="eastAsia" w:ascii="Times New Roman" w:hAnsi="Times New Roman" w:eastAsia="宋体" w:cs="Times New Roman"/>
                <w:b/>
                <w:bCs/>
                <w:lang w:val="en-US" w:eastAsia="zh-CN"/>
              </w:rPr>
              <w:t>-6</w:t>
            </w:r>
            <w:r>
              <w:rPr>
                <w:rFonts w:ascii="Times New Roman" w:hAnsi="Times New Roman" w:eastAsia="宋体" w:cs="Times New Roman"/>
                <w:b/>
                <w:bCs/>
              </w:rPr>
              <w:t xml:space="preserve"> </w:t>
            </w:r>
            <w:r>
              <w:rPr>
                <w:rFonts w:hint="eastAsia" w:ascii="Times New Roman" w:hAnsi="Times New Roman" w:eastAsia="宋体" w:cs="Times New Roman"/>
                <w:b/>
                <w:bCs/>
              </w:rPr>
              <w:t xml:space="preserve"> 与《</w:t>
            </w:r>
            <w:r>
              <w:rPr>
                <w:rFonts w:ascii="Helvetica" w:hAnsi="Helvetica" w:eastAsia="Helvetica" w:cs="Helvetica"/>
                <w:b/>
                <w:bCs/>
                <w:spacing w:val="8"/>
                <w:shd w:val="clear" w:color="auto" w:fill="FFFFFF"/>
              </w:rPr>
              <w:t>安徽省“三线一单”生态环境分区管控管理办法（暂行）</w:t>
            </w:r>
            <w:r>
              <w:rPr>
                <w:rFonts w:hint="eastAsia" w:ascii="Times New Roman" w:hAnsi="Times New Roman" w:eastAsia="宋体" w:cs="Times New Roman"/>
                <w:b/>
                <w:bCs/>
              </w:rPr>
              <w:t>》相符性分析一览表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426"/>
              <w:gridCol w:w="426"/>
              <w:gridCol w:w="2292"/>
              <w:gridCol w:w="1838"/>
              <w:gridCol w:w="427"/>
            </w:tblGrid>
            <w:tr w14:paraId="3ED1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Align w:val="center"/>
                </w:tcPr>
                <w:p w14:paraId="728A9D91">
                  <w:pPr>
                    <w:adjustRightInd w:val="0"/>
                    <w:snapToGrid w:val="0"/>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分类</w:t>
                  </w:r>
                </w:p>
              </w:tc>
              <w:tc>
                <w:tcPr>
                  <w:tcW w:w="852" w:type="dxa"/>
                  <w:gridSpan w:val="2"/>
                  <w:vAlign w:val="center"/>
                </w:tcPr>
                <w:p w14:paraId="2FDDD642">
                  <w:pPr>
                    <w:adjustRightInd w:val="0"/>
                    <w:snapToGrid w:val="0"/>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管控</w:t>
                  </w:r>
                </w:p>
              </w:tc>
              <w:tc>
                <w:tcPr>
                  <w:tcW w:w="2292" w:type="dxa"/>
                  <w:vAlign w:val="center"/>
                </w:tcPr>
                <w:p w14:paraId="05D72CE9">
                  <w:pPr>
                    <w:adjustRightInd w:val="0"/>
                    <w:snapToGrid w:val="0"/>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管控要求</w:t>
                  </w:r>
                </w:p>
              </w:tc>
              <w:tc>
                <w:tcPr>
                  <w:tcW w:w="1838" w:type="dxa"/>
                  <w:vAlign w:val="center"/>
                </w:tcPr>
                <w:p w14:paraId="66C7C014">
                  <w:pPr>
                    <w:adjustRightInd w:val="0"/>
                    <w:snapToGrid w:val="0"/>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项目情况</w:t>
                  </w:r>
                </w:p>
              </w:tc>
              <w:tc>
                <w:tcPr>
                  <w:tcW w:w="427" w:type="dxa"/>
                  <w:vAlign w:val="center"/>
                </w:tcPr>
                <w:p w14:paraId="12058810">
                  <w:pPr>
                    <w:adjustRightInd w:val="0"/>
                    <w:snapToGrid w:val="0"/>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符合性</w:t>
                  </w:r>
                </w:p>
              </w:tc>
            </w:tr>
            <w:tr w14:paraId="1F8D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restart"/>
                  <w:vAlign w:val="center"/>
                </w:tcPr>
                <w:p w14:paraId="532B57C6">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大气重点管控区</w:t>
                  </w:r>
                </w:p>
              </w:tc>
              <w:tc>
                <w:tcPr>
                  <w:tcW w:w="426" w:type="dxa"/>
                  <w:vMerge w:val="restart"/>
                  <w:vAlign w:val="center"/>
                </w:tcPr>
                <w:p w14:paraId="5957CB5C">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空间布局约束</w:t>
                  </w:r>
                </w:p>
              </w:tc>
              <w:tc>
                <w:tcPr>
                  <w:tcW w:w="426" w:type="dxa"/>
                  <w:vMerge w:val="restart"/>
                  <w:vAlign w:val="center"/>
                </w:tcPr>
                <w:p w14:paraId="1E7B7763">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禁止开发建设活动的要求</w:t>
                  </w:r>
                </w:p>
              </w:tc>
              <w:tc>
                <w:tcPr>
                  <w:tcW w:w="2292" w:type="dxa"/>
                  <w:vAlign w:val="center"/>
                </w:tcPr>
                <w:p w14:paraId="1E7CF574">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在城市城区及其近郊禁止新建、扩建钢铁、有色、石化、水泥、化工等重污染企业。</w:t>
                  </w:r>
                </w:p>
              </w:tc>
              <w:tc>
                <w:tcPr>
                  <w:tcW w:w="1838" w:type="dxa"/>
                  <w:vAlign w:val="center"/>
                </w:tcPr>
                <w:p w14:paraId="2223BB2E">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sz w:val="21"/>
                      <w:szCs w:val="21"/>
                    </w:rPr>
                    <w:t>本项目位于安徽省宿州市</w:t>
                  </w:r>
                  <w:r>
                    <w:rPr>
                      <w:rFonts w:hint="eastAsia" w:ascii="Times New Roman" w:hAnsi="Times New Roman" w:eastAsia="宋体" w:cs="Times New Roman"/>
                      <w:color w:val="000000"/>
                      <w:sz w:val="21"/>
                      <w:szCs w:val="21"/>
                      <w:lang w:val="en-US" w:eastAsia="zh-CN"/>
                    </w:rPr>
                    <w:t>泗县</w:t>
                  </w:r>
                  <w:r>
                    <w:rPr>
                      <w:rFonts w:ascii="Times New Roman" w:hAnsi="Times New Roman" w:eastAsia="宋体" w:cs="Times New Roman"/>
                      <w:color w:val="000000"/>
                      <w:sz w:val="21"/>
                      <w:szCs w:val="21"/>
                    </w:rPr>
                    <w:t>经济开发区，行业类别</w:t>
                  </w:r>
                  <w:r>
                    <w:rPr>
                      <w:rFonts w:hint="eastAsia" w:cs="Times New Roman"/>
                      <w:color w:val="000000"/>
                      <w:sz w:val="21"/>
                      <w:szCs w:val="21"/>
                      <w:lang w:eastAsia="zh-CN"/>
                    </w:rPr>
                    <w:t>木制容器制造</w:t>
                  </w:r>
                  <w:r>
                    <w:rPr>
                      <w:rFonts w:ascii="Times New Roman" w:hAnsi="Times New Roman" w:eastAsia="宋体" w:cs="Times New Roman"/>
                      <w:color w:val="000000"/>
                      <w:sz w:val="21"/>
                      <w:szCs w:val="21"/>
                    </w:rPr>
                    <w:t>，不属于重污染企业</w:t>
                  </w:r>
                </w:p>
              </w:tc>
              <w:tc>
                <w:tcPr>
                  <w:tcW w:w="427" w:type="dxa"/>
                  <w:vAlign w:val="center"/>
                </w:tcPr>
                <w:p w14:paraId="2E720CE4">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40E9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606ED7E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0CFC5465">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0F0E4C9">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0275C715">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禁止新建燃料类煤气发生炉（园区现有企业统一建设的清洁煤制气中心除外）。</w:t>
                  </w:r>
                </w:p>
              </w:tc>
              <w:tc>
                <w:tcPr>
                  <w:tcW w:w="1838" w:type="dxa"/>
                  <w:vAlign w:val="center"/>
                </w:tcPr>
                <w:p w14:paraId="7A37B4C9">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本项目不建设煤气发生炉</w:t>
                  </w:r>
                </w:p>
              </w:tc>
              <w:tc>
                <w:tcPr>
                  <w:tcW w:w="427" w:type="dxa"/>
                  <w:vAlign w:val="center"/>
                </w:tcPr>
                <w:p w14:paraId="33DAC475">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172C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09645E23">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0B46A36A">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1172782">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2BE7B745">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严禁新增钢铁、焦化、电解铝、铸造、水泥和平板玻璃等产能；严格执行钢铁、水泥、平板玻璃等行业产能置换实施办法。</w:t>
                  </w:r>
                </w:p>
              </w:tc>
              <w:tc>
                <w:tcPr>
                  <w:tcW w:w="1838" w:type="dxa"/>
                  <w:vAlign w:val="center"/>
                </w:tcPr>
                <w:p w14:paraId="50E6EC04">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本项目</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kern w:val="0"/>
                      <w:sz w:val="21"/>
                      <w:szCs w:val="21"/>
                    </w:rPr>
                    <w:t>，不属于上述行业</w:t>
                  </w:r>
                </w:p>
              </w:tc>
              <w:tc>
                <w:tcPr>
                  <w:tcW w:w="427" w:type="dxa"/>
                  <w:vAlign w:val="center"/>
                </w:tcPr>
                <w:p w14:paraId="3E125BA0">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213E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17EA4BF2">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510C107F">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7A716FD">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3D65132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严格执行国家关于</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两高</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产业准入目录和产能总量控制政策措施。严禁新增钢铁、焦化、电解铝、铸造、水泥和平板玻璃等产能；新、改、扩建涉及大宗物料运输的建设项目，原则上不得采用公路运输。</w:t>
                  </w:r>
                </w:p>
              </w:tc>
              <w:tc>
                <w:tcPr>
                  <w:tcW w:w="1838" w:type="dxa"/>
                  <w:vAlign w:val="center"/>
                </w:tcPr>
                <w:p w14:paraId="3A995F1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根据《安徽省</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两高</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项目管理目录（试行）》，</w:t>
                  </w:r>
                  <w:r>
                    <w:rPr>
                      <w:rFonts w:ascii="Times New Roman" w:hAnsi="Times New Roman" w:eastAsia="宋体" w:cs="Times New Roman"/>
                      <w:color w:val="000000"/>
                      <w:sz w:val="21"/>
                      <w:szCs w:val="21"/>
                    </w:rPr>
                    <w:t>本项目行业类别</w:t>
                  </w:r>
                  <w:r>
                    <w:rPr>
                      <w:rFonts w:hint="eastAsia" w:cs="Times New Roman"/>
                      <w:color w:val="000000"/>
                      <w:sz w:val="21"/>
                      <w:szCs w:val="21"/>
                      <w:lang w:eastAsia="zh-CN"/>
                    </w:rPr>
                    <w:t>木制容器制造</w:t>
                  </w:r>
                  <w:r>
                    <w:rPr>
                      <w:rFonts w:ascii="Times New Roman" w:hAnsi="Times New Roman" w:eastAsia="宋体" w:cs="Times New Roman"/>
                      <w:color w:val="000000"/>
                      <w:sz w:val="21"/>
                      <w:szCs w:val="21"/>
                    </w:rPr>
                    <w:t>，不属于其中“两高”行业</w:t>
                  </w:r>
                </w:p>
              </w:tc>
              <w:tc>
                <w:tcPr>
                  <w:tcW w:w="427" w:type="dxa"/>
                  <w:vAlign w:val="center"/>
                </w:tcPr>
                <w:p w14:paraId="167A184E">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6337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19AB65CB">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2587CA6">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36EB6DFA">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22286F6E">
                  <w:pPr>
                    <w:jc w:val="center"/>
                    <w:rPr>
                      <w:rFonts w:ascii="Times New Roman" w:hAnsi="Times New Roman" w:eastAsia="宋体" w:cs="Times New Roman"/>
                      <w:b/>
                      <w:bCs/>
                      <w:color w:val="000000"/>
                      <w:kern w:val="0"/>
                      <w:sz w:val="21"/>
                      <w:szCs w:val="21"/>
                    </w:rPr>
                  </w:pPr>
                  <w:r>
                    <w:rPr>
                      <w:rFonts w:ascii="Times New Roman" w:hAnsi="Times New Roman" w:eastAsia="宋体" w:cs="Times New Roman"/>
                      <w:color w:val="000000"/>
                      <w:kern w:val="0"/>
                      <w:sz w:val="21"/>
                      <w:szCs w:val="21"/>
                    </w:rPr>
                    <w:t>禁止建设生产和使用高VOCs含量的溶剂型涂料、油墨、胶粘剂等项目。</w:t>
                  </w:r>
                </w:p>
              </w:tc>
              <w:tc>
                <w:tcPr>
                  <w:tcW w:w="1838" w:type="dxa"/>
                  <w:vAlign w:val="center"/>
                </w:tcPr>
                <w:p w14:paraId="78AC390B">
                  <w:pPr>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本项目不涉及</w:t>
                  </w:r>
                  <w:r>
                    <w:rPr>
                      <w:rFonts w:ascii="Times New Roman" w:hAnsi="Times New Roman" w:eastAsia="宋体" w:cs="Times New Roman"/>
                      <w:color w:val="000000"/>
                      <w:kern w:val="0"/>
                      <w:sz w:val="21"/>
                      <w:szCs w:val="21"/>
                    </w:rPr>
                    <w:t>溶剂型涂料、油墨、胶粘剂</w:t>
                  </w:r>
                  <w:r>
                    <w:rPr>
                      <w:rFonts w:hint="eastAsia" w:ascii="Times New Roman" w:hAnsi="Times New Roman" w:eastAsia="宋体" w:cs="Times New Roman"/>
                      <w:color w:val="000000"/>
                      <w:kern w:val="0"/>
                      <w:sz w:val="21"/>
                      <w:szCs w:val="21"/>
                      <w:lang w:val="en-US" w:eastAsia="zh-CN"/>
                    </w:rPr>
                    <w:t>的使用</w:t>
                  </w:r>
                </w:p>
              </w:tc>
              <w:tc>
                <w:tcPr>
                  <w:tcW w:w="427" w:type="dxa"/>
                  <w:vAlign w:val="center"/>
                </w:tcPr>
                <w:p w14:paraId="3E7E8C65">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448C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31FFBD67">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0106E69F">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D374CB8">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49C32372">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非电行业新建项目，禁止配套建设自备纯凝、抽凝燃煤电站。</w:t>
                  </w:r>
                </w:p>
              </w:tc>
              <w:tc>
                <w:tcPr>
                  <w:tcW w:w="1838" w:type="dxa"/>
                  <w:vAlign w:val="center"/>
                </w:tcPr>
                <w:p w14:paraId="3F77DC7C">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本项目用电来自园区电网，不配套建设纯凝、抽凝燃煤电站</w:t>
                  </w:r>
                </w:p>
              </w:tc>
              <w:tc>
                <w:tcPr>
                  <w:tcW w:w="427" w:type="dxa"/>
                  <w:vAlign w:val="center"/>
                </w:tcPr>
                <w:p w14:paraId="2A151982">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1404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35D481D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9678F67">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E3DF781">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18466D88">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在城市建成区及居民区、医院、学校等环境敏感区域，严禁现场露天灰土拌合。</w:t>
                  </w:r>
                </w:p>
              </w:tc>
              <w:tc>
                <w:tcPr>
                  <w:tcW w:w="1838" w:type="dxa"/>
                  <w:vAlign w:val="center"/>
                </w:tcPr>
                <w:p w14:paraId="517FDCC6">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施工建设时严格执行《安徽省建筑工程施工扬尘污染防治规定》、《宿州市大气污染专项整治工作行动方案》、《关于严格执行全市城区房屋建筑施工现场扬尘治理六个百分之百标准的通知》中相关要求，不涉及露天灰土拌合</w:t>
                  </w:r>
                </w:p>
              </w:tc>
              <w:tc>
                <w:tcPr>
                  <w:tcW w:w="427" w:type="dxa"/>
                  <w:vAlign w:val="center"/>
                </w:tcPr>
                <w:p w14:paraId="0B66FC64">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6710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7D3F673F">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2E493A1C">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7C8D1B6">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05037AB2">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在城市规划区内禁止新建、扩建大气污染严重的建设项目。</w:t>
                  </w:r>
                </w:p>
              </w:tc>
              <w:tc>
                <w:tcPr>
                  <w:tcW w:w="1838" w:type="dxa"/>
                  <w:vAlign w:val="center"/>
                </w:tcPr>
                <w:p w14:paraId="2C9BB8E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项目产生的废气均采取合理措施处理，并稳定达标排放，不属于废气污染严重的项目</w:t>
                  </w:r>
                </w:p>
              </w:tc>
              <w:tc>
                <w:tcPr>
                  <w:tcW w:w="427" w:type="dxa"/>
                  <w:vAlign w:val="center"/>
                </w:tcPr>
                <w:p w14:paraId="16702602">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5A5F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6E4D3238">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206F56C">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2115D975">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0578B1D7">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禁止高灰分、高硫分煤炭进入市场。新建煤矿应当同步建设煤炭洗选设施，已建成的煤矿所采煤炭属于高灰分、高硫分的，应当在国家和省规定的期限内建成配套的煤炭洗选设施，使煤炭中的灰分、硫分达到规定的标准。</w:t>
                  </w:r>
                </w:p>
              </w:tc>
              <w:tc>
                <w:tcPr>
                  <w:tcW w:w="1838" w:type="dxa"/>
                  <w:vAlign w:val="center"/>
                </w:tcPr>
                <w:p w14:paraId="20F658CF">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kern w:val="0"/>
                      <w:sz w:val="21"/>
                      <w:szCs w:val="21"/>
                    </w:rPr>
                    <w:t>，不涉及高灰分、高硫分煤炭且不涉及煤炭选洗设施</w:t>
                  </w:r>
                </w:p>
              </w:tc>
              <w:tc>
                <w:tcPr>
                  <w:tcW w:w="427" w:type="dxa"/>
                  <w:vAlign w:val="center"/>
                </w:tcPr>
                <w:p w14:paraId="12C72B74">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69BF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03B8DE03">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D305D33">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53C49528">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5E50558D">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禁止在人口集中地区、机场周围、交通干线附近以及当地人民政府划定的区域露天焚烧秸秆、落叶、垃圾等产生烟尘污染的物质。</w:t>
                  </w:r>
                </w:p>
              </w:tc>
              <w:tc>
                <w:tcPr>
                  <w:tcW w:w="1838" w:type="dxa"/>
                  <w:vAlign w:val="center"/>
                </w:tcPr>
                <w:p w14:paraId="6D560D9F">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项目不涉及露天焚烧，且产生的废气均收集处理后达标排放</w:t>
                  </w:r>
                </w:p>
              </w:tc>
              <w:tc>
                <w:tcPr>
                  <w:tcW w:w="427" w:type="dxa"/>
                  <w:vAlign w:val="center"/>
                </w:tcPr>
                <w:p w14:paraId="3273874C">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39C6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51710769">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37EAC29">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EA91989">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343FE221">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在燃气管网和集中供热管网覆盖的区域，不得新建、扩建、改建燃烧煤炭、重油、渣油的供热设施；原有分散的中小型燃煤供热锅炉应当限期拆除。</w:t>
                  </w:r>
                </w:p>
              </w:tc>
              <w:tc>
                <w:tcPr>
                  <w:tcW w:w="1838" w:type="dxa"/>
                  <w:vAlign w:val="center"/>
                </w:tcPr>
                <w:p w14:paraId="0EFF4F0C">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项目主要使用能源为电</w:t>
                  </w:r>
                  <w:r>
                    <w:rPr>
                      <w:rFonts w:hint="eastAsia" w:ascii="Times New Roman" w:hAnsi="Times New Roman" w:eastAsia="宋体" w:cs="Times New Roman"/>
                      <w:color w:val="000000"/>
                      <w:kern w:val="0"/>
                      <w:sz w:val="21"/>
                      <w:szCs w:val="21"/>
                      <w:lang w:eastAsia="zh-CN"/>
                    </w:rPr>
                    <w:t>，</w:t>
                  </w:r>
                  <w:r>
                    <w:rPr>
                      <w:rFonts w:ascii="Times New Roman" w:hAnsi="Times New Roman" w:eastAsia="宋体" w:cs="Times New Roman"/>
                      <w:color w:val="000000"/>
                      <w:kern w:val="0"/>
                      <w:sz w:val="21"/>
                      <w:szCs w:val="21"/>
                    </w:rPr>
                    <w:t>不涉及煤炭锅炉</w:t>
                  </w:r>
                </w:p>
              </w:tc>
              <w:tc>
                <w:tcPr>
                  <w:tcW w:w="427" w:type="dxa"/>
                  <w:vAlign w:val="center"/>
                </w:tcPr>
                <w:p w14:paraId="1DD576E5">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1CE9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76FA7565">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3F1840C6">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8B8EFEE">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149348A4">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禁止在居民住宅楼、未配套设立专用烟道的商住综合楼、商住综合楼内与居住层相邻的商业楼层内新建、改建、扩建产生油烟、异味、废气的饮食服务项目。</w:t>
                  </w:r>
                </w:p>
              </w:tc>
              <w:tc>
                <w:tcPr>
                  <w:tcW w:w="1838" w:type="dxa"/>
                  <w:vAlign w:val="center"/>
                </w:tcPr>
                <w:p w14:paraId="266BEED7">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kern w:val="0"/>
                      <w:sz w:val="21"/>
                      <w:szCs w:val="21"/>
                    </w:rPr>
                    <w:t>，不属于饮食服务项目</w:t>
                  </w:r>
                </w:p>
              </w:tc>
              <w:tc>
                <w:tcPr>
                  <w:tcW w:w="427" w:type="dxa"/>
                  <w:vAlign w:val="center"/>
                </w:tcPr>
                <w:p w14:paraId="0EFE0C8E">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6679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7A59A6A8">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3510529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B1F7713">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278EA597">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任何单位和个人不得在政府划定的禁止露天烧烤区域内露天烧烤食品或者为露天烧烤食品提供场地。</w:t>
                  </w:r>
                </w:p>
              </w:tc>
              <w:tc>
                <w:tcPr>
                  <w:tcW w:w="1838" w:type="dxa"/>
                  <w:vAlign w:val="center"/>
                </w:tcPr>
                <w:p w14:paraId="27626CE1">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本项目不在政府划定的禁止露天烧烤区域内露天烧烤食品或者为露天烧烤食品提供场地</w:t>
                  </w:r>
                </w:p>
              </w:tc>
              <w:tc>
                <w:tcPr>
                  <w:tcW w:w="427" w:type="dxa"/>
                  <w:vAlign w:val="center"/>
                </w:tcPr>
                <w:p w14:paraId="363EA9F6">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6750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06EDCF74">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0E1E88FC">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4045A61">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716E85D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在机关、学校、医院、居民住宅区等人口集中地区和其他依法需要特殊保护的区域内，禁止从事下列生产活动：</w:t>
                  </w:r>
                </w:p>
                <w:p w14:paraId="356F8D42">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（1）橡胶制品生产、经营性喷漆、制骨胶、制骨粉、屠宰、畜禽养殖、生物发酵等产生恶臭、有毒有害气体的生产经营活动；</w:t>
                  </w:r>
                </w:p>
                <w:p w14:paraId="6EDB8F0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（2）露天焚烧油毡、沥青、橡胶、塑料、皮革、垃圾或者其他可能产生恶臭、有毒有害气体的活动。</w:t>
                  </w:r>
                </w:p>
              </w:tc>
              <w:tc>
                <w:tcPr>
                  <w:tcW w:w="1838" w:type="dxa"/>
                  <w:vAlign w:val="center"/>
                </w:tcPr>
                <w:p w14:paraId="74757357">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项目位于安徽省宿州市</w:t>
                  </w:r>
                  <w:r>
                    <w:rPr>
                      <w:rFonts w:hint="eastAsia" w:ascii="Times New Roman" w:hAnsi="Times New Roman" w:eastAsia="宋体" w:cs="Times New Roman"/>
                      <w:color w:val="000000"/>
                      <w:kern w:val="0"/>
                      <w:sz w:val="21"/>
                      <w:szCs w:val="21"/>
                      <w:lang w:val="en-US" w:eastAsia="zh-CN"/>
                    </w:rPr>
                    <w:t>泗县</w:t>
                  </w:r>
                  <w:r>
                    <w:rPr>
                      <w:rFonts w:ascii="Times New Roman" w:hAnsi="Times New Roman" w:eastAsia="宋体" w:cs="Times New Roman"/>
                      <w:color w:val="000000"/>
                      <w:kern w:val="0"/>
                      <w:sz w:val="21"/>
                      <w:szCs w:val="21"/>
                    </w:rPr>
                    <w:t>经济开发区，</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kern w:val="0"/>
                      <w:sz w:val="21"/>
                      <w:szCs w:val="21"/>
                    </w:rPr>
                    <w:t>，不涉及以上生产活动</w:t>
                  </w:r>
                </w:p>
              </w:tc>
              <w:tc>
                <w:tcPr>
                  <w:tcW w:w="427" w:type="dxa"/>
                  <w:vAlign w:val="center"/>
                </w:tcPr>
                <w:p w14:paraId="0E808C2D">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4ED4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386E52C9">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3AA6B36">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5968FB2">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484682AF">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在城市建成区，禁止新建 VOCs高污染企业。</w:t>
                  </w:r>
                </w:p>
              </w:tc>
              <w:tc>
                <w:tcPr>
                  <w:tcW w:w="1838" w:type="dxa"/>
                  <w:vAlign w:val="center"/>
                </w:tcPr>
                <w:p w14:paraId="001FBDD7">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kern w:val="0"/>
                      <w:sz w:val="21"/>
                      <w:szCs w:val="21"/>
                    </w:rPr>
                    <w:t>，不属于VOCs高污染企业</w:t>
                  </w:r>
                </w:p>
              </w:tc>
              <w:tc>
                <w:tcPr>
                  <w:tcW w:w="427" w:type="dxa"/>
                  <w:vAlign w:val="center"/>
                </w:tcPr>
                <w:p w14:paraId="28D54FA5">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33D8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1F34F35F">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04B48FF2">
                  <w:pPr>
                    <w:adjustRightInd w:val="0"/>
                    <w:snapToGrid w:val="0"/>
                    <w:jc w:val="center"/>
                    <w:rPr>
                      <w:rFonts w:ascii="Times New Roman" w:hAnsi="Times New Roman" w:eastAsia="宋体" w:cs="Times New Roman"/>
                      <w:color w:val="000000"/>
                      <w:kern w:val="0"/>
                      <w:sz w:val="21"/>
                      <w:szCs w:val="21"/>
                    </w:rPr>
                  </w:pPr>
                </w:p>
              </w:tc>
              <w:tc>
                <w:tcPr>
                  <w:tcW w:w="426" w:type="dxa"/>
                  <w:vMerge w:val="restart"/>
                  <w:vAlign w:val="center"/>
                </w:tcPr>
                <w:p w14:paraId="207EBC69">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限值开发建设活动的要求</w:t>
                  </w:r>
                </w:p>
              </w:tc>
              <w:tc>
                <w:tcPr>
                  <w:tcW w:w="2292" w:type="dxa"/>
                  <w:vAlign w:val="center"/>
                </w:tcPr>
                <w:p w14:paraId="4CC91F9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highlight w:val="none"/>
                    </w:rPr>
                    <w:t>加大钢铁、铸造、炼焦、建材、电解铝等产能压减力度。</w:t>
                  </w:r>
                </w:p>
              </w:tc>
              <w:tc>
                <w:tcPr>
                  <w:tcW w:w="1838" w:type="dxa"/>
                  <w:vAlign w:val="center"/>
                </w:tcPr>
                <w:p w14:paraId="526F54CB">
                  <w:pPr>
                    <w:jc w:val="center"/>
                    <w:rPr>
                      <w:rFonts w:hint="default" w:ascii="Times New Roman" w:hAnsi="Times New Roman" w:eastAsia="宋体" w:cs="Times New Roman"/>
                      <w:color w:val="000000"/>
                      <w:kern w:val="0"/>
                      <w:sz w:val="21"/>
                      <w:szCs w:val="21"/>
                      <w:lang w:val="en-US" w:eastAsia="zh-CN"/>
                    </w:rPr>
                  </w:pPr>
                  <w:r>
                    <w:rPr>
                      <w:rFonts w:ascii="Times New Roman" w:hAnsi="Times New Roman" w:eastAsia="宋体" w:cs="Times New Roman"/>
                      <w:color w:val="000000"/>
                      <w:kern w:val="0"/>
                      <w:sz w:val="21"/>
                      <w:szCs w:val="21"/>
                    </w:rPr>
                    <w:t>项目为</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不属于上述行业</w:t>
                  </w:r>
                </w:p>
              </w:tc>
              <w:tc>
                <w:tcPr>
                  <w:tcW w:w="427" w:type="dxa"/>
                  <w:vAlign w:val="center"/>
                </w:tcPr>
                <w:p w14:paraId="4CF6EF56">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50D6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5E2CC684">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27F3E02B">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BEA476F">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046D5D96">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严格资源节约和环保准入门槛，转入项目必须符合国家产业政策、资源节约和污染物排放强度要求，避免产业转移中的资源浪费和污染扩散。</w:t>
                  </w:r>
                </w:p>
              </w:tc>
              <w:tc>
                <w:tcPr>
                  <w:tcW w:w="1838" w:type="dxa"/>
                  <w:vAlign w:val="center"/>
                </w:tcPr>
                <w:p w14:paraId="0152CACD">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项目新建项目，项目建设符合国家产业政策、资源节约和污染物排放强度要求</w:t>
                  </w:r>
                </w:p>
              </w:tc>
              <w:tc>
                <w:tcPr>
                  <w:tcW w:w="427" w:type="dxa"/>
                  <w:vAlign w:val="center"/>
                </w:tcPr>
                <w:p w14:paraId="7DB0DAD0">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3986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32257D78">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BB97D24">
                  <w:pPr>
                    <w:adjustRightInd w:val="0"/>
                    <w:snapToGrid w:val="0"/>
                    <w:jc w:val="center"/>
                    <w:rPr>
                      <w:rFonts w:ascii="Times New Roman" w:hAnsi="Times New Roman" w:eastAsia="宋体" w:cs="Times New Roman"/>
                      <w:color w:val="000000"/>
                      <w:kern w:val="0"/>
                      <w:sz w:val="21"/>
                      <w:szCs w:val="21"/>
                    </w:rPr>
                  </w:pPr>
                </w:p>
              </w:tc>
              <w:tc>
                <w:tcPr>
                  <w:tcW w:w="426" w:type="dxa"/>
                  <w:vMerge w:val="restart"/>
                  <w:vAlign w:val="center"/>
                </w:tcPr>
                <w:p w14:paraId="66FDC3F9">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不符合空间布局要求活动的退出要求</w:t>
                  </w:r>
                </w:p>
              </w:tc>
              <w:tc>
                <w:tcPr>
                  <w:tcW w:w="2292" w:type="dxa"/>
                  <w:vAlign w:val="center"/>
                </w:tcPr>
                <w:p w14:paraId="68713B2F">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坚决关停用地、工商手续不全并难以通过改造达标的企业，限期治理可以达标改造的企业，逾期依法一律关停。到2020年，具备改造条件的燃煤电厂全部完成超低排放改造，重点区域不具备改造条件的高污染燃煤电厂逐步关停。</w:t>
                  </w:r>
                </w:p>
              </w:tc>
              <w:tc>
                <w:tcPr>
                  <w:tcW w:w="1838" w:type="dxa"/>
                  <w:vAlign w:val="center"/>
                </w:tcPr>
                <w:p w14:paraId="6D9D89CB">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w:t>
                  </w:r>
                  <w:r>
                    <w:rPr>
                      <w:rFonts w:hint="eastAsia" w:ascii="Times New Roman" w:hAnsi="Times New Roman" w:eastAsia="宋体" w:cs="Times New Roman"/>
                      <w:color w:val="000000"/>
                      <w:kern w:val="0"/>
                      <w:sz w:val="21"/>
                      <w:szCs w:val="21"/>
                      <w:lang w:val="en-US" w:eastAsia="zh-CN"/>
                    </w:rPr>
                    <w:t>生产工艺</w:t>
                  </w:r>
                  <w:r>
                    <w:rPr>
                      <w:rFonts w:ascii="Times New Roman" w:hAnsi="Times New Roman" w:eastAsia="宋体" w:cs="Times New Roman"/>
                      <w:color w:val="000000"/>
                      <w:kern w:val="0"/>
                      <w:sz w:val="21"/>
                      <w:szCs w:val="21"/>
                    </w:rPr>
                    <w:t>不涉及以上所述类别</w:t>
                  </w:r>
                </w:p>
              </w:tc>
              <w:tc>
                <w:tcPr>
                  <w:tcW w:w="427" w:type="dxa"/>
                  <w:vAlign w:val="center"/>
                </w:tcPr>
                <w:p w14:paraId="103D6193">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10E1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21AB3991">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58748927">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9C7BFAC">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648547B6">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加快城市建成区、重点流域的重污染企业和危险化学品企业搬迁改造，加快推进危险化学品生产企业搬迁改造工程。</w:t>
                  </w:r>
                </w:p>
              </w:tc>
              <w:tc>
                <w:tcPr>
                  <w:tcW w:w="1838" w:type="dxa"/>
                  <w:vAlign w:val="center"/>
                </w:tcPr>
                <w:p w14:paraId="4F7DB574">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本项目不属于重污染企业、危险化学品企业和危险化学品生产企业</w:t>
                  </w:r>
                </w:p>
              </w:tc>
              <w:tc>
                <w:tcPr>
                  <w:tcW w:w="427" w:type="dxa"/>
                  <w:vAlign w:val="center"/>
                </w:tcPr>
                <w:p w14:paraId="549EF036">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2B6B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6D77C187">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5A18EBB7">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5FE87FB">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1E444D2B">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城市规划区内已建的大气污染严重的建设项目应当搬迁、改造，城市建成区应当在规定的时间内完成重污染企业搬迁、改造或者关闭退出。</w:t>
                  </w:r>
                </w:p>
              </w:tc>
              <w:tc>
                <w:tcPr>
                  <w:tcW w:w="1838" w:type="dxa"/>
                  <w:vAlign w:val="center"/>
                </w:tcPr>
                <w:p w14:paraId="509E0695">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项目产生的废气均采取合理措施处理，并稳定达标排放，不属于废气污染严重的项目</w:t>
                  </w:r>
                </w:p>
              </w:tc>
              <w:tc>
                <w:tcPr>
                  <w:tcW w:w="427" w:type="dxa"/>
                  <w:vAlign w:val="center"/>
                </w:tcPr>
                <w:p w14:paraId="0D0C2CC3">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0390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26F124C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941526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25E89DBD">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5FEA9110">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全面开展“散乱污”企业及集群综合整治行动。细化“散乱污”企业及集群整治标准。列入整合搬迁类的，要按照产业发展规模化、现代化的原则，搬迁至合规工业园区并实施升级改造。</w:t>
                  </w:r>
                </w:p>
              </w:tc>
              <w:tc>
                <w:tcPr>
                  <w:tcW w:w="1838" w:type="dxa"/>
                  <w:vAlign w:val="center"/>
                </w:tcPr>
                <w:p w14:paraId="4A5D7274">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项目位于安徽省宿州市</w:t>
                  </w:r>
                  <w:r>
                    <w:rPr>
                      <w:rFonts w:hint="eastAsia" w:ascii="Times New Roman" w:hAnsi="Times New Roman" w:eastAsia="宋体" w:cs="Times New Roman"/>
                      <w:color w:val="000000"/>
                      <w:kern w:val="0"/>
                      <w:sz w:val="21"/>
                      <w:szCs w:val="21"/>
                      <w:lang w:val="en-US" w:eastAsia="zh-CN"/>
                    </w:rPr>
                    <w:t>泗县</w:t>
                  </w:r>
                  <w:r>
                    <w:rPr>
                      <w:rFonts w:ascii="Times New Roman" w:hAnsi="Times New Roman" w:eastAsia="宋体" w:cs="Times New Roman"/>
                      <w:color w:val="000000"/>
                      <w:kern w:val="0"/>
                      <w:sz w:val="21"/>
                      <w:szCs w:val="21"/>
                    </w:rPr>
                    <w:t>经济开发区，不属于“散乱污”企业</w:t>
                  </w:r>
                </w:p>
              </w:tc>
              <w:tc>
                <w:tcPr>
                  <w:tcW w:w="427" w:type="dxa"/>
                  <w:vAlign w:val="center"/>
                </w:tcPr>
                <w:p w14:paraId="5C665DE6">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387A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6E696CD0">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17B7778">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9CC1617">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479608F7">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对城市建成区和重要生态功能区内现有重污染企业结合产业布局调整实施搬迁或改造，积极推动VOCs排放重点行业企业向园区集中。</w:t>
                  </w:r>
                </w:p>
              </w:tc>
              <w:tc>
                <w:tcPr>
                  <w:tcW w:w="1838" w:type="dxa"/>
                  <w:vAlign w:val="center"/>
                </w:tcPr>
                <w:p w14:paraId="716832DE">
                  <w:pPr>
                    <w:jc w:val="center"/>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项目</w:t>
                  </w:r>
                  <w:r>
                    <w:rPr>
                      <w:rFonts w:ascii="Times New Roman" w:hAnsi="Times New Roman" w:eastAsia="宋体" w:cs="Times New Roman"/>
                      <w:color w:val="000000"/>
                      <w:kern w:val="0"/>
                      <w:sz w:val="21"/>
                      <w:szCs w:val="21"/>
                    </w:rPr>
                    <w:t>位于</w:t>
                  </w:r>
                  <w:r>
                    <w:rPr>
                      <w:rFonts w:hint="eastAsia" w:ascii="Times New Roman" w:hAnsi="Times New Roman" w:eastAsia="宋体" w:cs="Times New Roman"/>
                      <w:color w:val="000000"/>
                      <w:kern w:val="0"/>
                      <w:sz w:val="21"/>
                      <w:szCs w:val="21"/>
                      <w:lang w:val="en-US" w:eastAsia="zh-CN"/>
                    </w:rPr>
                    <w:t>泗县</w:t>
                  </w:r>
                  <w:r>
                    <w:rPr>
                      <w:rFonts w:ascii="Times New Roman" w:hAnsi="Times New Roman" w:eastAsia="宋体" w:cs="Times New Roman"/>
                      <w:color w:val="000000"/>
                      <w:kern w:val="0"/>
                      <w:sz w:val="21"/>
                      <w:szCs w:val="21"/>
                    </w:rPr>
                    <w:t>经济开发区，项目的建设符合经济开发区规划要求</w:t>
                  </w:r>
                </w:p>
              </w:tc>
              <w:tc>
                <w:tcPr>
                  <w:tcW w:w="427" w:type="dxa"/>
                  <w:vAlign w:val="center"/>
                </w:tcPr>
                <w:p w14:paraId="2C41CD1A">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6882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06F36C18">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2341ED45">
                  <w:pPr>
                    <w:adjustRightInd w:val="0"/>
                    <w:snapToGrid w:val="0"/>
                    <w:jc w:val="center"/>
                    <w:rPr>
                      <w:rFonts w:ascii="Times New Roman" w:hAnsi="Times New Roman" w:eastAsia="宋体" w:cs="Times New Roman"/>
                      <w:color w:val="000000"/>
                      <w:kern w:val="0"/>
                      <w:sz w:val="21"/>
                      <w:szCs w:val="21"/>
                    </w:rPr>
                  </w:pPr>
                </w:p>
              </w:tc>
              <w:tc>
                <w:tcPr>
                  <w:tcW w:w="426" w:type="dxa"/>
                  <w:vMerge w:val="restart"/>
                  <w:vAlign w:val="center"/>
                </w:tcPr>
                <w:p w14:paraId="56C4E87B">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其他空间布局约束要求</w:t>
                  </w:r>
                </w:p>
              </w:tc>
              <w:tc>
                <w:tcPr>
                  <w:tcW w:w="2292" w:type="dxa"/>
                  <w:vAlign w:val="center"/>
                </w:tcPr>
                <w:p w14:paraId="7F1E71E8">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强化“散乱污”企业综合整治。全面开展“散乱污”企业及集群综合整治行动。根据产业政策、产业布局规划，以及土地、环保、质量、安全、能耗等要求，制定“散乱污”企业及集群整治标准。按照“先停后治”的原则，实施分类处置。</w:t>
                  </w:r>
                </w:p>
              </w:tc>
              <w:tc>
                <w:tcPr>
                  <w:tcW w:w="1838" w:type="dxa"/>
                  <w:vAlign w:val="center"/>
                </w:tcPr>
                <w:p w14:paraId="3C8D0179">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项目位于安徽省宿州市</w:t>
                  </w:r>
                  <w:r>
                    <w:rPr>
                      <w:rFonts w:hint="eastAsia" w:ascii="Times New Roman" w:hAnsi="Times New Roman" w:eastAsia="宋体" w:cs="Times New Roman"/>
                      <w:color w:val="000000"/>
                      <w:kern w:val="0"/>
                      <w:sz w:val="21"/>
                      <w:szCs w:val="21"/>
                      <w:lang w:val="en-US" w:eastAsia="zh-CN"/>
                    </w:rPr>
                    <w:t>泗县</w:t>
                  </w:r>
                  <w:r>
                    <w:rPr>
                      <w:rFonts w:ascii="Times New Roman" w:hAnsi="Times New Roman" w:eastAsia="宋体" w:cs="Times New Roman"/>
                      <w:color w:val="000000"/>
                      <w:kern w:val="0"/>
                      <w:sz w:val="21"/>
                      <w:szCs w:val="21"/>
                    </w:rPr>
                    <w:t>经济开发区，不属于“散乱污”企业</w:t>
                  </w:r>
                </w:p>
              </w:tc>
              <w:tc>
                <w:tcPr>
                  <w:tcW w:w="427" w:type="dxa"/>
                  <w:vAlign w:val="center"/>
                </w:tcPr>
                <w:p w14:paraId="56EAAD26">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26F4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4DEBF19C">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87F656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DCFDBCF">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7F218211">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企业应当全面推进清洁生产，优先采用能源和原材料利用效率高、污染物排放量少的清洁生产技术、工艺和设备，淘汰严重污染大气环境质量的产品、落后工艺和落后设备，减少大气污染物的产生和排放。</w:t>
                  </w:r>
                </w:p>
              </w:tc>
              <w:tc>
                <w:tcPr>
                  <w:tcW w:w="1838" w:type="dxa"/>
                  <w:vAlign w:val="center"/>
                </w:tcPr>
                <w:p w14:paraId="69F690C7">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项目使用先进的生产设备，使用电能源，属于清洁能源，项目产品不属于严重污染大气环境质量的产品，且污染物经处理后达标排放</w:t>
                  </w:r>
                </w:p>
              </w:tc>
              <w:tc>
                <w:tcPr>
                  <w:tcW w:w="427" w:type="dxa"/>
                  <w:vAlign w:val="center"/>
                </w:tcPr>
                <w:p w14:paraId="5CCBD401">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1882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74421D5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33CAD75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5C30BB6">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27073C12">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全面开展“散乱污”企业及集群综合整治行动。细化“散乱污”企业及集群整治标准。列入升级改造类的，树立行业标杆，实施清洁生产技术改造，全面提升污染治理水平。</w:t>
                  </w:r>
                </w:p>
              </w:tc>
              <w:tc>
                <w:tcPr>
                  <w:tcW w:w="1838" w:type="dxa"/>
                  <w:vAlign w:val="center"/>
                </w:tcPr>
                <w:p w14:paraId="4F760175">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项目位于安徽省宿州市</w:t>
                  </w:r>
                  <w:r>
                    <w:rPr>
                      <w:rFonts w:hint="eastAsia" w:ascii="Times New Roman" w:hAnsi="Times New Roman" w:eastAsia="宋体" w:cs="Times New Roman"/>
                      <w:color w:val="000000"/>
                      <w:kern w:val="0"/>
                      <w:sz w:val="21"/>
                      <w:szCs w:val="21"/>
                      <w:lang w:val="en-US" w:eastAsia="zh-CN"/>
                    </w:rPr>
                    <w:t>泗县</w:t>
                  </w:r>
                  <w:r>
                    <w:rPr>
                      <w:rFonts w:ascii="Times New Roman" w:hAnsi="Times New Roman" w:eastAsia="宋体" w:cs="Times New Roman"/>
                      <w:color w:val="000000"/>
                      <w:kern w:val="0"/>
                      <w:sz w:val="21"/>
                      <w:szCs w:val="21"/>
                    </w:rPr>
                    <w:t>经济开发区，不属于</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散乱污</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企业</w:t>
                  </w:r>
                </w:p>
              </w:tc>
              <w:tc>
                <w:tcPr>
                  <w:tcW w:w="427" w:type="dxa"/>
                  <w:vAlign w:val="center"/>
                </w:tcPr>
                <w:p w14:paraId="28457068">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7272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7FD88674">
                  <w:pPr>
                    <w:adjustRightInd w:val="0"/>
                    <w:snapToGrid w:val="0"/>
                    <w:jc w:val="center"/>
                    <w:rPr>
                      <w:rFonts w:ascii="Times New Roman" w:hAnsi="Times New Roman" w:eastAsia="宋体" w:cs="Times New Roman"/>
                      <w:color w:val="000000"/>
                      <w:kern w:val="0"/>
                      <w:sz w:val="21"/>
                      <w:szCs w:val="21"/>
                    </w:rPr>
                  </w:pPr>
                </w:p>
              </w:tc>
              <w:tc>
                <w:tcPr>
                  <w:tcW w:w="426" w:type="dxa"/>
                  <w:vMerge w:val="restart"/>
                  <w:vAlign w:val="center"/>
                </w:tcPr>
                <w:p w14:paraId="5CA7B9F5">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污染物排放管控</w:t>
                  </w:r>
                </w:p>
              </w:tc>
              <w:tc>
                <w:tcPr>
                  <w:tcW w:w="426" w:type="dxa"/>
                  <w:vAlign w:val="center"/>
                </w:tcPr>
                <w:p w14:paraId="0FC89DEE">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允许排放量要求</w:t>
                  </w:r>
                </w:p>
              </w:tc>
              <w:tc>
                <w:tcPr>
                  <w:tcW w:w="2292" w:type="dxa"/>
                  <w:vAlign w:val="center"/>
                </w:tcPr>
                <w:p w14:paraId="070C0192">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新建、改建、扩建排放重点大气污染物的项目不符合总量控制要求的，不得通过环境影响评价。</w:t>
                  </w:r>
                </w:p>
              </w:tc>
              <w:tc>
                <w:tcPr>
                  <w:tcW w:w="1838" w:type="dxa"/>
                  <w:vAlign w:val="center"/>
                </w:tcPr>
                <w:p w14:paraId="02F37DDC">
                  <w:pPr>
                    <w:jc w:val="center"/>
                    <w:rPr>
                      <w:rFonts w:ascii="Times New Roman" w:hAnsi="Times New Roman" w:eastAsia="宋体" w:cs="Times New Roman"/>
                      <w:color w:val="000000"/>
                      <w:kern w:val="0"/>
                      <w:sz w:val="21"/>
                      <w:szCs w:val="21"/>
                    </w:rPr>
                  </w:pPr>
                  <w:r>
                    <w:rPr>
                      <w:rFonts w:hint="eastAsia" w:ascii="Times New Roman" w:hAnsi="Times New Roman" w:eastAsia="宋体" w:cs="Times New Roman"/>
                      <w:kern w:val="0"/>
                      <w:sz w:val="21"/>
                      <w:szCs w:val="21"/>
                    </w:rPr>
                    <w:t>本项目废气经过处理后排放，且总控已经宿州市生态环境局审批，符合总量控控制要求</w:t>
                  </w:r>
                </w:p>
              </w:tc>
              <w:tc>
                <w:tcPr>
                  <w:tcW w:w="427" w:type="dxa"/>
                  <w:vAlign w:val="center"/>
                </w:tcPr>
                <w:p w14:paraId="41C06032">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51D5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28CC8544">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AB43F77">
                  <w:pPr>
                    <w:adjustRightInd w:val="0"/>
                    <w:snapToGrid w:val="0"/>
                    <w:jc w:val="center"/>
                    <w:rPr>
                      <w:rFonts w:ascii="Times New Roman" w:hAnsi="Times New Roman" w:eastAsia="宋体" w:cs="Times New Roman"/>
                      <w:color w:val="000000"/>
                      <w:kern w:val="0"/>
                      <w:sz w:val="21"/>
                      <w:szCs w:val="21"/>
                    </w:rPr>
                  </w:pPr>
                </w:p>
              </w:tc>
              <w:tc>
                <w:tcPr>
                  <w:tcW w:w="426" w:type="dxa"/>
                  <w:vMerge w:val="restart"/>
                  <w:vAlign w:val="center"/>
                </w:tcPr>
                <w:p w14:paraId="04982097">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其他污染物排放管控要求</w:t>
                  </w:r>
                </w:p>
              </w:tc>
              <w:tc>
                <w:tcPr>
                  <w:tcW w:w="2292" w:type="dxa"/>
                  <w:vAlign w:val="center"/>
                </w:tcPr>
                <w:p w14:paraId="3FBC830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强化工业企业无组织排放管理，推进挥发性有机物排放综合整治，开展大气氨排放控制试点。</w:t>
                  </w:r>
                </w:p>
              </w:tc>
              <w:tc>
                <w:tcPr>
                  <w:tcW w:w="1838" w:type="dxa"/>
                  <w:vAlign w:val="center"/>
                </w:tcPr>
                <w:p w14:paraId="33B3E7DA">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项目不涉及氨的排放，且加强通风管理</w:t>
                  </w:r>
                </w:p>
              </w:tc>
              <w:tc>
                <w:tcPr>
                  <w:tcW w:w="427" w:type="dxa"/>
                  <w:vAlign w:val="center"/>
                </w:tcPr>
                <w:p w14:paraId="3976EFB5">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6FF9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394255A1">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0DBDE20">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3FAF5B6F">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38C5C3AE">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深化工业污染治理，工业污染源全面达标排放，未达标排放的企业一律依法停产整治。</w:t>
                  </w:r>
                </w:p>
              </w:tc>
              <w:tc>
                <w:tcPr>
                  <w:tcW w:w="1838" w:type="dxa"/>
                  <w:vAlign w:val="center"/>
                </w:tcPr>
                <w:p w14:paraId="1D7FD66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项目采取的污染防治措施均可使污染物稳定达标排放</w:t>
                  </w:r>
                </w:p>
              </w:tc>
              <w:tc>
                <w:tcPr>
                  <w:tcW w:w="427" w:type="dxa"/>
                  <w:vAlign w:val="center"/>
                </w:tcPr>
                <w:p w14:paraId="2C287428">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7D0C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vMerge w:val="continue"/>
                  <w:vAlign w:val="center"/>
                </w:tcPr>
                <w:p w14:paraId="7C830398">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43F5832">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655CD91">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51D84E6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工业生产中产生的可燃性气体应当回收利用。不具备回收利用条件而向大气排放的，应当进行污染防治处理。</w:t>
                  </w:r>
                </w:p>
              </w:tc>
              <w:tc>
                <w:tcPr>
                  <w:tcW w:w="1838" w:type="dxa"/>
                  <w:vAlign w:val="center"/>
                </w:tcPr>
                <w:p w14:paraId="407E0E4F">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项目生产中不产生可燃性气体</w:t>
                  </w:r>
                </w:p>
              </w:tc>
              <w:tc>
                <w:tcPr>
                  <w:tcW w:w="427" w:type="dxa"/>
                  <w:vAlign w:val="center"/>
                </w:tcPr>
                <w:p w14:paraId="53D791C7">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1705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restart"/>
                  <w:vAlign w:val="center"/>
                </w:tcPr>
                <w:p w14:paraId="33001E90">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水重点管控区</w:t>
                  </w:r>
                </w:p>
              </w:tc>
              <w:tc>
                <w:tcPr>
                  <w:tcW w:w="426" w:type="dxa"/>
                  <w:vMerge w:val="restart"/>
                  <w:vAlign w:val="center"/>
                </w:tcPr>
                <w:p w14:paraId="51372738">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工业重点管控区</w:t>
                  </w:r>
                </w:p>
              </w:tc>
              <w:tc>
                <w:tcPr>
                  <w:tcW w:w="426" w:type="dxa"/>
                  <w:vMerge w:val="restart"/>
                  <w:vAlign w:val="center"/>
                </w:tcPr>
                <w:p w14:paraId="12E79295">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空间布局约束</w:t>
                  </w:r>
                </w:p>
              </w:tc>
              <w:tc>
                <w:tcPr>
                  <w:tcW w:w="426" w:type="dxa"/>
                  <w:vMerge w:val="restart"/>
                  <w:vAlign w:val="center"/>
                </w:tcPr>
                <w:p w14:paraId="18C6E637">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禁止开发建设活动的要求</w:t>
                  </w:r>
                </w:p>
              </w:tc>
              <w:tc>
                <w:tcPr>
                  <w:tcW w:w="2292" w:type="dxa"/>
                  <w:vAlign w:val="center"/>
                </w:tcPr>
                <w:p w14:paraId="73020299">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取缔“十小”企业。全面排查装备水平低、环保设施差的小型工业企业。按照水污染防治法律法规要求，全面排查和取缔不符合国家产业政策的小型造纸、制革、印染、染料、炼焦、炼硫、炼砷、炼油、电镀、农药等严重污染水环境的生产项目。</w:t>
                  </w:r>
                </w:p>
              </w:tc>
              <w:tc>
                <w:tcPr>
                  <w:tcW w:w="1838" w:type="dxa"/>
                  <w:vAlign w:val="center"/>
                </w:tcPr>
                <w:p w14:paraId="00DAC1D0">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kern w:val="0"/>
                      <w:sz w:val="21"/>
                      <w:szCs w:val="21"/>
                    </w:rPr>
                    <w:t>，不属于小型造纸、制革、印染、染料、炼焦、炼硫、炼砷、炼油、电镀、农药等生产项目</w:t>
                  </w:r>
                </w:p>
              </w:tc>
              <w:tc>
                <w:tcPr>
                  <w:tcW w:w="427" w:type="dxa"/>
                  <w:vAlign w:val="center"/>
                </w:tcPr>
                <w:p w14:paraId="7F58EC3C">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5C74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40F01B2E">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3BF29B60">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69E11D4">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3B035C9">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257CC0CB">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严格城市规划蓝线管理，城市规划区范围内应保留一定比例的水域面积，现有水域面积不得减少。新建项目一律不得违规占用水域。</w:t>
                  </w:r>
                </w:p>
              </w:tc>
              <w:tc>
                <w:tcPr>
                  <w:tcW w:w="1838" w:type="dxa"/>
                  <w:vAlign w:val="center"/>
                </w:tcPr>
                <w:p w14:paraId="74D0CEAA">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w:t>
                  </w:r>
                  <w:r>
                    <w:rPr>
                      <w:rFonts w:hint="eastAsia" w:ascii="Times New Roman" w:hAnsi="Times New Roman" w:eastAsia="宋体" w:cs="Times New Roman"/>
                      <w:color w:val="000000"/>
                      <w:kern w:val="0"/>
                      <w:sz w:val="21"/>
                      <w:szCs w:val="21"/>
                      <w:lang w:val="en-US" w:eastAsia="zh-CN"/>
                    </w:rPr>
                    <w:t>位于</w:t>
                  </w:r>
                  <w:r>
                    <w:rPr>
                      <w:rFonts w:ascii="Times New Roman" w:hAnsi="Times New Roman" w:eastAsia="宋体" w:cs="Times New Roman"/>
                      <w:color w:val="000000"/>
                      <w:kern w:val="0"/>
                      <w:sz w:val="21"/>
                      <w:szCs w:val="21"/>
                    </w:rPr>
                    <w:t>安徽省宿州市</w:t>
                  </w:r>
                  <w:r>
                    <w:rPr>
                      <w:rFonts w:hint="eastAsia" w:ascii="Times New Roman" w:hAnsi="Times New Roman" w:eastAsia="宋体" w:cs="Times New Roman"/>
                      <w:color w:val="000000"/>
                      <w:kern w:val="0"/>
                      <w:sz w:val="21"/>
                      <w:szCs w:val="21"/>
                      <w:lang w:val="en-US" w:eastAsia="zh-CN"/>
                    </w:rPr>
                    <w:t>泗县</w:t>
                  </w:r>
                  <w:r>
                    <w:rPr>
                      <w:rFonts w:ascii="Times New Roman" w:hAnsi="Times New Roman" w:eastAsia="宋体" w:cs="Times New Roman"/>
                      <w:color w:val="000000"/>
                      <w:kern w:val="0"/>
                      <w:sz w:val="21"/>
                      <w:szCs w:val="21"/>
                    </w:rPr>
                    <w:t>经济开发区，不涉及水域面积的违规占用</w:t>
                  </w:r>
                </w:p>
              </w:tc>
              <w:tc>
                <w:tcPr>
                  <w:tcW w:w="427" w:type="dxa"/>
                  <w:vAlign w:val="center"/>
                </w:tcPr>
                <w:p w14:paraId="18CFCB58">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4E66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625DF97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31E7425">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05B0982">
                  <w:pPr>
                    <w:adjustRightInd w:val="0"/>
                    <w:snapToGrid w:val="0"/>
                    <w:jc w:val="center"/>
                    <w:rPr>
                      <w:rFonts w:ascii="Times New Roman" w:hAnsi="Times New Roman" w:eastAsia="宋体" w:cs="Times New Roman"/>
                      <w:color w:val="000000"/>
                      <w:kern w:val="0"/>
                      <w:sz w:val="21"/>
                      <w:szCs w:val="21"/>
                    </w:rPr>
                  </w:pPr>
                </w:p>
              </w:tc>
              <w:tc>
                <w:tcPr>
                  <w:tcW w:w="426" w:type="dxa"/>
                  <w:vAlign w:val="center"/>
                </w:tcPr>
                <w:p w14:paraId="41BC9397">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允许开发建设活动的特殊要求</w:t>
                  </w:r>
                </w:p>
              </w:tc>
              <w:tc>
                <w:tcPr>
                  <w:tcW w:w="2292" w:type="dxa"/>
                  <w:vAlign w:val="center"/>
                </w:tcPr>
                <w:p w14:paraId="30A1057D">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合理确定发展布局、结构和规模。充分考虑水环境承载能力和水资源开发利用效率，以水定城、以水定地、以水定人、以水定产。重大项目原则上布局在优化开发区和重点开发区，并符合城乡规划和土地利用总体规划。</w:t>
                  </w:r>
                </w:p>
              </w:tc>
              <w:tc>
                <w:tcPr>
                  <w:tcW w:w="1838" w:type="dxa"/>
                  <w:vAlign w:val="center"/>
                </w:tcPr>
                <w:p w14:paraId="19A2F254">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项目位于安徽省宿州市</w:t>
                  </w:r>
                  <w:r>
                    <w:rPr>
                      <w:rFonts w:hint="eastAsia" w:ascii="Times New Roman" w:hAnsi="Times New Roman" w:eastAsia="宋体" w:cs="Times New Roman"/>
                      <w:color w:val="000000"/>
                      <w:kern w:val="0"/>
                      <w:sz w:val="21"/>
                      <w:szCs w:val="21"/>
                      <w:lang w:val="en-US" w:eastAsia="zh-CN"/>
                    </w:rPr>
                    <w:t>泗县</w:t>
                  </w:r>
                  <w:r>
                    <w:rPr>
                      <w:rFonts w:ascii="Times New Roman" w:hAnsi="Times New Roman" w:eastAsia="宋体" w:cs="Times New Roman"/>
                      <w:color w:val="000000"/>
                      <w:kern w:val="0"/>
                      <w:sz w:val="21"/>
                      <w:szCs w:val="21"/>
                    </w:rPr>
                    <w:t>经济开发区，项目的建设符合园区发展规划和土地总体利用规划</w:t>
                  </w:r>
                </w:p>
              </w:tc>
              <w:tc>
                <w:tcPr>
                  <w:tcW w:w="427" w:type="dxa"/>
                  <w:vAlign w:val="center"/>
                </w:tcPr>
                <w:p w14:paraId="60B0BC86">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1B6A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462611A7">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83FB68C">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5CD79D34">
                  <w:pPr>
                    <w:adjustRightInd w:val="0"/>
                    <w:snapToGrid w:val="0"/>
                    <w:jc w:val="center"/>
                    <w:rPr>
                      <w:rFonts w:ascii="Times New Roman" w:hAnsi="Times New Roman" w:eastAsia="宋体" w:cs="Times New Roman"/>
                      <w:color w:val="000000"/>
                      <w:kern w:val="0"/>
                      <w:sz w:val="21"/>
                      <w:szCs w:val="21"/>
                    </w:rPr>
                  </w:pPr>
                </w:p>
              </w:tc>
              <w:tc>
                <w:tcPr>
                  <w:tcW w:w="426" w:type="dxa"/>
                  <w:vMerge w:val="restart"/>
                  <w:vAlign w:val="center"/>
                </w:tcPr>
                <w:p w14:paraId="3CD2E770">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不符合空间布局要求活动的退出要求</w:t>
                  </w:r>
                </w:p>
              </w:tc>
              <w:tc>
                <w:tcPr>
                  <w:tcW w:w="2292" w:type="dxa"/>
                  <w:vAlign w:val="center"/>
                </w:tcPr>
                <w:p w14:paraId="03FEDF4C">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调整产业结构。依法淘汰落后产能。各地要制定实施分年度的落后产能淘汰方案，未完成淘汰任务的地区，暂停审批和核准其相关行业新建项目。</w:t>
                  </w:r>
                </w:p>
              </w:tc>
              <w:tc>
                <w:tcPr>
                  <w:tcW w:w="1838" w:type="dxa"/>
                  <w:vAlign w:val="center"/>
                </w:tcPr>
                <w:p w14:paraId="3CA2C361">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sz w:val="21"/>
                      <w:szCs w:val="21"/>
                    </w:rPr>
                    <w:t>，</w:t>
                  </w:r>
                  <w:r>
                    <w:rPr>
                      <w:rFonts w:ascii="Times New Roman" w:hAnsi="Times New Roman" w:eastAsia="宋体" w:cs="Times New Roman"/>
                      <w:color w:val="000000"/>
                      <w:kern w:val="0"/>
                      <w:sz w:val="21"/>
                      <w:szCs w:val="21"/>
                    </w:rPr>
                    <w:t>不属于落后产能淘汰行业</w:t>
                  </w:r>
                </w:p>
              </w:tc>
              <w:tc>
                <w:tcPr>
                  <w:tcW w:w="427" w:type="dxa"/>
                  <w:vAlign w:val="center"/>
                </w:tcPr>
                <w:p w14:paraId="17DA0AC3">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36FE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1FD6FDD8">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278E7D14">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F669E8A">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0C746A2C">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7532199A">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推动污染企业退出。城市建成区内现有钢铁、有色金属、造纸、印染、原料药制造、化工等污染较重的企业应有序搬迁改造或依法关闭。</w:t>
                  </w:r>
                </w:p>
              </w:tc>
              <w:tc>
                <w:tcPr>
                  <w:tcW w:w="1838" w:type="dxa"/>
                  <w:vAlign w:val="center"/>
                </w:tcPr>
                <w:p w14:paraId="795108B9">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kern w:val="0"/>
                      <w:sz w:val="21"/>
                      <w:szCs w:val="21"/>
                    </w:rPr>
                    <w:t>，不涉及钢铁、有色金属、造纸、印染、原料药制造、化工等</w:t>
                  </w:r>
                </w:p>
              </w:tc>
              <w:tc>
                <w:tcPr>
                  <w:tcW w:w="427" w:type="dxa"/>
                  <w:vAlign w:val="center"/>
                </w:tcPr>
                <w:p w14:paraId="7BD5FD5D">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7240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08A9B5DA">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A60F5D6">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2AFBE214">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3E2F619">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2B7E8B30">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严格水域岸线用途管制，土地开发利用应按照有关法律法规和技术标准要求，留足河道、湖泊的管理和保护范围，非法挤占的应限期退出。</w:t>
                  </w:r>
                </w:p>
              </w:tc>
              <w:tc>
                <w:tcPr>
                  <w:tcW w:w="1838" w:type="dxa"/>
                  <w:vAlign w:val="center"/>
                </w:tcPr>
                <w:p w14:paraId="080917A3">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项目位于</w:t>
                  </w:r>
                  <w:r>
                    <w:rPr>
                      <w:rFonts w:hint="eastAsia" w:ascii="Times New Roman" w:hAnsi="Times New Roman" w:eastAsia="宋体" w:cs="Times New Roman"/>
                      <w:color w:val="000000"/>
                      <w:kern w:val="0"/>
                      <w:sz w:val="21"/>
                      <w:szCs w:val="21"/>
                      <w:lang w:val="en-US" w:eastAsia="zh-CN"/>
                    </w:rPr>
                    <w:t>泗县</w:t>
                  </w:r>
                  <w:r>
                    <w:rPr>
                      <w:rFonts w:ascii="Times New Roman" w:hAnsi="Times New Roman" w:eastAsia="宋体" w:cs="Times New Roman"/>
                      <w:color w:val="000000"/>
                      <w:kern w:val="0"/>
                      <w:sz w:val="21"/>
                      <w:szCs w:val="21"/>
                    </w:rPr>
                    <w:t>经济开发区，不占用水域岸线</w:t>
                  </w:r>
                </w:p>
              </w:tc>
              <w:tc>
                <w:tcPr>
                  <w:tcW w:w="427" w:type="dxa"/>
                  <w:vAlign w:val="center"/>
                </w:tcPr>
                <w:p w14:paraId="35278BA8">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0C73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0E77CDE6">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E4BA9D9">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C237AC7">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5FA3583">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2FAE9C7E">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国家禁止新建不符合国家产业政策的小型造纸、制革、印染、染料、炼焦、炼硫、炼砷、炼汞、炼油、电镀、农药、石棉、水泥、玻璃、钢铁、火电以及其他严重污染水环境的生产项目。</w:t>
                  </w:r>
                </w:p>
              </w:tc>
              <w:tc>
                <w:tcPr>
                  <w:tcW w:w="1838" w:type="dxa"/>
                  <w:vAlign w:val="center"/>
                </w:tcPr>
                <w:p w14:paraId="0ED4113F">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w:t>
                  </w:r>
                  <w:r>
                    <w:rPr>
                      <w:rFonts w:ascii="Times New Roman" w:hAnsi="Times New Roman" w:eastAsia="宋体" w:cs="Times New Roman"/>
                      <w:color w:val="000000"/>
                      <w:sz w:val="21"/>
                      <w:szCs w:val="21"/>
                    </w:rPr>
                    <w:t>行业类别</w:t>
                  </w:r>
                  <w:r>
                    <w:rPr>
                      <w:rFonts w:hint="eastAsia" w:cs="Times New Roman"/>
                      <w:color w:val="000000"/>
                      <w:sz w:val="21"/>
                      <w:szCs w:val="21"/>
                      <w:lang w:eastAsia="zh-CN"/>
                    </w:rPr>
                    <w:t>木制容器制造</w:t>
                  </w:r>
                  <w:r>
                    <w:rPr>
                      <w:rFonts w:ascii="Times New Roman" w:hAnsi="Times New Roman" w:eastAsia="宋体" w:cs="Times New Roman"/>
                      <w:color w:val="000000"/>
                      <w:sz w:val="21"/>
                      <w:szCs w:val="21"/>
                    </w:rPr>
                    <w:t>，不属于以上严重污染水环境的生产项目</w:t>
                  </w:r>
                </w:p>
              </w:tc>
              <w:tc>
                <w:tcPr>
                  <w:tcW w:w="427" w:type="dxa"/>
                  <w:vAlign w:val="center"/>
                </w:tcPr>
                <w:p w14:paraId="03002CB7">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108B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23F68AF7">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EE33787">
                  <w:pPr>
                    <w:adjustRightInd w:val="0"/>
                    <w:snapToGrid w:val="0"/>
                    <w:jc w:val="center"/>
                    <w:rPr>
                      <w:rFonts w:ascii="Times New Roman" w:hAnsi="Times New Roman" w:eastAsia="宋体" w:cs="Times New Roman"/>
                      <w:color w:val="000000"/>
                      <w:kern w:val="0"/>
                      <w:sz w:val="21"/>
                      <w:szCs w:val="21"/>
                    </w:rPr>
                  </w:pPr>
                </w:p>
              </w:tc>
              <w:tc>
                <w:tcPr>
                  <w:tcW w:w="426" w:type="dxa"/>
                  <w:vMerge w:val="restart"/>
                  <w:vAlign w:val="center"/>
                </w:tcPr>
                <w:p w14:paraId="38DE24E9">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污染物排放管控</w:t>
                  </w:r>
                </w:p>
              </w:tc>
              <w:tc>
                <w:tcPr>
                  <w:tcW w:w="426" w:type="dxa"/>
                  <w:vMerge w:val="restart"/>
                  <w:vAlign w:val="center"/>
                </w:tcPr>
                <w:p w14:paraId="480BC9BE">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区域水污染物削减/替代要求</w:t>
                  </w:r>
                </w:p>
              </w:tc>
              <w:tc>
                <w:tcPr>
                  <w:tcW w:w="2292" w:type="dxa"/>
                  <w:vAlign w:val="center"/>
                </w:tcPr>
                <w:p w14:paraId="29A5CA59">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1838" w:type="dxa"/>
                  <w:vAlign w:val="center"/>
                </w:tcPr>
                <w:p w14:paraId="445B864E">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项目水污染物排放满足《污水综合排放标准》（GB8978-1996）三级标准并满足</w:t>
                  </w:r>
                  <w:r>
                    <w:rPr>
                      <w:rFonts w:hint="eastAsia" w:ascii="Times New Roman" w:hAnsi="Times New Roman" w:eastAsia="宋体" w:cs="Times New Roman"/>
                      <w:color w:val="000000"/>
                      <w:kern w:val="0"/>
                      <w:sz w:val="21"/>
                      <w:szCs w:val="21"/>
                      <w:lang w:val="en-US" w:eastAsia="zh-CN"/>
                    </w:rPr>
                    <w:t>泗县工业污水处理厂</w:t>
                  </w:r>
                  <w:r>
                    <w:rPr>
                      <w:rFonts w:ascii="Times New Roman" w:hAnsi="Times New Roman" w:eastAsia="宋体" w:cs="Times New Roman"/>
                      <w:color w:val="000000"/>
                      <w:kern w:val="0"/>
                      <w:sz w:val="21"/>
                      <w:szCs w:val="21"/>
                    </w:rPr>
                    <w:t>接管标准，且排放总量纳入</w:t>
                  </w:r>
                  <w:r>
                    <w:rPr>
                      <w:rFonts w:hint="eastAsia" w:ascii="Times New Roman" w:hAnsi="Times New Roman" w:eastAsia="宋体" w:cs="Times New Roman"/>
                      <w:color w:val="000000"/>
                      <w:kern w:val="0"/>
                      <w:sz w:val="21"/>
                      <w:szCs w:val="21"/>
                      <w:lang w:val="en-US" w:eastAsia="zh-CN"/>
                    </w:rPr>
                    <w:t>泗县工业污水处理厂</w:t>
                  </w:r>
                  <w:r>
                    <w:rPr>
                      <w:rFonts w:ascii="Times New Roman" w:hAnsi="Times New Roman" w:eastAsia="宋体" w:cs="Times New Roman"/>
                      <w:color w:val="000000"/>
                      <w:kern w:val="0"/>
                      <w:sz w:val="21"/>
                      <w:szCs w:val="21"/>
                    </w:rPr>
                    <w:t>总量指标</w:t>
                  </w:r>
                </w:p>
              </w:tc>
              <w:tc>
                <w:tcPr>
                  <w:tcW w:w="427" w:type="dxa"/>
                  <w:vAlign w:val="center"/>
                </w:tcPr>
                <w:p w14:paraId="5FD1DF5B">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5BCB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35A03FA5">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305187C">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4870048B">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8C42939">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2029E501">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严格控制缺水地区、水污染严重地区和敏感区域高耗水、高污染行业发展，新建、改建、扩建重点行业建设项目实行主要污染物排放减量置换。</w:t>
                  </w:r>
                </w:p>
              </w:tc>
              <w:tc>
                <w:tcPr>
                  <w:tcW w:w="1838" w:type="dxa"/>
                  <w:vAlign w:val="center"/>
                </w:tcPr>
                <w:p w14:paraId="047931B6">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项目水污染物排放已计入</w:t>
                  </w:r>
                  <w:r>
                    <w:rPr>
                      <w:rFonts w:hint="eastAsia" w:ascii="Times New Roman" w:hAnsi="Times New Roman" w:eastAsia="宋体" w:cs="Times New Roman"/>
                      <w:color w:val="000000"/>
                      <w:kern w:val="0"/>
                      <w:sz w:val="21"/>
                      <w:szCs w:val="21"/>
                      <w:lang w:val="en-US" w:eastAsia="zh-CN"/>
                    </w:rPr>
                    <w:t>泗县工业污水处理厂</w:t>
                  </w:r>
                  <w:r>
                    <w:rPr>
                      <w:rFonts w:ascii="Times New Roman" w:hAnsi="Times New Roman" w:eastAsia="宋体" w:cs="Times New Roman"/>
                      <w:color w:val="000000"/>
                      <w:kern w:val="0"/>
                      <w:sz w:val="21"/>
                      <w:szCs w:val="21"/>
                    </w:rPr>
                    <w:t>总量控制指标</w:t>
                  </w:r>
                </w:p>
              </w:tc>
              <w:tc>
                <w:tcPr>
                  <w:tcW w:w="427" w:type="dxa"/>
                  <w:vAlign w:val="center"/>
                </w:tcPr>
                <w:p w14:paraId="3D177C0B">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5910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35405BCE">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6DDE53A6">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E3E401D">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16A04126">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30AEAADE">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新建、改建、扩建造纸、焦化、氮肥、有色金属、印染、农副食品加工、原料药制造、制革、农药、电镀等行业建设项目实行主要污染物排放等量或减量置换。</w:t>
                  </w:r>
                </w:p>
              </w:tc>
              <w:tc>
                <w:tcPr>
                  <w:tcW w:w="1838" w:type="dxa"/>
                  <w:vAlign w:val="center"/>
                </w:tcPr>
                <w:p w14:paraId="52C118E0">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项目新建，水污染物排放总量纳入</w:t>
                  </w:r>
                  <w:r>
                    <w:rPr>
                      <w:rFonts w:hint="eastAsia" w:ascii="Times New Roman" w:hAnsi="Times New Roman" w:eastAsia="宋体" w:cs="Times New Roman"/>
                      <w:color w:val="000000"/>
                      <w:kern w:val="0"/>
                      <w:sz w:val="21"/>
                      <w:szCs w:val="21"/>
                      <w:lang w:val="en-US" w:eastAsia="zh-CN"/>
                    </w:rPr>
                    <w:t>泗县工业污水处理厂</w:t>
                  </w:r>
                  <w:r>
                    <w:rPr>
                      <w:rFonts w:ascii="Times New Roman" w:hAnsi="Times New Roman" w:eastAsia="宋体" w:cs="Times New Roman"/>
                      <w:color w:val="000000"/>
                      <w:kern w:val="0"/>
                      <w:sz w:val="21"/>
                      <w:szCs w:val="21"/>
                    </w:rPr>
                    <w:t>总量指标</w:t>
                  </w:r>
                </w:p>
              </w:tc>
              <w:tc>
                <w:tcPr>
                  <w:tcW w:w="427" w:type="dxa"/>
                  <w:vAlign w:val="center"/>
                </w:tcPr>
                <w:p w14:paraId="4BD89606">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4A3D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6D8FE085">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3DA225E0">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26FC0665">
                  <w:pPr>
                    <w:adjustRightInd w:val="0"/>
                    <w:snapToGrid w:val="0"/>
                    <w:jc w:val="center"/>
                    <w:rPr>
                      <w:rFonts w:ascii="Times New Roman" w:hAnsi="Times New Roman" w:eastAsia="宋体" w:cs="Times New Roman"/>
                      <w:color w:val="000000"/>
                      <w:kern w:val="0"/>
                      <w:sz w:val="21"/>
                      <w:szCs w:val="21"/>
                    </w:rPr>
                  </w:pPr>
                </w:p>
              </w:tc>
              <w:tc>
                <w:tcPr>
                  <w:tcW w:w="426" w:type="dxa"/>
                  <w:vMerge w:val="restart"/>
                  <w:vAlign w:val="center"/>
                </w:tcPr>
                <w:p w14:paraId="42675F7E">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水污染控制措施要求</w:t>
                  </w:r>
                </w:p>
              </w:tc>
              <w:tc>
                <w:tcPr>
                  <w:tcW w:w="2292" w:type="dxa"/>
                  <w:vAlign w:val="center"/>
                </w:tcPr>
                <w:p w14:paraId="46AD2F81">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tc>
              <w:tc>
                <w:tcPr>
                  <w:tcW w:w="1838" w:type="dxa"/>
                  <w:vAlign w:val="center"/>
                </w:tcPr>
                <w:p w14:paraId="530421F8">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项目生活污水经化粪池处理</w:t>
                  </w:r>
                  <w:r>
                    <w:rPr>
                      <w:rFonts w:hint="eastAsia" w:ascii="Times New Roman" w:hAnsi="Times New Roman" w:eastAsia="宋体" w:cs="Times New Roman"/>
                      <w:color w:val="000000"/>
                      <w:kern w:val="0"/>
                      <w:sz w:val="21"/>
                      <w:szCs w:val="21"/>
                    </w:rPr>
                    <w:t>后</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废水</w:t>
                  </w:r>
                  <w:r>
                    <w:rPr>
                      <w:rFonts w:ascii="Times New Roman" w:hAnsi="Times New Roman" w:eastAsia="宋体" w:cs="Times New Roman"/>
                      <w:color w:val="000000"/>
                      <w:kern w:val="0"/>
                      <w:sz w:val="21"/>
                      <w:szCs w:val="21"/>
                    </w:rPr>
                    <w:t>经管道排入</w:t>
                  </w:r>
                  <w:r>
                    <w:rPr>
                      <w:rFonts w:hint="eastAsia" w:ascii="Times New Roman" w:hAnsi="Times New Roman" w:eastAsia="宋体" w:cs="Times New Roman"/>
                      <w:color w:val="000000"/>
                      <w:kern w:val="0"/>
                      <w:sz w:val="21"/>
                      <w:szCs w:val="21"/>
                      <w:lang w:val="en-US" w:eastAsia="zh-CN"/>
                    </w:rPr>
                    <w:t>泗县工业污水处理厂</w:t>
                  </w:r>
                  <w:r>
                    <w:rPr>
                      <w:rFonts w:ascii="Times New Roman" w:hAnsi="Times New Roman" w:eastAsia="宋体" w:cs="Times New Roman"/>
                      <w:color w:val="000000"/>
                      <w:kern w:val="0"/>
                      <w:sz w:val="21"/>
                      <w:szCs w:val="21"/>
                    </w:rPr>
                    <w:t>，废水排放浓度满足《污水综合排放标准》（GB8978-1996）三级标准和</w:t>
                  </w:r>
                  <w:r>
                    <w:rPr>
                      <w:rFonts w:hint="eastAsia" w:ascii="Times New Roman" w:hAnsi="Times New Roman" w:eastAsia="宋体" w:cs="Times New Roman"/>
                      <w:color w:val="000000"/>
                      <w:kern w:val="0"/>
                      <w:sz w:val="21"/>
                      <w:szCs w:val="21"/>
                      <w:lang w:val="en-US" w:eastAsia="zh-CN"/>
                    </w:rPr>
                    <w:t>泗县工业污水处理厂</w:t>
                  </w:r>
                  <w:r>
                    <w:rPr>
                      <w:rFonts w:ascii="Times New Roman" w:hAnsi="Times New Roman" w:eastAsia="宋体" w:cs="Times New Roman"/>
                      <w:color w:val="000000"/>
                      <w:kern w:val="0"/>
                      <w:sz w:val="21"/>
                      <w:szCs w:val="21"/>
                    </w:rPr>
                    <w:t>接管要求</w:t>
                  </w:r>
                </w:p>
              </w:tc>
              <w:tc>
                <w:tcPr>
                  <w:tcW w:w="427" w:type="dxa"/>
                  <w:vAlign w:val="center"/>
                </w:tcPr>
                <w:p w14:paraId="7EBE7C9B">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40CB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vAlign w:val="center"/>
                </w:tcPr>
                <w:p w14:paraId="1E8FE44A">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CC61CE2">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7438242C">
                  <w:pPr>
                    <w:adjustRightInd w:val="0"/>
                    <w:snapToGrid w:val="0"/>
                    <w:jc w:val="center"/>
                    <w:rPr>
                      <w:rFonts w:ascii="Times New Roman" w:hAnsi="Times New Roman" w:eastAsia="宋体" w:cs="Times New Roman"/>
                      <w:color w:val="000000"/>
                      <w:kern w:val="0"/>
                      <w:sz w:val="21"/>
                      <w:szCs w:val="21"/>
                    </w:rPr>
                  </w:pPr>
                </w:p>
              </w:tc>
              <w:tc>
                <w:tcPr>
                  <w:tcW w:w="426" w:type="dxa"/>
                  <w:vMerge w:val="continue"/>
                  <w:vAlign w:val="center"/>
                </w:tcPr>
                <w:p w14:paraId="2727AEF0">
                  <w:pPr>
                    <w:adjustRightInd w:val="0"/>
                    <w:snapToGrid w:val="0"/>
                    <w:jc w:val="center"/>
                    <w:rPr>
                      <w:rFonts w:ascii="Times New Roman" w:hAnsi="Times New Roman" w:eastAsia="宋体" w:cs="Times New Roman"/>
                      <w:color w:val="000000"/>
                      <w:kern w:val="0"/>
                      <w:sz w:val="21"/>
                      <w:szCs w:val="21"/>
                    </w:rPr>
                  </w:pPr>
                </w:p>
              </w:tc>
              <w:tc>
                <w:tcPr>
                  <w:tcW w:w="2292" w:type="dxa"/>
                  <w:vAlign w:val="center"/>
                </w:tcPr>
                <w:p w14:paraId="39057D91">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838" w:type="dxa"/>
                  <w:vAlign w:val="center"/>
                </w:tcPr>
                <w:p w14:paraId="34B666E4">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项目位于安徽省宿州市</w:t>
                  </w:r>
                  <w:r>
                    <w:rPr>
                      <w:rFonts w:hint="eastAsia" w:ascii="Times New Roman" w:hAnsi="Times New Roman" w:eastAsia="宋体" w:cs="Times New Roman"/>
                      <w:color w:val="000000"/>
                      <w:kern w:val="0"/>
                      <w:sz w:val="21"/>
                      <w:szCs w:val="21"/>
                      <w:lang w:val="en-US" w:eastAsia="zh-CN"/>
                    </w:rPr>
                    <w:t>泗县</w:t>
                  </w:r>
                  <w:r>
                    <w:rPr>
                      <w:rFonts w:ascii="Times New Roman" w:hAnsi="Times New Roman" w:eastAsia="宋体" w:cs="Times New Roman"/>
                      <w:color w:val="000000"/>
                      <w:kern w:val="0"/>
                      <w:sz w:val="21"/>
                      <w:szCs w:val="21"/>
                    </w:rPr>
                    <w:t>经济开发区，项目生活污水经化粪池处理</w:t>
                  </w:r>
                  <w:r>
                    <w:rPr>
                      <w:rFonts w:hint="eastAsia" w:ascii="Times New Roman" w:hAnsi="Times New Roman" w:eastAsia="宋体" w:cs="Times New Roman"/>
                      <w:color w:val="000000"/>
                      <w:kern w:val="0"/>
                      <w:sz w:val="21"/>
                      <w:szCs w:val="21"/>
                    </w:rPr>
                    <w:t>后</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废水</w:t>
                  </w:r>
                  <w:r>
                    <w:rPr>
                      <w:rFonts w:ascii="Times New Roman" w:hAnsi="Times New Roman" w:eastAsia="宋体" w:cs="Times New Roman"/>
                      <w:color w:val="000000"/>
                      <w:kern w:val="0"/>
                      <w:sz w:val="21"/>
                      <w:szCs w:val="21"/>
                    </w:rPr>
                    <w:t>经管道排入</w:t>
                  </w:r>
                  <w:r>
                    <w:rPr>
                      <w:rFonts w:hint="eastAsia" w:ascii="Times New Roman" w:hAnsi="Times New Roman" w:eastAsia="宋体" w:cs="Times New Roman"/>
                      <w:color w:val="000000"/>
                      <w:kern w:val="0"/>
                      <w:sz w:val="21"/>
                      <w:szCs w:val="21"/>
                      <w:lang w:val="en-US" w:eastAsia="zh-CN"/>
                    </w:rPr>
                    <w:t>泗县工业污水处理厂</w:t>
                  </w:r>
                  <w:r>
                    <w:rPr>
                      <w:rFonts w:ascii="Times New Roman" w:hAnsi="Times New Roman" w:eastAsia="宋体" w:cs="Times New Roman"/>
                      <w:color w:val="000000"/>
                      <w:kern w:val="0"/>
                      <w:sz w:val="21"/>
                      <w:szCs w:val="21"/>
                    </w:rPr>
                    <w:t>，废水排放浓度满足《污水综合排放标准》（GB8978-1996）三级标准和</w:t>
                  </w:r>
                  <w:r>
                    <w:rPr>
                      <w:rFonts w:hint="eastAsia" w:ascii="Times New Roman" w:hAnsi="Times New Roman" w:eastAsia="宋体" w:cs="Times New Roman"/>
                      <w:color w:val="000000"/>
                      <w:kern w:val="0"/>
                      <w:sz w:val="21"/>
                      <w:szCs w:val="21"/>
                      <w:lang w:val="en-US" w:eastAsia="zh-CN"/>
                    </w:rPr>
                    <w:t>泗县工业污水处理厂</w:t>
                  </w:r>
                  <w:r>
                    <w:rPr>
                      <w:rFonts w:ascii="Times New Roman" w:hAnsi="Times New Roman" w:eastAsia="宋体" w:cs="Times New Roman"/>
                      <w:color w:val="000000"/>
                      <w:kern w:val="0"/>
                      <w:sz w:val="21"/>
                      <w:szCs w:val="21"/>
                    </w:rPr>
                    <w:t>接管要求</w:t>
                  </w:r>
                </w:p>
              </w:tc>
              <w:tc>
                <w:tcPr>
                  <w:tcW w:w="427" w:type="dxa"/>
                  <w:vAlign w:val="center"/>
                </w:tcPr>
                <w:p w14:paraId="6077BF6A">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6E7B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4" w:type="dxa"/>
                  <w:gridSpan w:val="4"/>
                  <w:vAlign w:val="center"/>
                </w:tcPr>
                <w:p w14:paraId="2DEE6A29">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其他一般管控单元</w:t>
                  </w:r>
                </w:p>
              </w:tc>
              <w:tc>
                <w:tcPr>
                  <w:tcW w:w="2292" w:type="dxa"/>
                  <w:vAlign w:val="center"/>
                </w:tcPr>
                <w:p w14:paraId="4E864F8A">
                  <w:pPr>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一般管控单元内，执行现有法律法规和政策文件。</w:t>
                  </w:r>
                </w:p>
              </w:tc>
              <w:tc>
                <w:tcPr>
                  <w:tcW w:w="1838" w:type="dxa"/>
                  <w:vAlign w:val="center"/>
                </w:tcPr>
                <w:p w14:paraId="68137C0F">
                  <w:pPr>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项目的建设和生产均符合现有法律法规和政策文件</w:t>
                  </w:r>
                </w:p>
              </w:tc>
              <w:tc>
                <w:tcPr>
                  <w:tcW w:w="427" w:type="dxa"/>
                  <w:vAlign w:val="center"/>
                </w:tcPr>
                <w:p w14:paraId="0F5FCB33">
                  <w:pPr>
                    <w:adjustRightInd w:val="0"/>
                    <w:snapToGrid w:val="0"/>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bl>
          <w:p w14:paraId="5A03AA12">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宋体"/>
                <w:kern w:val="0"/>
                <w:sz w:val="24"/>
                <w:szCs w:val="24"/>
                <w:lang w:val="en-US" w:eastAsia="zh-CN"/>
              </w:rPr>
              <w:t>（4）本项目与《宿州市2024-2025年空气质量提升攻坚行动方案》相符性分析详见下表。</w:t>
            </w:r>
          </w:p>
          <w:p w14:paraId="595D568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表1-7  宿州市2024-2025年空气质量提升攻坚行动方案相符性分析一览表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109"/>
              <w:gridCol w:w="1822"/>
              <w:gridCol w:w="679"/>
            </w:tblGrid>
            <w:tr w14:paraId="22D8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4" w:type="dxa"/>
                  <w:noWrap w:val="0"/>
                  <w:vAlign w:val="center"/>
                </w:tcPr>
                <w:p w14:paraId="1831894E">
                  <w:pPr>
                    <w:keepNext w:val="0"/>
                    <w:keepLines w:val="0"/>
                    <w:pageBreakBefore w:val="0"/>
                    <w:kinsoku/>
                    <w:wordWrap/>
                    <w:overflowPunct/>
                    <w:topLinePunct w:val="0"/>
                    <w:bidi w:val="0"/>
                    <w:jc w:val="center"/>
                    <w:textAlignment w:val="auto"/>
                    <w:rPr>
                      <w:rFonts w:hint="default" w:ascii="Times New Roman" w:hAnsi="Times New Roman" w:eastAsia="宋体" w:cs="Times New Roman"/>
                      <w:b/>
                      <w:bCs/>
                      <w:sz w:val="21"/>
                      <w:vertAlign w:val="baseline"/>
                      <w:lang w:val="en-US" w:eastAsia="zh-CN"/>
                    </w:rPr>
                  </w:pPr>
                  <w:r>
                    <w:rPr>
                      <w:rFonts w:hint="eastAsia" w:ascii="Times New Roman" w:hAnsi="Times New Roman" w:eastAsia="宋体" w:cs="Times New Roman"/>
                      <w:b/>
                      <w:bCs/>
                      <w:sz w:val="21"/>
                      <w:vertAlign w:val="baseline"/>
                      <w:lang w:val="en-US" w:eastAsia="zh-CN"/>
                    </w:rPr>
                    <w:t>序号</w:t>
                  </w:r>
                </w:p>
              </w:tc>
              <w:tc>
                <w:tcPr>
                  <w:tcW w:w="3481" w:type="dxa"/>
                  <w:noWrap w:val="0"/>
                  <w:vAlign w:val="center"/>
                </w:tcPr>
                <w:p w14:paraId="5784625F">
                  <w:pPr>
                    <w:keepNext w:val="0"/>
                    <w:keepLines w:val="0"/>
                    <w:pageBreakBefore w:val="0"/>
                    <w:kinsoku/>
                    <w:wordWrap/>
                    <w:overflowPunct/>
                    <w:topLinePunct w:val="0"/>
                    <w:bidi w:val="0"/>
                    <w:jc w:val="center"/>
                    <w:textAlignment w:val="auto"/>
                    <w:rPr>
                      <w:rFonts w:hint="eastAsia" w:ascii="Times New Roman" w:hAnsi="Times New Roman" w:eastAsia="宋体" w:cs="Times New Roman"/>
                      <w:b/>
                      <w:bCs/>
                      <w:sz w:val="21"/>
                      <w:vertAlign w:val="baseline"/>
                      <w:lang w:val="en-US" w:eastAsia="zh-CN"/>
                    </w:rPr>
                  </w:pPr>
                  <w:r>
                    <w:rPr>
                      <w:rFonts w:hint="default" w:ascii="Times New Roman" w:hAnsi="Times New Roman" w:eastAsia="宋体" w:cs="Times New Roman"/>
                      <w:b/>
                      <w:bCs/>
                      <w:sz w:val="21"/>
                      <w:vertAlign w:val="baseline"/>
                      <w:lang w:val="en-US" w:eastAsia="zh-CN"/>
                    </w:rPr>
                    <w:t>宿州市2024-2025年空气质量提升攻坚行动方案</w:t>
                  </w:r>
                </w:p>
              </w:tc>
              <w:tc>
                <w:tcPr>
                  <w:tcW w:w="2044" w:type="dxa"/>
                  <w:noWrap w:val="0"/>
                  <w:vAlign w:val="center"/>
                </w:tcPr>
                <w:p w14:paraId="364E8042">
                  <w:pPr>
                    <w:keepNext w:val="0"/>
                    <w:keepLines w:val="0"/>
                    <w:pageBreakBefore w:val="0"/>
                    <w:kinsoku/>
                    <w:wordWrap/>
                    <w:overflowPunct/>
                    <w:topLinePunct w:val="0"/>
                    <w:bidi w:val="0"/>
                    <w:jc w:val="center"/>
                    <w:textAlignment w:val="auto"/>
                    <w:rPr>
                      <w:rFonts w:hint="default" w:ascii="Times New Roman" w:hAnsi="Times New Roman" w:eastAsia="宋体" w:cs="Times New Roman"/>
                      <w:b/>
                      <w:bCs/>
                      <w:sz w:val="21"/>
                      <w:vertAlign w:val="baseline"/>
                      <w:lang w:val="en-US" w:eastAsia="zh-CN"/>
                    </w:rPr>
                  </w:pPr>
                  <w:r>
                    <w:rPr>
                      <w:rFonts w:hint="eastAsia" w:ascii="Times New Roman" w:hAnsi="Times New Roman" w:eastAsia="宋体" w:cs="Times New Roman"/>
                      <w:b/>
                      <w:bCs/>
                      <w:sz w:val="21"/>
                      <w:vertAlign w:val="baseline"/>
                      <w:lang w:val="en-US" w:eastAsia="zh-CN"/>
                    </w:rPr>
                    <w:t>项目情况</w:t>
                  </w:r>
                </w:p>
              </w:tc>
              <w:tc>
                <w:tcPr>
                  <w:tcW w:w="726" w:type="dxa"/>
                  <w:noWrap w:val="0"/>
                  <w:vAlign w:val="center"/>
                </w:tcPr>
                <w:p w14:paraId="02985324">
                  <w:pPr>
                    <w:keepNext w:val="0"/>
                    <w:keepLines w:val="0"/>
                    <w:pageBreakBefore w:val="0"/>
                    <w:kinsoku/>
                    <w:wordWrap/>
                    <w:overflowPunct/>
                    <w:topLinePunct w:val="0"/>
                    <w:bidi w:val="0"/>
                    <w:jc w:val="center"/>
                    <w:textAlignment w:val="auto"/>
                    <w:rPr>
                      <w:rFonts w:hint="default" w:ascii="Times New Roman" w:hAnsi="Times New Roman" w:eastAsia="宋体" w:cs="Times New Roman"/>
                      <w:b/>
                      <w:bCs/>
                      <w:sz w:val="21"/>
                      <w:vertAlign w:val="baseline"/>
                      <w:lang w:val="en-US" w:eastAsia="zh-CN"/>
                    </w:rPr>
                  </w:pPr>
                  <w:r>
                    <w:rPr>
                      <w:rFonts w:hint="eastAsia" w:ascii="Times New Roman" w:hAnsi="Times New Roman" w:eastAsia="宋体" w:cs="Times New Roman"/>
                      <w:b/>
                      <w:bCs/>
                      <w:sz w:val="21"/>
                      <w:vertAlign w:val="baseline"/>
                      <w:lang w:val="en-US" w:eastAsia="zh-CN"/>
                    </w:rPr>
                    <w:t>相符性</w:t>
                  </w:r>
                </w:p>
              </w:tc>
            </w:tr>
            <w:tr w14:paraId="7665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4" w:type="dxa"/>
                  <w:noWrap w:val="0"/>
                  <w:vAlign w:val="center"/>
                </w:tcPr>
                <w:p w14:paraId="0AA8AF0E">
                  <w:pPr>
                    <w:keepNext w:val="0"/>
                    <w:keepLines w:val="0"/>
                    <w:pageBreakBefore w:val="0"/>
                    <w:kinsoku/>
                    <w:wordWrap/>
                    <w:overflowPunct/>
                    <w:topLinePunct w:val="0"/>
                    <w:bidi w:val="0"/>
                    <w:jc w:val="center"/>
                    <w:textAlignment w:val="auto"/>
                    <w:rPr>
                      <w:rFonts w:hint="default" w:ascii="Times New Roman" w:hAnsi="Times New Roman" w:eastAsia="宋体" w:cs="Times New Roman"/>
                      <w:sz w:val="21"/>
                      <w:vertAlign w:val="baseline"/>
                      <w:lang w:val="en-US" w:eastAsia="zh-CN"/>
                    </w:rPr>
                  </w:pPr>
                  <w:r>
                    <w:rPr>
                      <w:rFonts w:hint="eastAsia" w:ascii="Times New Roman" w:hAnsi="Times New Roman" w:eastAsia="宋体" w:cs="Times New Roman"/>
                      <w:sz w:val="21"/>
                      <w:vertAlign w:val="baseline"/>
                      <w:lang w:val="en-US" w:eastAsia="zh-CN"/>
                    </w:rPr>
                    <w:t>1</w:t>
                  </w:r>
                </w:p>
              </w:tc>
              <w:tc>
                <w:tcPr>
                  <w:tcW w:w="3481" w:type="dxa"/>
                  <w:noWrap w:val="0"/>
                  <w:vAlign w:val="center"/>
                </w:tcPr>
                <w:p w14:paraId="69BCA6DD">
                  <w:pPr>
                    <w:keepNext w:val="0"/>
                    <w:keepLines w:val="0"/>
                    <w:pageBreakBefore w:val="0"/>
                    <w:kinsoku/>
                    <w:wordWrap/>
                    <w:overflowPunct/>
                    <w:topLinePunct w:val="0"/>
                    <w:bidi w:val="0"/>
                    <w:jc w:val="center"/>
                    <w:textAlignment w:val="auto"/>
                    <w:rPr>
                      <w:rFonts w:ascii="Times New Roman" w:hAnsi="Times New Roman" w:eastAsia="宋体" w:cs="Times New Roman"/>
                      <w:sz w:val="21"/>
                      <w:szCs w:val="21"/>
                      <w:lang w:bidi="ar"/>
                    </w:rPr>
                  </w:pPr>
                  <w:r>
                    <w:rPr>
                      <w:rFonts w:hint="eastAsia" w:ascii="Times New Roman" w:hAnsi="Times New Roman" w:eastAsia="宋体" w:cs="Times New Roman"/>
                      <w:sz w:val="21"/>
                      <w:vertAlign w:val="baseline"/>
                      <w:lang w:val="en-US" w:eastAsia="zh-CN"/>
                    </w:rPr>
                    <w:t>全面排查塑料加工、人造板、木材加工、家具制造、合成革、包装印刷、石材加工、煤和矸石破碎加工（含煤球等）、粮食饲料加工、中药材加工、不规范搅拌站、汽车维修（抛光、打磨）、黑色和有色金属熔炼加工、陶瓷烧制行业、砖瓦窑等涉气“散乱污”企业，实施清单管理，动态清零</w:t>
                  </w:r>
                </w:p>
              </w:tc>
              <w:tc>
                <w:tcPr>
                  <w:tcW w:w="2044" w:type="dxa"/>
                  <w:noWrap w:val="0"/>
                  <w:vAlign w:val="center"/>
                </w:tcPr>
                <w:p w14:paraId="1BAA0B15">
                  <w:pPr>
                    <w:keepNext w:val="0"/>
                    <w:keepLines w:val="0"/>
                    <w:pageBreakBefore w:val="0"/>
                    <w:kinsoku/>
                    <w:wordWrap/>
                    <w:overflowPunct/>
                    <w:topLinePunct w:val="0"/>
                    <w:bidi w:val="0"/>
                    <w:jc w:val="center"/>
                    <w:textAlignment w:val="auto"/>
                    <w:rPr>
                      <w:rFonts w:hint="default" w:ascii="Times New Roman" w:hAnsi="Times New Roman" w:eastAsia="宋体" w:cs="Times New Roman"/>
                      <w:sz w:val="21"/>
                      <w:vertAlign w:val="baseline"/>
                      <w:lang w:val="en-US" w:eastAsia="zh-CN"/>
                    </w:rPr>
                  </w:pPr>
                  <w:r>
                    <w:rPr>
                      <w:rFonts w:ascii="Times New Roman" w:hAnsi="Times New Roman" w:eastAsia="宋体" w:cs="Times New Roman"/>
                      <w:sz w:val="21"/>
                      <w:szCs w:val="21"/>
                      <w:lang w:bidi="ar"/>
                    </w:rPr>
                    <w:t>本项目为</w:t>
                  </w:r>
                  <w:r>
                    <w:rPr>
                      <w:rFonts w:hint="eastAsia" w:cs="Times New Roman"/>
                      <w:sz w:val="21"/>
                      <w:szCs w:val="21"/>
                      <w:lang w:eastAsia="zh-CN" w:bidi="ar"/>
                    </w:rPr>
                    <w:t>木制容器制造</w:t>
                  </w:r>
                  <w:r>
                    <w:rPr>
                      <w:rFonts w:ascii="Times New Roman" w:hAnsi="Times New Roman" w:eastAsia="宋体" w:cs="Times New Roman"/>
                      <w:sz w:val="21"/>
                      <w:szCs w:val="21"/>
                      <w:lang w:bidi="ar"/>
                    </w:rPr>
                    <w:t>，不属于</w:t>
                  </w:r>
                  <w:r>
                    <w:rPr>
                      <w:rFonts w:hint="eastAsia" w:ascii="Times New Roman" w:hAnsi="Times New Roman" w:eastAsia="宋体" w:cs="Times New Roman"/>
                      <w:sz w:val="21"/>
                      <w:szCs w:val="21"/>
                      <w:lang w:eastAsia="zh-CN" w:bidi="ar"/>
                    </w:rPr>
                    <w:t>“</w:t>
                  </w:r>
                  <w:r>
                    <w:rPr>
                      <w:rFonts w:hint="eastAsia" w:ascii="Times New Roman" w:hAnsi="Times New Roman" w:eastAsia="宋体" w:cs="Times New Roman"/>
                      <w:sz w:val="21"/>
                      <w:szCs w:val="21"/>
                      <w:lang w:val="en-US" w:eastAsia="zh-CN" w:bidi="ar"/>
                    </w:rPr>
                    <w:t>散乱污</w:t>
                  </w:r>
                  <w:r>
                    <w:rPr>
                      <w:rFonts w:hint="eastAsia" w:ascii="Times New Roman" w:hAnsi="Times New Roman" w:eastAsia="宋体" w:cs="Times New Roman"/>
                      <w:sz w:val="21"/>
                      <w:szCs w:val="21"/>
                      <w:lang w:eastAsia="zh-CN" w:bidi="ar"/>
                    </w:rPr>
                    <w:t>”</w:t>
                  </w:r>
                  <w:r>
                    <w:rPr>
                      <w:rFonts w:hint="eastAsia" w:ascii="Times New Roman" w:hAnsi="Times New Roman" w:eastAsia="宋体" w:cs="Times New Roman"/>
                      <w:sz w:val="21"/>
                      <w:szCs w:val="21"/>
                      <w:lang w:val="en-US" w:eastAsia="zh-CN" w:bidi="ar"/>
                    </w:rPr>
                    <w:t>企业</w:t>
                  </w:r>
                </w:p>
              </w:tc>
              <w:tc>
                <w:tcPr>
                  <w:tcW w:w="726" w:type="dxa"/>
                  <w:noWrap w:val="0"/>
                  <w:vAlign w:val="center"/>
                </w:tcPr>
                <w:p w14:paraId="1C4940BD">
                  <w:pPr>
                    <w:keepNext w:val="0"/>
                    <w:keepLines w:val="0"/>
                    <w:pageBreakBefore w:val="0"/>
                    <w:kinsoku/>
                    <w:wordWrap/>
                    <w:overflowPunct/>
                    <w:topLinePunct w:val="0"/>
                    <w:bidi w:val="0"/>
                    <w:jc w:val="center"/>
                    <w:textAlignment w:val="auto"/>
                    <w:rPr>
                      <w:rFonts w:hint="default" w:ascii="Times New Roman" w:hAnsi="Times New Roman" w:eastAsia="宋体" w:cs="Times New Roman"/>
                      <w:sz w:val="21"/>
                      <w:vertAlign w:val="baseline"/>
                      <w:lang w:val="en-US" w:eastAsia="zh-CN"/>
                    </w:rPr>
                  </w:pPr>
                  <w:r>
                    <w:rPr>
                      <w:rFonts w:hint="eastAsia" w:ascii="Times New Roman" w:hAnsi="Times New Roman" w:eastAsia="宋体" w:cs="Times New Roman"/>
                      <w:sz w:val="21"/>
                      <w:vertAlign w:val="baseline"/>
                      <w:lang w:val="en-US" w:eastAsia="zh-CN"/>
                    </w:rPr>
                    <w:t>相符</w:t>
                  </w:r>
                </w:p>
              </w:tc>
            </w:tr>
          </w:tbl>
          <w:p w14:paraId="5C2F02D8">
            <w:pPr>
              <w:keepNext w:val="0"/>
              <w:keepLines w:val="0"/>
              <w:pageBreakBefore w:val="0"/>
              <w:widowControl/>
              <w:numPr>
                <w:ilvl w:val="0"/>
                <w:numId w:val="0"/>
              </w:numPr>
              <w:kinsoku/>
              <w:wordWrap/>
              <w:overflowPunct/>
              <w:topLinePunct w:val="0"/>
              <w:autoSpaceDE/>
              <w:autoSpaceDN/>
              <w:bidi w:val="0"/>
              <w:adjustRightInd/>
              <w:snapToGrid w:val="0"/>
              <w:spacing w:before="157" w:beforeLines="50" w:after="0" w:line="360" w:lineRule="auto"/>
              <w:ind w:right="0" w:firstLine="480" w:firstLineChars="200"/>
              <w:jc w:val="both"/>
              <w:textAlignment w:val="auto"/>
              <w:rPr>
                <w:rFonts w:hint="default" w:ascii="Times New Roman" w:hAnsi="Times New Roman" w:eastAsia="宋体" w:cs="Times New Roman"/>
                <w:b w:val="0"/>
                <w:bCs w:val="0"/>
                <w:kern w:val="0"/>
                <w:sz w:val="24"/>
                <w:szCs w:val="28"/>
                <w:lang w:val="en-US" w:eastAsia="zh-CN" w:bidi="ar-SA"/>
              </w:rPr>
            </w:pPr>
            <w:r>
              <w:rPr>
                <w:rFonts w:hint="default" w:ascii="Times New Roman" w:hAnsi="Times New Roman" w:eastAsia="宋体" w:cs="Times New Roman"/>
                <w:kern w:val="0"/>
                <w:sz w:val="24"/>
                <w:szCs w:val="32"/>
                <w:lang w:val="en-US" w:eastAsia="zh-CN" w:bidi="ar-SA"/>
              </w:rPr>
              <w:t>（5）</w:t>
            </w:r>
            <w:r>
              <w:rPr>
                <w:rFonts w:hint="default" w:ascii="Times New Roman" w:hAnsi="Times New Roman" w:eastAsia="宋体" w:cs="Times New Roman"/>
                <w:b w:val="0"/>
                <w:bCs w:val="0"/>
                <w:kern w:val="0"/>
                <w:sz w:val="24"/>
                <w:szCs w:val="28"/>
                <w:lang w:val="en-US" w:eastAsia="zh-CN" w:bidi="ar-SA"/>
              </w:rPr>
              <w:t>本项目与《安徽省空气质量持续改善行动方案》的符合性</w:t>
            </w:r>
          </w:p>
          <w:p w14:paraId="6834E0B8">
            <w:pPr>
              <w:widowControl/>
              <w:numPr>
                <w:ilvl w:val="0"/>
                <w:numId w:val="0"/>
              </w:numPr>
              <w:snapToGrid w:val="0"/>
              <w:spacing w:before="0" w:after="0" w:line="240" w:lineRule="auto"/>
              <w:ind w:right="0"/>
              <w:jc w:val="center"/>
              <w:rPr>
                <w:rFonts w:hint="eastAsia" w:ascii="Times New Roman" w:hAnsi="Times New Roman" w:eastAsia="宋体" w:cs="Times New Roman"/>
                <w:kern w:val="0"/>
                <w:sz w:val="18"/>
                <w:szCs w:val="20"/>
                <w:lang w:val="en-US" w:eastAsia="zh-CN" w:bidi="ar-SA"/>
              </w:rPr>
            </w:pPr>
            <w:r>
              <w:rPr>
                <w:rFonts w:hint="eastAsia" w:ascii="Times New Roman" w:hAnsi="Times New Roman" w:eastAsia="宋体" w:cs="Times New Roman"/>
                <w:b/>
                <w:bCs/>
                <w:kern w:val="0"/>
                <w:sz w:val="24"/>
                <w:szCs w:val="28"/>
                <w:lang w:val="en-US" w:eastAsia="zh-CN" w:bidi="ar-SA"/>
              </w:rPr>
              <w:t>表1-8 项目与《安徽省空气质量持续改善行动方案》的符合性分析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2853"/>
              <w:gridCol w:w="1892"/>
              <w:gridCol w:w="951"/>
            </w:tblGrid>
            <w:tr w14:paraId="7473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6" w:type="dxa"/>
                  <w:noWrap w:val="0"/>
                  <w:vAlign w:val="center"/>
                </w:tcPr>
                <w:p w14:paraId="26FCD9F5">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sz w:val="21"/>
                      <w:vertAlign w:val="baseline"/>
                      <w:lang w:val="en-US" w:eastAsia="zh-CN"/>
                    </w:rPr>
                  </w:pPr>
                  <w:r>
                    <w:rPr>
                      <w:rFonts w:ascii="Times New Roman" w:hAnsi="Times New Roman" w:eastAsia="宋体" w:cs="Times New Roman"/>
                      <w:b/>
                      <w:bCs/>
                      <w:color w:val="auto"/>
                      <w:sz w:val="21"/>
                      <w:szCs w:val="21"/>
                      <w:lang w:bidi="ar"/>
                    </w:rPr>
                    <w:t>序号</w:t>
                  </w:r>
                </w:p>
              </w:tc>
              <w:tc>
                <w:tcPr>
                  <w:tcW w:w="2853" w:type="dxa"/>
                  <w:noWrap w:val="0"/>
                  <w:vAlign w:val="center"/>
                </w:tcPr>
                <w:p w14:paraId="7366EC98">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sz w:val="21"/>
                      <w:vertAlign w:val="baseline"/>
                      <w:lang w:val="en-US" w:eastAsia="zh-CN"/>
                    </w:rPr>
                  </w:pPr>
                  <w:r>
                    <w:rPr>
                      <w:rFonts w:hint="eastAsia" w:ascii="Times New Roman" w:hAnsi="Times New Roman" w:eastAsia="宋体" w:cs="Times New Roman"/>
                      <w:b/>
                      <w:bCs/>
                      <w:color w:val="auto"/>
                      <w:sz w:val="21"/>
                      <w:szCs w:val="21"/>
                      <w:lang w:val="en-US" w:eastAsia="zh-CN" w:bidi="ar"/>
                    </w:rPr>
                    <w:t>行动计划</w:t>
                  </w:r>
                </w:p>
              </w:tc>
              <w:tc>
                <w:tcPr>
                  <w:tcW w:w="1892" w:type="dxa"/>
                  <w:noWrap w:val="0"/>
                  <w:vAlign w:val="center"/>
                </w:tcPr>
                <w:p w14:paraId="00DFD339">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sz w:val="21"/>
                      <w:vertAlign w:val="baseline"/>
                      <w:lang w:val="en-US" w:eastAsia="zh-CN"/>
                    </w:rPr>
                  </w:pPr>
                  <w:r>
                    <w:rPr>
                      <w:rFonts w:ascii="Times New Roman" w:hAnsi="Times New Roman" w:eastAsia="宋体" w:cs="Times New Roman"/>
                      <w:b/>
                      <w:bCs/>
                      <w:color w:val="auto"/>
                      <w:sz w:val="21"/>
                      <w:szCs w:val="21"/>
                      <w:lang w:bidi="ar"/>
                    </w:rPr>
                    <w:t>本项目</w:t>
                  </w:r>
                </w:p>
              </w:tc>
              <w:tc>
                <w:tcPr>
                  <w:tcW w:w="951" w:type="dxa"/>
                  <w:noWrap w:val="0"/>
                  <w:vAlign w:val="center"/>
                </w:tcPr>
                <w:p w14:paraId="2FEBC86F">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sz w:val="21"/>
                      <w:vertAlign w:val="baseline"/>
                      <w:lang w:val="en-US" w:eastAsia="zh-CN"/>
                    </w:rPr>
                  </w:pPr>
                  <w:r>
                    <w:rPr>
                      <w:rFonts w:ascii="Times New Roman" w:hAnsi="Times New Roman" w:eastAsia="宋体" w:cs="Times New Roman"/>
                      <w:b/>
                      <w:bCs/>
                      <w:color w:val="auto"/>
                      <w:sz w:val="21"/>
                      <w:szCs w:val="21"/>
                      <w:lang w:bidi="ar"/>
                    </w:rPr>
                    <w:t>符合性</w:t>
                  </w:r>
                </w:p>
              </w:tc>
            </w:tr>
            <w:tr w14:paraId="00FB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6" w:type="dxa"/>
                  <w:noWrap w:val="0"/>
                  <w:vAlign w:val="center"/>
                </w:tcPr>
                <w:p w14:paraId="38308C5B">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kern w:val="0"/>
                      <w:sz w:val="21"/>
                      <w:szCs w:val="20"/>
                      <w:vertAlign w:val="baseline"/>
                      <w:lang w:val="en-US" w:eastAsia="zh-CN" w:bidi="ar-SA"/>
                    </w:rPr>
                  </w:pPr>
                  <w:r>
                    <w:rPr>
                      <w:rFonts w:hint="eastAsia" w:ascii="Times New Roman" w:hAnsi="Times New Roman" w:eastAsia="宋体" w:cs="Times New Roman"/>
                      <w:kern w:val="0"/>
                      <w:sz w:val="21"/>
                      <w:szCs w:val="20"/>
                      <w:vertAlign w:val="baseline"/>
                      <w:lang w:val="en-US" w:eastAsia="zh-CN" w:bidi="ar-SA"/>
                    </w:rPr>
                    <w:t>1</w:t>
                  </w:r>
                </w:p>
              </w:tc>
              <w:tc>
                <w:tcPr>
                  <w:tcW w:w="2853" w:type="dxa"/>
                  <w:noWrap w:val="0"/>
                  <w:vAlign w:val="center"/>
                </w:tcPr>
                <w:p w14:paraId="1074389C">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kern w:val="0"/>
                      <w:sz w:val="21"/>
                      <w:szCs w:val="20"/>
                      <w:vertAlign w:val="baseline"/>
                      <w:lang w:val="en-US" w:eastAsia="zh-CN" w:bidi="ar-SA"/>
                    </w:rPr>
                  </w:pPr>
                  <w:r>
                    <w:rPr>
                      <w:rFonts w:hint="default" w:ascii="Times New Roman" w:hAnsi="Times New Roman" w:eastAsia="宋体" w:cs="Times New Roman"/>
                      <w:kern w:val="0"/>
                      <w:sz w:val="21"/>
                      <w:szCs w:val="20"/>
                      <w:vertAlign w:val="baseline"/>
                      <w:lang w:val="en-US" w:eastAsia="zh-CN" w:bidi="ar-SA"/>
                    </w:rPr>
                    <w:t>优化调整产业结构布局</w:t>
                  </w:r>
                  <w:r>
                    <w:rPr>
                      <w:rFonts w:hint="eastAsia" w:ascii="Times New Roman" w:hAnsi="Times New Roman" w:eastAsia="宋体" w:cs="Times New Roman"/>
                      <w:kern w:val="0"/>
                      <w:sz w:val="21"/>
                      <w:szCs w:val="20"/>
                      <w:vertAlign w:val="baseline"/>
                      <w:lang w:val="en-US" w:eastAsia="zh-CN" w:bidi="ar-SA"/>
                    </w:rPr>
                    <w:t>。坚决遏制高耗能、高排放、低水平项目盲目上马；有序推动落后产能淘汰；开展传统产业集群排查整治；推动新能源和节能环保等产业健康发展。</w:t>
                  </w:r>
                </w:p>
              </w:tc>
              <w:tc>
                <w:tcPr>
                  <w:tcW w:w="1892" w:type="dxa"/>
                  <w:noWrap w:val="0"/>
                  <w:vAlign w:val="center"/>
                </w:tcPr>
                <w:p w14:paraId="34F45D3D">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kern w:val="0"/>
                      <w:sz w:val="21"/>
                      <w:szCs w:val="20"/>
                      <w:vertAlign w:val="baseline"/>
                      <w:lang w:val="en-US" w:eastAsia="zh-CN" w:bidi="ar-SA"/>
                    </w:rPr>
                  </w:pPr>
                  <w:r>
                    <w:rPr>
                      <w:rFonts w:hint="eastAsia" w:ascii="Times New Roman" w:hAnsi="Times New Roman" w:eastAsia="宋体" w:cs="Times New Roman"/>
                      <w:kern w:val="0"/>
                      <w:sz w:val="21"/>
                      <w:szCs w:val="20"/>
                      <w:vertAlign w:val="baseline"/>
                      <w:lang w:val="en-US" w:eastAsia="zh-CN" w:bidi="ar-SA"/>
                    </w:rPr>
                    <w:t>根据《安徽省“两高”项目管理目录（试行）》（皖节能【2022】2号），本项目</w:t>
                  </w:r>
                  <w:r>
                    <w:rPr>
                      <w:rFonts w:hint="eastAsia" w:cs="Times New Roman"/>
                      <w:kern w:val="0"/>
                      <w:sz w:val="21"/>
                      <w:szCs w:val="20"/>
                      <w:vertAlign w:val="baseline"/>
                      <w:lang w:val="en-US" w:eastAsia="zh-CN" w:bidi="ar-SA"/>
                    </w:rPr>
                    <w:t>木制容器制造</w:t>
                  </w:r>
                  <w:r>
                    <w:rPr>
                      <w:rFonts w:hint="eastAsia" w:ascii="Times New Roman" w:hAnsi="Times New Roman" w:eastAsia="宋体" w:cs="Times New Roman"/>
                      <w:kern w:val="0"/>
                      <w:sz w:val="21"/>
                      <w:szCs w:val="20"/>
                      <w:vertAlign w:val="baseline"/>
                      <w:lang w:val="en-US" w:eastAsia="zh-CN" w:bidi="ar-SA"/>
                    </w:rPr>
                    <w:t>不属于“两高”项目</w:t>
                  </w:r>
                </w:p>
              </w:tc>
              <w:tc>
                <w:tcPr>
                  <w:tcW w:w="951" w:type="dxa"/>
                  <w:noWrap w:val="0"/>
                  <w:vAlign w:val="center"/>
                </w:tcPr>
                <w:p w14:paraId="024BDB41">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kern w:val="0"/>
                      <w:sz w:val="21"/>
                      <w:szCs w:val="20"/>
                      <w:vertAlign w:val="baseline"/>
                      <w:lang w:val="en-US" w:eastAsia="zh-CN" w:bidi="ar-SA"/>
                    </w:rPr>
                  </w:pPr>
                  <w:r>
                    <w:rPr>
                      <w:rFonts w:hint="eastAsia" w:ascii="Times New Roman" w:hAnsi="Times New Roman" w:eastAsia="宋体" w:cs="Times New Roman"/>
                      <w:kern w:val="0"/>
                      <w:sz w:val="21"/>
                      <w:szCs w:val="20"/>
                      <w:vertAlign w:val="baseline"/>
                      <w:lang w:val="en-US" w:eastAsia="zh-CN" w:bidi="ar-SA"/>
                    </w:rPr>
                    <w:t>符合</w:t>
                  </w:r>
                </w:p>
              </w:tc>
            </w:tr>
            <w:tr w14:paraId="0608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6" w:type="dxa"/>
                  <w:noWrap w:val="0"/>
                  <w:vAlign w:val="center"/>
                </w:tcPr>
                <w:p w14:paraId="2899F2FB">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kern w:val="0"/>
                      <w:sz w:val="21"/>
                      <w:szCs w:val="20"/>
                      <w:vertAlign w:val="baseline"/>
                      <w:lang w:val="en-US" w:eastAsia="zh-CN" w:bidi="ar-SA"/>
                    </w:rPr>
                  </w:pPr>
                  <w:r>
                    <w:rPr>
                      <w:rFonts w:hint="eastAsia" w:ascii="Times New Roman" w:hAnsi="Times New Roman" w:eastAsia="宋体" w:cs="Times New Roman"/>
                      <w:kern w:val="0"/>
                      <w:sz w:val="21"/>
                      <w:szCs w:val="20"/>
                      <w:vertAlign w:val="baseline"/>
                      <w:lang w:val="en-US" w:eastAsia="zh-CN" w:bidi="ar-SA"/>
                    </w:rPr>
                    <w:t>2</w:t>
                  </w:r>
                </w:p>
              </w:tc>
              <w:tc>
                <w:tcPr>
                  <w:tcW w:w="2853" w:type="dxa"/>
                  <w:noWrap w:val="0"/>
                  <w:vAlign w:val="center"/>
                </w:tcPr>
                <w:p w14:paraId="5C96E159">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kern w:val="0"/>
                      <w:sz w:val="21"/>
                      <w:szCs w:val="20"/>
                      <w:vertAlign w:val="baseline"/>
                      <w:lang w:val="en-US" w:eastAsia="zh-CN" w:bidi="ar-SA"/>
                    </w:rPr>
                  </w:pPr>
                  <w:r>
                    <w:rPr>
                      <w:rFonts w:hint="default" w:ascii="Times New Roman" w:hAnsi="Times New Roman" w:eastAsia="宋体" w:cs="Times New Roman"/>
                      <w:kern w:val="0"/>
                      <w:sz w:val="21"/>
                      <w:szCs w:val="20"/>
                      <w:vertAlign w:val="baseline"/>
                      <w:lang w:val="en-US" w:eastAsia="zh-CN" w:bidi="ar-SA"/>
                    </w:rPr>
                    <w:t>加快能源结构绿色低碳转型</w:t>
                  </w:r>
                  <w:r>
                    <w:rPr>
                      <w:rFonts w:hint="eastAsia" w:ascii="Times New Roman" w:hAnsi="Times New Roman" w:eastAsia="宋体" w:cs="Times New Roman"/>
                      <w:kern w:val="0"/>
                      <w:sz w:val="21"/>
                      <w:szCs w:val="20"/>
                      <w:vertAlign w:val="baseline"/>
                      <w:lang w:val="en-US" w:eastAsia="zh-CN" w:bidi="ar-SA"/>
                    </w:rPr>
                    <w:t>。加快推广使用清洁能源；推动煤炭消费减量替代；加快推动燃煤锅炉机组升级改造；推动工业炉窑清洁能源替代。</w:t>
                  </w:r>
                </w:p>
              </w:tc>
              <w:tc>
                <w:tcPr>
                  <w:tcW w:w="1892" w:type="dxa"/>
                  <w:noWrap w:val="0"/>
                  <w:vAlign w:val="center"/>
                </w:tcPr>
                <w:p w14:paraId="41B993CB">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kern w:val="0"/>
                      <w:sz w:val="21"/>
                      <w:szCs w:val="20"/>
                      <w:vertAlign w:val="baseline"/>
                      <w:lang w:val="en-US" w:eastAsia="zh-CN" w:bidi="ar-SA"/>
                    </w:rPr>
                  </w:pPr>
                  <w:r>
                    <w:rPr>
                      <w:rFonts w:hint="default" w:ascii="Times New Roman" w:hAnsi="Times New Roman" w:eastAsia="宋体" w:cs="Times New Roman"/>
                      <w:kern w:val="0"/>
                      <w:sz w:val="21"/>
                      <w:szCs w:val="20"/>
                      <w:vertAlign w:val="baseline"/>
                      <w:lang w:val="en-US" w:eastAsia="zh-CN" w:bidi="ar-SA"/>
                    </w:rPr>
                    <w:t>本项目</w:t>
                  </w:r>
                  <w:r>
                    <w:rPr>
                      <w:rFonts w:hint="eastAsia" w:ascii="Times New Roman" w:hAnsi="Times New Roman" w:eastAsia="宋体" w:cs="Times New Roman"/>
                      <w:b w:val="0"/>
                      <w:bCs w:val="0"/>
                      <w:color w:val="auto"/>
                      <w:kern w:val="0"/>
                      <w:sz w:val="21"/>
                      <w:szCs w:val="21"/>
                      <w:vertAlign w:val="baseline"/>
                      <w:lang w:val="en-US" w:eastAsia="zh-CN" w:bidi="ar-SA"/>
                    </w:rPr>
                    <w:t>不新建燃料类煤气发生炉，本项目烘干工序使用电加热，不涉及煤炭的使用</w:t>
                  </w:r>
                </w:p>
              </w:tc>
              <w:tc>
                <w:tcPr>
                  <w:tcW w:w="951" w:type="dxa"/>
                  <w:noWrap w:val="0"/>
                  <w:vAlign w:val="center"/>
                </w:tcPr>
                <w:p w14:paraId="122441DF">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kern w:val="0"/>
                      <w:sz w:val="21"/>
                      <w:szCs w:val="20"/>
                      <w:vertAlign w:val="baseline"/>
                      <w:lang w:val="en-US" w:eastAsia="zh-CN" w:bidi="ar-SA"/>
                    </w:rPr>
                  </w:pPr>
                  <w:r>
                    <w:rPr>
                      <w:rFonts w:hint="eastAsia" w:ascii="Times New Roman" w:hAnsi="Times New Roman" w:eastAsia="宋体" w:cs="Times New Roman"/>
                      <w:kern w:val="0"/>
                      <w:sz w:val="21"/>
                      <w:szCs w:val="20"/>
                      <w:vertAlign w:val="baseline"/>
                      <w:lang w:val="en-US" w:eastAsia="zh-CN" w:bidi="ar-SA"/>
                    </w:rPr>
                    <w:t>符合</w:t>
                  </w:r>
                </w:p>
              </w:tc>
            </w:tr>
          </w:tbl>
          <w:p w14:paraId="6F5433F0"/>
          <w:p w14:paraId="69205C23">
            <w:pPr>
              <w:autoSpaceDE w:val="0"/>
              <w:autoSpaceDN w:val="0"/>
              <w:adjustRightInd w:val="0"/>
              <w:snapToGrid w:val="0"/>
              <w:rPr>
                <w:rFonts w:hint="eastAsia" w:eastAsia="宋体"/>
                <w:kern w:val="0"/>
                <w:lang w:eastAsia="zh-CN"/>
              </w:rPr>
            </w:pPr>
          </w:p>
        </w:tc>
      </w:tr>
    </w:tbl>
    <w:p w14:paraId="64B83092">
      <w:pPr>
        <w:spacing w:line="360" w:lineRule="auto"/>
        <w:outlineLvl w:val="0"/>
        <w:rPr>
          <w:rFonts w:eastAsia="黑体"/>
          <w:sz w:val="30"/>
        </w:rPr>
        <w:sectPr>
          <w:headerReference r:id="rId6" w:type="default"/>
          <w:footerReference r:id="rId7" w:type="default"/>
          <w:pgSz w:w="11906" w:h="16838"/>
          <w:pgMar w:top="1701" w:right="1531" w:bottom="1701" w:left="1531" w:header="851" w:footer="1077" w:gutter="0"/>
          <w:pgNumType w:start="1"/>
          <w:cols w:space="720" w:num="1"/>
          <w:docGrid w:linePitch="312" w:charSpace="0"/>
        </w:sectPr>
      </w:pPr>
    </w:p>
    <w:p w14:paraId="4AAF2D20">
      <w:pPr>
        <w:pStyle w:val="26"/>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45725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7" w:hRule="atLeast"/>
          <w:jc w:val="center"/>
        </w:trPr>
        <w:tc>
          <w:tcPr>
            <w:tcW w:w="823" w:type="dxa"/>
            <w:vAlign w:val="center"/>
          </w:tcPr>
          <w:p w14:paraId="1256DF69">
            <w:pPr>
              <w:pStyle w:val="26"/>
              <w:adjustRightInd w:val="0"/>
              <w:snapToGrid w:val="0"/>
              <w:spacing w:before="0" w:beforeAutospacing="0" w:after="0" w:afterAutospacing="0"/>
              <w:jc w:val="center"/>
              <w:rPr>
                <w:rFonts w:cs="宋体"/>
                <w:sz w:val="21"/>
                <w:szCs w:val="21"/>
              </w:rPr>
            </w:pPr>
            <w:r>
              <w:rPr>
                <w:rFonts w:hint="eastAsia" w:cs="宋体"/>
                <w:szCs w:val="24"/>
              </w:rPr>
              <w:t>建设内容</w:t>
            </w:r>
          </w:p>
        </w:tc>
        <w:tc>
          <w:tcPr>
            <w:tcW w:w="8161" w:type="dxa"/>
            <w:vAlign w:val="top"/>
          </w:tcPr>
          <w:p w14:paraId="70954FA3">
            <w:pPr>
              <w:autoSpaceDE w:val="0"/>
              <w:autoSpaceDN w:val="0"/>
              <w:adjustRightInd w:val="0"/>
              <w:snapToGrid w:val="0"/>
              <w:spacing w:before="120" w:beforeLines="50" w:line="360" w:lineRule="auto"/>
              <w:rPr>
                <w:b/>
                <w:bCs/>
                <w:color w:val="auto"/>
                <w:kern w:val="0"/>
              </w:rPr>
            </w:pPr>
            <w:r>
              <w:rPr>
                <w:rFonts w:hint="eastAsia"/>
                <w:b/>
                <w:bCs/>
                <w:color w:val="auto"/>
                <w:kern w:val="0"/>
              </w:rPr>
              <w:t>1、项目背景及建设内容</w:t>
            </w:r>
          </w:p>
          <w:p w14:paraId="621D8AB2">
            <w:pPr>
              <w:pStyle w:val="11"/>
              <w:adjustRightInd w:val="0"/>
              <w:snapToGrid w:val="0"/>
              <w:spacing w:line="360" w:lineRule="auto"/>
              <w:ind w:firstLine="480" w:firstLineChars="200"/>
              <w:rPr>
                <w:rFonts w:hint="eastAsia"/>
                <w:lang w:val="en-US" w:eastAsia="zh-CN"/>
              </w:rPr>
            </w:pPr>
            <w:r>
              <w:rPr>
                <w:rFonts w:hint="eastAsia"/>
                <w:color w:val="auto"/>
                <w:szCs w:val="24"/>
              </w:rPr>
              <w:t>宿州吉顺木业有限公司成立于202</w:t>
            </w:r>
            <w:r>
              <w:rPr>
                <w:rFonts w:hint="eastAsia"/>
                <w:color w:val="auto"/>
                <w:szCs w:val="24"/>
                <w:lang w:val="en-US" w:eastAsia="zh-CN"/>
              </w:rPr>
              <w:t>3</w:t>
            </w:r>
            <w:r>
              <w:rPr>
                <w:rFonts w:hint="eastAsia"/>
                <w:color w:val="auto"/>
                <w:szCs w:val="24"/>
              </w:rPr>
              <w:t>年1</w:t>
            </w:r>
            <w:r>
              <w:rPr>
                <w:rFonts w:hint="eastAsia"/>
                <w:color w:val="auto"/>
                <w:szCs w:val="24"/>
                <w:lang w:val="en-US" w:eastAsia="zh-CN"/>
              </w:rPr>
              <w:t>0</w:t>
            </w:r>
            <w:r>
              <w:rPr>
                <w:rFonts w:hint="eastAsia"/>
                <w:color w:val="auto"/>
                <w:szCs w:val="24"/>
              </w:rPr>
              <w:t>月</w:t>
            </w:r>
            <w:r>
              <w:rPr>
                <w:rFonts w:hint="eastAsia"/>
                <w:color w:val="auto"/>
                <w:szCs w:val="24"/>
                <w:lang w:val="en-US" w:eastAsia="zh-CN"/>
              </w:rPr>
              <w:t>16</w:t>
            </w:r>
            <w:r>
              <w:rPr>
                <w:rFonts w:hint="eastAsia"/>
                <w:color w:val="auto"/>
                <w:szCs w:val="24"/>
              </w:rPr>
              <w:t>日，</w:t>
            </w:r>
            <w:r>
              <w:rPr>
                <w:rFonts w:hint="eastAsia"/>
                <w:color w:val="auto"/>
                <w:szCs w:val="24"/>
                <w:lang w:val="en-US" w:eastAsia="zh-CN"/>
              </w:rPr>
              <w:t>主要从事木材加工及进出口贸易。企业拟在</w:t>
            </w:r>
            <w:r>
              <w:rPr>
                <w:rFonts w:hint="eastAsia"/>
                <w:color w:val="auto"/>
                <w:szCs w:val="24"/>
              </w:rPr>
              <w:t>泗县经济开发区赤山路和南柳路交汇口西北角</w:t>
            </w:r>
            <w:r>
              <w:rPr>
                <w:color w:val="auto"/>
                <w:szCs w:val="24"/>
              </w:rPr>
              <w:t>投资</w:t>
            </w:r>
            <w:r>
              <w:rPr>
                <w:rFonts w:hint="eastAsia"/>
                <w:color w:val="auto"/>
                <w:szCs w:val="24"/>
                <w:lang w:val="en-US" w:eastAsia="zh-CN"/>
              </w:rPr>
              <w:t>10400</w:t>
            </w:r>
            <w:r>
              <w:rPr>
                <w:rFonts w:hint="eastAsia"/>
                <w:color w:val="auto"/>
                <w:szCs w:val="24"/>
              </w:rPr>
              <w:t>万元</w:t>
            </w:r>
            <w:r>
              <w:rPr>
                <w:color w:val="auto"/>
                <w:szCs w:val="24"/>
              </w:rPr>
              <w:t>建设</w:t>
            </w:r>
            <w:r>
              <w:rPr>
                <w:rFonts w:hint="eastAsia"/>
                <w:color w:val="auto"/>
                <w:szCs w:val="24"/>
              </w:rPr>
              <w:t>木材加工及进出口贸易项目</w:t>
            </w:r>
            <w:r>
              <w:rPr>
                <w:rFonts w:hint="eastAsia"/>
                <w:color w:val="auto"/>
                <w:szCs w:val="24"/>
                <w:lang w:eastAsia="zh-CN"/>
              </w:rPr>
              <w:t>。</w:t>
            </w:r>
            <w:r>
              <w:rPr>
                <w:rFonts w:hint="eastAsia"/>
                <w:color w:val="auto"/>
                <w:szCs w:val="24"/>
                <w:lang w:val="en-US" w:eastAsia="zh-CN"/>
              </w:rPr>
              <w:t>原计划生产木制托盘和木塑制品，后因产品质量标准提高，</w:t>
            </w:r>
            <w:r>
              <w:rPr>
                <w:rFonts w:hint="eastAsia"/>
                <w:lang w:val="en-US" w:eastAsia="zh-CN"/>
              </w:rPr>
              <w:t>木塑制品不再建设生产。</w:t>
            </w:r>
          </w:p>
          <w:p w14:paraId="3E802D64">
            <w:pPr>
              <w:pStyle w:val="11"/>
              <w:adjustRightInd w:val="0"/>
              <w:snapToGrid w:val="0"/>
              <w:spacing w:line="360" w:lineRule="auto"/>
              <w:ind w:firstLine="480" w:firstLineChars="200"/>
              <w:rPr>
                <w:color w:val="auto"/>
              </w:rPr>
            </w:pPr>
            <w:r>
              <w:rPr>
                <w:rFonts w:hint="eastAsia"/>
                <w:lang w:val="en-US" w:eastAsia="zh-CN"/>
              </w:rPr>
              <w:t>本</w:t>
            </w:r>
            <w:r>
              <w:rPr>
                <w:rFonts w:hint="eastAsia"/>
                <w:color w:val="auto"/>
                <w:szCs w:val="24"/>
                <w:lang w:val="en-US" w:eastAsia="zh-CN"/>
              </w:rPr>
              <w:t>项目新建，占地面积为13398平方米（已取得土地证）。项目计划建设1#生产厂房1栋，2#仓库1栋，办公楼1栋，门卫室1个。1#生产厂房（共1F）建筑面积为5502平方米，2#仓库（共3F）总建筑面积为2338.4平方米，栋办公楼（共3F）总建筑面积为1525平方米，门卫（共1F）建筑面积为35平方米，其中1#生产厂房内</w:t>
            </w:r>
            <w:r>
              <w:rPr>
                <w:rFonts w:hint="eastAsia"/>
                <w:color w:val="auto"/>
              </w:rPr>
              <w:t>购置砂光机、</w:t>
            </w:r>
            <w:r>
              <w:rPr>
                <w:rFonts w:hint="eastAsia"/>
                <w:color w:val="auto"/>
                <w:lang w:val="en-US" w:eastAsia="zh-CN"/>
              </w:rPr>
              <w:t>截断锯、平头锯、锯板机、烘干机</w:t>
            </w:r>
            <w:r>
              <w:rPr>
                <w:rFonts w:hint="eastAsia"/>
                <w:color w:val="auto"/>
              </w:rPr>
              <w:t>等设备，</w:t>
            </w:r>
            <w:r>
              <w:rPr>
                <w:rFonts w:hint="eastAsia"/>
                <w:color w:val="auto"/>
                <w:lang w:val="en-US" w:eastAsia="zh-CN"/>
              </w:rPr>
              <w:t>并配套建设环保、消防等相关设施，项目建成后可达到</w:t>
            </w:r>
            <w:r>
              <w:rPr>
                <w:rFonts w:hint="eastAsia"/>
                <w:color w:val="auto"/>
              </w:rPr>
              <w:t>年产</w:t>
            </w:r>
            <w:r>
              <w:rPr>
                <w:rFonts w:hint="eastAsia"/>
                <w:color w:val="auto"/>
                <w:lang w:val="en-US" w:eastAsia="zh-CN"/>
              </w:rPr>
              <w:t>1500万只木制托盘</w:t>
            </w:r>
            <w:r>
              <w:rPr>
                <w:rFonts w:hint="eastAsia"/>
                <w:color w:val="auto"/>
                <w:szCs w:val="24"/>
              </w:rPr>
              <w:t>的生产能力。</w:t>
            </w:r>
          </w:p>
          <w:p w14:paraId="3055AA96">
            <w:pPr>
              <w:pStyle w:val="11"/>
              <w:spacing w:line="360" w:lineRule="auto"/>
              <w:ind w:firstLine="480" w:firstLineChars="200"/>
              <w:rPr>
                <w:color w:val="auto"/>
              </w:rPr>
            </w:pPr>
            <w:r>
              <w:rPr>
                <w:color w:val="auto"/>
              </w:rPr>
              <w:t>具体建设内容及规模见下表。</w:t>
            </w:r>
          </w:p>
          <w:p w14:paraId="1427C0D6">
            <w:pPr>
              <w:autoSpaceDE w:val="0"/>
              <w:autoSpaceDN w:val="0"/>
              <w:adjustRightInd w:val="0"/>
              <w:snapToGrid w:val="0"/>
              <w:jc w:val="center"/>
              <w:rPr>
                <w:b/>
                <w:bCs/>
                <w:color w:val="auto"/>
                <w:kern w:val="0"/>
              </w:rPr>
            </w:pPr>
            <w:r>
              <w:rPr>
                <w:rFonts w:hint="eastAsia"/>
                <w:b/>
                <w:bCs/>
                <w:color w:val="auto"/>
              </w:rPr>
              <w:t xml:space="preserve">表2-1  </w:t>
            </w:r>
            <w:r>
              <w:rPr>
                <w:b/>
                <w:bCs/>
                <w:color w:val="auto"/>
              </w:rPr>
              <w:t>项目主要建设内容一览表</w:t>
            </w:r>
          </w:p>
          <w:tbl>
            <w:tblPr>
              <w:tblStyle w:val="30"/>
              <w:tblW w:w="7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281"/>
              <w:gridCol w:w="3752"/>
              <w:gridCol w:w="1768"/>
            </w:tblGrid>
            <w:tr w14:paraId="7D00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Align w:val="center"/>
                </w:tcPr>
                <w:p w14:paraId="6EB8F84E">
                  <w:pPr>
                    <w:jc w:val="center"/>
                    <w:rPr>
                      <w:b/>
                      <w:bCs/>
                      <w:color w:val="auto"/>
                      <w:sz w:val="21"/>
                      <w:szCs w:val="21"/>
                    </w:rPr>
                  </w:pPr>
                  <w:r>
                    <w:rPr>
                      <w:b/>
                      <w:bCs/>
                      <w:color w:val="auto"/>
                      <w:sz w:val="21"/>
                      <w:szCs w:val="21"/>
                    </w:rPr>
                    <w:t>类别</w:t>
                  </w:r>
                </w:p>
              </w:tc>
              <w:tc>
                <w:tcPr>
                  <w:tcW w:w="1281" w:type="dxa"/>
                  <w:vAlign w:val="center"/>
                </w:tcPr>
                <w:p w14:paraId="0E6A9C00">
                  <w:pPr>
                    <w:jc w:val="center"/>
                    <w:rPr>
                      <w:b/>
                      <w:bCs/>
                      <w:color w:val="auto"/>
                      <w:sz w:val="21"/>
                      <w:szCs w:val="21"/>
                    </w:rPr>
                  </w:pPr>
                  <w:r>
                    <w:rPr>
                      <w:b/>
                      <w:bCs/>
                      <w:color w:val="auto"/>
                      <w:sz w:val="21"/>
                      <w:szCs w:val="21"/>
                    </w:rPr>
                    <w:t>单项工程名称</w:t>
                  </w:r>
                </w:p>
              </w:tc>
              <w:tc>
                <w:tcPr>
                  <w:tcW w:w="3752" w:type="dxa"/>
                  <w:vAlign w:val="center"/>
                </w:tcPr>
                <w:p w14:paraId="62B833EE">
                  <w:pPr>
                    <w:jc w:val="center"/>
                    <w:rPr>
                      <w:b/>
                      <w:bCs/>
                      <w:color w:val="auto"/>
                      <w:sz w:val="21"/>
                      <w:szCs w:val="21"/>
                    </w:rPr>
                  </w:pPr>
                  <w:r>
                    <w:rPr>
                      <w:b/>
                      <w:bCs/>
                      <w:color w:val="auto"/>
                      <w:sz w:val="21"/>
                      <w:szCs w:val="21"/>
                    </w:rPr>
                    <w:t>工程内容</w:t>
                  </w:r>
                </w:p>
              </w:tc>
              <w:tc>
                <w:tcPr>
                  <w:tcW w:w="1768" w:type="dxa"/>
                  <w:vAlign w:val="center"/>
                </w:tcPr>
                <w:p w14:paraId="6F98C20B">
                  <w:pPr>
                    <w:jc w:val="center"/>
                    <w:rPr>
                      <w:rFonts w:hint="eastAsia" w:eastAsia="宋体"/>
                      <w:color w:val="auto"/>
                      <w:sz w:val="21"/>
                      <w:szCs w:val="21"/>
                      <w:lang w:val="en-US" w:eastAsia="zh-CN"/>
                    </w:rPr>
                  </w:pPr>
                  <w:r>
                    <w:rPr>
                      <w:rFonts w:hint="eastAsia"/>
                      <w:b/>
                      <w:bCs/>
                      <w:color w:val="auto"/>
                      <w:sz w:val="21"/>
                      <w:szCs w:val="21"/>
                      <w:lang w:val="en-US" w:eastAsia="zh-CN"/>
                    </w:rPr>
                    <w:t>备注</w:t>
                  </w:r>
                </w:p>
              </w:tc>
            </w:tr>
            <w:tr w14:paraId="04A1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Align w:val="center"/>
                </w:tcPr>
                <w:p w14:paraId="3C34246D">
                  <w:pPr>
                    <w:jc w:val="center"/>
                    <w:rPr>
                      <w:rFonts w:hint="default" w:eastAsia="宋体"/>
                      <w:color w:val="auto"/>
                      <w:sz w:val="21"/>
                      <w:szCs w:val="21"/>
                      <w:lang w:val="en-US" w:eastAsia="zh-CN"/>
                    </w:rPr>
                  </w:pPr>
                  <w:bookmarkStart w:id="1" w:name="OLE_LINK22" w:colFirst="0" w:colLast="0"/>
                  <w:r>
                    <w:rPr>
                      <w:rFonts w:hint="eastAsia"/>
                      <w:color w:val="auto"/>
                      <w:sz w:val="21"/>
                      <w:szCs w:val="21"/>
                      <w:lang w:val="en-US" w:eastAsia="zh-CN"/>
                    </w:rPr>
                    <w:t>主体工程</w:t>
                  </w:r>
                </w:p>
              </w:tc>
              <w:tc>
                <w:tcPr>
                  <w:tcW w:w="1281" w:type="dxa"/>
                  <w:vAlign w:val="center"/>
                </w:tcPr>
                <w:p w14:paraId="4075EFDB">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1#生产厂房</w:t>
                  </w:r>
                </w:p>
              </w:tc>
              <w:tc>
                <w:tcPr>
                  <w:tcW w:w="3752" w:type="dxa"/>
                  <w:vAlign w:val="center"/>
                </w:tcPr>
                <w:p w14:paraId="7FC7F12A">
                  <w:pPr>
                    <w:adjustRightInd w:val="0"/>
                    <w:snapToGrid w:val="0"/>
                    <w:jc w:val="center"/>
                    <w:rPr>
                      <w:rFonts w:hint="default" w:eastAsia="宋体"/>
                      <w:bCs/>
                      <w:color w:val="auto"/>
                      <w:sz w:val="21"/>
                      <w:szCs w:val="21"/>
                      <w:lang w:val="en-US" w:eastAsia="zh-CN"/>
                    </w:rPr>
                  </w:pPr>
                  <w:r>
                    <w:rPr>
                      <w:rFonts w:hint="eastAsia" w:cs="Times New Roman"/>
                      <w:sz w:val="21"/>
                      <w:szCs w:val="21"/>
                      <w:lang w:val="en-US" w:eastAsia="zh-CN"/>
                    </w:rPr>
                    <w:t>共1F，</w:t>
                  </w:r>
                  <w:r>
                    <w:rPr>
                      <w:rFonts w:hint="eastAsia"/>
                      <w:bCs/>
                      <w:color w:val="auto"/>
                      <w:sz w:val="21"/>
                      <w:szCs w:val="21"/>
                      <w:lang w:val="en-US" w:eastAsia="zh-CN"/>
                    </w:rPr>
                    <w:t>位于厂区北部，车间内设置木制托盘生产线，主要有砂光机、平头锯、锯板机、切头机、烘干房（2个烘干房，用电烘干，每个烘干房规格为7m*6m*4.5m）</w:t>
                  </w:r>
                  <w:r>
                    <w:rPr>
                      <w:rFonts w:hint="eastAsia" w:eastAsia="宋体" w:cs="Times New Roman"/>
                      <w:sz w:val="21"/>
                      <w:szCs w:val="21"/>
                      <w:lang w:eastAsia="zh-CN"/>
                    </w:rPr>
                    <w:t>，</w:t>
                  </w:r>
                  <w:r>
                    <w:rPr>
                      <w:rFonts w:hint="eastAsia" w:eastAsia="宋体" w:cs="Times New Roman"/>
                      <w:sz w:val="21"/>
                      <w:szCs w:val="21"/>
                    </w:rPr>
                    <w:t>建筑面积</w:t>
                  </w:r>
                  <w:r>
                    <w:rPr>
                      <w:rFonts w:hint="eastAsia" w:cs="Times New Roman"/>
                      <w:sz w:val="21"/>
                      <w:szCs w:val="21"/>
                      <w:lang w:val="en-US" w:eastAsia="zh-CN"/>
                    </w:rPr>
                    <w:t>5502平方米</w:t>
                  </w:r>
                </w:p>
              </w:tc>
              <w:tc>
                <w:tcPr>
                  <w:tcW w:w="1768" w:type="dxa"/>
                  <w:vAlign w:val="center"/>
                </w:tcPr>
                <w:p w14:paraId="354282DE">
                  <w:pPr>
                    <w:jc w:val="center"/>
                    <w:rPr>
                      <w:rFonts w:hint="default" w:eastAsia="宋体"/>
                      <w:color w:val="auto"/>
                      <w:sz w:val="21"/>
                      <w:szCs w:val="21"/>
                      <w:lang w:val="en-US" w:eastAsia="zh-CN"/>
                    </w:rPr>
                  </w:pPr>
                  <w:r>
                    <w:rPr>
                      <w:rFonts w:hint="eastAsia"/>
                      <w:color w:val="auto"/>
                      <w:sz w:val="21"/>
                      <w:szCs w:val="21"/>
                      <w:lang w:val="en-US" w:eastAsia="zh-CN"/>
                    </w:rPr>
                    <w:t>项目建成后可形成年产1500万只木制托盘的生产能力</w:t>
                  </w:r>
                </w:p>
              </w:tc>
            </w:tr>
            <w:bookmarkEnd w:id="1"/>
            <w:tr w14:paraId="0301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restart"/>
                  <w:vAlign w:val="center"/>
                </w:tcPr>
                <w:p w14:paraId="1F174DE0">
                  <w:pPr>
                    <w:jc w:val="center"/>
                    <w:rPr>
                      <w:color w:val="auto"/>
                      <w:sz w:val="21"/>
                      <w:szCs w:val="21"/>
                    </w:rPr>
                  </w:pPr>
                  <w:r>
                    <w:rPr>
                      <w:color w:val="auto"/>
                      <w:sz w:val="21"/>
                      <w:szCs w:val="21"/>
                    </w:rPr>
                    <w:t>辅助工程</w:t>
                  </w:r>
                </w:p>
              </w:tc>
              <w:tc>
                <w:tcPr>
                  <w:tcW w:w="1281" w:type="dxa"/>
                  <w:vAlign w:val="center"/>
                </w:tcPr>
                <w:p w14:paraId="5318F5B4">
                  <w:pPr>
                    <w:jc w:val="center"/>
                    <w:rPr>
                      <w:color w:val="auto"/>
                      <w:sz w:val="21"/>
                      <w:szCs w:val="21"/>
                    </w:rPr>
                  </w:pPr>
                  <w:r>
                    <w:rPr>
                      <w:rFonts w:hint="eastAsia"/>
                      <w:color w:val="auto"/>
                      <w:sz w:val="21"/>
                      <w:szCs w:val="21"/>
                    </w:rPr>
                    <w:t>办公</w:t>
                  </w:r>
                  <w:r>
                    <w:rPr>
                      <w:rFonts w:hint="eastAsia"/>
                      <w:color w:val="auto"/>
                      <w:sz w:val="21"/>
                      <w:szCs w:val="21"/>
                      <w:lang w:val="en-US" w:eastAsia="zh-CN"/>
                    </w:rPr>
                    <w:t>楼</w:t>
                  </w:r>
                </w:p>
              </w:tc>
              <w:tc>
                <w:tcPr>
                  <w:tcW w:w="3752" w:type="dxa"/>
                  <w:vAlign w:val="center"/>
                </w:tcPr>
                <w:p w14:paraId="3FDD7DD5">
                  <w:pPr>
                    <w:jc w:val="center"/>
                    <w:rPr>
                      <w:color w:val="auto"/>
                      <w:sz w:val="21"/>
                      <w:szCs w:val="21"/>
                    </w:rPr>
                  </w:pPr>
                  <w:r>
                    <w:rPr>
                      <w:rFonts w:hint="eastAsia" w:cs="Times New Roman"/>
                      <w:sz w:val="21"/>
                      <w:szCs w:val="21"/>
                      <w:lang w:val="en-US" w:eastAsia="zh-CN"/>
                    </w:rPr>
                    <w:t>共3F，</w:t>
                  </w:r>
                  <w:r>
                    <w:rPr>
                      <w:rFonts w:hint="eastAsia" w:eastAsia="宋体" w:cs="Times New Roman"/>
                      <w:sz w:val="21"/>
                      <w:szCs w:val="21"/>
                    </w:rPr>
                    <w:t>位于</w:t>
                  </w:r>
                  <w:r>
                    <w:rPr>
                      <w:rFonts w:hint="eastAsia" w:cs="Times New Roman"/>
                      <w:sz w:val="21"/>
                      <w:szCs w:val="21"/>
                      <w:lang w:val="en-US" w:eastAsia="zh-CN"/>
                    </w:rPr>
                    <w:t>厂区东南部</w:t>
                  </w:r>
                  <w:r>
                    <w:rPr>
                      <w:rFonts w:hint="eastAsia" w:eastAsia="宋体" w:cs="Times New Roman"/>
                      <w:sz w:val="21"/>
                      <w:szCs w:val="21"/>
                    </w:rPr>
                    <w:t>，用于日常办公</w:t>
                  </w:r>
                  <w:r>
                    <w:rPr>
                      <w:rFonts w:hint="eastAsia" w:eastAsia="宋体" w:cs="Times New Roman"/>
                      <w:sz w:val="21"/>
                      <w:szCs w:val="21"/>
                      <w:lang w:eastAsia="zh-CN"/>
                    </w:rPr>
                    <w:t>，总建筑面积为1525平方米</w:t>
                  </w:r>
                </w:p>
              </w:tc>
              <w:tc>
                <w:tcPr>
                  <w:tcW w:w="1768" w:type="dxa"/>
                  <w:shd w:val="clear" w:color="auto" w:fill="auto"/>
                  <w:vAlign w:val="center"/>
                </w:tcPr>
                <w:p w14:paraId="21561DF1">
                  <w:pPr>
                    <w:jc w:val="center"/>
                    <w:rPr>
                      <w:rFonts w:hint="eastAsia" w:ascii="Times New Roman" w:hAnsi="Times New Roman" w:eastAsia="宋体" w:cs="Times New Roman"/>
                      <w:color w:val="auto"/>
                      <w:kern w:val="2"/>
                      <w:sz w:val="21"/>
                      <w:szCs w:val="21"/>
                      <w:lang w:val="en-US" w:eastAsia="zh-CN" w:bidi="ar-SA"/>
                    </w:rPr>
                  </w:pPr>
                  <w:r>
                    <w:rPr>
                      <w:rFonts w:hint="eastAsia" w:cs="Times New Roman"/>
                      <w:sz w:val="21"/>
                      <w:szCs w:val="21"/>
                      <w:lang w:val="en-US" w:eastAsia="zh-CN"/>
                    </w:rPr>
                    <w:t>新建</w:t>
                  </w:r>
                </w:p>
              </w:tc>
            </w:tr>
            <w:tr w14:paraId="51FC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457F0B45">
                  <w:pPr>
                    <w:jc w:val="center"/>
                    <w:rPr>
                      <w:color w:val="auto"/>
                      <w:sz w:val="21"/>
                      <w:szCs w:val="21"/>
                    </w:rPr>
                  </w:pPr>
                </w:p>
              </w:tc>
              <w:tc>
                <w:tcPr>
                  <w:tcW w:w="1281" w:type="dxa"/>
                  <w:vAlign w:val="center"/>
                </w:tcPr>
                <w:p w14:paraId="610B7650">
                  <w:pPr>
                    <w:jc w:val="center"/>
                    <w:rPr>
                      <w:rFonts w:hint="eastAsia" w:eastAsia="宋体"/>
                      <w:color w:val="auto"/>
                      <w:sz w:val="21"/>
                      <w:szCs w:val="21"/>
                      <w:lang w:val="en-US" w:eastAsia="zh-CN"/>
                    </w:rPr>
                  </w:pPr>
                  <w:r>
                    <w:rPr>
                      <w:rFonts w:hint="eastAsia"/>
                      <w:color w:val="auto"/>
                      <w:sz w:val="21"/>
                      <w:szCs w:val="21"/>
                      <w:lang w:val="en-US" w:eastAsia="zh-CN"/>
                    </w:rPr>
                    <w:t>门卫室</w:t>
                  </w:r>
                </w:p>
              </w:tc>
              <w:tc>
                <w:tcPr>
                  <w:tcW w:w="3752" w:type="dxa"/>
                  <w:vAlign w:val="center"/>
                </w:tcPr>
                <w:p w14:paraId="0CD04021">
                  <w:pPr>
                    <w:jc w:val="center"/>
                    <w:rPr>
                      <w:rFonts w:hint="eastAsia" w:eastAsia="宋体" w:cs="Times New Roman"/>
                      <w:sz w:val="21"/>
                      <w:szCs w:val="21"/>
                    </w:rPr>
                  </w:pPr>
                  <w:r>
                    <w:rPr>
                      <w:rFonts w:hint="eastAsia" w:cs="Times New Roman"/>
                      <w:sz w:val="21"/>
                      <w:szCs w:val="21"/>
                      <w:lang w:val="en-US" w:eastAsia="zh-CN"/>
                    </w:rPr>
                    <w:t>共1F，</w:t>
                  </w:r>
                  <w:r>
                    <w:rPr>
                      <w:rFonts w:hint="eastAsia" w:eastAsia="宋体" w:cs="Times New Roman"/>
                      <w:sz w:val="21"/>
                      <w:szCs w:val="21"/>
                    </w:rPr>
                    <w:t>位于</w:t>
                  </w:r>
                  <w:r>
                    <w:rPr>
                      <w:rFonts w:hint="eastAsia" w:cs="Times New Roman"/>
                      <w:sz w:val="21"/>
                      <w:szCs w:val="21"/>
                      <w:lang w:val="en-US" w:eastAsia="zh-CN"/>
                    </w:rPr>
                    <w:t>厂区南部</w:t>
                  </w:r>
                  <w:r>
                    <w:rPr>
                      <w:rFonts w:hint="eastAsia" w:eastAsia="宋体" w:cs="Times New Roman"/>
                      <w:sz w:val="21"/>
                      <w:szCs w:val="21"/>
                    </w:rPr>
                    <w:t>，用于日常</w:t>
                  </w:r>
                  <w:r>
                    <w:rPr>
                      <w:rFonts w:hint="eastAsia" w:eastAsia="宋体" w:cs="Times New Roman"/>
                      <w:sz w:val="21"/>
                      <w:szCs w:val="21"/>
                      <w:lang w:val="en-US" w:eastAsia="zh-CN"/>
                    </w:rPr>
                    <w:t>厂区人员进出记录</w:t>
                  </w:r>
                  <w:r>
                    <w:rPr>
                      <w:rFonts w:hint="eastAsia" w:eastAsia="宋体" w:cs="Times New Roman"/>
                      <w:sz w:val="21"/>
                      <w:szCs w:val="21"/>
                      <w:lang w:eastAsia="zh-CN"/>
                    </w:rPr>
                    <w:t>，建筑面积为35平方米</w:t>
                  </w:r>
                </w:p>
              </w:tc>
              <w:tc>
                <w:tcPr>
                  <w:tcW w:w="1768" w:type="dxa"/>
                  <w:shd w:val="clear" w:color="auto" w:fill="auto"/>
                  <w:vAlign w:val="center"/>
                </w:tcPr>
                <w:p w14:paraId="46AFCCAE">
                  <w:pPr>
                    <w:jc w:val="center"/>
                    <w:rPr>
                      <w:rFonts w:hint="eastAsia" w:cs="Times New Roman"/>
                      <w:sz w:val="21"/>
                      <w:szCs w:val="21"/>
                      <w:lang w:val="en-US" w:eastAsia="zh-CN"/>
                    </w:rPr>
                  </w:pPr>
                  <w:r>
                    <w:rPr>
                      <w:rFonts w:hint="eastAsia" w:cs="Times New Roman"/>
                      <w:sz w:val="21"/>
                      <w:szCs w:val="21"/>
                      <w:lang w:val="en-US" w:eastAsia="zh-CN"/>
                    </w:rPr>
                    <w:t>新建</w:t>
                  </w:r>
                </w:p>
              </w:tc>
            </w:tr>
            <w:tr w14:paraId="50BB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restart"/>
                  <w:vAlign w:val="center"/>
                </w:tcPr>
                <w:p w14:paraId="3DA201EC">
                  <w:pPr>
                    <w:jc w:val="center"/>
                    <w:rPr>
                      <w:color w:val="auto"/>
                      <w:sz w:val="21"/>
                      <w:szCs w:val="21"/>
                      <w:highlight w:val="yellow"/>
                    </w:rPr>
                  </w:pPr>
                  <w:r>
                    <w:rPr>
                      <w:color w:val="auto"/>
                      <w:sz w:val="21"/>
                      <w:szCs w:val="21"/>
                    </w:rPr>
                    <w:t>储运工程</w:t>
                  </w:r>
                </w:p>
              </w:tc>
              <w:tc>
                <w:tcPr>
                  <w:tcW w:w="1281" w:type="dxa"/>
                  <w:vAlign w:val="center"/>
                </w:tcPr>
                <w:p w14:paraId="2890D4C9">
                  <w:pPr>
                    <w:adjustRightInd w:val="0"/>
                    <w:snapToGrid w:val="0"/>
                    <w:jc w:val="center"/>
                    <w:rPr>
                      <w:rFonts w:hint="eastAsia" w:eastAsia="宋体"/>
                      <w:color w:val="auto"/>
                      <w:sz w:val="21"/>
                      <w:szCs w:val="21"/>
                      <w:lang w:eastAsia="zh-CN"/>
                    </w:rPr>
                  </w:pPr>
                  <w:r>
                    <w:rPr>
                      <w:rFonts w:hint="eastAsia"/>
                      <w:color w:val="auto"/>
                      <w:sz w:val="21"/>
                      <w:szCs w:val="21"/>
                    </w:rPr>
                    <w:t>原料</w:t>
                  </w:r>
                  <w:r>
                    <w:rPr>
                      <w:rFonts w:hint="eastAsia"/>
                      <w:color w:val="auto"/>
                      <w:sz w:val="21"/>
                      <w:szCs w:val="21"/>
                      <w:lang w:val="en-US" w:eastAsia="zh-CN"/>
                    </w:rPr>
                    <w:t>区</w:t>
                  </w:r>
                </w:p>
              </w:tc>
              <w:tc>
                <w:tcPr>
                  <w:tcW w:w="3752" w:type="dxa"/>
                  <w:shd w:val="clear" w:color="auto" w:fill="auto"/>
                  <w:vAlign w:val="center"/>
                </w:tcPr>
                <w:p w14:paraId="5FA985ED">
                  <w:pPr>
                    <w:jc w:val="center"/>
                    <w:rPr>
                      <w:rFonts w:hint="default" w:ascii="Times New Roman" w:hAnsi="Times New Roman" w:eastAsia="宋体" w:cs="Times New Roman"/>
                      <w:color w:val="auto"/>
                      <w:kern w:val="2"/>
                      <w:sz w:val="21"/>
                      <w:szCs w:val="21"/>
                      <w:vertAlign w:val="superscript"/>
                      <w:lang w:val="en-US" w:eastAsia="zh-CN" w:bidi="ar-SA"/>
                    </w:rPr>
                  </w:pPr>
                  <w:r>
                    <w:rPr>
                      <w:rFonts w:hint="eastAsia" w:cs="Times New Roman"/>
                      <w:color w:val="auto"/>
                      <w:sz w:val="21"/>
                      <w:szCs w:val="21"/>
                      <w:lang w:val="en-US" w:eastAsia="zh-CN"/>
                    </w:rPr>
                    <w:t>拟在</w:t>
                  </w:r>
                  <w:r>
                    <w:rPr>
                      <w:rFonts w:hint="eastAsia" w:eastAsia="宋体" w:cs="Times New Roman"/>
                      <w:color w:val="auto"/>
                      <w:sz w:val="21"/>
                      <w:szCs w:val="21"/>
                    </w:rPr>
                    <w:t>2#仓库（共</w:t>
                  </w:r>
                  <w:r>
                    <w:rPr>
                      <w:rFonts w:hint="eastAsia" w:cs="Times New Roman"/>
                      <w:color w:val="auto"/>
                      <w:sz w:val="21"/>
                      <w:szCs w:val="21"/>
                      <w:lang w:val="en-US" w:eastAsia="zh-CN"/>
                    </w:rPr>
                    <w:t>3</w:t>
                  </w:r>
                  <w:r>
                    <w:rPr>
                      <w:rFonts w:hint="eastAsia" w:eastAsia="宋体" w:cs="Times New Roman"/>
                      <w:color w:val="auto"/>
                      <w:sz w:val="21"/>
                      <w:szCs w:val="21"/>
                    </w:rPr>
                    <w:t>F）</w:t>
                  </w:r>
                  <w:r>
                    <w:rPr>
                      <w:rFonts w:hint="eastAsia" w:cs="Times New Roman"/>
                      <w:color w:val="auto"/>
                      <w:sz w:val="21"/>
                      <w:szCs w:val="21"/>
                      <w:lang w:val="en-US" w:eastAsia="zh-CN"/>
                    </w:rPr>
                    <w:t>内1F设置原料区</w:t>
                  </w:r>
                  <w:r>
                    <w:rPr>
                      <w:rFonts w:hint="eastAsia" w:eastAsia="宋体" w:cs="Times New Roman"/>
                      <w:color w:val="auto"/>
                      <w:sz w:val="21"/>
                      <w:szCs w:val="21"/>
                    </w:rPr>
                    <w:t>，用于存放原材料</w:t>
                  </w:r>
                </w:p>
              </w:tc>
              <w:tc>
                <w:tcPr>
                  <w:tcW w:w="1768" w:type="dxa"/>
                  <w:vMerge w:val="restart"/>
                  <w:vAlign w:val="center"/>
                </w:tcPr>
                <w:p w14:paraId="0AE10A0D">
                  <w:pPr>
                    <w:jc w:val="center"/>
                    <w:rPr>
                      <w:rFonts w:hint="eastAsia" w:eastAsia="宋体"/>
                      <w:color w:val="auto"/>
                      <w:sz w:val="21"/>
                      <w:szCs w:val="21"/>
                      <w:lang w:val="en-US" w:eastAsia="zh-CN"/>
                    </w:rPr>
                  </w:pPr>
                  <w:r>
                    <w:rPr>
                      <w:rFonts w:hint="eastAsia" w:cs="Times New Roman"/>
                      <w:sz w:val="21"/>
                      <w:szCs w:val="21"/>
                      <w:lang w:val="en-US" w:eastAsia="zh-CN"/>
                    </w:rPr>
                    <w:t>新建，</w:t>
                  </w:r>
                  <w:r>
                    <w:rPr>
                      <w:rFonts w:hint="eastAsia" w:eastAsia="宋体" w:cs="Times New Roman"/>
                      <w:color w:val="auto"/>
                      <w:sz w:val="21"/>
                      <w:szCs w:val="21"/>
                    </w:rPr>
                    <w:t>2#仓库（共</w:t>
                  </w:r>
                  <w:r>
                    <w:rPr>
                      <w:rFonts w:hint="eastAsia" w:cs="Times New Roman"/>
                      <w:color w:val="auto"/>
                      <w:sz w:val="21"/>
                      <w:szCs w:val="21"/>
                      <w:lang w:val="en-US" w:eastAsia="zh-CN"/>
                    </w:rPr>
                    <w:t>3</w:t>
                  </w:r>
                  <w:r>
                    <w:rPr>
                      <w:rFonts w:hint="eastAsia" w:eastAsia="宋体" w:cs="Times New Roman"/>
                      <w:color w:val="auto"/>
                      <w:sz w:val="21"/>
                      <w:szCs w:val="21"/>
                    </w:rPr>
                    <w:t>F）</w:t>
                  </w:r>
                  <w:r>
                    <w:rPr>
                      <w:rFonts w:hint="eastAsia" w:cs="Times New Roman"/>
                      <w:color w:val="auto"/>
                      <w:sz w:val="21"/>
                      <w:szCs w:val="21"/>
                      <w:lang w:val="en-US" w:eastAsia="zh-CN"/>
                    </w:rPr>
                    <w:t>位于厂区西南部，总建筑面积为2338.4平方米</w:t>
                  </w:r>
                </w:p>
              </w:tc>
            </w:tr>
            <w:tr w14:paraId="0193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09F53E5A">
                  <w:pPr>
                    <w:jc w:val="center"/>
                    <w:rPr>
                      <w:color w:val="auto"/>
                      <w:sz w:val="21"/>
                      <w:szCs w:val="21"/>
                    </w:rPr>
                  </w:pPr>
                </w:p>
              </w:tc>
              <w:tc>
                <w:tcPr>
                  <w:tcW w:w="1281" w:type="dxa"/>
                  <w:vAlign w:val="center"/>
                </w:tcPr>
                <w:p w14:paraId="068677D2">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半成品区</w:t>
                  </w:r>
                </w:p>
              </w:tc>
              <w:tc>
                <w:tcPr>
                  <w:tcW w:w="3752" w:type="dxa"/>
                  <w:shd w:val="clear" w:color="auto" w:fill="auto"/>
                  <w:vAlign w:val="center"/>
                </w:tcPr>
                <w:p w14:paraId="5EEABD9E">
                  <w:pPr>
                    <w:jc w:val="center"/>
                    <w:rPr>
                      <w:rFonts w:hint="default" w:eastAsia="宋体" w:cs="Times New Roman"/>
                      <w:sz w:val="21"/>
                      <w:szCs w:val="21"/>
                      <w:lang w:val="en-US" w:eastAsia="zh-CN"/>
                    </w:rPr>
                  </w:pPr>
                  <w:r>
                    <w:rPr>
                      <w:rFonts w:hint="eastAsia" w:cs="Times New Roman"/>
                      <w:color w:val="auto"/>
                      <w:sz w:val="21"/>
                      <w:szCs w:val="21"/>
                      <w:lang w:val="en-US" w:eastAsia="zh-CN"/>
                    </w:rPr>
                    <w:t>拟在</w:t>
                  </w:r>
                  <w:r>
                    <w:rPr>
                      <w:rFonts w:hint="eastAsia" w:eastAsia="宋体" w:cs="Times New Roman"/>
                      <w:color w:val="auto"/>
                      <w:sz w:val="21"/>
                      <w:szCs w:val="21"/>
                    </w:rPr>
                    <w:t>2#仓库（共</w:t>
                  </w:r>
                  <w:r>
                    <w:rPr>
                      <w:rFonts w:hint="eastAsia" w:cs="Times New Roman"/>
                      <w:color w:val="auto"/>
                      <w:sz w:val="21"/>
                      <w:szCs w:val="21"/>
                      <w:lang w:val="en-US" w:eastAsia="zh-CN"/>
                    </w:rPr>
                    <w:t>3</w:t>
                  </w:r>
                  <w:r>
                    <w:rPr>
                      <w:rFonts w:hint="eastAsia" w:eastAsia="宋体" w:cs="Times New Roman"/>
                      <w:color w:val="auto"/>
                      <w:sz w:val="21"/>
                      <w:szCs w:val="21"/>
                    </w:rPr>
                    <w:t>F）</w:t>
                  </w:r>
                  <w:r>
                    <w:rPr>
                      <w:rFonts w:hint="eastAsia" w:cs="Times New Roman"/>
                      <w:color w:val="auto"/>
                      <w:sz w:val="21"/>
                      <w:szCs w:val="21"/>
                      <w:lang w:val="en-US" w:eastAsia="zh-CN"/>
                    </w:rPr>
                    <w:t>内2F设置</w:t>
                  </w:r>
                  <w:r>
                    <w:rPr>
                      <w:rFonts w:hint="eastAsia"/>
                      <w:color w:val="auto"/>
                      <w:sz w:val="21"/>
                      <w:szCs w:val="21"/>
                      <w:lang w:val="en-US" w:eastAsia="zh-CN"/>
                    </w:rPr>
                    <w:t>半成品区</w:t>
                  </w:r>
                  <w:r>
                    <w:rPr>
                      <w:rFonts w:hint="eastAsia" w:cs="Times New Roman"/>
                      <w:sz w:val="21"/>
                      <w:szCs w:val="21"/>
                      <w:lang w:val="en-US" w:eastAsia="zh-CN"/>
                    </w:rPr>
                    <w:t>，用于存放半成品</w:t>
                  </w:r>
                </w:p>
              </w:tc>
              <w:tc>
                <w:tcPr>
                  <w:tcW w:w="1768" w:type="dxa"/>
                  <w:vMerge w:val="continue"/>
                  <w:vAlign w:val="center"/>
                </w:tcPr>
                <w:p w14:paraId="2D0AB71B">
                  <w:pPr>
                    <w:jc w:val="center"/>
                    <w:rPr>
                      <w:rFonts w:hint="eastAsia" w:cs="Times New Roman"/>
                      <w:sz w:val="21"/>
                      <w:szCs w:val="21"/>
                      <w:lang w:val="en-US" w:eastAsia="zh-CN"/>
                    </w:rPr>
                  </w:pPr>
                </w:p>
              </w:tc>
            </w:tr>
            <w:tr w14:paraId="7511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65CC87D1">
                  <w:pPr>
                    <w:jc w:val="center"/>
                    <w:rPr>
                      <w:color w:val="auto"/>
                      <w:sz w:val="21"/>
                      <w:szCs w:val="21"/>
                    </w:rPr>
                  </w:pPr>
                </w:p>
              </w:tc>
              <w:tc>
                <w:tcPr>
                  <w:tcW w:w="1281" w:type="dxa"/>
                  <w:vAlign w:val="center"/>
                </w:tcPr>
                <w:p w14:paraId="10AFF870">
                  <w:pPr>
                    <w:adjustRightInd w:val="0"/>
                    <w:snapToGrid w:val="0"/>
                    <w:jc w:val="center"/>
                    <w:rPr>
                      <w:rFonts w:hint="eastAsia" w:eastAsia="宋体"/>
                      <w:color w:val="auto"/>
                      <w:sz w:val="21"/>
                      <w:szCs w:val="21"/>
                      <w:lang w:val="en-US" w:eastAsia="zh-CN"/>
                    </w:rPr>
                  </w:pPr>
                  <w:r>
                    <w:rPr>
                      <w:color w:val="auto"/>
                      <w:sz w:val="21"/>
                      <w:szCs w:val="21"/>
                    </w:rPr>
                    <w:t>成品</w:t>
                  </w:r>
                  <w:r>
                    <w:rPr>
                      <w:rFonts w:hint="eastAsia"/>
                      <w:color w:val="auto"/>
                      <w:sz w:val="21"/>
                      <w:szCs w:val="21"/>
                      <w:lang w:val="en-US" w:eastAsia="zh-CN"/>
                    </w:rPr>
                    <w:t>区</w:t>
                  </w:r>
                </w:p>
              </w:tc>
              <w:tc>
                <w:tcPr>
                  <w:tcW w:w="3752" w:type="dxa"/>
                  <w:shd w:val="clear" w:color="auto" w:fill="auto"/>
                  <w:vAlign w:val="center"/>
                </w:tcPr>
                <w:p w14:paraId="0E2AA6A3">
                  <w:pPr>
                    <w:jc w:val="center"/>
                    <w:rPr>
                      <w:rFonts w:hint="default" w:ascii="Times New Roman" w:hAnsi="Times New Roman" w:eastAsia="宋体" w:cs="Times New Roman"/>
                      <w:color w:val="auto"/>
                      <w:kern w:val="2"/>
                      <w:sz w:val="21"/>
                      <w:szCs w:val="21"/>
                      <w:vertAlign w:val="superscript"/>
                      <w:lang w:val="en-US" w:eastAsia="zh-CN" w:bidi="ar-SA"/>
                    </w:rPr>
                  </w:pPr>
                  <w:r>
                    <w:rPr>
                      <w:rFonts w:hint="eastAsia" w:cs="Times New Roman"/>
                      <w:color w:val="auto"/>
                      <w:sz w:val="21"/>
                      <w:szCs w:val="21"/>
                      <w:lang w:val="en-US" w:eastAsia="zh-CN"/>
                    </w:rPr>
                    <w:t>拟在</w:t>
                  </w:r>
                  <w:r>
                    <w:rPr>
                      <w:rFonts w:hint="eastAsia" w:eastAsia="宋体" w:cs="Times New Roman"/>
                      <w:color w:val="auto"/>
                      <w:sz w:val="21"/>
                      <w:szCs w:val="21"/>
                    </w:rPr>
                    <w:t>2#仓库（共</w:t>
                  </w:r>
                  <w:r>
                    <w:rPr>
                      <w:rFonts w:hint="eastAsia" w:cs="Times New Roman"/>
                      <w:color w:val="auto"/>
                      <w:sz w:val="21"/>
                      <w:szCs w:val="21"/>
                      <w:lang w:val="en-US" w:eastAsia="zh-CN"/>
                    </w:rPr>
                    <w:t>3</w:t>
                  </w:r>
                  <w:r>
                    <w:rPr>
                      <w:rFonts w:hint="eastAsia" w:eastAsia="宋体" w:cs="Times New Roman"/>
                      <w:color w:val="auto"/>
                      <w:sz w:val="21"/>
                      <w:szCs w:val="21"/>
                    </w:rPr>
                    <w:t>F）</w:t>
                  </w:r>
                  <w:r>
                    <w:rPr>
                      <w:rFonts w:hint="eastAsia" w:cs="Times New Roman"/>
                      <w:color w:val="auto"/>
                      <w:sz w:val="21"/>
                      <w:szCs w:val="21"/>
                      <w:lang w:val="en-US" w:eastAsia="zh-CN"/>
                    </w:rPr>
                    <w:t>内3F设置</w:t>
                  </w:r>
                  <w:r>
                    <w:rPr>
                      <w:rFonts w:hint="eastAsia"/>
                      <w:color w:val="auto"/>
                      <w:sz w:val="21"/>
                      <w:szCs w:val="21"/>
                      <w:lang w:val="en-US" w:eastAsia="zh-CN"/>
                    </w:rPr>
                    <w:t>成品区</w:t>
                  </w:r>
                  <w:r>
                    <w:rPr>
                      <w:rFonts w:hint="eastAsia" w:cs="Times New Roman"/>
                      <w:color w:val="auto"/>
                      <w:sz w:val="21"/>
                      <w:szCs w:val="21"/>
                      <w:lang w:eastAsia="zh-CN"/>
                    </w:rPr>
                    <w:t>，</w:t>
                  </w:r>
                  <w:r>
                    <w:rPr>
                      <w:rFonts w:hint="eastAsia" w:eastAsia="宋体" w:cs="Times New Roman"/>
                      <w:color w:val="auto"/>
                      <w:sz w:val="21"/>
                      <w:szCs w:val="21"/>
                    </w:rPr>
                    <w:t>用于存放成品</w:t>
                  </w:r>
                </w:p>
              </w:tc>
              <w:tc>
                <w:tcPr>
                  <w:tcW w:w="1768" w:type="dxa"/>
                  <w:vMerge w:val="continue"/>
                  <w:vAlign w:val="center"/>
                </w:tcPr>
                <w:p w14:paraId="195A9B91">
                  <w:pPr>
                    <w:jc w:val="center"/>
                    <w:rPr>
                      <w:rFonts w:hint="eastAsia" w:eastAsia="宋体"/>
                      <w:color w:val="auto"/>
                      <w:sz w:val="21"/>
                      <w:szCs w:val="21"/>
                      <w:lang w:eastAsia="zh-CN"/>
                    </w:rPr>
                  </w:pPr>
                </w:p>
              </w:tc>
            </w:tr>
            <w:tr w14:paraId="3ACF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restart"/>
                  <w:vAlign w:val="center"/>
                </w:tcPr>
                <w:p w14:paraId="1ED2CCDD">
                  <w:pPr>
                    <w:jc w:val="center"/>
                    <w:rPr>
                      <w:color w:val="auto"/>
                      <w:sz w:val="21"/>
                      <w:szCs w:val="21"/>
                    </w:rPr>
                  </w:pPr>
                  <w:r>
                    <w:rPr>
                      <w:color w:val="auto"/>
                      <w:sz w:val="21"/>
                      <w:szCs w:val="21"/>
                    </w:rPr>
                    <w:t>公用工程</w:t>
                  </w:r>
                </w:p>
              </w:tc>
              <w:tc>
                <w:tcPr>
                  <w:tcW w:w="1281" w:type="dxa"/>
                  <w:vAlign w:val="center"/>
                </w:tcPr>
                <w:p w14:paraId="0E1115BA">
                  <w:pPr>
                    <w:jc w:val="center"/>
                    <w:rPr>
                      <w:color w:val="auto"/>
                      <w:sz w:val="21"/>
                      <w:szCs w:val="21"/>
                    </w:rPr>
                  </w:pPr>
                  <w:r>
                    <w:rPr>
                      <w:color w:val="auto"/>
                      <w:sz w:val="21"/>
                      <w:szCs w:val="21"/>
                    </w:rPr>
                    <w:t>供水</w:t>
                  </w:r>
                </w:p>
              </w:tc>
              <w:tc>
                <w:tcPr>
                  <w:tcW w:w="3752" w:type="dxa"/>
                  <w:vAlign w:val="center"/>
                </w:tcPr>
                <w:p w14:paraId="12DD6287">
                  <w:pPr>
                    <w:adjustRightInd w:val="0"/>
                    <w:snapToGrid w:val="0"/>
                    <w:jc w:val="center"/>
                    <w:rPr>
                      <w:rFonts w:hint="default" w:eastAsia="宋体"/>
                      <w:color w:val="auto"/>
                      <w:sz w:val="21"/>
                      <w:szCs w:val="21"/>
                      <w:lang w:val="en-US" w:eastAsia="zh-CN"/>
                    </w:rPr>
                  </w:pPr>
                  <w:r>
                    <w:rPr>
                      <w:rFonts w:hint="default" w:eastAsia="宋体"/>
                      <w:color w:val="auto"/>
                      <w:sz w:val="21"/>
                      <w:szCs w:val="21"/>
                      <w:lang w:val="en-US" w:eastAsia="zh-CN"/>
                    </w:rPr>
                    <w:t>安徽泗县经济开发区水网供水</w:t>
                  </w:r>
                  <w:r>
                    <w:rPr>
                      <w:rFonts w:hint="eastAsia"/>
                      <w:color w:val="auto"/>
                      <w:sz w:val="21"/>
                      <w:szCs w:val="21"/>
                      <w:lang w:val="en-US" w:eastAsia="zh-CN"/>
                    </w:rPr>
                    <w:t>，供水量为1710t/a</w:t>
                  </w:r>
                </w:p>
              </w:tc>
              <w:tc>
                <w:tcPr>
                  <w:tcW w:w="1768" w:type="dxa"/>
                  <w:vAlign w:val="center"/>
                </w:tcPr>
                <w:p w14:paraId="0EFD0352">
                  <w:pPr>
                    <w:jc w:val="center"/>
                    <w:rPr>
                      <w:rFonts w:hint="default" w:eastAsia="宋体"/>
                      <w:color w:val="auto"/>
                      <w:sz w:val="21"/>
                      <w:szCs w:val="21"/>
                      <w:lang w:val="en-US" w:eastAsia="zh-CN"/>
                    </w:rPr>
                  </w:pPr>
                  <w:r>
                    <w:rPr>
                      <w:rFonts w:hint="eastAsia"/>
                      <w:color w:val="auto"/>
                      <w:sz w:val="21"/>
                      <w:szCs w:val="21"/>
                      <w:lang w:val="en-US" w:eastAsia="zh-CN"/>
                    </w:rPr>
                    <w:t>开发区供水</w:t>
                  </w:r>
                </w:p>
              </w:tc>
            </w:tr>
            <w:tr w14:paraId="55A0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1B870902">
                  <w:pPr>
                    <w:jc w:val="center"/>
                    <w:rPr>
                      <w:color w:val="auto"/>
                      <w:sz w:val="21"/>
                      <w:szCs w:val="21"/>
                    </w:rPr>
                  </w:pPr>
                </w:p>
              </w:tc>
              <w:tc>
                <w:tcPr>
                  <w:tcW w:w="1281" w:type="dxa"/>
                  <w:vAlign w:val="center"/>
                </w:tcPr>
                <w:p w14:paraId="143AC927">
                  <w:pPr>
                    <w:jc w:val="center"/>
                    <w:rPr>
                      <w:color w:val="auto"/>
                      <w:sz w:val="21"/>
                      <w:szCs w:val="21"/>
                    </w:rPr>
                  </w:pPr>
                  <w:r>
                    <w:rPr>
                      <w:color w:val="auto"/>
                      <w:sz w:val="21"/>
                      <w:szCs w:val="21"/>
                    </w:rPr>
                    <w:t>排水</w:t>
                  </w:r>
                </w:p>
              </w:tc>
              <w:tc>
                <w:tcPr>
                  <w:tcW w:w="3752" w:type="dxa"/>
                  <w:vAlign w:val="center"/>
                </w:tcPr>
                <w:p w14:paraId="090730D4">
                  <w:pPr>
                    <w:adjustRightInd w:val="0"/>
                    <w:snapToGrid w:val="0"/>
                    <w:jc w:val="center"/>
                    <w:rPr>
                      <w:color w:val="auto"/>
                      <w:sz w:val="21"/>
                      <w:szCs w:val="21"/>
                    </w:rPr>
                  </w:pPr>
                  <w:r>
                    <w:rPr>
                      <w:rFonts w:hint="eastAsia" w:eastAsia="宋体" w:cs="Times New Roman"/>
                      <w:sz w:val="21"/>
                      <w:szCs w:val="21"/>
                    </w:rPr>
                    <w:t>项目区采用雨污分流。雨水进入</w:t>
                  </w:r>
                  <w:r>
                    <w:rPr>
                      <w:rFonts w:hint="eastAsia" w:cs="Times New Roman"/>
                      <w:sz w:val="21"/>
                      <w:szCs w:val="21"/>
                      <w:lang w:val="en-US" w:eastAsia="zh-CN"/>
                    </w:rPr>
                    <w:t>开发区</w:t>
                  </w:r>
                  <w:r>
                    <w:rPr>
                      <w:rFonts w:hint="eastAsia" w:eastAsia="宋体" w:cs="Times New Roman"/>
                      <w:sz w:val="21"/>
                      <w:szCs w:val="21"/>
                    </w:rPr>
                    <w:t>雨水收集管网后进入市政雨水管网；生活污水</w:t>
                  </w:r>
                  <w:r>
                    <w:rPr>
                      <w:rFonts w:hint="eastAsia" w:cs="Times New Roman"/>
                      <w:sz w:val="21"/>
                      <w:szCs w:val="21"/>
                      <w:lang w:eastAsia="zh-CN"/>
                    </w:rPr>
                    <w:t>（</w:t>
                  </w:r>
                  <w:r>
                    <w:rPr>
                      <w:rFonts w:hint="eastAsia" w:cs="Times New Roman"/>
                      <w:sz w:val="21"/>
                      <w:szCs w:val="21"/>
                      <w:lang w:val="en-US" w:eastAsia="zh-CN"/>
                    </w:rPr>
                    <w:t>1344</w:t>
                  </w:r>
                  <w:r>
                    <w:rPr>
                      <w:rFonts w:hint="eastAsia"/>
                      <w:color w:val="auto"/>
                      <w:sz w:val="21"/>
                      <w:szCs w:val="21"/>
                      <w:lang w:val="en-US" w:eastAsia="zh-CN"/>
                    </w:rPr>
                    <w:t>t/a</w:t>
                  </w:r>
                  <w:r>
                    <w:rPr>
                      <w:rFonts w:hint="eastAsia" w:cs="Times New Roman"/>
                      <w:sz w:val="21"/>
                      <w:szCs w:val="21"/>
                      <w:lang w:eastAsia="zh-CN"/>
                    </w:rPr>
                    <w:t>）</w:t>
                  </w:r>
                  <w:r>
                    <w:rPr>
                      <w:rFonts w:hint="eastAsia" w:cs="Times New Roman"/>
                      <w:sz w:val="21"/>
                      <w:szCs w:val="21"/>
                      <w:lang w:val="en-US" w:eastAsia="zh-CN"/>
                    </w:rPr>
                    <w:t>经</w:t>
                  </w:r>
                  <w:r>
                    <w:rPr>
                      <w:rFonts w:hint="eastAsia" w:eastAsia="宋体" w:cs="Times New Roman"/>
                      <w:sz w:val="21"/>
                      <w:szCs w:val="21"/>
                    </w:rPr>
                    <w:t>化粪池处理后进泗县工业污水处理厂进一步处理，达标排入石梁河</w:t>
                  </w:r>
                </w:p>
              </w:tc>
              <w:tc>
                <w:tcPr>
                  <w:tcW w:w="1768" w:type="dxa"/>
                  <w:vAlign w:val="center"/>
                </w:tcPr>
                <w:p w14:paraId="4F2EB02A">
                  <w:pPr>
                    <w:jc w:val="center"/>
                    <w:rPr>
                      <w:rFonts w:hint="default"/>
                      <w:color w:val="auto"/>
                      <w:sz w:val="21"/>
                      <w:szCs w:val="21"/>
                      <w:lang w:val="en-US"/>
                    </w:rPr>
                  </w:pPr>
                  <w:r>
                    <w:rPr>
                      <w:rFonts w:hint="eastAsia" w:cs="Times New Roman"/>
                      <w:sz w:val="21"/>
                      <w:szCs w:val="21"/>
                      <w:lang w:val="en-US" w:eastAsia="zh-CN"/>
                    </w:rPr>
                    <w:t>新建</w:t>
                  </w:r>
                </w:p>
              </w:tc>
            </w:tr>
            <w:tr w14:paraId="2DFC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77089A75">
                  <w:pPr>
                    <w:jc w:val="center"/>
                    <w:rPr>
                      <w:color w:val="auto"/>
                      <w:sz w:val="21"/>
                      <w:szCs w:val="21"/>
                    </w:rPr>
                  </w:pPr>
                </w:p>
              </w:tc>
              <w:tc>
                <w:tcPr>
                  <w:tcW w:w="1281" w:type="dxa"/>
                  <w:vAlign w:val="center"/>
                </w:tcPr>
                <w:p w14:paraId="3BA8E4FE">
                  <w:pPr>
                    <w:jc w:val="center"/>
                    <w:rPr>
                      <w:color w:val="auto"/>
                      <w:sz w:val="21"/>
                      <w:szCs w:val="21"/>
                    </w:rPr>
                  </w:pPr>
                  <w:r>
                    <w:rPr>
                      <w:color w:val="auto"/>
                      <w:sz w:val="21"/>
                      <w:szCs w:val="21"/>
                    </w:rPr>
                    <w:t>供电</w:t>
                  </w:r>
                </w:p>
              </w:tc>
              <w:tc>
                <w:tcPr>
                  <w:tcW w:w="3752" w:type="dxa"/>
                  <w:vAlign w:val="center"/>
                </w:tcPr>
                <w:p w14:paraId="03B62C41">
                  <w:pPr>
                    <w:adjustRightInd w:val="0"/>
                    <w:snapToGrid w:val="0"/>
                    <w:jc w:val="center"/>
                    <w:rPr>
                      <w:color w:val="auto"/>
                      <w:sz w:val="21"/>
                      <w:szCs w:val="21"/>
                    </w:rPr>
                  </w:pPr>
                  <w:r>
                    <w:rPr>
                      <w:color w:val="auto"/>
                      <w:sz w:val="21"/>
                      <w:szCs w:val="21"/>
                    </w:rPr>
                    <w:t>由当地供电管网供电</w:t>
                  </w:r>
                </w:p>
              </w:tc>
              <w:tc>
                <w:tcPr>
                  <w:tcW w:w="1768" w:type="dxa"/>
                  <w:vAlign w:val="center"/>
                </w:tcPr>
                <w:p w14:paraId="6D8B87E6">
                  <w:pPr>
                    <w:jc w:val="center"/>
                    <w:rPr>
                      <w:color w:val="auto"/>
                      <w:sz w:val="21"/>
                      <w:szCs w:val="21"/>
                    </w:rPr>
                  </w:pPr>
                  <w:r>
                    <w:rPr>
                      <w:color w:val="auto"/>
                      <w:sz w:val="21"/>
                      <w:szCs w:val="21"/>
                    </w:rPr>
                    <w:t>由当地供电管网供电</w:t>
                  </w:r>
                </w:p>
              </w:tc>
            </w:tr>
            <w:tr w14:paraId="7299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restart"/>
                  <w:vAlign w:val="center"/>
                </w:tcPr>
                <w:p w14:paraId="215633BD">
                  <w:pPr>
                    <w:jc w:val="center"/>
                    <w:rPr>
                      <w:color w:val="auto"/>
                      <w:sz w:val="21"/>
                      <w:szCs w:val="21"/>
                    </w:rPr>
                  </w:pPr>
                  <w:bookmarkStart w:id="2" w:name="OLE_LINK23" w:colFirst="0" w:colLast="0"/>
                  <w:r>
                    <w:rPr>
                      <w:color w:val="auto"/>
                      <w:sz w:val="21"/>
                      <w:szCs w:val="21"/>
                    </w:rPr>
                    <w:t>环保工程</w:t>
                  </w:r>
                </w:p>
                <w:p w14:paraId="46CA9931">
                  <w:pPr>
                    <w:spacing w:line="276" w:lineRule="auto"/>
                    <w:jc w:val="center"/>
                    <w:rPr>
                      <w:color w:val="auto"/>
                      <w:sz w:val="21"/>
                      <w:szCs w:val="21"/>
                    </w:rPr>
                  </w:pPr>
                </w:p>
              </w:tc>
              <w:tc>
                <w:tcPr>
                  <w:tcW w:w="1281" w:type="dxa"/>
                  <w:vAlign w:val="center"/>
                </w:tcPr>
                <w:p w14:paraId="12C6AE3D">
                  <w:pPr>
                    <w:jc w:val="center"/>
                    <w:rPr>
                      <w:color w:val="auto"/>
                      <w:sz w:val="21"/>
                      <w:szCs w:val="21"/>
                    </w:rPr>
                  </w:pPr>
                  <w:r>
                    <w:rPr>
                      <w:color w:val="auto"/>
                      <w:sz w:val="21"/>
                      <w:szCs w:val="21"/>
                    </w:rPr>
                    <w:t>废气处理</w:t>
                  </w:r>
                </w:p>
              </w:tc>
              <w:tc>
                <w:tcPr>
                  <w:tcW w:w="3752" w:type="dxa"/>
                  <w:vAlign w:val="center"/>
                </w:tcPr>
                <w:p w14:paraId="09EA85F2">
                  <w:pPr>
                    <w:jc w:val="center"/>
                    <w:rPr>
                      <w:rFonts w:hint="default" w:eastAsia="宋体"/>
                      <w:color w:val="auto"/>
                      <w:sz w:val="21"/>
                      <w:szCs w:val="21"/>
                      <w:lang w:val="en-US" w:eastAsia="zh-CN"/>
                    </w:rPr>
                  </w:pPr>
                  <w:r>
                    <w:rPr>
                      <w:rFonts w:hint="eastAsia"/>
                      <w:color w:val="auto"/>
                      <w:sz w:val="21"/>
                      <w:szCs w:val="21"/>
                    </w:rPr>
                    <w:t>下料、后处理（抛光/砂光）</w:t>
                  </w:r>
                  <w:r>
                    <w:rPr>
                      <w:rFonts w:hint="eastAsia"/>
                      <w:color w:val="auto"/>
                      <w:sz w:val="21"/>
                      <w:szCs w:val="21"/>
                      <w:lang w:val="en-US" w:eastAsia="zh-CN"/>
                    </w:rPr>
                    <w:t>废气收集后经布袋除尘器处理后，通过排气筒DA001排放</w:t>
                  </w:r>
                </w:p>
              </w:tc>
              <w:tc>
                <w:tcPr>
                  <w:tcW w:w="1768" w:type="dxa"/>
                  <w:vAlign w:val="center"/>
                </w:tcPr>
                <w:p w14:paraId="020B4A40">
                  <w:pPr>
                    <w:jc w:val="center"/>
                    <w:rPr>
                      <w:rFonts w:hint="default" w:eastAsia="宋体"/>
                      <w:color w:val="auto"/>
                      <w:sz w:val="21"/>
                      <w:szCs w:val="21"/>
                      <w:lang w:val="en-US" w:eastAsia="zh-CN"/>
                    </w:rPr>
                  </w:pPr>
                  <w:r>
                    <w:rPr>
                      <w:rFonts w:hint="eastAsia"/>
                      <w:color w:val="auto"/>
                      <w:sz w:val="21"/>
                      <w:szCs w:val="21"/>
                      <w:lang w:val="en-US" w:eastAsia="zh-CN"/>
                    </w:rPr>
                    <w:t>新建</w:t>
                  </w:r>
                </w:p>
              </w:tc>
            </w:tr>
            <w:tr w14:paraId="157A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5C18A4EB">
                  <w:pPr>
                    <w:jc w:val="center"/>
                    <w:rPr>
                      <w:color w:val="auto"/>
                      <w:sz w:val="21"/>
                      <w:szCs w:val="21"/>
                    </w:rPr>
                  </w:pPr>
                </w:p>
              </w:tc>
              <w:tc>
                <w:tcPr>
                  <w:tcW w:w="1281" w:type="dxa"/>
                  <w:vAlign w:val="center"/>
                </w:tcPr>
                <w:p w14:paraId="4B865EEB">
                  <w:pPr>
                    <w:jc w:val="center"/>
                    <w:rPr>
                      <w:color w:val="auto"/>
                      <w:sz w:val="21"/>
                      <w:szCs w:val="21"/>
                    </w:rPr>
                  </w:pPr>
                  <w:r>
                    <w:rPr>
                      <w:color w:val="auto"/>
                      <w:sz w:val="21"/>
                      <w:szCs w:val="21"/>
                    </w:rPr>
                    <w:t>废水处理</w:t>
                  </w:r>
                </w:p>
              </w:tc>
              <w:tc>
                <w:tcPr>
                  <w:tcW w:w="3752" w:type="dxa"/>
                  <w:vAlign w:val="center"/>
                </w:tcPr>
                <w:p w14:paraId="4D92A51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项目生活污水经化粪池处理后经</w:t>
                  </w:r>
                  <w:r>
                    <w:rPr>
                      <w:rFonts w:hint="eastAsia"/>
                      <w:color w:val="000000" w:themeColor="text1"/>
                      <w:sz w:val="21"/>
                      <w:szCs w:val="21"/>
                      <w:lang w:val="en-US" w:eastAsia="zh-CN"/>
                      <w14:textFill>
                        <w14:solidFill>
                          <w14:schemeClr w14:val="tx1"/>
                        </w14:solidFill>
                      </w14:textFill>
                    </w:rPr>
                    <w:t>开发区</w:t>
                  </w:r>
                  <w:r>
                    <w:rPr>
                      <w:rFonts w:hint="eastAsia"/>
                      <w:color w:val="000000" w:themeColor="text1"/>
                      <w:sz w:val="21"/>
                      <w:szCs w:val="21"/>
                      <w14:textFill>
                        <w14:solidFill>
                          <w14:schemeClr w14:val="tx1"/>
                        </w14:solidFill>
                      </w14:textFill>
                    </w:rPr>
                    <w:t>污水管网进入泗县工业污水处理厂进一步处理，达标排入石梁河</w:t>
                  </w:r>
                </w:p>
              </w:tc>
              <w:tc>
                <w:tcPr>
                  <w:tcW w:w="1768" w:type="dxa"/>
                  <w:vAlign w:val="center"/>
                </w:tcPr>
                <w:p w14:paraId="3C3152A1">
                  <w:pPr>
                    <w:jc w:val="center"/>
                    <w:rPr>
                      <w:color w:val="000000" w:themeColor="text1"/>
                      <w:sz w:val="21"/>
                      <w:szCs w:val="21"/>
                      <w14:textFill>
                        <w14:solidFill>
                          <w14:schemeClr w14:val="tx1"/>
                        </w14:solidFill>
                      </w14:textFill>
                    </w:rPr>
                  </w:pPr>
                  <w:r>
                    <w:rPr>
                      <w:rFonts w:hint="eastAsia" w:cs="Times New Roman"/>
                      <w:sz w:val="21"/>
                      <w:szCs w:val="21"/>
                      <w:lang w:val="en-US" w:eastAsia="zh-CN"/>
                    </w:rPr>
                    <w:t>依托开发区管网</w:t>
                  </w:r>
                </w:p>
              </w:tc>
            </w:tr>
            <w:tr w14:paraId="5F03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401868B9">
                  <w:pPr>
                    <w:jc w:val="center"/>
                    <w:rPr>
                      <w:color w:val="auto"/>
                      <w:sz w:val="21"/>
                      <w:szCs w:val="21"/>
                    </w:rPr>
                  </w:pPr>
                </w:p>
              </w:tc>
              <w:tc>
                <w:tcPr>
                  <w:tcW w:w="1281" w:type="dxa"/>
                  <w:vAlign w:val="center"/>
                </w:tcPr>
                <w:p w14:paraId="531E25DB">
                  <w:pPr>
                    <w:jc w:val="center"/>
                    <w:rPr>
                      <w:color w:val="auto"/>
                      <w:sz w:val="21"/>
                      <w:szCs w:val="21"/>
                    </w:rPr>
                  </w:pPr>
                  <w:r>
                    <w:rPr>
                      <w:color w:val="auto"/>
                      <w:sz w:val="21"/>
                      <w:szCs w:val="21"/>
                    </w:rPr>
                    <w:t>噪声处理</w:t>
                  </w:r>
                </w:p>
              </w:tc>
              <w:tc>
                <w:tcPr>
                  <w:tcW w:w="3752" w:type="dxa"/>
                  <w:vAlign w:val="center"/>
                </w:tcPr>
                <w:p w14:paraId="4CA718AE">
                  <w:pPr>
                    <w:jc w:val="center"/>
                    <w:rPr>
                      <w:color w:val="auto"/>
                      <w:sz w:val="21"/>
                      <w:szCs w:val="21"/>
                    </w:rPr>
                  </w:pPr>
                  <w:r>
                    <w:rPr>
                      <w:color w:val="auto"/>
                      <w:sz w:val="21"/>
                      <w:szCs w:val="21"/>
                    </w:rPr>
                    <w:t>设备均设置在室内，合理布局；选用低噪声设备，并安装减振垫</w:t>
                  </w:r>
                </w:p>
              </w:tc>
              <w:tc>
                <w:tcPr>
                  <w:tcW w:w="1768" w:type="dxa"/>
                  <w:vAlign w:val="center"/>
                </w:tcPr>
                <w:p w14:paraId="07362022">
                  <w:pPr>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新建</w:t>
                  </w:r>
                </w:p>
              </w:tc>
            </w:tr>
            <w:tr w14:paraId="758E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3DB9E9BE">
                  <w:pPr>
                    <w:jc w:val="center"/>
                    <w:rPr>
                      <w:color w:val="auto"/>
                      <w:sz w:val="21"/>
                      <w:szCs w:val="21"/>
                    </w:rPr>
                  </w:pPr>
                </w:p>
              </w:tc>
              <w:tc>
                <w:tcPr>
                  <w:tcW w:w="1281" w:type="dxa"/>
                  <w:vAlign w:val="center"/>
                </w:tcPr>
                <w:p w14:paraId="0133AE4E">
                  <w:pPr>
                    <w:jc w:val="center"/>
                    <w:rPr>
                      <w:color w:val="auto"/>
                      <w:sz w:val="21"/>
                      <w:szCs w:val="21"/>
                    </w:rPr>
                  </w:pPr>
                  <w:r>
                    <w:rPr>
                      <w:color w:val="auto"/>
                      <w:sz w:val="21"/>
                      <w:szCs w:val="21"/>
                    </w:rPr>
                    <w:t>固废处理</w:t>
                  </w:r>
                </w:p>
              </w:tc>
              <w:tc>
                <w:tcPr>
                  <w:tcW w:w="3752" w:type="dxa"/>
                  <w:vAlign w:val="center"/>
                </w:tcPr>
                <w:p w14:paraId="0FE9456C">
                  <w:pPr>
                    <w:numPr>
                      <w:ilvl w:val="-1"/>
                      <w:numId w:val="0"/>
                    </w:numPr>
                    <w:jc w:val="left"/>
                    <w:rPr>
                      <w:rFonts w:hint="eastAsia"/>
                      <w:sz w:val="21"/>
                      <w:szCs w:val="21"/>
                    </w:rPr>
                  </w:pPr>
                  <w:r>
                    <w:rPr>
                      <w:rFonts w:hint="eastAsia"/>
                      <w:color w:val="000000" w:themeColor="text1"/>
                      <w:sz w:val="21"/>
                      <w:szCs w:val="21"/>
                      <w:lang w:val="en-US" w:eastAsia="zh-CN"/>
                      <w14:textFill>
                        <w14:solidFill>
                          <w14:schemeClr w14:val="tx1"/>
                        </w14:solidFill>
                      </w14:textFill>
                    </w:rPr>
                    <w:t>（1）生活垃圾：</w:t>
                  </w:r>
                  <w:r>
                    <w:rPr>
                      <w:rFonts w:hint="eastAsia" w:eastAsia="宋体" w:cs="Times New Roman"/>
                      <w:color w:val="000000" w:themeColor="text1"/>
                      <w:sz w:val="21"/>
                      <w:szCs w:val="21"/>
                      <w14:textFill>
                        <w14:solidFill>
                          <w14:schemeClr w14:val="tx1"/>
                        </w14:solidFill>
                      </w14:textFill>
                    </w:rPr>
                    <w:t>垃圾桶收集生活垃圾</w:t>
                  </w:r>
                  <w:r>
                    <w:rPr>
                      <w:color w:val="000000" w:themeColor="text1"/>
                      <w:sz w:val="21"/>
                      <w:szCs w:val="21"/>
                      <w14:textFill>
                        <w14:solidFill>
                          <w14:schemeClr w14:val="tx1"/>
                        </w14:solidFill>
                      </w14:textFill>
                    </w:rPr>
                    <w:br w:type="textWrapping"/>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一般固体废物：一般固废分类</w:t>
                  </w:r>
                  <w:r>
                    <w:rPr>
                      <w:rFonts w:hint="eastAsia" w:eastAsia="宋体" w:cs="Times New Roman"/>
                      <w:color w:val="000000" w:themeColor="text1"/>
                      <w:sz w:val="21"/>
                      <w:szCs w:val="21"/>
                      <w14:textFill>
                        <w14:solidFill>
                          <w14:schemeClr w14:val="tx1"/>
                        </w14:solidFill>
                      </w14:textFill>
                    </w:rPr>
                    <w:t>暂存于一般固废暂存</w:t>
                  </w:r>
                  <w:r>
                    <w:rPr>
                      <w:rFonts w:hint="eastAsia" w:eastAsia="宋体" w:cs="Times New Roman"/>
                      <w:color w:val="000000" w:themeColor="text1"/>
                      <w:sz w:val="21"/>
                      <w:szCs w:val="21"/>
                      <w:lang w:val="en-US" w:eastAsia="zh-CN"/>
                      <w14:textFill>
                        <w14:solidFill>
                          <w14:schemeClr w14:val="tx1"/>
                        </w14:solidFill>
                      </w14:textFill>
                    </w:rPr>
                    <w:t>处</w:t>
                  </w:r>
                  <w:r>
                    <w:rPr>
                      <w:rFonts w:hint="eastAsia" w:eastAsia="宋体" w:cs="Times New Roman"/>
                      <w:color w:val="000000" w:themeColor="text1"/>
                      <w:sz w:val="21"/>
                      <w:szCs w:val="21"/>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生产车间东北部</w:t>
                  </w:r>
                  <w:r>
                    <w:rPr>
                      <w:rFonts w:hint="eastAsia" w:eastAsia="宋体" w:cs="Times New Roman"/>
                      <w:color w:val="000000" w:themeColor="text1"/>
                      <w:sz w:val="21"/>
                      <w:szCs w:val="21"/>
                      <w14:textFill>
                        <w14:solidFill>
                          <w14:schemeClr w14:val="tx1"/>
                        </w14:solidFill>
                      </w14:textFill>
                    </w:rPr>
                    <w:t>，建筑面积30m</w:t>
                  </w:r>
                  <w:r>
                    <w:rPr>
                      <w:rFonts w:hint="eastAsia" w:eastAsia="宋体" w:cs="Times New Roman"/>
                      <w:color w:val="000000" w:themeColor="text1"/>
                      <w:sz w:val="21"/>
                      <w:szCs w:val="21"/>
                      <w:vertAlign w:val="superscript"/>
                      <w14:textFill>
                        <w14:solidFill>
                          <w14:schemeClr w14:val="tx1"/>
                        </w14:solidFill>
                      </w14:textFill>
                    </w:rPr>
                    <w:t>2</w:t>
                  </w:r>
                </w:p>
                <w:p w14:paraId="722F94BF">
                  <w:pPr>
                    <w:numPr>
                      <w:ilvl w:val="0"/>
                      <w:numId w:val="0"/>
                    </w:numPr>
                    <w:jc w:val="left"/>
                    <w:rPr>
                      <w:rFonts w:hint="eastAsia" w:eastAsia="宋体"/>
                      <w:color w:val="000000" w:themeColor="text1"/>
                      <w:sz w:val="21"/>
                      <w:szCs w:val="21"/>
                      <w:lang w:val="en-US" w:eastAsia="zh-CN"/>
                      <w14:textFill>
                        <w14:solidFill>
                          <w14:schemeClr w14:val="tx1"/>
                        </w14:solidFill>
                      </w14:textFill>
                    </w:rPr>
                  </w:pPr>
                  <w:r>
                    <w:rPr>
                      <w:rFonts w:hint="eastAsia"/>
                      <w:sz w:val="21"/>
                      <w:szCs w:val="21"/>
                      <w:lang w:val="en-US" w:eastAsia="zh-CN"/>
                    </w:rPr>
                    <w:t>（3）危</w:t>
                  </w:r>
                  <w:r>
                    <w:rPr>
                      <w:rFonts w:hint="eastAsia"/>
                      <w:sz w:val="21"/>
                      <w:szCs w:val="21"/>
                    </w:rPr>
                    <w:t>险废物暂存间位于生产车间东</w:t>
                  </w:r>
                  <w:r>
                    <w:rPr>
                      <w:rFonts w:hint="eastAsia"/>
                      <w:sz w:val="21"/>
                      <w:szCs w:val="21"/>
                      <w:lang w:val="en-US" w:eastAsia="zh-CN"/>
                    </w:rPr>
                    <w:t>北部</w:t>
                  </w:r>
                  <w:r>
                    <w:rPr>
                      <w:rFonts w:hint="eastAsia"/>
                      <w:sz w:val="21"/>
                      <w:szCs w:val="21"/>
                    </w:rPr>
                    <w:t>，建筑面积约</w:t>
                  </w:r>
                  <w:r>
                    <w:rPr>
                      <w:rFonts w:hint="eastAsia"/>
                      <w:sz w:val="21"/>
                      <w:szCs w:val="21"/>
                      <w:lang w:val="en-US" w:eastAsia="zh-CN"/>
                    </w:rPr>
                    <w:t>10</w:t>
                  </w:r>
                  <w:r>
                    <w:rPr>
                      <w:rFonts w:hint="eastAsia"/>
                      <w:sz w:val="21"/>
                      <w:szCs w:val="21"/>
                    </w:rPr>
                    <w:t>m</w:t>
                  </w:r>
                  <w:r>
                    <w:rPr>
                      <w:rFonts w:hint="eastAsia"/>
                      <w:sz w:val="21"/>
                      <w:szCs w:val="21"/>
                      <w:vertAlign w:val="superscript"/>
                    </w:rPr>
                    <w:t>2</w:t>
                  </w:r>
                  <w:r>
                    <w:rPr>
                      <w:rFonts w:hint="eastAsia"/>
                      <w:sz w:val="21"/>
                      <w:szCs w:val="21"/>
                    </w:rPr>
                    <w:t>，危险废物收集后暂存于厂区的危废暂存间，废机油、废机油桶等危险废物委托有资质单位及时处理，危险废物暂存间防风、防晒、防雨、防漏、防渗、防腐</w:t>
                  </w:r>
                </w:p>
              </w:tc>
              <w:tc>
                <w:tcPr>
                  <w:tcW w:w="1768" w:type="dxa"/>
                  <w:vAlign w:val="center"/>
                </w:tcPr>
                <w:p w14:paraId="77306D95">
                  <w:pPr>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新建</w:t>
                  </w:r>
                </w:p>
              </w:tc>
            </w:tr>
            <w:tr w14:paraId="4F02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51D8CA36">
                  <w:pPr>
                    <w:jc w:val="center"/>
                    <w:rPr>
                      <w:color w:val="auto"/>
                      <w:sz w:val="21"/>
                      <w:szCs w:val="21"/>
                    </w:rPr>
                  </w:pPr>
                </w:p>
              </w:tc>
              <w:tc>
                <w:tcPr>
                  <w:tcW w:w="1281" w:type="dxa"/>
                  <w:shd w:val="clear" w:color="auto" w:fill="auto"/>
                  <w:vAlign w:val="center"/>
                </w:tcPr>
                <w:p w14:paraId="3F5F1688">
                  <w:pPr>
                    <w:jc w:val="center"/>
                    <w:rPr>
                      <w:rFonts w:ascii="Times New Roman" w:hAnsi="Times New Roman" w:eastAsia="宋体" w:cs="Times New Roman"/>
                      <w:color w:val="auto"/>
                      <w:kern w:val="2"/>
                      <w:sz w:val="21"/>
                      <w:szCs w:val="21"/>
                      <w:lang w:val="en-US" w:eastAsia="zh-CN" w:bidi="ar-SA"/>
                    </w:rPr>
                  </w:pPr>
                  <w:r>
                    <w:rPr>
                      <w:color w:val="auto"/>
                      <w:sz w:val="21"/>
                      <w:szCs w:val="21"/>
                    </w:rPr>
                    <w:t>地下水防渗</w:t>
                  </w:r>
                </w:p>
              </w:tc>
              <w:tc>
                <w:tcPr>
                  <w:tcW w:w="3752" w:type="dxa"/>
                  <w:shd w:val="clear" w:color="auto" w:fill="auto"/>
                  <w:vAlign w:val="center"/>
                </w:tcPr>
                <w:p w14:paraId="227CB63C">
                  <w:pPr>
                    <w:adjustRightInd w:val="0"/>
                    <w:snapToGrid w:val="0"/>
                    <w:rPr>
                      <w:rFonts w:hint="eastAsia" w:ascii="Times New Roman" w:hAnsi="Times New Roman" w:eastAsia="宋体" w:cs="宋体"/>
                      <w:sz w:val="21"/>
                      <w:szCs w:val="20"/>
                    </w:rPr>
                  </w:pPr>
                  <w:r>
                    <w:rPr>
                      <w:rFonts w:hint="eastAsia" w:ascii="Times New Roman" w:hAnsi="Times New Roman" w:eastAsia="宋体" w:cs="宋体"/>
                      <w:sz w:val="21"/>
                      <w:szCs w:val="20"/>
                    </w:rPr>
                    <w:t>分区防渗：</w:t>
                  </w:r>
                </w:p>
                <w:p w14:paraId="18776660">
                  <w:pPr>
                    <w:adjustRightInd w:val="0"/>
                    <w:snapToGrid w:val="0"/>
                    <w:rPr>
                      <w:rFonts w:hint="eastAsia" w:ascii="Times New Roman" w:hAnsi="Times New Roman" w:eastAsia="宋体" w:cs="宋体"/>
                      <w:sz w:val="21"/>
                      <w:szCs w:val="20"/>
                      <w:lang w:val="en-US" w:eastAsia="zh-CN"/>
                    </w:rPr>
                  </w:pPr>
                  <w:r>
                    <w:rPr>
                      <w:rFonts w:hint="eastAsia" w:ascii="Times New Roman" w:hAnsi="Times New Roman" w:eastAsia="宋体" w:cs="宋体"/>
                      <w:sz w:val="21"/>
                      <w:szCs w:val="20"/>
                      <w:lang w:val="en-US" w:eastAsia="zh-CN"/>
                    </w:rPr>
                    <w:t>1、重点防渗区：危险废物暂存间，危险废物暂存间地面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宋体"/>
                      <w:sz w:val="21"/>
                      <w:szCs w:val="20"/>
                      <w:vertAlign w:val="superscript"/>
                      <w:lang w:val="en-US" w:eastAsia="zh-CN"/>
                    </w:rPr>
                    <w:t>-7</w:t>
                  </w:r>
                  <w:r>
                    <w:rPr>
                      <w:rFonts w:hint="eastAsia" w:ascii="Times New Roman" w:hAnsi="Times New Roman" w:eastAsia="宋体" w:cs="宋体"/>
                      <w:sz w:val="21"/>
                      <w:szCs w:val="20"/>
                      <w:lang w:val="en-US" w:eastAsia="zh-CN"/>
                    </w:rPr>
                    <w:t>cm/s），或至少2mm厚高密度聚乙烯膜等人工防渗材料（渗透系数不大于10</w:t>
                  </w:r>
                  <w:r>
                    <w:rPr>
                      <w:rFonts w:hint="eastAsia" w:ascii="Times New Roman" w:hAnsi="Times New Roman" w:eastAsia="宋体" w:cs="宋体"/>
                      <w:sz w:val="21"/>
                      <w:szCs w:val="20"/>
                      <w:vertAlign w:val="superscript"/>
                      <w:lang w:val="en-US" w:eastAsia="zh-CN"/>
                    </w:rPr>
                    <w:t>-10</w:t>
                  </w:r>
                  <w:r>
                    <w:rPr>
                      <w:rFonts w:hint="eastAsia" w:ascii="Times New Roman" w:hAnsi="Times New Roman" w:eastAsia="宋体" w:cs="宋体"/>
                      <w:sz w:val="21"/>
                      <w:szCs w:val="20"/>
                      <w:lang w:val="en-US" w:eastAsia="zh-CN"/>
                    </w:rPr>
                    <w:t>cm/s），或其他防渗性能等效的材料；</w:t>
                  </w:r>
                </w:p>
                <w:p w14:paraId="18C50994">
                  <w:pPr>
                    <w:adjustRightInd w:val="0"/>
                    <w:snapToGrid w:val="0"/>
                    <w:rPr>
                      <w:rFonts w:hint="eastAsia" w:ascii="Times New Roman" w:hAnsi="Times New Roman" w:eastAsia="宋体" w:cs="宋体"/>
                      <w:sz w:val="21"/>
                      <w:szCs w:val="20"/>
                      <w:lang w:val="en-US" w:eastAsia="zh-CN"/>
                    </w:rPr>
                  </w:pPr>
                  <w:r>
                    <w:rPr>
                      <w:rFonts w:hint="eastAsia" w:ascii="Times New Roman" w:hAnsi="Times New Roman" w:eastAsia="宋体" w:cs="宋体"/>
                      <w:sz w:val="21"/>
                      <w:szCs w:val="20"/>
                      <w:lang w:val="en-US" w:eastAsia="zh-CN"/>
                    </w:rPr>
                    <w:t>2、生产车</w:t>
                  </w:r>
                  <w:r>
                    <w:rPr>
                      <w:rFonts w:hint="eastAsia" w:ascii="Times New Roman" w:hAnsi="Times New Roman" w:eastAsia="宋体" w:cs="宋体"/>
                      <w:color w:val="auto"/>
                      <w:sz w:val="21"/>
                      <w:szCs w:val="20"/>
                      <w:lang w:val="en-US" w:eastAsia="zh-CN"/>
                    </w:rPr>
                    <w:t>间、一般固废间、化粪池进行一般防渗</w:t>
                  </w:r>
                  <w:r>
                    <w:rPr>
                      <w:rFonts w:hint="eastAsia" w:ascii="Times New Roman" w:hAnsi="Times New Roman" w:eastAsia="宋体" w:cs="宋体"/>
                      <w:sz w:val="21"/>
                      <w:szCs w:val="20"/>
                      <w:lang w:val="en-US" w:eastAsia="zh-CN"/>
                    </w:rPr>
                    <w:t>：等效黏土防水层Mb≥1.5m，K≤1.0×10</w:t>
                  </w:r>
                  <w:r>
                    <w:rPr>
                      <w:rFonts w:hint="eastAsia" w:ascii="Times New Roman" w:hAnsi="Times New Roman" w:eastAsia="宋体" w:cs="宋体"/>
                      <w:sz w:val="21"/>
                      <w:szCs w:val="20"/>
                      <w:vertAlign w:val="superscript"/>
                      <w:lang w:val="en-US" w:eastAsia="zh-CN"/>
                    </w:rPr>
                    <w:t>-7</w:t>
                  </w:r>
                  <w:r>
                    <w:rPr>
                      <w:rFonts w:hint="eastAsia" w:ascii="Times New Roman" w:hAnsi="Times New Roman" w:eastAsia="宋体" w:cs="宋体"/>
                      <w:sz w:val="21"/>
                      <w:szCs w:val="20"/>
                      <w:lang w:val="en-US" w:eastAsia="zh-CN"/>
                    </w:rPr>
                    <w:t>cm/s；或参照GB 16889执行；</w:t>
                  </w:r>
                </w:p>
                <w:p w14:paraId="2EB2ED56">
                  <w:pPr>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sz w:val="21"/>
                      <w:szCs w:val="20"/>
                      <w:lang w:val="en-US" w:eastAsia="zh-CN"/>
                    </w:rPr>
                    <w:t>3、办公区域简单防渗：一般地面硬化</w:t>
                  </w:r>
                </w:p>
              </w:tc>
              <w:tc>
                <w:tcPr>
                  <w:tcW w:w="1768" w:type="dxa"/>
                  <w:shd w:val="clear" w:color="auto" w:fill="auto"/>
                  <w:vAlign w:val="center"/>
                </w:tcPr>
                <w:p w14:paraId="5AD241D6">
                  <w:pPr>
                    <w:adjustRightInd/>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新建</w:t>
                  </w:r>
                </w:p>
              </w:tc>
            </w:tr>
            <w:tr w14:paraId="1F9D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vAlign w:val="center"/>
                </w:tcPr>
                <w:p w14:paraId="091BB36E">
                  <w:pPr>
                    <w:spacing w:line="276" w:lineRule="auto"/>
                    <w:jc w:val="center"/>
                    <w:rPr>
                      <w:color w:val="auto"/>
                      <w:sz w:val="21"/>
                      <w:szCs w:val="21"/>
                    </w:rPr>
                  </w:pPr>
                </w:p>
              </w:tc>
              <w:tc>
                <w:tcPr>
                  <w:tcW w:w="1281" w:type="dxa"/>
                  <w:shd w:val="clear" w:color="auto" w:fill="auto"/>
                  <w:vAlign w:val="center"/>
                </w:tcPr>
                <w:p w14:paraId="364BC2C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环境风险防范措施</w:t>
                  </w:r>
                </w:p>
              </w:tc>
              <w:tc>
                <w:tcPr>
                  <w:tcW w:w="3752" w:type="dxa"/>
                  <w:shd w:val="clear" w:color="auto" w:fill="auto"/>
                  <w:vAlign w:val="center"/>
                </w:tcPr>
                <w:p w14:paraId="4A88901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（1）车间内工艺布置保持通道畅通</w:t>
                  </w:r>
                </w:p>
                <w:p w14:paraId="05AD8CC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（2）企业定期对废气、处理设施进行维护、修理，使其处于正常运转状态，杜绝事故性排放；一旦发现废气收集、处理设施出现故障，须立即停止生产，待故障排除完毕、治理设施正常运行后方可恢复生产</w:t>
                  </w:r>
                </w:p>
                <w:p w14:paraId="7B8A5FA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设立单独的危险废物暂存间，并按照《危险废物贮存污染控制标准》（GB18597-2023）的规定做各项措施，并定期委托有资质单位清运处置。同时，建设单位在危险废物转移过程中须严格执行转移联单制度，并做好记录台账，防止危险废物在转移过程中发生遗失事故</w:t>
                  </w:r>
                </w:p>
                <w:p w14:paraId="27F0F92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（4）建设单位须制订环境突发事故应急预案，一旦突发环境风险事故，必须立即按应急预案提到的紧急处理、救援、监测方案等进行紧急救援，救援人员采取相应的防护措施，以避免造成人员伤亡事故</w:t>
                  </w:r>
                </w:p>
              </w:tc>
              <w:tc>
                <w:tcPr>
                  <w:tcW w:w="1768" w:type="dxa"/>
                  <w:vAlign w:val="center"/>
                </w:tcPr>
                <w:p w14:paraId="67499F82">
                  <w:pPr>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bookmarkEnd w:id="2"/>
          </w:tbl>
          <w:p w14:paraId="45E28D10">
            <w:pPr>
              <w:adjustRightInd w:val="0"/>
              <w:snapToGrid w:val="0"/>
              <w:spacing w:before="120" w:beforeLines="50" w:line="360" w:lineRule="auto"/>
              <w:rPr>
                <w:b/>
                <w:bCs/>
                <w:color w:val="auto"/>
                <w:kern w:val="0"/>
              </w:rPr>
            </w:pPr>
            <w:r>
              <w:rPr>
                <w:rFonts w:hint="eastAsia"/>
                <w:b/>
                <w:bCs/>
                <w:color w:val="auto"/>
                <w:kern w:val="0"/>
              </w:rPr>
              <w:t>2、</w:t>
            </w:r>
            <w:r>
              <w:rPr>
                <w:b/>
                <w:bCs/>
                <w:color w:val="auto"/>
                <w:kern w:val="0"/>
              </w:rPr>
              <w:t>产品方案</w:t>
            </w:r>
            <w:r>
              <w:rPr>
                <w:rFonts w:hint="eastAsia"/>
                <w:b/>
                <w:bCs/>
                <w:color w:val="auto"/>
                <w:kern w:val="0"/>
              </w:rPr>
              <w:t>、</w:t>
            </w:r>
            <w:r>
              <w:rPr>
                <w:b/>
                <w:color w:val="auto"/>
              </w:rPr>
              <w:t>生产规模及产品规格</w:t>
            </w:r>
          </w:p>
          <w:p w14:paraId="684E01B5">
            <w:pPr>
              <w:autoSpaceDE w:val="0"/>
              <w:autoSpaceDN w:val="0"/>
              <w:adjustRightInd w:val="0"/>
              <w:spacing w:line="360" w:lineRule="auto"/>
              <w:ind w:firstLine="480"/>
              <w:rPr>
                <w:b/>
                <w:color w:val="auto"/>
              </w:rPr>
            </w:pPr>
            <w:r>
              <w:rPr>
                <w:color w:val="auto"/>
              </w:rPr>
              <w:t>本项目</w:t>
            </w:r>
            <w:r>
              <w:rPr>
                <w:rFonts w:hint="eastAsia"/>
                <w:color w:val="auto"/>
              </w:rPr>
              <w:t>为</w:t>
            </w:r>
            <w:r>
              <w:rPr>
                <w:rFonts w:hint="eastAsia"/>
                <w:color w:val="auto"/>
                <w:lang w:val="en-US" w:eastAsia="zh-CN"/>
              </w:rPr>
              <w:t>新建</w:t>
            </w:r>
            <w:r>
              <w:rPr>
                <w:rFonts w:hint="eastAsia"/>
                <w:color w:val="auto"/>
              </w:rPr>
              <w:t>项目，</w:t>
            </w:r>
            <w:r>
              <w:rPr>
                <w:rFonts w:hint="eastAsia"/>
                <w:color w:val="auto"/>
                <w:lang w:val="en-US" w:eastAsia="zh-CN"/>
              </w:rPr>
              <w:t>项目木塑制品后续不再建设生产</w:t>
            </w:r>
            <w:r>
              <w:rPr>
                <w:color w:val="auto"/>
              </w:rPr>
              <w:t>。</w:t>
            </w:r>
            <w:r>
              <w:rPr>
                <w:rFonts w:hint="eastAsia"/>
                <w:color w:val="auto"/>
                <w:lang w:val="en-US" w:eastAsia="zh-CN"/>
              </w:rPr>
              <w:t>本项目</w:t>
            </w:r>
            <w:r>
              <w:rPr>
                <w:color w:val="auto"/>
              </w:rPr>
              <w:t>建成后</w:t>
            </w:r>
            <w:r>
              <w:rPr>
                <w:rFonts w:hint="eastAsia"/>
                <w:color w:val="auto"/>
              </w:rPr>
              <w:t>产品为</w:t>
            </w:r>
            <w:r>
              <w:rPr>
                <w:rFonts w:hint="eastAsia"/>
                <w:color w:val="auto"/>
                <w:lang w:val="en-US" w:eastAsia="zh-CN"/>
              </w:rPr>
              <w:t>木制托盘。</w:t>
            </w:r>
            <w:r>
              <w:rPr>
                <w:color w:val="auto"/>
              </w:rPr>
              <w:t>本项目产品主要具体见下表</w:t>
            </w:r>
            <w:r>
              <w:rPr>
                <w:bCs/>
                <w:color w:val="auto"/>
              </w:rPr>
              <w:t>。</w:t>
            </w:r>
          </w:p>
          <w:p w14:paraId="2A27EF25">
            <w:pPr>
              <w:pStyle w:val="74"/>
              <w:spacing w:before="0" w:beforeAutospacing="0" w:after="0" w:afterAutospacing="0"/>
              <w:jc w:val="center"/>
              <w:rPr>
                <w:b/>
                <w:color w:val="auto"/>
              </w:rPr>
            </w:pPr>
            <w:r>
              <w:rPr>
                <w:b/>
                <w:color w:val="auto"/>
              </w:rPr>
              <w:t>表</w:t>
            </w:r>
            <w:r>
              <w:rPr>
                <w:rFonts w:ascii="Times New Roman" w:hAnsi="Times New Roman" w:cs="Times New Roman"/>
                <w:b/>
                <w:color w:val="auto"/>
              </w:rPr>
              <w:t>2</w:t>
            </w:r>
            <w:r>
              <w:rPr>
                <w:rFonts w:hint="eastAsia" w:ascii="Times New Roman" w:hAnsi="Times New Roman" w:cs="Times New Roman"/>
                <w:b/>
                <w:color w:val="auto"/>
              </w:rPr>
              <w:t>-2</w:t>
            </w:r>
            <w:r>
              <w:rPr>
                <w:b/>
                <w:color w:val="auto"/>
              </w:rPr>
              <w:t xml:space="preserve">  项目产品方案一览表</w:t>
            </w:r>
          </w:p>
          <w:tbl>
            <w:tblPr>
              <w:tblStyle w:val="30"/>
              <w:tblW w:w="48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770"/>
              <w:gridCol w:w="890"/>
              <w:gridCol w:w="1172"/>
              <w:gridCol w:w="3040"/>
            </w:tblGrid>
            <w:tr w14:paraId="321C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65" w:type="dxa"/>
                  <w:vAlign w:val="center"/>
                </w:tcPr>
                <w:p w14:paraId="3202B5A8">
                  <w:pPr>
                    <w:jc w:val="center"/>
                    <w:rPr>
                      <w:b/>
                      <w:bCs/>
                      <w:color w:val="auto"/>
                      <w:sz w:val="21"/>
                      <w:szCs w:val="21"/>
                    </w:rPr>
                  </w:pPr>
                  <w:r>
                    <w:rPr>
                      <w:b/>
                      <w:bCs/>
                      <w:color w:val="auto"/>
                      <w:sz w:val="21"/>
                      <w:szCs w:val="21"/>
                    </w:rPr>
                    <w:t>序号</w:t>
                  </w:r>
                </w:p>
              </w:tc>
              <w:tc>
                <w:tcPr>
                  <w:tcW w:w="1770" w:type="dxa"/>
                  <w:shd w:val="clear" w:color="auto" w:fill="auto"/>
                  <w:vAlign w:val="center"/>
                </w:tcPr>
                <w:p w14:paraId="4C6708FF">
                  <w:pPr>
                    <w:jc w:val="center"/>
                    <w:outlineLvl w:val="0"/>
                    <w:rPr>
                      <w:rFonts w:ascii="Times New Roman" w:hAnsi="Times New Roman" w:eastAsia="宋体" w:cs="Times New Roman"/>
                      <w:b/>
                      <w:bCs/>
                      <w:kern w:val="2"/>
                      <w:sz w:val="21"/>
                      <w:szCs w:val="21"/>
                      <w:lang w:val="en-US" w:eastAsia="zh-CN" w:bidi="ar-SA"/>
                    </w:rPr>
                  </w:pPr>
                  <w:r>
                    <w:rPr>
                      <w:rFonts w:hint="eastAsia" w:eastAsia="宋体" w:cs="Times New Roman"/>
                      <w:b/>
                      <w:bCs/>
                      <w:sz w:val="21"/>
                      <w:szCs w:val="21"/>
                    </w:rPr>
                    <w:t>名称</w:t>
                  </w:r>
                </w:p>
              </w:tc>
              <w:tc>
                <w:tcPr>
                  <w:tcW w:w="890" w:type="dxa"/>
                  <w:shd w:val="clear" w:color="auto" w:fill="auto"/>
                  <w:vAlign w:val="center"/>
                </w:tcPr>
                <w:p w14:paraId="30A9FE48">
                  <w:pPr>
                    <w:jc w:val="center"/>
                    <w:outlineLvl w:val="0"/>
                    <w:rPr>
                      <w:rFonts w:ascii="Times New Roman" w:hAnsi="Times New Roman" w:eastAsia="宋体" w:cs="Times New Roman"/>
                      <w:b/>
                      <w:bCs/>
                      <w:kern w:val="2"/>
                      <w:sz w:val="21"/>
                      <w:szCs w:val="21"/>
                      <w:lang w:val="en-US" w:eastAsia="zh-CN" w:bidi="ar-SA"/>
                    </w:rPr>
                  </w:pPr>
                  <w:r>
                    <w:rPr>
                      <w:rFonts w:hint="eastAsia" w:eastAsia="宋体" w:cs="Times New Roman"/>
                      <w:b/>
                      <w:bCs/>
                      <w:sz w:val="21"/>
                      <w:szCs w:val="21"/>
                    </w:rPr>
                    <w:t>产量</w:t>
                  </w:r>
                </w:p>
              </w:tc>
              <w:tc>
                <w:tcPr>
                  <w:tcW w:w="1172" w:type="dxa"/>
                  <w:shd w:val="clear" w:color="auto" w:fill="auto"/>
                  <w:vAlign w:val="center"/>
                </w:tcPr>
                <w:p w14:paraId="3FFAF1F5">
                  <w:pPr>
                    <w:jc w:val="center"/>
                    <w:outlineLvl w:val="0"/>
                    <w:rPr>
                      <w:rFonts w:ascii="Times New Roman" w:hAnsi="Times New Roman" w:eastAsia="宋体" w:cs="Times New Roman"/>
                      <w:b/>
                      <w:bCs/>
                      <w:kern w:val="2"/>
                      <w:sz w:val="21"/>
                      <w:szCs w:val="21"/>
                      <w:lang w:val="en-US" w:eastAsia="zh-CN" w:bidi="ar-SA"/>
                    </w:rPr>
                  </w:pPr>
                  <w:r>
                    <w:rPr>
                      <w:rFonts w:hint="eastAsia" w:eastAsia="宋体" w:cs="Times New Roman"/>
                      <w:b/>
                      <w:bCs/>
                      <w:sz w:val="21"/>
                      <w:szCs w:val="21"/>
                    </w:rPr>
                    <w:t>单位</w:t>
                  </w:r>
                </w:p>
              </w:tc>
              <w:tc>
                <w:tcPr>
                  <w:tcW w:w="3040" w:type="dxa"/>
                  <w:shd w:val="clear" w:color="auto" w:fill="auto"/>
                  <w:vAlign w:val="center"/>
                </w:tcPr>
                <w:p w14:paraId="3ABA378B">
                  <w:pPr>
                    <w:jc w:val="center"/>
                    <w:rPr>
                      <w:rFonts w:hint="eastAsia"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备注</w:t>
                  </w:r>
                </w:p>
              </w:tc>
            </w:tr>
            <w:tr w14:paraId="759A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65" w:type="dxa"/>
                  <w:vAlign w:val="center"/>
                </w:tcPr>
                <w:p w14:paraId="2D1D761A">
                  <w:pPr>
                    <w:widowControl/>
                    <w:spacing w:line="240" w:lineRule="auto"/>
                    <w:jc w:val="center"/>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1770" w:type="dxa"/>
                  <w:shd w:val="clear" w:color="auto" w:fill="auto"/>
                  <w:vAlign w:val="center"/>
                </w:tcPr>
                <w:p w14:paraId="0E1CE4EA">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木</w:t>
                  </w:r>
                  <w:r>
                    <w:rPr>
                      <w:rFonts w:hint="eastAsia" w:cs="Times New Roman"/>
                      <w:color w:val="auto"/>
                      <w:sz w:val="21"/>
                      <w:szCs w:val="21"/>
                      <w:lang w:val="en-US" w:eastAsia="zh-CN"/>
                    </w:rPr>
                    <w:t>制</w:t>
                  </w:r>
                  <w:r>
                    <w:rPr>
                      <w:rFonts w:hint="eastAsia" w:ascii="Times New Roman" w:hAnsi="Times New Roman" w:eastAsia="宋体" w:cs="Times New Roman"/>
                      <w:color w:val="auto"/>
                      <w:sz w:val="21"/>
                      <w:szCs w:val="21"/>
                      <w:lang w:val="en-US" w:eastAsia="zh-CN"/>
                    </w:rPr>
                    <w:t>托盘</w:t>
                  </w:r>
                </w:p>
              </w:tc>
              <w:tc>
                <w:tcPr>
                  <w:tcW w:w="890" w:type="dxa"/>
                  <w:shd w:val="clear" w:color="auto" w:fill="auto"/>
                  <w:vAlign w:val="center"/>
                </w:tcPr>
                <w:p w14:paraId="07F14F68">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500</w:t>
                  </w:r>
                </w:p>
              </w:tc>
              <w:tc>
                <w:tcPr>
                  <w:tcW w:w="1172" w:type="dxa"/>
                  <w:shd w:val="clear" w:color="auto" w:fill="auto"/>
                  <w:vAlign w:val="center"/>
                </w:tcPr>
                <w:p w14:paraId="4CE84866">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万</w:t>
                  </w:r>
                  <w:r>
                    <w:rPr>
                      <w:rFonts w:hint="eastAsia" w:cs="Times New Roman"/>
                      <w:color w:val="auto"/>
                      <w:sz w:val="21"/>
                      <w:szCs w:val="21"/>
                      <w:lang w:val="en-US" w:eastAsia="zh-CN"/>
                    </w:rPr>
                    <w:t>只</w:t>
                  </w:r>
                  <w:r>
                    <w:rPr>
                      <w:rFonts w:hint="eastAsia" w:ascii="Times New Roman" w:hAnsi="Times New Roman" w:eastAsia="宋体" w:cs="Times New Roman"/>
                      <w:color w:val="auto"/>
                      <w:sz w:val="21"/>
                      <w:szCs w:val="21"/>
                    </w:rPr>
                    <w:t>/年</w:t>
                  </w:r>
                </w:p>
              </w:tc>
              <w:tc>
                <w:tcPr>
                  <w:tcW w:w="3040" w:type="dxa"/>
                  <w:shd w:val="clear" w:color="auto" w:fill="auto"/>
                  <w:vAlign w:val="center"/>
                </w:tcPr>
                <w:p w14:paraId="720FEA26">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产品长度范围在</w:t>
                  </w:r>
                  <w:r>
                    <w:rPr>
                      <w:rFonts w:hint="eastAsia" w:ascii="Times New Roman" w:hAnsi="Times New Roman" w:eastAsia="宋体" w:cs="Times New Roman"/>
                      <w:color w:val="auto"/>
                      <w:sz w:val="21"/>
                      <w:szCs w:val="21"/>
                      <w:lang w:val="en-US" w:eastAsia="zh-CN"/>
                    </w:rPr>
                    <w:t>800mm</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1200mm</w:t>
                  </w:r>
                  <w:r>
                    <w:rPr>
                      <w:rFonts w:hint="eastAsia" w:cs="Times New Roman"/>
                      <w:color w:val="auto"/>
                      <w:sz w:val="21"/>
                      <w:szCs w:val="21"/>
                      <w:lang w:val="en-US" w:eastAsia="zh-CN"/>
                    </w:rPr>
                    <w:t>，厚度范围在15mm-35mm，具体大小</w:t>
                  </w:r>
                  <w:r>
                    <w:rPr>
                      <w:rFonts w:hint="eastAsia" w:ascii="Times New Roman" w:hAnsi="Times New Roman" w:eastAsia="宋体" w:cs="Times New Roman"/>
                      <w:color w:val="auto"/>
                      <w:sz w:val="21"/>
                      <w:szCs w:val="21"/>
                      <w:lang w:val="en-US" w:eastAsia="zh-CN"/>
                    </w:rPr>
                    <w:t>根据订单要求制造</w:t>
                  </w:r>
                  <w:r>
                    <w:rPr>
                      <w:rFonts w:hint="eastAsia" w:cs="Times New Roman"/>
                      <w:color w:val="auto"/>
                      <w:sz w:val="21"/>
                      <w:szCs w:val="21"/>
                      <w:lang w:val="en-US" w:eastAsia="zh-CN"/>
                    </w:rPr>
                    <w:t>，可定制</w:t>
                  </w:r>
                </w:p>
              </w:tc>
            </w:tr>
          </w:tbl>
          <w:p w14:paraId="588FFA97">
            <w:pPr>
              <w:autoSpaceDE w:val="0"/>
              <w:autoSpaceDN w:val="0"/>
              <w:adjustRightInd w:val="0"/>
              <w:snapToGrid w:val="0"/>
              <w:spacing w:before="120" w:beforeLines="50" w:line="360" w:lineRule="auto"/>
              <w:rPr>
                <w:color w:val="auto"/>
              </w:rPr>
            </w:pPr>
            <w:r>
              <w:rPr>
                <w:rFonts w:hint="eastAsia"/>
                <w:b/>
                <w:bCs/>
                <w:color w:val="auto"/>
                <w:kern w:val="0"/>
              </w:rPr>
              <w:t>3、</w:t>
            </w:r>
            <w:r>
              <w:rPr>
                <w:b/>
                <w:bCs/>
                <w:color w:val="auto"/>
                <w:kern w:val="0"/>
              </w:rPr>
              <w:t>主要设备</w:t>
            </w:r>
          </w:p>
          <w:p w14:paraId="6C23DF03">
            <w:pPr>
              <w:autoSpaceDE w:val="0"/>
              <w:autoSpaceDN w:val="0"/>
              <w:adjustRightInd w:val="0"/>
              <w:spacing w:line="360" w:lineRule="auto"/>
              <w:ind w:firstLine="480" w:firstLineChars="200"/>
              <w:rPr>
                <w:color w:val="auto"/>
                <w:kern w:val="0"/>
              </w:rPr>
            </w:pPr>
            <w:r>
              <w:rPr>
                <w:rFonts w:hint="eastAsia"/>
                <w:color w:val="auto"/>
                <w:kern w:val="0"/>
              </w:rPr>
              <w:t>项目生产过程用到的生产设备</w:t>
            </w:r>
            <w:r>
              <w:rPr>
                <w:color w:val="auto"/>
                <w:kern w:val="0"/>
              </w:rPr>
              <w:t>见下表所示</w:t>
            </w:r>
            <w:r>
              <w:rPr>
                <w:rFonts w:hint="eastAsia"/>
                <w:color w:val="auto"/>
                <w:kern w:val="0"/>
              </w:rPr>
              <w:t>：</w:t>
            </w:r>
          </w:p>
          <w:p w14:paraId="52EFC994">
            <w:pPr>
              <w:pStyle w:val="10"/>
              <w:spacing w:before="0" w:line="240" w:lineRule="auto"/>
              <w:rPr>
                <w:rFonts w:eastAsia="宋体"/>
                <w:b/>
                <w:color w:val="auto"/>
                <w:szCs w:val="24"/>
              </w:rPr>
            </w:pPr>
            <w:r>
              <w:rPr>
                <w:rFonts w:eastAsia="宋体"/>
                <w:b/>
                <w:color w:val="auto"/>
                <w:szCs w:val="24"/>
              </w:rPr>
              <w:t>表</w:t>
            </w:r>
            <w:r>
              <w:rPr>
                <w:rFonts w:hint="eastAsia" w:eastAsia="宋体"/>
                <w:b/>
                <w:color w:val="auto"/>
                <w:szCs w:val="24"/>
              </w:rPr>
              <w:t>2-3</w:t>
            </w:r>
            <w:r>
              <w:rPr>
                <w:rFonts w:eastAsia="宋体"/>
                <w:b/>
                <w:color w:val="auto"/>
                <w:szCs w:val="24"/>
              </w:rPr>
              <w:t xml:space="preserve">  建设项目主要生产设备一览表</w:t>
            </w:r>
          </w:p>
          <w:tbl>
            <w:tblPr>
              <w:tblStyle w:val="30"/>
              <w:tblW w:w="7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2"/>
              <w:gridCol w:w="2016"/>
              <w:gridCol w:w="1637"/>
              <w:gridCol w:w="1893"/>
            </w:tblGrid>
            <w:tr w14:paraId="08AD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892" w:type="dxa"/>
                  <w:tcMar>
                    <w:top w:w="15" w:type="dxa"/>
                    <w:left w:w="15" w:type="dxa"/>
                    <w:bottom w:w="0" w:type="dxa"/>
                    <w:right w:w="15" w:type="dxa"/>
                  </w:tcMar>
                  <w:vAlign w:val="center"/>
                </w:tcPr>
                <w:p w14:paraId="555CCE1F">
                  <w:pPr>
                    <w:widowControl/>
                    <w:jc w:val="center"/>
                    <w:textAlignment w:val="center"/>
                    <w:rPr>
                      <w:rFonts w:hint="default" w:eastAsia="宋体"/>
                      <w:b/>
                      <w:bCs/>
                      <w:color w:val="auto"/>
                      <w:kern w:val="0"/>
                      <w:sz w:val="21"/>
                      <w:szCs w:val="21"/>
                      <w:lang w:val="en-US" w:eastAsia="zh-CN"/>
                    </w:rPr>
                  </w:pPr>
                  <w:r>
                    <w:rPr>
                      <w:rFonts w:hint="eastAsia"/>
                      <w:b/>
                      <w:bCs/>
                      <w:color w:val="auto"/>
                      <w:kern w:val="0"/>
                      <w:sz w:val="21"/>
                      <w:szCs w:val="21"/>
                      <w:lang w:val="en-US" w:eastAsia="zh-CN"/>
                    </w:rPr>
                    <w:t>生产工艺</w:t>
                  </w:r>
                </w:p>
              </w:tc>
              <w:tc>
                <w:tcPr>
                  <w:tcW w:w="2016" w:type="dxa"/>
                  <w:tcMar>
                    <w:top w:w="15" w:type="dxa"/>
                    <w:left w:w="15" w:type="dxa"/>
                    <w:bottom w:w="0" w:type="dxa"/>
                    <w:right w:w="15" w:type="dxa"/>
                  </w:tcMar>
                  <w:vAlign w:val="center"/>
                </w:tcPr>
                <w:p w14:paraId="236CEC3F">
                  <w:pPr>
                    <w:widowControl/>
                    <w:jc w:val="center"/>
                    <w:textAlignment w:val="center"/>
                    <w:rPr>
                      <w:b/>
                      <w:bCs/>
                      <w:color w:val="auto"/>
                      <w:sz w:val="21"/>
                      <w:szCs w:val="21"/>
                    </w:rPr>
                  </w:pPr>
                  <w:r>
                    <w:rPr>
                      <w:b/>
                      <w:bCs/>
                      <w:color w:val="auto"/>
                      <w:kern w:val="0"/>
                      <w:sz w:val="21"/>
                      <w:szCs w:val="21"/>
                    </w:rPr>
                    <w:t>设备名称</w:t>
                  </w:r>
                </w:p>
              </w:tc>
              <w:tc>
                <w:tcPr>
                  <w:tcW w:w="1637" w:type="dxa"/>
                  <w:tcMar>
                    <w:top w:w="15" w:type="dxa"/>
                    <w:left w:w="15" w:type="dxa"/>
                    <w:bottom w:w="0" w:type="dxa"/>
                    <w:right w:w="15" w:type="dxa"/>
                  </w:tcMar>
                  <w:vAlign w:val="center"/>
                </w:tcPr>
                <w:p w14:paraId="5A061246">
                  <w:pPr>
                    <w:widowControl/>
                    <w:jc w:val="center"/>
                    <w:textAlignment w:val="center"/>
                    <w:rPr>
                      <w:rFonts w:hint="default" w:eastAsia="宋体"/>
                      <w:b/>
                      <w:bCs/>
                      <w:color w:val="auto"/>
                      <w:kern w:val="0"/>
                      <w:sz w:val="21"/>
                      <w:szCs w:val="21"/>
                      <w:lang w:val="en-US" w:eastAsia="zh-CN"/>
                    </w:rPr>
                  </w:pPr>
                  <w:r>
                    <w:rPr>
                      <w:rFonts w:hint="eastAsia"/>
                      <w:b/>
                      <w:bCs/>
                      <w:color w:val="auto"/>
                      <w:kern w:val="0"/>
                      <w:sz w:val="21"/>
                      <w:szCs w:val="21"/>
                      <w:lang w:val="en-US" w:eastAsia="zh-CN"/>
                    </w:rPr>
                    <w:t>设备型号</w:t>
                  </w:r>
                </w:p>
              </w:tc>
              <w:tc>
                <w:tcPr>
                  <w:tcW w:w="1893" w:type="dxa"/>
                  <w:tcMar>
                    <w:top w:w="15" w:type="dxa"/>
                    <w:left w:w="15" w:type="dxa"/>
                    <w:bottom w:w="0" w:type="dxa"/>
                    <w:right w:w="15" w:type="dxa"/>
                  </w:tcMar>
                  <w:vAlign w:val="center"/>
                </w:tcPr>
                <w:p w14:paraId="396ADB3A">
                  <w:pPr>
                    <w:widowControl/>
                    <w:autoSpaceDE w:val="0"/>
                    <w:autoSpaceDN w:val="0"/>
                    <w:adjustRightInd w:val="0"/>
                    <w:snapToGrid w:val="0"/>
                    <w:jc w:val="center"/>
                    <w:textAlignment w:val="bottom"/>
                    <w:rPr>
                      <w:b/>
                      <w:bCs/>
                      <w:color w:val="auto"/>
                      <w:sz w:val="21"/>
                      <w:szCs w:val="21"/>
                    </w:rPr>
                  </w:pPr>
                  <w:r>
                    <w:rPr>
                      <w:b/>
                      <w:bCs/>
                      <w:color w:val="auto"/>
                      <w:sz w:val="21"/>
                      <w:szCs w:val="21"/>
                    </w:rPr>
                    <w:t>设备数量</w:t>
                  </w:r>
                </w:p>
              </w:tc>
            </w:tr>
            <w:tr w14:paraId="0D48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restart"/>
                  <w:tcMar>
                    <w:top w:w="15" w:type="dxa"/>
                    <w:left w:w="15" w:type="dxa"/>
                    <w:bottom w:w="0" w:type="dxa"/>
                    <w:right w:w="15" w:type="dxa"/>
                  </w:tcMar>
                  <w:vAlign w:val="center"/>
                </w:tcPr>
                <w:p w14:paraId="4D1D582B">
                  <w:pPr>
                    <w:jc w:val="center"/>
                    <w:rPr>
                      <w:rFonts w:hint="default" w:eastAsia="宋体"/>
                      <w:color w:val="auto"/>
                      <w:kern w:val="0"/>
                      <w:sz w:val="21"/>
                      <w:szCs w:val="21"/>
                      <w:lang w:val="en-US" w:eastAsia="zh-CN"/>
                    </w:rPr>
                  </w:pPr>
                  <w:r>
                    <w:rPr>
                      <w:rFonts w:hint="eastAsia"/>
                      <w:color w:val="auto"/>
                      <w:kern w:val="0"/>
                      <w:sz w:val="21"/>
                      <w:szCs w:val="21"/>
                      <w:lang w:val="en-US" w:eastAsia="zh-CN"/>
                    </w:rPr>
                    <w:t>下料</w:t>
                  </w:r>
                </w:p>
              </w:tc>
              <w:tc>
                <w:tcPr>
                  <w:tcW w:w="2016" w:type="dxa"/>
                  <w:shd w:val="clear" w:color="auto" w:fill="auto"/>
                  <w:tcMar>
                    <w:top w:w="15" w:type="dxa"/>
                    <w:left w:w="15" w:type="dxa"/>
                    <w:bottom w:w="0" w:type="dxa"/>
                    <w:right w:w="15" w:type="dxa"/>
                  </w:tcMar>
                  <w:vAlign w:val="center"/>
                </w:tcPr>
                <w:p w14:paraId="56DE5B0B">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切头锯</w:t>
                  </w:r>
                </w:p>
              </w:tc>
              <w:tc>
                <w:tcPr>
                  <w:tcW w:w="1637" w:type="dxa"/>
                  <w:shd w:val="clear" w:color="auto" w:fill="auto"/>
                  <w:tcMar>
                    <w:top w:w="15" w:type="dxa"/>
                    <w:left w:w="15" w:type="dxa"/>
                    <w:bottom w:w="0" w:type="dxa"/>
                    <w:right w:w="15" w:type="dxa"/>
                  </w:tcMar>
                  <w:vAlign w:val="center"/>
                </w:tcPr>
                <w:p w14:paraId="1A2B1BA2">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4kw</w:t>
                  </w:r>
                </w:p>
              </w:tc>
              <w:tc>
                <w:tcPr>
                  <w:tcW w:w="1893" w:type="dxa"/>
                  <w:shd w:val="clear" w:color="auto" w:fill="auto"/>
                  <w:tcMar>
                    <w:top w:w="15" w:type="dxa"/>
                    <w:left w:w="15" w:type="dxa"/>
                    <w:bottom w:w="0" w:type="dxa"/>
                    <w:right w:w="15" w:type="dxa"/>
                  </w:tcMar>
                  <w:vAlign w:val="center"/>
                </w:tcPr>
                <w:p w14:paraId="74D0C86B">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1台</w:t>
                  </w:r>
                </w:p>
              </w:tc>
            </w:tr>
            <w:tr w14:paraId="2632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0DB803CD">
                  <w:pPr>
                    <w:jc w:val="center"/>
                    <w:rPr>
                      <w:rFonts w:hint="eastAsia"/>
                      <w:color w:val="auto"/>
                      <w:kern w:val="0"/>
                      <w:sz w:val="21"/>
                      <w:szCs w:val="21"/>
                      <w:lang w:val="en-US" w:eastAsia="zh-CN"/>
                    </w:rPr>
                  </w:pPr>
                </w:p>
              </w:tc>
              <w:tc>
                <w:tcPr>
                  <w:tcW w:w="2016" w:type="dxa"/>
                  <w:shd w:val="clear" w:color="auto" w:fill="auto"/>
                  <w:tcMar>
                    <w:top w:w="15" w:type="dxa"/>
                    <w:left w:w="15" w:type="dxa"/>
                    <w:bottom w:w="0" w:type="dxa"/>
                    <w:right w:w="15" w:type="dxa"/>
                  </w:tcMar>
                  <w:vAlign w:val="center"/>
                </w:tcPr>
                <w:p w14:paraId="3BF1427A">
                  <w:pPr>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平头锯</w:t>
                  </w:r>
                </w:p>
              </w:tc>
              <w:tc>
                <w:tcPr>
                  <w:tcW w:w="1637" w:type="dxa"/>
                  <w:shd w:val="clear" w:color="auto" w:fill="auto"/>
                  <w:tcMar>
                    <w:top w:w="15" w:type="dxa"/>
                    <w:left w:w="15" w:type="dxa"/>
                    <w:bottom w:w="0" w:type="dxa"/>
                    <w:right w:w="15" w:type="dxa"/>
                  </w:tcMar>
                  <w:vAlign w:val="center"/>
                </w:tcPr>
                <w:p w14:paraId="1F1E9DCA">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60cm</w:t>
                  </w:r>
                </w:p>
              </w:tc>
              <w:tc>
                <w:tcPr>
                  <w:tcW w:w="1893" w:type="dxa"/>
                  <w:shd w:val="clear" w:color="auto" w:fill="auto"/>
                  <w:tcMar>
                    <w:top w:w="15" w:type="dxa"/>
                    <w:left w:w="15" w:type="dxa"/>
                    <w:bottom w:w="0" w:type="dxa"/>
                    <w:right w:w="15" w:type="dxa"/>
                  </w:tcMar>
                  <w:vAlign w:val="center"/>
                </w:tcPr>
                <w:p w14:paraId="0F120C24">
                  <w:pPr>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5台</w:t>
                  </w:r>
                </w:p>
              </w:tc>
            </w:tr>
            <w:tr w14:paraId="0B57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1906EC61">
                  <w:pPr>
                    <w:jc w:val="center"/>
                    <w:rPr>
                      <w:color w:val="auto"/>
                      <w:kern w:val="0"/>
                      <w:sz w:val="21"/>
                      <w:szCs w:val="21"/>
                    </w:rPr>
                  </w:pPr>
                </w:p>
              </w:tc>
              <w:tc>
                <w:tcPr>
                  <w:tcW w:w="2016" w:type="dxa"/>
                  <w:shd w:val="clear" w:color="auto" w:fill="auto"/>
                  <w:tcMar>
                    <w:top w:w="15" w:type="dxa"/>
                    <w:left w:w="15" w:type="dxa"/>
                    <w:bottom w:w="0" w:type="dxa"/>
                    <w:right w:w="15" w:type="dxa"/>
                  </w:tcMar>
                  <w:vAlign w:val="center"/>
                </w:tcPr>
                <w:p w14:paraId="41582FBE">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截断锯</w:t>
                  </w:r>
                </w:p>
              </w:tc>
              <w:tc>
                <w:tcPr>
                  <w:tcW w:w="1637" w:type="dxa"/>
                  <w:shd w:val="clear" w:color="auto" w:fill="auto"/>
                  <w:tcMar>
                    <w:top w:w="15" w:type="dxa"/>
                    <w:left w:w="15" w:type="dxa"/>
                    <w:bottom w:w="0" w:type="dxa"/>
                    <w:right w:w="15" w:type="dxa"/>
                  </w:tcMar>
                  <w:vAlign w:val="center"/>
                </w:tcPr>
                <w:p w14:paraId="31FCFDB5">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MJL0006</w:t>
                  </w:r>
                </w:p>
              </w:tc>
              <w:tc>
                <w:tcPr>
                  <w:tcW w:w="1893" w:type="dxa"/>
                  <w:shd w:val="clear" w:color="auto" w:fill="auto"/>
                  <w:tcMar>
                    <w:top w:w="15" w:type="dxa"/>
                    <w:left w:w="15" w:type="dxa"/>
                    <w:bottom w:w="0" w:type="dxa"/>
                    <w:right w:w="15" w:type="dxa"/>
                  </w:tcMar>
                  <w:vAlign w:val="center"/>
                </w:tcPr>
                <w:p w14:paraId="212642E2">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2台</w:t>
                  </w:r>
                </w:p>
              </w:tc>
            </w:tr>
            <w:tr w14:paraId="02BC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6BDB1815">
                  <w:pPr>
                    <w:jc w:val="center"/>
                    <w:rPr>
                      <w:color w:val="auto"/>
                      <w:kern w:val="0"/>
                      <w:sz w:val="21"/>
                      <w:szCs w:val="21"/>
                    </w:rPr>
                  </w:pPr>
                </w:p>
              </w:tc>
              <w:tc>
                <w:tcPr>
                  <w:tcW w:w="2016" w:type="dxa"/>
                  <w:shd w:val="clear" w:color="auto" w:fill="auto"/>
                  <w:tcMar>
                    <w:top w:w="15" w:type="dxa"/>
                    <w:left w:w="15" w:type="dxa"/>
                    <w:bottom w:w="0" w:type="dxa"/>
                    <w:right w:w="15" w:type="dxa"/>
                  </w:tcMar>
                  <w:vAlign w:val="center"/>
                </w:tcPr>
                <w:p w14:paraId="7DD4FC94">
                  <w:pPr>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圆木多片锯</w:t>
                  </w:r>
                </w:p>
              </w:tc>
              <w:tc>
                <w:tcPr>
                  <w:tcW w:w="1637" w:type="dxa"/>
                  <w:shd w:val="clear" w:color="auto" w:fill="auto"/>
                  <w:tcMar>
                    <w:top w:w="15" w:type="dxa"/>
                    <w:left w:w="15" w:type="dxa"/>
                    <w:bottom w:w="0" w:type="dxa"/>
                    <w:right w:w="15" w:type="dxa"/>
                  </w:tcMar>
                  <w:vAlign w:val="center"/>
                </w:tcPr>
                <w:p w14:paraId="44E83762">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30型</w:t>
                  </w:r>
                </w:p>
              </w:tc>
              <w:tc>
                <w:tcPr>
                  <w:tcW w:w="1893" w:type="dxa"/>
                  <w:shd w:val="clear" w:color="auto" w:fill="auto"/>
                  <w:tcMar>
                    <w:top w:w="15" w:type="dxa"/>
                    <w:left w:w="15" w:type="dxa"/>
                    <w:bottom w:w="0" w:type="dxa"/>
                    <w:right w:w="15" w:type="dxa"/>
                  </w:tcMar>
                  <w:vAlign w:val="center"/>
                </w:tcPr>
                <w:p w14:paraId="7254FDDB">
                  <w:pPr>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1组</w:t>
                  </w:r>
                </w:p>
              </w:tc>
            </w:tr>
            <w:tr w14:paraId="3EF7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54AB1497">
                  <w:pPr>
                    <w:jc w:val="center"/>
                    <w:rPr>
                      <w:color w:val="auto"/>
                      <w:kern w:val="0"/>
                      <w:sz w:val="21"/>
                      <w:szCs w:val="21"/>
                    </w:rPr>
                  </w:pPr>
                </w:p>
              </w:tc>
              <w:tc>
                <w:tcPr>
                  <w:tcW w:w="2016" w:type="dxa"/>
                  <w:shd w:val="clear" w:color="auto" w:fill="auto"/>
                  <w:tcMar>
                    <w:top w:w="15" w:type="dxa"/>
                    <w:left w:w="15" w:type="dxa"/>
                    <w:bottom w:w="0" w:type="dxa"/>
                    <w:right w:w="15" w:type="dxa"/>
                  </w:tcMar>
                  <w:vAlign w:val="center"/>
                </w:tcPr>
                <w:p w14:paraId="3992BC73">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圆木分片锯</w:t>
                  </w:r>
                </w:p>
              </w:tc>
              <w:tc>
                <w:tcPr>
                  <w:tcW w:w="1637" w:type="dxa"/>
                  <w:shd w:val="clear" w:color="auto" w:fill="auto"/>
                  <w:tcMar>
                    <w:top w:w="15" w:type="dxa"/>
                    <w:left w:w="15" w:type="dxa"/>
                    <w:bottom w:w="0" w:type="dxa"/>
                    <w:right w:w="15" w:type="dxa"/>
                  </w:tcMar>
                  <w:vAlign w:val="center"/>
                </w:tcPr>
                <w:p w14:paraId="66ECABE2">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MGJY20</w:t>
                  </w:r>
                </w:p>
              </w:tc>
              <w:tc>
                <w:tcPr>
                  <w:tcW w:w="1893" w:type="dxa"/>
                  <w:shd w:val="clear" w:color="auto" w:fill="auto"/>
                  <w:tcMar>
                    <w:top w:w="15" w:type="dxa"/>
                    <w:left w:w="15" w:type="dxa"/>
                    <w:bottom w:w="0" w:type="dxa"/>
                    <w:right w:w="15" w:type="dxa"/>
                  </w:tcMar>
                  <w:vAlign w:val="center"/>
                </w:tcPr>
                <w:p w14:paraId="63011423">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2个</w:t>
                  </w:r>
                </w:p>
              </w:tc>
            </w:tr>
            <w:tr w14:paraId="0902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37559F80">
                  <w:pPr>
                    <w:jc w:val="center"/>
                    <w:rPr>
                      <w:color w:val="auto"/>
                      <w:kern w:val="0"/>
                      <w:sz w:val="21"/>
                      <w:szCs w:val="21"/>
                    </w:rPr>
                  </w:pPr>
                </w:p>
              </w:tc>
              <w:tc>
                <w:tcPr>
                  <w:tcW w:w="2016" w:type="dxa"/>
                  <w:shd w:val="clear" w:color="auto" w:fill="auto"/>
                  <w:tcMar>
                    <w:top w:w="15" w:type="dxa"/>
                    <w:left w:w="15" w:type="dxa"/>
                    <w:bottom w:w="0" w:type="dxa"/>
                    <w:right w:w="15" w:type="dxa"/>
                  </w:tcMar>
                  <w:vAlign w:val="center"/>
                </w:tcPr>
                <w:p w14:paraId="58A2AF4D">
                  <w:pPr>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锯板机</w:t>
                  </w:r>
                </w:p>
              </w:tc>
              <w:tc>
                <w:tcPr>
                  <w:tcW w:w="1637" w:type="dxa"/>
                  <w:shd w:val="clear" w:color="auto" w:fill="auto"/>
                  <w:tcMar>
                    <w:top w:w="15" w:type="dxa"/>
                    <w:left w:w="15" w:type="dxa"/>
                    <w:bottom w:w="0" w:type="dxa"/>
                    <w:right w:w="15" w:type="dxa"/>
                  </w:tcMar>
                  <w:vAlign w:val="center"/>
                </w:tcPr>
                <w:p w14:paraId="2C8AF275">
                  <w:pPr>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GS330</w:t>
                  </w:r>
                </w:p>
              </w:tc>
              <w:tc>
                <w:tcPr>
                  <w:tcW w:w="1893" w:type="dxa"/>
                  <w:shd w:val="clear" w:color="auto" w:fill="auto"/>
                  <w:tcMar>
                    <w:top w:w="15" w:type="dxa"/>
                    <w:left w:w="15" w:type="dxa"/>
                    <w:bottom w:w="0" w:type="dxa"/>
                    <w:right w:w="15" w:type="dxa"/>
                  </w:tcMar>
                  <w:vAlign w:val="center"/>
                </w:tcPr>
                <w:p w14:paraId="107DB610">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1台</w:t>
                  </w:r>
                </w:p>
              </w:tc>
            </w:tr>
            <w:tr w14:paraId="4925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2DCCBFA9">
                  <w:pPr>
                    <w:jc w:val="center"/>
                    <w:rPr>
                      <w:color w:val="auto"/>
                      <w:kern w:val="0"/>
                      <w:sz w:val="21"/>
                      <w:szCs w:val="21"/>
                    </w:rPr>
                  </w:pPr>
                </w:p>
              </w:tc>
              <w:tc>
                <w:tcPr>
                  <w:tcW w:w="2016" w:type="dxa"/>
                  <w:shd w:val="clear" w:color="auto" w:fill="auto"/>
                  <w:tcMar>
                    <w:top w:w="15" w:type="dxa"/>
                    <w:left w:w="15" w:type="dxa"/>
                    <w:bottom w:w="0" w:type="dxa"/>
                    <w:right w:w="15" w:type="dxa"/>
                  </w:tcMar>
                  <w:vAlign w:val="center"/>
                </w:tcPr>
                <w:p w14:paraId="4D47A7F7">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挖孔机</w:t>
                  </w:r>
                </w:p>
              </w:tc>
              <w:tc>
                <w:tcPr>
                  <w:tcW w:w="1637" w:type="dxa"/>
                  <w:shd w:val="clear" w:color="auto" w:fill="auto"/>
                  <w:tcMar>
                    <w:top w:w="15" w:type="dxa"/>
                    <w:left w:w="15" w:type="dxa"/>
                    <w:bottom w:w="0" w:type="dxa"/>
                    <w:right w:w="15" w:type="dxa"/>
                  </w:tcMar>
                  <w:vAlign w:val="center"/>
                </w:tcPr>
                <w:p w14:paraId="30CDAAC4">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1893" w:type="dxa"/>
                  <w:shd w:val="clear" w:color="auto" w:fill="auto"/>
                  <w:tcMar>
                    <w:top w:w="15" w:type="dxa"/>
                    <w:left w:w="15" w:type="dxa"/>
                    <w:bottom w:w="0" w:type="dxa"/>
                    <w:right w:w="15" w:type="dxa"/>
                  </w:tcMar>
                  <w:vAlign w:val="center"/>
                </w:tcPr>
                <w:p w14:paraId="63BBC759">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1台</w:t>
                  </w:r>
                </w:p>
              </w:tc>
            </w:tr>
            <w:tr w14:paraId="5D33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restart"/>
                  <w:tcMar>
                    <w:top w:w="15" w:type="dxa"/>
                    <w:left w:w="15" w:type="dxa"/>
                    <w:bottom w:w="0" w:type="dxa"/>
                    <w:right w:w="15" w:type="dxa"/>
                  </w:tcMar>
                  <w:vAlign w:val="center"/>
                </w:tcPr>
                <w:p w14:paraId="1E450A09">
                  <w:pPr>
                    <w:jc w:val="center"/>
                    <w:rPr>
                      <w:rFonts w:hint="default"/>
                      <w:color w:val="auto"/>
                      <w:kern w:val="0"/>
                      <w:sz w:val="21"/>
                      <w:szCs w:val="21"/>
                      <w:lang w:val="en-US"/>
                    </w:rPr>
                  </w:pPr>
                  <w:r>
                    <w:rPr>
                      <w:rFonts w:hint="eastAsia"/>
                      <w:color w:val="auto"/>
                      <w:kern w:val="0"/>
                      <w:sz w:val="21"/>
                      <w:szCs w:val="21"/>
                      <w:lang w:val="en-US" w:eastAsia="zh-CN"/>
                    </w:rPr>
                    <w:t>砂光/刨光</w:t>
                  </w:r>
                </w:p>
              </w:tc>
              <w:tc>
                <w:tcPr>
                  <w:tcW w:w="2016" w:type="dxa"/>
                  <w:shd w:val="clear" w:color="auto" w:fill="auto"/>
                  <w:tcMar>
                    <w:top w:w="15" w:type="dxa"/>
                    <w:left w:w="15" w:type="dxa"/>
                    <w:bottom w:w="0" w:type="dxa"/>
                    <w:right w:w="15" w:type="dxa"/>
                  </w:tcMar>
                  <w:vAlign w:val="center"/>
                </w:tcPr>
                <w:p w14:paraId="00088DE6">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砂光机</w:t>
                  </w:r>
                </w:p>
              </w:tc>
              <w:tc>
                <w:tcPr>
                  <w:tcW w:w="1637" w:type="dxa"/>
                  <w:shd w:val="clear" w:color="auto" w:fill="auto"/>
                  <w:tcMar>
                    <w:top w:w="15" w:type="dxa"/>
                    <w:left w:w="15" w:type="dxa"/>
                    <w:bottom w:w="0" w:type="dxa"/>
                    <w:right w:w="15" w:type="dxa"/>
                  </w:tcMar>
                  <w:vAlign w:val="center"/>
                </w:tcPr>
                <w:p w14:paraId="383A13EC">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NH5700</w:t>
                  </w:r>
                </w:p>
              </w:tc>
              <w:tc>
                <w:tcPr>
                  <w:tcW w:w="1893" w:type="dxa"/>
                  <w:shd w:val="clear" w:color="auto" w:fill="auto"/>
                  <w:tcMar>
                    <w:top w:w="15" w:type="dxa"/>
                    <w:left w:w="15" w:type="dxa"/>
                    <w:bottom w:w="0" w:type="dxa"/>
                    <w:right w:w="15" w:type="dxa"/>
                  </w:tcMar>
                  <w:vAlign w:val="center"/>
                </w:tcPr>
                <w:p w14:paraId="1E823594">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2台</w:t>
                  </w:r>
                </w:p>
              </w:tc>
            </w:tr>
            <w:tr w14:paraId="41AD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shd w:val="clear" w:color="auto" w:fill="auto"/>
                  <w:tcMar>
                    <w:top w:w="15" w:type="dxa"/>
                    <w:left w:w="15" w:type="dxa"/>
                    <w:bottom w:w="0" w:type="dxa"/>
                    <w:right w:w="15" w:type="dxa"/>
                  </w:tcMar>
                  <w:vAlign w:val="center"/>
                </w:tcPr>
                <w:p w14:paraId="14C159BF">
                  <w:pPr>
                    <w:jc w:val="center"/>
                    <w:rPr>
                      <w:rFonts w:hint="eastAsia" w:ascii="Times New Roman" w:hAnsi="Times New Roman" w:eastAsia="宋体" w:cs="Times New Roman"/>
                      <w:color w:val="auto"/>
                      <w:kern w:val="0"/>
                      <w:sz w:val="21"/>
                      <w:szCs w:val="21"/>
                      <w:lang w:val="en-US" w:eastAsia="zh-CN" w:bidi="ar-SA"/>
                    </w:rPr>
                  </w:pPr>
                </w:p>
              </w:tc>
              <w:tc>
                <w:tcPr>
                  <w:tcW w:w="2016" w:type="dxa"/>
                  <w:shd w:val="clear" w:color="auto" w:fill="auto"/>
                  <w:tcMar>
                    <w:top w:w="15" w:type="dxa"/>
                    <w:left w:w="15" w:type="dxa"/>
                    <w:bottom w:w="0" w:type="dxa"/>
                    <w:right w:w="15" w:type="dxa"/>
                  </w:tcMar>
                  <w:vAlign w:val="center"/>
                </w:tcPr>
                <w:p w14:paraId="682FB2BE">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单面刨</w:t>
                  </w:r>
                </w:p>
              </w:tc>
              <w:tc>
                <w:tcPr>
                  <w:tcW w:w="1637" w:type="dxa"/>
                  <w:shd w:val="clear" w:color="auto" w:fill="auto"/>
                  <w:tcMar>
                    <w:top w:w="15" w:type="dxa"/>
                    <w:left w:w="15" w:type="dxa"/>
                    <w:bottom w:w="0" w:type="dxa"/>
                    <w:right w:w="15" w:type="dxa"/>
                  </w:tcMar>
                  <w:vAlign w:val="center"/>
                </w:tcPr>
                <w:p w14:paraId="58FC54F8">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QC6600</w:t>
                  </w:r>
                </w:p>
              </w:tc>
              <w:tc>
                <w:tcPr>
                  <w:tcW w:w="1893" w:type="dxa"/>
                  <w:shd w:val="clear" w:color="auto" w:fill="auto"/>
                  <w:tcMar>
                    <w:top w:w="15" w:type="dxa"/>
                    <w:left w:w="15" w:type="dxa"/>
                    <w:bottom w:w="0" w:type="dxa"/>
                    <w:right w:w="15" w:type="dxa"/>
                  </w:tcMar>
                  <w:vAlign w:val="center"/>
                </w:tcPr>
                <w:p w14:paraId="43D9E512">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1台</w:t>
                  </w:r>
                </w:p>
              </w:tc>
            </w:tr>
            <w:tr w14:paraId="49D8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3F4EDD69">
                  <w:pPr>
                    <w:jc w:val="center"/>
                    <w:rPr>
                      <w:color w:val="auto"/>
                      <w:kern w:val="0"/>
                      <w:sz w:val="21"/>
                      <w:szCs w:val="21"/>
                    </w:rPr>
                  </w:pPr>
                </w:p>
              </w:tc>
              <w:tc>
                <w:tcPr>
                  <w:tcW w:w="2016" w:type="dxa"/>
                  <w:shd w:val="clear" w:color="auto" w:fill="auto"/>
                  <w:tcMar>
                    <w:top w:w="15" w:type="dxa"/>
                    <w:left w:w="15" w:type="dxa"/>
                    <w:bottom w:w="0" w:type="dxa"/>
                    <w:right w:w="15" w:type="dxa"/>
                  </w:tcMar>
                  <w:vAlign w:val="center"/>
                </w:tcPr>
                <w:p w14:paraId="7E7BC2AA">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四面刨</w:t>
                  </w:r>
                </w:p>
              </w:tc>
              <w:tc>
                <w:tcPr>
                  <w:tcW w:w="1637" w:type="dxa"/>
                  <w:shd w:val="clear" w:color="auto" w:fill="auto"/>
                  <w:tcMar>
                    <w:top w:w="15" w:type="dxa"/>
                    <w:left w:w="15" w:type="dxa"/>
                    <w:bottom w:w="0" w:type="dxa"/>
                    <w:right w:w="15" w:type="dxa"/>
                  </w:tcMar>
                  <w:vAlign w:val="center"/>
                </w:tcPr>
                <w:p w14:paraId="6FB8B2A6">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TW1101</w:t>
                  </w:r>
                </w:p>
              </w:tc>
              <w:tc>
                <w:tcPr>
                  <w:tcW w:w="1893" w:type="dxa"/>
                  <w:shd w:val="clear" w:color="auto" w:fill="auto"/>
                  <w:tcMar>
                    <w:top w:w="15" w:type="dxa"/>
                    <w:left w:w="15" w:type="dxa"/>
                    <w:bottom w:w="0" w:type="dxa"/>
                    <w:right w:w="15" w:type="dxa"/>
                  </w:tcMar>
                  <w:vAlign w:val="center"/>
                </w:tcPr>
                <w:p w14:paraId="13A1B60B">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1台</w:t>
                  </w:r>
                </w:p>
              </w:tc>
            </w:tr>
            <w:tr w14:paraId="15C2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30B3B6F3">
                  <w:pPr>
                    <w:jc w:val="center"/>
                    <w:rPr>
                      <w:color w:val="auto"/>
                      <w:kern w:val="0"/>
                      <w:sz w:val="21"/>
                      <w:szCs w:val="21"/>
                    </w:rPr>
                  </w:pPr>
                </w:p>
              </w:tc>
              <w:tc>
                <w:tcPr>
                  <w:tcW w:w="2016" w:type="dxa"/>
                  <w:shd w:val="clear" w:color="auto" w:fill="auto"/>
                  <w:tcMar>
                    <w:top w:w="15" w:type="dxa"/>
                    <w:left w:w="15" w:type="dxa"/>
                    <w:bottom w:w="0" w:type="dxa"/>
                    <w:right w:w="15" w:type="dxa"/>
                  </w:tcMar>
                  <w:vAlign w:val="center"/>
                </w:tcPr>
                <w:p w14:paraId="5BD97490">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大锯刨车</w:t>
                  </w:r>
                </w:p>
              </w:tc>
              <w:tc>
                <w:tcPr>
                  <w:tcW w:w="1637" w:type="dxa"/>
                  <w:shd w:val="clear" w:color="auto" w:fill="auto"/>
                  <w:tcMar>
                    <w:top w:w="15" w:type="dxa"/>
                    <w:left w:w="15" w:type="dxa"/>
                    <w:bottom w:w="0" w:type="dxa"/>
                    <w:right w:w="15" w:type="dxa"/>
                  </w:tcMar>
                  <w:vAlign w:val="center"/>
                </w:tcPr>
                <w:p w14:paraId="7F942AF7">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120型</w:t>
                  </w:r>
                </w:p>
              </w:tc>
              <w:tc>
                <w:tcPr>
                  <w:tcW w:w="1893" w:type="dxa"/>
                  <w:shd w:val="clear" w:color="auto" w:fill="auto"/>
                  <w:tcMar>
                    <w:top w:w="15" w:type="dxa"/>
                    <w:left w:w="15" w:type="dxa"/>
                    <w:bottom w:w="0" w:type="dxa"/>
                    <w:right w:w="15" w:type="dxa"/>
                  </w:tcMar>
                  <w:vAlign w:val="center"/>
                </w:tcPr>
                <w:p w14:paraId="7D99568D">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1套</w:t>
                  </w:r>
                </w:p>
              </w:tc>
            </w:tr>
            <w:tr w14:paraId="6CF6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39D82FFF">
                  <w:pPr>
                    <w:jc w:val="center"/>
                    <w:rPr>
                      <w:color w:val="auto"/>
                      <w:kern w:val="0"/>
                      <w:sz w:val="21"/>
                      <w:szCs w:val="21"/>
                    </w:rPr>
                  </w:pPr>
                </w:p>
              </w:tc>
              <w:tc>
                <w:tcPr>
                  <w:tcW w:w="2016" w:type="dxa"/>
                  <w:shd w:val="clear" w:color="auto" w:fill="auto"/>
                  <w:tcMar>
                    <w:top w:w="15" w:type="dxa"/>
                    <w:left w:w="15" w:type="dxa"/>
                    <w:bottom w:w="0" w:type="dxa"/>
                    <w:right w:w="15" w:type="dxa"/>
                  </w:tcMar>
                  <w:vAlign w:val="center"/>
                </w:tcPr>
                <w:p w14:paraId="676FC510">
                  <w:pPr>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二锯</w:t>
                  </w:r>
                  <w:r>
                    <w:rPr>
                      <w:rFonts w:hint="eastAsia" w:ascii="Times New Roman" w:hAnsi="Times New Roman" w:eastAsia="宋体" w:cs="Times New Roman"/>
                      <w:kern w:val="0"/>
                      <w:sz w:val="21"/>
                      <w:szCs w:val="21"/>
                      <w:lang w:val="en-US" w:eastAsia="zh-CN" w:bidi="ar-SA"/>
                    </w:rPr>
                    <w:t>刨</w:t>
                  </w:r>
                  <w:r>
                    <w:rPr>
                      <w:rFonts w:hint="eastAsia" w:cs="Times New Roman"/>
                      <w:kern w:val="0"/>
                      <w:sz w:val="21"/>
                      <w:szCs w:val="21"/>
                      <w:lang w:val="en-US" w:eastAsia="zh-CN"/>
                    </w:rPr>
                    <w:t>车</w:t>
                  </w:r>
                </w:p>
              </w:tc>
              <w:tc>
                <w:tcPr>
                  <w:tcW w:w="1637" w:type="dxa"/>
                  <w:shd w:val="clear" w:color="auto" w:fill="auto"/>
                  <w:tcMar>
                    <w:top w:w="15" w:type="dxa"/>
                    <w:left w:w="15" w:type="dxa"/>
                    <w:bottom w:w="0" w:type="dxa"/>
                    <w:right w:w="15" w:type="dxa"/>
                  </w:tcMar>
                  <w:vAlign w:val="center"/>
                </w:tcPr>
                <w:p w14:paraId="08B64D25">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BC6063</w:t>
                  </w:r>
                </w:p>
              </w:tc>
              <w:tc>
                <w:tcPr>
                  <w:tcW w:w="1893" w:type="dxa"/>
                  <w:shd w:val="clear" w:color="auto" w:fill="auto"/>
                  <w:tcMar>
                    <w:top w:w="15" w:type="dxa"/>
                    <w:left w:w="15" w:type="dxa"/>
                    <w:bottom w:w="0" w:type="dxa"/>
                    <w:right w:w="15" w:type="dxa"/>
                  </w:tcMar>
                  <w:vAlign w:val="center"/>
                </w:tcPr>
                <w:p w14:paraId="1FE24D0E">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1个</w:t>
                  </w:r>
                </w:p>
              </w:tc>
            </w:tr>
            <w:tr w14:paraId="1CFC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tcMar>
                    <w:top w:w="15" w:type="dxa"/>
                    <w:left w:w="15" w:type="dxa"/>
                    <w:bottom w:w="0" w:type="dxa"/>
                    <w:right w:w="15" w:type="dxa"/>
                  </w:tcMar>
                  <w:vAlign w:val="center"/>
                </w:tcPr>
                <w:p w14:paraId="4E6CA95F">
                  <w:pPr>
                    <w:jc w:val="center"/>
                    <w:rPr>
                      <w:rFonts w:hint="eastAsia" w:eastAsia="宋体"/>
                      <w:color w:val="auto"/>
                      <w:kern w:val="0"/>
                      <w:sz w:val="21"/>
                      <w:szCs w:val="21"/>
                      <w:lang w:val="en-US" w:eastAsia="zh-CN"/>
                    </w:rPr>
                  </w:pPr>
                  <w:r>
                    <w:rPr>
                      <w:rFonts w:hint="eastAsia"/>
                      <w:color w:val="auto"/>
                      <w:kern w:val="0"/>
                      <w:sz w:val="21"/>
                      <w:szCs w:val="21"/>
                      <w:lang w:val="en-US" w:eastAsia="zh-CN"/>
                    </w:rPr>
                    <w:t>烘干</w:t>
                  </w:r>
                </w:p>
              </w:tc>
              <w:tc>
                <w:tcPr>
                  <w:tcW w:w="2016" w:type="dxa"/>
                  <w:shd w:val="clear" w:color="auto" w:fill="auto"/>
                  <w:tcMar>
                    <w:top w:w="15" w:type="dxa"/>
                    <w:left w:w="15" w:type="dxa"/>
                    <w:bottom w:w="0" w:type="dxa"/>
                    <w:right w:w="15" w:type="dxa"/>
                  </w:tcMar>
                  <w:vAlign w:val="center"/>
                </w:tcPr>
                <w:p w14:paraId="661D09C4">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烘干房（用电）</w:t>
                  </w:r>
                </w:p>
              </w:tc>
              <w:tc>
                <w:tcPr>
                  <w:tcW w:w="1637" w:type="dxa"/>
                  <w:shd w:val="clear" w:color="auto" w:fill="auto"/>
                  <w:tcMar>
                    <w:top w:w="15" w:type="dxa"/>
                    <w:left w:w="15" w:type="dxa"/>
                    <w:bottom w:w="0" w:type="dxa"/>
                    <w:right w:w="15" w:type="dxa"/>
                  </w:tcMar>
                  <w:vAlign w:val="center"/>
                </w:tcPr>
                <w:p w14:paraId="76EBE93E">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单个大小7</w:t>
                  </w:r>
                  <w:r>
                    <w:rPr>
                      <w:rFonts w:hint="eastAsia" w:cs="Times New Roman"/>
                      <w:kern w:val="0"/>
                      <w:sz w:val="21"/>
                      <w:szCs w:val="21"/>
                      <w:lang w:val="en-US" w:eastAsia="zh-CN" w:bidi="ar-SA"/>
                    </w:rPr>
                    <w:t>m</w:t>
                  </w:r>
                  <w:r>
                    <w:rPr>
                      <w:rFonts w:hint="eastAsia" w:ascii="Times New Roman" w:hAnsi="Times New Roman" w:eastAsia="宋体" w:cs="Times New Roman"/>
                      <w:kern w:val="0"/>
                      <w:sz w:val="21"/>
                      <w:szCs w:val="21"/>
                      <w:lang w:val="en-US" w:eastAsia="zh-CN" w:bidi="ar-SA"/>
                    </w:rPr>
                    <w:t>*6</w:t>
                  </w:r>
                  <w:r>
                    <w:rPr>
                      <w:rFonts w:hint="eastAsia" w:cs="Times New Roman"/>
                      <w:kern w:val="0"/>
                      <w:sz w:val="21"/>
                      <w:szCs w:val="21"/>
                      <w:lang w:val="en-US" w:eastAsia="zh-CN" w:bidi="ar-SA"/>
                    </w:rPr>
                    <w:t>m</w:t>
                  </w:r>
                  <w:r>
                    <w:rPr>
                      <w:rFonts w:hint="eastAsia" w:ascii="Times New Roman" w:hAnsi="Times New Roman" w:eastAsia="宋体" w:cs="Times New Roman"/>
                      <w:kern w:val="0"/>
                      <w:sz w:val="21"/>
                      <w:szCs w:val="21"/>
                      <w:lang w:val="en-US" w:eastAsia="zh-CN" w:bidi="ar-SA"/>
                    </w:rPr>
                    <w:t>*4.5m</w:t>
                  </w:r>
                </w:p>
              </w:tc>
              <w:tc>
                <w:tcPr>
                  <w:tcW w:w="1893" w:type="dxa"/>
                  <w:shd w:val="clear" w:color="auto" w:fill="auto"/>
                  <w:tcMar>
                    <w:top w:w="15" w:type="dxa"/>
                    <w:left w:w="15" w:type="dxa"/>
                    <w:bottom w:w="0" w:type="dxa"/>
                    <w:right w:w="15" w:type="dxa"/>
                  </w:tcMar>
                  <w:vAlign w:val="center"/>
                </w:tcPr>
                <w:p w14:paraId="327DC5C6">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2个</w:t>
                  </w:r>
                </w:p>
              </w:tc>
            </w:tr>
            <w:tr w14:paraId="7E25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tcMar>
                    <w:top w:w="15" w:type="dxa"/>
                    <w:left w:w="15" w:type="dxa"/>
                    <w:bottom w:w="0" w:type="dxa"/>
                    <w:right w:w="15" w:type="dxa"/>
                  </w:tcMar>
                  <w:vAlign w:val="center"/>
                </w:tcPr>
                <w:p w14:paraId="61029458">
                  <w:pPr>
                    <w:jc w:val="center"/>
                    <w:rPr>
                      <w:rFonts w:hint="eastAsia" w:eastAsia="宋体"/>
                      <w:color w:val="auto"/>
                      <w:kern w:val="0"/>
                      <w:sz w:val="21"/>
                      <w:szCs w:val="21"/>
                      <w:lang w:val="en-US" w:eastAsia="zh-CN"/>
                    </w:rPr>
                  </w:pPr>
                  <w:r>
                    <w:rPr>
                      <w:rFonts w:hint="eastAsia"/>
                      <w:color w:val="auto"/>
                      <w:kern w:val="0"/>
                      <w:sz w:val="21"/>
                      <w:szCs w:val="21"/>
                      <w:lang w:val="en-US" w:eastAsia="zh-CN"/>
                    </w:rPr>
                    <w:t>钉钉</w:t>
                  </w:r>
                </w:p>
              </w:tc>
              <w:tc>
                <w:tcPr>
                  <w:tcW w:w="2016" w:type="dxa"/>
                  <w:shd w:val="clear" w:color="auto" w:fill="auto"/>
                  <w:tcMar>
                    <w:top w:w="15" w:type="dxa"/>
                    <w:left w:w="15" w:type="dxa"/>
                    <w:bottom w:w="0" w:type="dxa"/>
                    <w:right w:w="15" w:type="dxa"/>
                  </w:tcMar>
                  <w:vAlign w:val="center"/>
                </w:tcPr>
                <w:p w14:paraId="16018909">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钉托盘机</w:t>
                  </w:r>
                </w:p>
              </w:tc>
              <w:tc>
                <w:tcPr>
                  <w:tcW w:w="1637" w:type="dxa"/>
                  <w:shd w:val="clear" w:color="auto" w:fill="auto"/>
                  <w:tcMar>
                    <w:top w:w="15" w:type="dxa"/>
                    <w:left w:w="15" w:type="dxa"/>
                    <w:bottom w:w="0" w:type="dxa"/>
                    <w:right w:w="15" w:type="dxa"/>
                  </w:tcMar>
                  <w:vAlign w:val="center"/>
                </w:tcPr>
                <w:p w14:paraId="1053B86E">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PM-1300MD</w:t>
                  </w:r>
                </w:p>
              </w:tc>
              <w:tc>
                <w:tcPr>
                  <w:tcW w:w="1893" w:type="dxa"/>
                  <w:shd w:val="clear" w:color="auto" w:fill="auto"/>
                  <w:tcMar>
                    <w:top w:w="15" w:type="dxa"/>
                    <w:left w:w="15" w:type="dxa"/>
                    <w:bottom w:w="0" w:type="dxa"/>
                    <w:right w:w="15" w:type="dxa"/>
                  </w:tcMar>
                  <w:vAlign w:val="center"/>
                </w:tcPr>
                <w:p w14:paraId="0971BB48">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2台</w:t>
                  </w:r>
                </w:p>
              </w:tc>
            </w:tr>
            <w:tr w14:paraId="6E5E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restart"/>
                  <w:tcMar>
                    <w:top w:w="15" w:type="dxa"/>
                    <w:left w:w="15" w:type="dxa"/>
                    <w:bottom w:w="0" w:type="dxa"/>
                    <w:right w:w="15" w:type="dxa"/>
                  </w:tcMar>
                  <w:vAlign w:val="center"/>
                </w:tcPr>
                <w:p w14:paraId="6B66D020">
                  <w:pPr>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2016" w:type="dxa"/>
                  <w:shd w:val="clear" w:color="auto" w:fill="auto"/>
                  <w:tcMar>
                    <w:top w:w="15" w:type="dxa"/>
                    <w:left w:w="15" w:type="dxa"/>
                    <w:bottom w:w="0" w:type="dxa"/>
                    <w:right w:w="15" w:type="dxa"/>
                  </w:tcMar>
                  <w:vAlign w:val="center"/>
                </w:tcPr>
                <w:p w14:paraId="719FF4D5">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气泵</w:t>
                  </w:r>
                </w:p>
              </w:tc>
              <w:tc>
                <w:tcPr>
                  <w:tcW w:w="1637" w:type="dxa"/>
                  <w:shd w:val="clear" w:color="auto" w:fill="auto"/>
                  <w:tcMar>
                    <w:top w:w="15" w:type="dxa"/>
                    <w:left w:w="15" w:type="dxa"/>
                    <w:bottom w:w="0" w:type="dxa"/>
                    <w:right w:w="15" w:type="dxa"/>
                  </w:tcMar>
                  <w:vAlign w:val="center"/>
                </w:tcPr>
                <w:p w14:paraId="46509D27">
                  <w:pPr>
                    <w:jc w:val="center"/>
                    <w:rPr>
                      <w:rFonts w:hint="eastAsia" w:ascii="Times New Roman" w:hAnsi="Times New Roman" w:eastAsia="宋体" w:cs="Times New Roman"/>
                      <w:kern w:val="0"/>
                      <w:sz w:val="21"/>
                      <w:szCs w:val="21"/>
                      <w:lang w:val="en-US" w:eastAsia="zh-CN" w:bidi="ar-SA"/>
                    </w:rPr>
                  </w:pPr>
                  <w:r>
                    <w:rPr>
                      <w:rFonts w:hint="eastAsia"/>
                      <w:color w:val="auto"/>
                      <w:kern w:val="0"/>
                      <w:sz w:val="21"/>
                      <w:szCs w:val="21"/>
                      <w:lang w:val="en-US" w:eastAsia="zh-CN"/>
                    </w:rPr>
                    <w:t>/</w:t>
                  </w:r>
                </w:p>
              </w:tc>
              <w:tc>
                <w:tcPr>
                  <w:tcW w:w="1893" w:type="dxa"/>
                  <w:shd w:val="clear" w:color="auto" w:fill="auto"/>
                  <w:tcMar>
                    <w:top w:w="15" w:type="dxa"/>
                    <w:left w:w="15" w:type="dxa"/>
                    <w:bottom w:w="0" w:type="dxa"/>
                    <w:right w:w="15" w:type="dxa"/>
                  </w:tcMar>
                  <w:vAlign w:val="center"/>
                </w:tcPr>
                <w:p w14:paraId="2D7725B1">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1组</w:t>
                  </w:r>
                </w:p>
              </w:tc>
            </w:tr>
            <w:tr w14:paraId="3013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tcMar>
                    <w:top w:w="15" w:type="dxa"/>
                    <w:left w:w="15" w:type="dxa"/>
                    <w:bottom w:w="0" w:type="dxa"/>
                    <w:right w:w="15" w:type="dxa"/>
                  </w:tcMar>
                  <w:vAlign w:val="center"/>
                </w:tcPr>
                <w:p w14:paraId="1B05EF3D">
                  <w:pPr>
                    <w:jc w:val="center"/>
                    <w:rPr>
                      <w:color w:val="auto"/>
                      <w:kern w:val="0"/>
                      <w:sz w:val="21"/>
                      <w:szCs w:val="21"/>
                    </w:rPr>
                  </w:pPr>
                </w:p>
              </w:tc>
              <w:tc>
                <w:tcPr>
                  <w:tcW w:w="2016" w:type="dxa"/>
                  <w:shd w:val="clear" w:color="auto" w:fill="auto"/>
                  <w:tcMar>
                    <w:top w:w="15" w:type="dxa"/>
                    <w:left w:w="15" w:type="dxa"/>
                    <w:bottom w:w="0" w:type="dxa"/>
                    <w:right w:w="15" w:type="dxa"/>
                  </w:tcMar>
                  <w:vAlign w:val="center"/>
                </w:tcPr>
                <w:p w14:paraId="2287C193">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叉车</w:t>
                  </w:r>
                </w:p>
              </w:tc>
              <w:tc>
                <w:tcPr>
                  <w:tcW w:w="1637" w:type="dxa"/>
                  <w:shd w:val="clear" w:color="auto" w:fill="auto"/>
                  <w:tcMar>
                    <w:top w:w="15" w:type="dxa"/>
                    <w:left w:w="15" w:type="dxa"/>
                    <w:bottom w:w="0" w:type="dxa"/>
                    <w:right w:w="15" w:type="dxa"/>
                  </w:tcMar>
                  <w:vAlign w:val="center"/>
                </w:tcPr>
                <w:p w14:paraId="5BA242B1">
                  <w:pPr>
                    <w:jc w:val="center"/>
                    <w:rPr>
                      <w:rFonts w:hint="eastAsia" w:ascii="Times New Roman" w:hAnsi="Times New Roman" w:eastAsia="宋体" w:cs="Times New Roman"/>
                      <w:kern w:val="0"/>
                      <w:sz w:val="21"/>
                      <w:szCs w:val="21"/>
                      <w:lang w:val="en-US" w:eastAsia="zh-CN" w:bidi="ar-SA"/>
                    </w:rPr>
                  </w:pPr>
                  <w:r>
                    <w:rPr>
                      <w:rFonts w:hint="eastAsia"/>
                      <w:color w:val="auto"/>
                      <w:kern w:val="0"/>
                      <w:sz w:val="21"/>
                      <w:szCs w:val="21"/>
                      <w:lang w:val="en-US" w:eastAsia="zh-CN"/>
                    </w:rPr>
                    <w:t>/</w:t>
                  </w:r>
                </w:p>
              </w:tc>
              <w:tc>
                <w:tcPr>
                  <w:tcW w:w="1893" w:type="dxa"/>
                  <w:shd w:val="clear" w:color="auto" w:fill="auto"/>
                  <w:tcMar>
                    <w:top w:w="15" w:type="dxa"/>
                    <w:left w:w="15" w:type="dxa"/>
                    <w:bottom w:w="0" w:type="dxa"/>
                    <w:right w:w="15" w:type="dxa"/>
                  </w:tcMar>
                  <w:vAlign w:val="center"/>
                </w:tcPr>
                <w:p w14:paraId="0270D2C2">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2台</w:t>
                  </w:r>
                </w:p>
              </w:tc>
            </w:tr>
            <w:tr w14:paraId="4ADE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892" w:type="dxa"/>
                  <w:vMerge w:val="continue"/>
                  <w:shd w:val="clear" w:color="auto" w:fill="auto"/>
                  <w:tcMar>
                    <w:top w:w="15" w:type="dxa"/>
                    <w:left w:w="15" w:type="dxa"/>
                    <w:bottom w:w="0" w:type="dxa"/>
                    <w:right w:w="15" w:type="dxa"/>
                  </w:tcMar>
                  <w:vAlign w:val="center"/>
                </w:tcPr>
                <w:p w14:paraId="7BCEA1B7">
                  <w:pPr>
                    <w:jc w:val="center"/>
                    <w:rPr>
                      <w:rFonts w:hint="eastAsia" w:ascii="Times New Roman" w:hAnsi="Times New Roman" w:eastAsia="宋体" w:cs="Times New Roman"/>
                      <w:color w:val="auto"/>
                      <w:kern w:val="0"/>
                      <w:sz w:val="21"/>
                      <w:szCs w:val="21"/>
                      <w:lang w:val="en-US" w:eastAsia="zh-CN" w:bidi="ar-SA"/>
                    </w:rPr>
                  </w:pPr>
                </w:p>
              </w:tc>
              <w:tc>
                <w:tcPr>
                  <w:tcW w:w="2016" w:type="dxa"/>
                  <w:shd w:val="clear" w:color="auto" w:fill="auto"/>
                  <w:tcMar>
                    <w:top w:w="15" w:type="dxa"/>
                    <w:left w:w="15" w:type="dxa"/>
                    <w:bottom w:w="0" w:type="dxa"/>
                    <w:right w:w="15" w:type="dxa"/>
                  </w:tcMar>
                  <w:vAlign w:val="center"/>
                </w:tcPr>
                <w:p w14:paraId="15868B25">
                  <w:pPr>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大抱机</w:t>
                  </w:r>
                </w:p>
              </w:tc>
              <w:tc>
                <w:tcPr>
                  <w:tcW w:w="1637" w:type="dxa"/>
                  <w:shd w:val="clear" w:color="auto" w:fill="auto"/>
                  <w:tcMar>
                    <w:top w:w="15" w:type="dxa"/>
                    <w:left w:w="15" w:type="dxa"/>
                    <w:bottom w:w="0" w:type="dxa"/>
                    <w:right w:w="15" w:type="dxa"/>
                  </w:tcMar>
                  <w:vAlign w:val="center"/>
                </w:tcPr>
                <w:p w14:paraId="6E69173D">
                  <w:pPr>
                    <w:jc w:val="center"/>
                    <w:rPr>
                      <w:rFonts w:hint="eastAsia" w:ascii="Times New Roman" w:hAnsi="Times New Roman" w:eastAsia="宋体" w:cs="Times New Roman"/>
                      <w:kern w:val="0"/>
                      <w:sz w:val="21"/>
                      <w:szCs w:val="21"/>
                      <w:lang w:val="en-US" w:eastAsia="zh-CN" w:bidi="ar-SA"/>
                    </w:rPr>
                  </w:pPr>
                  <w:r>
                    <w:rPr>
                      <w:rFonts w:hint="eastAsia"/>
                      <w:color w:val="auto"/>
                      <w:kern w:val="0"/>
                      <w:sz w:val="21"/>
                      <w:szCs w:val="21"/>
                      <w:lang w:val="en-US" w:eastAsia="zh-CN"/>
                    </w:rPr>
                    <w:t>/</w:t>
                  </w:r>
                </w:p>
              </w:tc>
              <w:tc>
                <w:tcPr>
                  <w:tcW w:w="1893" w:type="dxa"/>
                  <w:shd w:val="clear" w:color="auto" w:fill="auto"/>
                  <w:tcMar>
                    <w:top w:w="15" w:type="dxa"/>
                    <w:left w:w="15" w:type="dxa"/>
                    <w:bottom w:w="0" w:type="dxa"/>
                    <w:right w:w="15" w:type="dxa"/>
                  </w:tcMar>
                  <w:vAlign w:val="center"/>
                </w:tcPr>
                <w:p w14:paraId="2D5421E2">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1台</w:t>
                  </w:r>
                </w:p>
              </w:tc>
            </w:tr>
          </w:tbl>
          <w:p w14:paraId="3A5F4FBD">
            <w:pPr>
              <w:widowControl/>
              <w:adjustRightInd w:val="0"/>
              <w:snapToGrid w:val="0"/>
              <w:spacing w:before="120" w:beforeLines="50" w:line="360" w:lineRule="auto"/>
              <w:textAlignment w:val="center"/>
              <w:rPr>
                <w:b/>
                <w:color w:val="auto"/>
                <w:kern w:val="0"/>
              </w:rPr>
            </w:pPr>
            <w:r>
              <w:rPr>
                <w:rFonts w:hint="eastAsia"/>
                <w:b/>
                <w:color w:val="auto"/>
                <w:kern w:val="0"/>
              </w:rPr>
              <w:t>4</w:t>
            </w:r>
            <w:r>
              <w:rPr>
                <w:b/>
                <w:color w:val="auto"/>
                <w:kern w:val="0"/>
              </w:rPr>
              <w:t>、原辅料及能源消耗</w:t>
            </w:r>
          </w:p>
          <w:p w14:paraId="76A2FBBD">
            <w:pPr>
              <w:pStyle w:val="74"/>
              <w:spacing w:before="0" w:beforeAutospacing="0" w:after="0" w:afterAutospacing="0" w:line="360" w:lineRule="auto"/>
              <w:ind w:firstLine="480" w:firstLineChars="200"/>
              <w:rPr>
                <w:rFonts w:ascii="Times New Roman" w:hAnsi="Times New Roman"/>
                <w:b/>
                <w:bCs/>
                <w:color w:val="auto"/>
              </w:rPr>
            </w:pPr>
            <w:r>
              <w:rPr>
                <w:rFonts w:hint="eastAsia" w:ascii="Times New Roman" w:hAnsi="Times New Roman"/>
                <w:color w:val="auto"/>
              </w:rPr>
              <w:t>拟建</w:t>
            </w:r>
            <w:r>
              <w:rPr>
                <w:rFonts w:ascii="Times New Roman" w:hAnsi="Times New Roman"/>
                <w:color w:val="auto"/>
              </w:rPr>
              <w:t>项目原辅材料及能源消耗情况如下表所示：</w:t>
            </w:r>
          </w:p>
          <w:p w14:paraId="0B5BE3BD">
            <w:pPr>
              <w:pStyle w:val="74"/>
              <w:spacing w:before="0" w:beforeAutospacing="0" w:after="0" w:afterAutospacing="0"/>
              <w:jc w:val="center"/>
              <w:rPr>
                <w:b/>
                <w:color w:val="auto"/>
              </w:rPr>
            </w:pPr>
            <w:r>
              <w:rPr>
                <w:rFonts w:ascii="Times New Roman" w:hAnsi="Times New Roman"/>
                <w:b/>
                <w:bCs/>
                <w:color w:val="auto"/>
              </w:rPr>
              <w:t>表</w:t>
            </w:r>
            <w:r>
              <w:rPr>
                <w:rFonts w:hint="eastAsia" w:ascii="Times New Roman" w:hAnsi="Times New Roman"/>
                <w:b/>
                <w:bCs/>
                <w:color w:val="auto"/>
              </w:rPr>
              <w:t>2-4</w:t>
            </w:r>
            <w:r>
              <w:rPr>
                <w:rFonts w:ascii="Times New Roman" w:hAnsi="Times New Roman"/>
                <w:b/>
                <w:bCs/>
                <w:color w:val="auto"/>
              </w:rPr>
              <w:t xml:space="preserve">  </w:t>
            </w:r>
            <w:r>
              <w:rPr>
                <w:rFonts w:hint="eastAsia" w:ascii="Times New Roman" w:hAnsi="Times New Roman"/>
                <w:b/>
                <w:bCs/>
                <w:color w:val="auto"/>
              </w:rPr>
              <w:t>拟建项目</w:t>
            </w:r>
            <w:r>
              <w:rPr>
                <w:rFonts w:ascii="Times New Roman" w:hAnsi="Times New Roman"/>
                <w:b/>
                <w:bCs/>
                <w:color w:val="auto"/>
              </w:rPr>
              <w:t>主要原辅材料及能源消耗一览表</w:t>
            </w:r>
          </w:p>
          <w:tbl>
            <w:tblPr>
              <w:tblStyle w:val="31"/>
              <w:tblW w:w="7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028"/>
              <w:gridCol w:w="1018"/>
              <w:gridCol w:w="1019"/>
              <w:gridCol w:w="973"/>
              <w:gridCol w:w="954"/>
              <w:gridCol w:w="954"/>
              <w:gridCol w:w="954"/>
            </w:tblGrid>
            <w:tr w14:paraId="209B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5" w:type="dxa"/>
                  <w:vAlign w:val="center"/>
                </w:tcPr>
                <w:p w14:paraId="38F3C9A9">
                  <w:pPr>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序号</w:t>
                  </w:r>
                </w:p>
              </w:tc>
              <w:tc>
                <w:tcPr>
                  <w:tcW w:w="1028" w:type="dxa"/>
                  <w:vAlign w:val="center"/>
                </w:tcPr>
                <w:p w14:paraId="5B442DDA">
                  <w:pPr>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名称</w:t>
                  </w:r>
                </w:p>
              </w:tc>
              <w:tc>
                <w:tcPr>
                  <w:tcW w:w="1018" w:type="dxa"/>
                  <w:vAlign w:val="center"/>
                </w:tcPr>
                <w:p w14:paraId="2EC47C45">
                  <w:pPr>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单位</w:t>
                  </w:r>
                </w:p>
              </w:tc>
              <w:tc>
                <w:tcPr>
                  <w:tcW w:w="1019" w:type="dxa"/>
                  <w:vAlign w:val="center"/>
                </w:tcPr>
                <w:p w14:paraId="75C58D4B">
                  <w:pPr>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消耗量</w:t>
                  </w:r>
                </w:p>
              </w:tc>
              <w:tc>
                <w:tcPr>
                  <w:tcW w:w="973" w:type="dxa"/>
                  <w:vAlign w:val="center"/>
                </w:tcPr>
                <w:p w14:paraId="4B880B77">
                  <w:pPr>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贮存量</w:t>
                  </w:r>
                </w:p>
              </w:tc>
              <w:tc>
                <w:tcPr>
                  <w:tcW w:w="954" w:type="dxa"/>
                  <w:shd w:val="clear" w:color="auto" w:fill="auto"/>
                  <w:vAlign w:val="center"/>
                </w:tcPr>
                <w:p w14:paraId="3A8FC73E">
                  <w:pPr>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贮存周期</w:t>
                  </w:r>
                </w:p>
              </w:tc>
              <w:tc>
                <w:tcPr>
                  <w:tcW w:w="954" w:type="dxa"/>
                  <w:shd w:val="clear" w:color="auto" w:fill="auto"/>
                  <w:vAlign w:val="center"/>
                </w:tcPr>
                <w:p w14:paraId="460779CA">
                  <w:pPr>
                    <w:jc w:val="center"/>
                    <w:rPr>
                      <w:rFonts w:hint="default" w:ascii="Times New Roman" w:hAnsi="Times New Roman" w:eastAsia="宋体" w:cs="Times New Roman"/>
                      <w:b/>
                      <w:bCs w:val="0"/>
                      <w:kern w:val="0"/>
                      <w:sz w:val="21"/>
                      <w:szCs w:val="21"/>
                      <w:lang w:val="en-US" w:eastAsia="zh-CN" w:bidi="ar-SA"/>
                    </w:rPr>
                  </w:pPr>
                  <w:r>
                    <w:rPr>
                      <w:rFonts w:hint="default" w:ascii="Times New Roman" w:hAnsi="Times New Roman" w:eastAsia="宋体" w:cs="Times New Roman"/>
                      <w:b/>
                      <w:bCs w:val="0"/>
                      <w:kern w:val="0"/>
                      <w:sz w:val="21"/>
                      <w:szCs w:val="21"/>
                    </w:rPr>
                    <w:t>储存方式</w:t>
                  </w:r>
                </w:p>
              </w:tc>
              <w:tc>
                <w:tcPr>
                  <w:tcW w:w="954" w:type="dxa"/>
                  <w:shd w:val="clear" w:color="auto" w:fill="auto"/>
                  <w:vAlign w:val="center"/>
                </w:tcPr>
                <w:p w14:paraId="15B9F78F">
                  <w:pPr>
                    <w:jc w:val="center"/>
                    <w:rPr>
                      <w:rFonts w:hint="default" w:ascii="Times New Roman" w:hAnsi="Times New Roman" w:eastAsia="宋体" w:cs="Times New Roman"/>
                      <w:b/>
                      <w:bCs w:val="0"/>
                      <w:kern w:val="0"/>
                      <w:sz w:val="21"/>
                      <w:szCs w:val="21"/>
                      <w:lang w:val="en-US" w:eastAsia="zh-CN" w:bidi="ar-SA"/>
                    </w:rPr>
                  </w:pPr>
                  <w:r>
                    <w:rPr>
                      <w:rFonts w:hint="default" w:ascii="Times New Roman" w:hAnsi="Times New Roman" w:eastAsia="宋体" w:cs="Times New Roman"/>
                      <w:b/>
                      <w:bCs w:val="0"/>
                      <w:kern w:val="0"/>
                      <w:sz w:val="21"/>
                      <w:szCs w:val="21"/>
                    </w:rPr>
                    <w:t>来源</w:t>
                  </w:r>
                </w:p>
              </w:tc>
            </w:tr>
            <w:tr w14:paraId="6E2B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61" w:type="dxa"/>
                  <w:gridSpan w:val="7"/>
                  <w:vAlign w:val="center"/>
                </w:tcPr>
                <w:p w14:paraId="1C82FB88">
                  <w:pPr>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原辅材料</w:t>
                  </w:r>
                </w:p>
              </w:tc>
              <w:tc>
                <w:tcPr>
                  <w:tcW w:w="954" w:type="dxa"/>
                  <w:vAlign w:val="center"/>
                </w:tcPr>
                <w:p w14:paraId="6DAA766E">
                  <w:pPr>
                    <w:jc w:val="center"/>
                    <w:rPr>
                      <w:rFonts w:hint="default" w:ascii="Times New Roman" w:hAnsi="Times New Roman" w:eastAsia="宋体" w:cs="Times New Roman"/>
                      <w:b w:val="0"/>
                      <w:bCs/>
                      <w:kern w:val="0"/>
                      <w:sz w:val="21"/>
                      <w:szCs w:val="21"/>
                    </w:rPr>
                  </w:pPr>
                </w:p>
              </w:tc>
            </w:tr>
            <w:tr w14:paraId="163D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15" w:type="dxa"/>
                  <w:vAlign w:val="center"/>
                </w:tcPr>
                <w:p w14:paraId="15084DBB">
                  <w:pPr>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1</w:t>
                  </w:r>
                </w:p>
              </w:tc>
              <w:tc>
                <w:tcPr>
                  <w:tcW w:w="1028" w:type="dxa"/>
                  <w:vAlign w:val="center"/>
                </w:tcPr>
                <w:p w14:paraId="40F2851F">
                  <w:pPr>
                    <w:pStyle w:val="75"/>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原木</w:t>
                  </w:r>
                </w:p>
              </w:tc>
              <w:tc>
                <w:tcPr>
                  <w:tcW w:w="1018" w:type="dxa"/>
                  <w:vAlign w:val="center"/>
                </w:tcPr>
                <w:p w14:paraId="7303D204">
                  <w:pPr>
                    <w:pStyle w:val="75"/>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lang w:val="en-US" w:eastAsia="zh-CN"/>
                    </w:rPr>
                    <w:t>立方米</w:t>
                  </w:r>
                  <w:r>
                    <w:rPr>
                      <w:rFonts w:hint="default" w:ascii="Times New Roman" w:hAnsi="Times New Roman" w:eastAsia="宋体" w:cs="Times New Roman"/>
                      <w:b w:val="0"/>
                      <w:bCs/>
                      <w:kern w:val="0"/>
                      <w:sz w:val="21"/>
                      <w:szCs w:val="21"/>
                    </w:rPr>
                    <w:t>/年</w:t>
                  </w:r>
                </w:p>
              </w:tc>
              <w:tc>
                <w:tcPr>
                  <w:tcW w:w="1019" w:type="dxa"/>
                  <w:vAlign w:val="center"/>
                </w:tcPr>
                <w:p w14:paraId="7057BE10">
                  <w:pPr>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20000</w:t>
                  </w:r>
                </w:p>
              </w:tc>
              <w:tc>
                <w:tcPr>
                  <w:tcW w:w="973" w:type="dxa"/>
                  <w:vAlign w:val="center"/>
                </w:tcPr>
                <w:p w14:paraId="7229EEE4">
                  <w:pPr>
                    <w:adjustRightInd w:val="0"/>
                    <w:snapToGrid w:val="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2000立方米</w:t>
                  </w:r>
                </w:p>
              </w:tc>
              <w:tc>
                <w:tcPr>
                  <w:tcW w:w="954" w:type="dxa"/>
                  <w:shd w:val="clear" w:color="auto" w:fill="auto"/>
                  <w:vAlign w:val="center"/>
                </w:tcPr>
                <w:p w14:paraId="3F7B060F">
                  <w:pPr>
                    <w:adjustRightInd w:val="0"/>
                    <w:snapToGrid w:val="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30天</w:t>
                  </w:r>
                </w:p>
              </w:tc>
              <w:tc>
                <w:tcPr>
                  <w:tcW w:w="954" w:type="dxa"/>
                  <w:shd w:val="clear" w:color="auto" w:fill="auto"/>
                  <w:vAlign w:val="center"/>
                </w:tcPr>
                <w:p w14:paraId="33420E15">
                  <w:pPr>
                    <w:adjustRightInd w:val="0"/>
                    <w:snapToGrid w:val="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rPr>
                    <w:t>露天</w:t>
                  </w:r>
                  <w:r>
                    <w:rPr>
                      <w:rFonts w:hint="eastAsia" w:cs="Times New Roman"/>
                      <w:b w:val="0"/>
                      <w:bCs/>
                      <w:kern w:val="0"/>
                      <w:sz w:val="21"/>
                      <w:szCs w:val="21"/>
                      <w:lang w:val="en-US" w:eastAsia="zh-CN"/>
                    </w:rPr>
                    <w:t>存放</w:t>
                  </w:r>
                </w:p>
              </w:tc>
              <w:tc>
                <w:tcPr>
                  <w:tcW w:w="954" w:type="dxa"/>
                  <w:shd w:val="clear" w:color="auto" w:fill="auto"/>
                  <w:vAlign w:val="center"/>
                </w:tcPr>
                <w:p w14:paraId="203A2B2B">
                  <w:pPr>
                    <w:adjustRightInd w:val="0"/>
                    <w:snapToGrid w:val="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rPr>
                    <w:t>外购</w:t>
                  </w:r>
                </w:p>
              </w:tc>
            </w:tr>
            <w:tr w14:paraId="1F04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15" w:type="dxa"/>
                  <w:vAlign w:val="center"/>
                </w:tcPr>
                <w:p w14:paraId="483BD6A8">
                  <w:pPr>
                    <w:jc w:val="center"/>
                    <w:rPr>
                      <w:rFonts w:hint="eastAsia"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2</w:t>
                  </w:r>
                </w:p>
              </w:tc>
              <w:tc>
                <w:tcPr>
                  <w:tcW w:w="1028" w:type="dxa"/>
                  <w:vAlign w:val="center"/>
                </w:tcPr>
                <w:p w14:paraId="00A2268E">
                  <w:pPr>
                    <w:pStyle w:val="75"/>
                    <w:rPr>
                      <w:rFonts w:hint="default"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钉</w:t>
                  </w:r>
                </w:p>
              </w:tc>
              <w:tc>
                <w:tcPr>
                  <w:tcW w:w="1018" w:type="dxa"/>
                  <w:vAlign w:val="center"/>
                </w:tcPr>
                <w:p w14:paraId="3E755468">
                  <w:pPr>
                    <w:pStyle w:val="75"/>
                    <w:rPr>
                      <w:rFonts w:hint="default"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箱</w:t>
                  </w:r>
                </w:p>
              </w:tc>
              <w:tc>
                <w:tcPr>
                  <w:tcW w:w="1019" w:type="dxa"/>
                  <w:vAlign w:val="center"/>
                </w:tcPr>
                <w:p w14:paraId="6FD03375">
                  <w:pPr>
                    <w:jc w:val="center"/>
                    <w:rPr>
                      <w:rFonts w:hint="default"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200</w:t>
                  </w:r>
                </w:p>
              </w:tc>
              <w:tc>
                <w:tcPr>
                  <w:tcW w:w="973" w:type="dxa"/>
                  <w:shd w:val="clear" w:color="auto" w:fill="auto"/>
                  <w:vAlign w:val="center"/>
                </w:tcPr>
                <w:p w14:paraId="005DD45A">
                  <w:pPr>
                    <w:adjustRightInd w:val="0"/>
                    <w:snapToGrid w:val="0"/>
                    <w:jc w:val="center"/>
                    <w:rPr>
                      <w:rFonts w:hint="default" w:ascii="Times New Roman" w:hAnsi="Times New Roman" w:eastAsia="宋体" w:cs="Times New Roman"/>
                      <w:b w:val="0"/>
                      <w:bCs/>
                      <w:kern w:val="0"/>
                      <w:sz w:val="21"/>
                      <w:szCs w:val="21"/>
                      <w:lang w:val="en-US" w:eastAsia="zh-CN" w:bidi="ar-SA"/>
                    </w:rPr>
                  </w:pPr>
                  <w:r>
                    <w:rPr>
                      <w:rFonts w:hint="eastAsia" w:cs="Times New Roman"/>
                      <w:b w:val="0"/>
                      <w:bCs/>
                      <w:kern w:val="0"/>
                      <w:sz w:val="21"/>
                      <w:szCs w:val="21"/>
                      <w:lang w:val="en-US" w:eastAsia="zh-CN" w:bidi="ar-SA"/>
                    </w:rPr>
                    <w:t>20箱</w:t>
                  </w:r>
                </w:p>
              </w:tc>
              <w:tc>
                <w:tcPr>
                  <w:tcW w:w="954" w:type="dxa"/>
                  <w:shd w:val="clear" w:color="auto" w:fill="auto"/>
                  <w:vAlign w:val="center"/>
                </w:tcPr>
                <w:p w14:paraId="06ABED95">
                  <w:pPr>
                    <w:adjustRightInd w:val="0"/>
                    <w:snapToGrid w:val="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rPr>
                    <w:t>30天</w:t>
                  </w:r>
                </w:p>
              </w:tc>
              <w:tc>
                <w:tcPr>
                  <w:tcW w:w="954" w:type="dxa"/>
                  <w:shd w:val="clear" w:color="auto" w:fill="auto"/>
                  <w:vAlign w:val="center"/>
                </w:tcPr>
                <w:p w14:paraId="37A76C8E">
                  <w:pPr>
                    <w:adjustRightInd w:val="0"/>
                    <w:snapToGrid w:val="0"/>
                    <w:jc w:val="center"/>
                    <w:rPr>
                      <w:rFonts w:hint="default" w:ascii="Times New Roman" w:hAnsi="Times New Roman" w:eastAsia="宋体" w:cs="Times New Roman"/>
                      <w:b w:val="0"/>
                      <w:bCs/>
                      <w:kern w:val="0"/>
                      <w:sz w:val="21"/>
                      <w:szCs w:val="21"/>
                      <w:lang w:val="en-US" w:eastAsia="zh-CN" w:bidi="ar-SA"/>
                    </w:rPr>
                  </w:pPr>
                  <w:r>
                    <w:rPr>
                      <w:rFonts w:hint="eastAsia" w:ascii="Times New Roman" w:hAnsi="Times New Roman" w:eastAsia="宋体" w:cs="Times New Roman"/>
                      <w:b w:val="0"/>
                      <w:bCs/>
                      <w:kern w:val="0"/>
                      <w:sz w:val="21"/>
                      <w:szCs w:val="21"/>
                      <w:lang w:val="en-US" w:eastAsia="zh-CN"/>
                    </w:rPr>
                    <w:t>厂房存放</w:t>
                  </w:r>
                </w:p>
              </w:tc>
              <w:tc>
                <w:tcPr>
                  <w:tcW w:w="954" w:type="dxa"/>
                  <w:shd w:val="clear" w:color="auto" w:fill="auto"/>
                  <w:vAlign w:val="center"/>
                </w:tcPr>
                <w:p w14:paraId="654D9924">
                  <w:pPr>
                    <w:adjustRightInd w:val="0"/>
                    <w:snapToGrid w:val="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rPr>
                    <w:t>外购</w:t>
                  </w:r>
                </w:p>
              </w:tc>
            </w:tr>
            <w:tr w14:paraId="1C44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15" w:type="dxa"/>
                  <w:vAlign w:val="center"/>
                </w:tcPr>
                <w:p w14:paraId="5370D9A6">
                  <w:pPr>
                    <w:jc w:val="center"/>
                    <w:rPr>
                      <w:rFonts w:hint="default" w:cs="Times New Roman"/>
                      <w:b w:val="0"/>
                      <w:bCs/>
                      <w:kern w:val="0"/>
                      <w:sz w:val="21"/>
                      <w:szCs w:val="21"/>
                      <w:lang w:val="en-US" w:eastAsia="zh-CN"/>
                    </w:rPr>
                  </w:pPr>
                  <w:r>
                    <w:rPr>
                      <w:rFonts w:hint="eastAsia" w:cs="Times New Roman"/>
                      <w:b w:val="0"/>
                      <w:bCs/>
                      <w:kern w:val="0"/>
                      <w:sz w:val="21"/>
                      <w:szCs w:val="21"/>
                      <w:lang w:val="en-US" w:eastAsia="zh-CN"/>
                    </w:rPr>
                    <w:t>3</w:t>
                  </w:r>
                </w:p>
              </w:tc>
              <w:tc>
                <w:tcPr>
                  <w:tcW w:w="1028" w:type="dxa"/>
                  <w:vAlign w:val="center"/>
                </w:tcPr>
                <w:p w14:paraId="2A7F1B2F">
                  <w:pPr>
                    <w:pStyle w:val="75"/>
                    <w:rPr>
                      <w:rFonts w:hint="default" w:cs="Times New Roman"/>
                      <w:b w:val="0"/>
                      <w:bCs/>
                      <w:kern w:val="0"/>
                      <w:sz w:val="21"/>
                      <w:szCs w:val="21"/>
                      <w:lang w:val="en-US" w:eastAsia="zh-CN"/>
                    </w:rPr>
                  </w:pPr>
                  <w:r>
                    <w:rPr>
                      <w:rFonts w:hint="eastAsia" w:cs="Times New Roman"/>
                      <w:b w:val="0"/>
                      <w:bCs/>
                      <w:kern w:val="0"/>
                      <w:sz w:val="21"/>
                      <w:szCs w:val="21"/>
                      <w:lang w:val="en-US" w:eastAsia="zh-CN"/>
                    </w:rPr>
                    <w:t>润滑油</w:t>
                  </w:r>
                </w:p>
              </w:tc>
              <w:tc>
                <w:tcPr>
                  <w:tcW w:w="1018" w:type="dxa"/>
                  <w:vAlign w:val="center"/>
                </w:tcPr>
                <w:p w14:paraId="7745A47A">
                  <w:pPr>
                    <w:pStyle w:val="75"/>
                    <w:rPr>
                      <w:rFonts w:hint="default" w:cs="Times New Roman"/>
                      <w:b w:val="0"/>
                      <w:bCs/>
                      <w:kern w:val="0"/>
                      <w:sz w:val="21"/>
                      <w:szCs w:val="21"/>
                      <w:lang w:val="en-US" w:eastAsia="zh-CN"/>
                    </w:rPr>
                  </w:pPr>
                  <w:r>
                    <w:rPr>
                      <w:rFonts w:hint="eastAsia" w:cs="Times New Roman"/>
                      <w:b w:val="0"/>
                      <w:bCs/>
                      <w:kern w:val="0"/>
                      <w:sz w:val="21"/>
                      <w:szCs w:val="21"/>
                      <w:lang w:val="en-US" w:eastAsia="zh-CN"/>
                    </w:rPr>
                    <w:t>吨</w:t>
                  </w:r>
                </w:p>
              </w:tc>
              <w:tc>
                <w:tcPr>
                  <w:tcW w:w="1019" w:type="dxa"/>
                  <w:vAlign w:val="center"/>
                </w:tcPr>
                <w:p w14:paraId="4F8FC069">
                  <w:pPr>
                    <w:jc w:val="center"/>
                    <w:rPr>
                      <w:rFonts w:hint="default" w:cs="Times New Roman"/>
                      <w:b w:val="0"/>
                      <w:bCs/>
                      <w:kern w:val="0"/>
                      <w:sz w:val="21"/>
                      <w:szCs w:val="21"/>
                      <w:lang w:val="en-US" w:eastAsia="zh-CN"/>
                    </w:rPr>
                  </w:pPr>
                  <w:r>
                    <w:rPr>
                      <w:rFonts w:hint="eastAsia" w:cs="Times New Roman"/>
                      <w:b w:val="0"/>
                      <w:bCs/>
                      <w:kern w:val="0"/>
                      <w:sz w:val="21"/>
                      <w:szCs w:val="21"/>
                      <w:lang w:val="en-US" w:eastAsia="zh-CN"/>
                    </w:rPr>
                    <w:t>1</w:t>
                  </w:r>
                </w:p>
              </w:tc>
              <w:tc>
                <w:tcPr>
                  <w:tcW w:w="973" w:type="dxa"/>
                  <w:shd w:val="clear" w:color="auto" w:fill="auto"/>
                  <w:vAlign w:val="center"/>
                </w:tcPr>
                <w:p w14:paraId="78C924A7">
                  <w:pPr>
                    <w:adjustRightInd w:val="0"/>
                    <w:snapToGrid w:val="0"/>
                    <w:jc w:val="center"/>
                    <w:rPr>
                      <w:rFonts w:hint="default"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0.1吨</w:t>
                  </w:r>
                </w:p>
              </w:tc>
              <w:tc>
                <w:tcPr>
                  <w:tcW w:w="954" w:type="dxa"/>
                  <w:shd w:val="clear" w:color="auto" w:fill="auto"/>
                  <w:vAlign w:val="center"/>
                </w:tcPr>
                <w:p w14:paraId="58C8B53B">
                  <w:pPr>
                    <w:adjustRightInd w:val="0"/>
                    <w:snapToGrid w:val="0"/>
                    <w:jc w:val="center"/>
                    <w:rPr>
                      <w:rFonts w:hint="eastAsia"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30天</w:t>
                  </w:r>
                </w:p>
              </w:tc>
              <w:tc>
                <w:tcPr>
                  <w:tcW w:w="954" w:type="dxa"/>
                  <w:shd w:val="clear" w:color="auto" w:fill="auto"/>
                  <w:vAlign w:val="center"/>
                </w:tcPr>
                <w:p w14:paraId="49D19040">
                  <w:pPr>
                    <w:adjustRightInd w:val="0"/>
                    <w:snapToGrid w:val="0"/>
                    <w:jc w:val="center"/>
                    <w:rPr>
                      <w:rFonts w:hint="default" w:ascii="Times New Roman" w:hAnsi="Times New Roman" w:eastAsia="宋体" w:cs="Times New Roman"/>
                      <w:b w:val="0"/>
                      <w:bCs/>
                      <w:kern w:val="0"/>
                      <w:sz w:val="21"/>
                      <w:szCs w:val="21"/>
                      <w:lang w:val="en-US" w:eastAsia="zh-CN"/>
                    </w:rPr>
                  </w:pPr>
                  <w:r>
                    <w:rPr>
                      <w:rFonts w:hint="eastAsia" w:ascii="Times New Roman" w:hAnsi="Times New Roman" w:eastAsia="宋体" w:cs="Times New Roman"/>
                      <w:b w:val="0"/>
                      <w:bCs/>
                      <w:kern w:val="0"/>
                      <w:sz w:val="21"/>
                      <w:szCs w:val="21"/>
                      <w:lang w:val="en-US" w:eastAsia="zh-CN"/>
                    </w:rPr>
                    <w:t>厂房存放</w:t>
                  </w:r>
                </w:p>
              </w:tc>
              <w:tc>
                <w:tcPr>
                  <w:tcW w:w="954" w:type="dxa"/>
                  <w:shd w:val="clear" w:color="auto" w:fill="auto"/>
                  <w:vAlign w:val="center"/>
                </w:tcPr>
                <w:p w14:paraId="713F919A">
                  <w:pPr>
                    <w:adjustRightInd w:val="0"/>
                    <w:snapToGrid w:val="0"/>
                    <w:jc w:val="center"/>
                    <w:rPr>
                      <w:rFonts w:hint="default" w:ascii="Times New Roman" w:hAnsi="Times New Roman" w:eastAsia="宋体" w:cs="Times New Roman"/>
                      <w:b w:val="0"/>
                      <w:bCs/>
                      <w:kern w:val="0"/>
                      <w:sz w:val="21"/>
                      <w:szCs w:val="21"/>
                      <w:lang w:val="en-US" w:eastAsia="zh-CN"/>
                    </w:rPr>
                  </w:pPr>
                  <w:r>
                    <w:rPr>
                      <w:rFonts w:hint="default" w:ascii="Times New Roman" w:hAnsi="Times New Roman" w:eastAsia="宋体" w:cs="Times New Roman"/>
                      <w:b w:val="0"/>
                      <w:bCs/>
                      <w:kern w:val="0"/>
                      <w:sz w:val="21"/>
                      <w:szCs w:val="21"/>
                      <w:lang w:val="en-US" w:eastAsia="zh-CN"/>
                    </w:rPr>
                    <w:t>外购</w:t>
                  </w:r>
                </w:p>
              </w:tc>
            </w:tr>
            <w:tr w14:paraId="05BB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607" w:type="dxa"/>
                  <w:gridSpan w:val="6"/>
                  <w:vAlign w:val="center"/>
                </w:tcPr>
                <w:p w14:paraId="19E134DA">
                  <w:pPr>
                    <w:adjustRightInd w:val="0"/>
                    <w:snapToGrid w:val="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能源消耗</w:t>
                  </w:r>
                </w:p>
              </w:tc>
              <w:tc>
                <w:tcPr>
                  <w:tcW w:w="954" w:type="dxa"/>
                  <w:vAlign w:val="center"/>
                </w:tcPr>
                <w:p w14:paraId="2A5EE04F">
                  <w:pPr>
                    <w:adjustRightInd w:val="0"/>
                    <w:snapToGrid w:val="0"/>
                    <w:jc w:val="center"/>
                    <w:rPr>
                      <w:rFonts w:hint="default" w:ascii="Times New Roman" w:hAnsi="Times New Roman" w:eastAsia="宋体" w:cs="Times New Roman"/>
                      <w:b w:val="0"/>
                      <w:bCs/>
                      <w:kern w:val="0"/>
                      <w:sz w:val="21"/>
                      <w:szCs w:val="21"/>
                    </w:rPr>
                  </w:pPr>
                </w:p>
              </w:tc>
              <w:tc>
                <w:tcPr>
                  <w:tcW w:w="954" w:type="dxa"/>
                  <w:vAlign w:val="center"/>
                </w:tcPr>
                <w:p w14:paraId="61A5BE13">
                  <w:pPr>
                    <w:adjustRightInd w:val="0"/>
                    <w:snapToGrid w:val="0"/>
                    <w:jc w:val="center"/>
                    <w:rPr>
                      <w:rFonts w:hint="default" w:ascii="Times New Roman" w:hAnsi="Times New Roman" w:eastAsia="宋体" w:cs="Times New Roman"/>
                      <w:b w:val="0"/>
                      <w:bCs/>
                      <w:kern w:val="0"/>
                      <w:sz w:val="21"/>
                      <w:szCs w:val="21"/>
                    </w:rPr>
                  </w:pPr>
                </w:p>
              </w:tc>
            </w:tr>
            <w:tr w14:paraId="206F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5" w:type="dxa"/>
                  <w:vAlign w:val="center"/>
                </w:tcPr>
                <w:p w14:paraId="58F344C7">
                  <w:pPr>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1</w:t>
                  </w:r>
                </w:p>
              </w:tc>
              <w:tc>
                <w:tcPr>
                  <w:tcW w:w="1028" w:type="dxa"/>
                  <w:vAlign w:val="center"/>
                </w:tcPr>
                <w:p w14:paraId="428A30A2">
                  <w:pPr>
                    <w:pStyle w:val="75"/>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电</w:t>
                  </w:r>
                </w:p>
              </w:tc>
              <w:tc>
                <w:tcPr>
                  <w:tcW w:w="1018" w:type="dxa"/>
                  <w:vAlign w:val="center"/>
                </w:tcPr>
                <w:p w14:paraId="570CCBC6">
                  <w:pPr>
                    <w:pStyle w:val="75"/>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lang w:val="en-US" w:eastAsia="zh-CN"/>
                    </w:rPr>
                    <w:t>万千瓦时/年</w:t>
                  </w:r>
                </w:p>
              </w:tc>
              <w:tc>
                <w:tcPr>
                  <w:tcW w:w="1019" w:type="dxa"/>
                  <w:vAlign w:val="center"/>
                </w:tcPr>
                <w:p w14:paraId="34371A1A">
                  <w:pPr>
                    <w:jc w:val="center"/>
                    <w:rPr>
                      <w:rFonts w:hint="default"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50</w:t>
                  </w:r>
                </w:p>
              </w:tc>
              <w:tc>
                <w:tcPr>
                  <w:tcW w:w="973" w:type="dxa"/>
                  <w:vAlign w:val="center"/>
                </w:tcPr>
                <w:p w14:paraId="1F0DE238">
                  <w:pPr>
                    <w:adjustRightInd w:val="0"/>
                    <w:snapToGrid w:val="0"/>
                    <w:jc w:val="center"/>
                    <w:rPr>
                      <w:rFonts w:hint="eastAsia"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w:t>
                  </w:r>
                </w:p>
              </w:tc>
              <w:tc>
                <w:tcPr>
                  <w:tcW w:w="954" w:type="dxa"/>
                  <w:shd w:val="clear" w:color="auto" w:fill="auto"/>
                  <w:vAlign w:val="center"/>
                </w:tcPr>
                <w:p w14:paraId="79DE28A1">
                  <w:pPr>
                    <w:adjustRightInd w:val="0"/>
                    <w:snapToGrid w:val="0"/>
                    <w:jc w:val="center"/>
                    <w:rPr>
                      <w:rFonts w:hint="default" w:cs="Times New Roman"/>
                      <w:b w:val="0"/>
                      <w:bCs/>
                      <w:kern w:val="0"/>
                      <w:sz w:val="21"/>
                      <w:szCs w:val="21"/>
                      <w:lang w:val="en-US" w:eastAsia="zh-CN"/>
                    </w:rPr>
                  </w:pPr>
                  <w:r>
                    <w:rPr>
                      <w:rFonts w:hint="eastAsia" w:cs="Times New Roman"/>
                      <w:b w:val="0"/>
                      <w:bCs/>
                      <w:kern w:val="0"/>
                      <w:sz w:val="21"/>
                      <w:szCs w:val="21"/>
                      <w:lang w:val="en-US" w:eastAsia="zh-CN"/>
                    </w:rPr>
                    <w:t>/</w:t>
                  </w:r>
                </w:p>
              </w:tc>
              <w:tc>
                <w:tcPr>
                  <w:tcW w:w="954" w:type="dxa"/>
                  <w:shd w:val="clear" w:color="auto" w:fill="auto"/>
                  <w:vAlign w:val="center"/>
                </w:tcPr>
                <w:p w14:paraId="6CEC38CA">
                  <w:pPr>
                    <w:adjustRightInd w:val="0"/>
                    <w:snapToGrid w:val="0"/>
                    <w:jc w:val="center"/>
                    <w:rPr>
                      <w:rFonts w:hint="eastAsia" w:ascii="Times New Roman" w:hAnsi="Times New Roman" w:eastAsia="宋体" w:cs="Times New Roman"/>
                      <w:kern w:val="0"/>
                      <w:sz w:val="21"/>
                      <w:szCs w:val="21"/>
                      <w:shd w:val="clear" w:color="auto" w:fill="auto"/>
                      <w:lang w:val="en-US" w:eastAsia="zh-CN" w:bidi="ar-SA"/>
                    </w:rPr>
                  </w:pPr>
                  <w:r>
                    <w:rPr>
                      <w:rFonts w:hint="eastAsia" w:cs="Times New Roman"/>
                      <w:kern w:val="0"/>
                      <w:sz w:val="21"/>
                      <w:szCs w:val="21"/>
                      <w:shd w:val="clear" w:color="auto" w:fill="auto"/>
                      <w:lang w:val="en-US" w:eastAsia="zh-CN"/>
                    </w:rPr>
                    <w:t>开发区</w:t>
                  </w:r>
                  <w:r>
                    <w:rPr>
                      <w:rFonts w:hint="eastAsia" w:ascii="Times New Roman" w:hAnsi="Times New Roman" w:eastAsia="宋体" w:cs="Times New Roman"/>
                      <w:kern w:val="0"/>
                      <w:sz w:val="21"/>
                      <w:szCs w:val="21"/>
                      <w:shd w:val="clear" w:color="auto" w:fill="auto"/>
                      <w:lang w:val="en-US" w:eastAsia="zh-CN"/>
                    </w:rPr>
                    <w:t>供电管网</w:t>
                  </w:r>
                </w:p>
              </w:tc>
              <w:tc>
                <w:tcPr>
                  <w:tcW w:w="954" w:type="dxa"/>
                  <w:shd w:val="clear" w:color="auto" w:fill="auto"/>
                  <w:vAlign w:val="center"/>
                </w:tcPr>
                <w:p w14:paraId="050C0A33">
                  <w:pPr>
                    <w:adjustRightInd w:val="0"/>
                    <w:snapToGrid w:val="0"/>
                    <w:jc w:val="center"/>
                    <w:rPr>
                      <w:rFonts w:hint="default" w:ascii="Times New Roman" w:hAnsi="Times New Roman" w:eastAsia="宋体" w:cs="Times New Roman"/>
                      <w:kern w:val="0"/>
                      <w:sz w:val="21"/>
                      <w:szCs w:val="21"/>
                      <w:shd w:val="clear" w:color="auto" w:fill="auto"/>
                      <w:lang w:val="en-US" w:eastAsia="zh-CN"/>
                    </w:rPr>
                  </w:pPr>
                  <w:r>
                    <w:rPr>
                      <w:rFonts w:hint="eastAsia" w:cs="Times New Roman"/>
                      <w:kern w:val="0"/>
                      <w:sz w:val="21"/>
                      <w:szCs w:val="21"/>
                      <w:shd w:val="clear" w:color="auto" w:fill="auto"/>
                      <w:lang w:val="en-US" w:eastAsia="zh-CN"/>
                    </w:rPr>
                    <w:t>/</w:t>
                  </w:r>
                </w:p>
              </w:tc>
            </w:tr>
            <w:tr w14:paraId="1F3B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15" w:type="dxa"/>
                  <w:vAlign w:val="center"/>
                </w:tcPr>
                <w:p w14:paraId="0DD418EB">
                  <w:pPr>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2</w:t>
                  </w:r>
                </w:p>
              </w:tc>
              <w:tc>
                <w:tcPr>
                  <w:tcW w:w="1028" w:type="dxa"/>
                  <w:vAlign w:val="center"/>
                </w:tcPr>
                <w:p w14:paraId="46D4F6BE">
                  <w:pPr>
                    <w:pStyle w:val="75"/>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水</w:t>
                  </w:r>
                </w:p>
              </w:tc>
              <w:tc>
                <w:tcPr>
                  <w:tcW w:w="1018" w:type="dxa"/>
                  <w:vAlign w:val="center"/>
                </w:tcPr>
                <w:p w14:paraId="64D8FB8B">
                  <w:pPr>
                    <w:pStyle w:val="75"/>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立方/年</w:t>
                  </w:r>
                </w:p>
              </w:tc>
              <w:tc>
                <w:tcPr>
                  <w:tcW w:w="1019" w:type="dxa"/>
                  <w:vAlign w:val="center"/>
                </w:tcPr>
                <w:p w14:paraId="0AD53AF6">
                  <w:pPr>
                    <w:jc w:val="center"/>
                    <w:rPr>
                      <w:rFonts w:hint="default"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1710</w:t>
                  </w:r>
                </w:p>
              </w:tc>
              <w:tc>
                <w:tcPr>
                  <w:tcW w:w="973" w:type="dxa"/>
                  <w:vAlign w:val="center"/>
                </w:tcPr>
                <w:p w14:paraId="762E44D6">
                  <w:pPr>
                    <w:adjustRightInd w:val="0"/>
                    <w:snapToGrid w:val="0"/>
                    <w:jc w:val="center"/>
                    <w:rPr>
                      <w:rFonts w:hint="eastAsia"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w:t>
                  </w:r>
                </w:p>
              </w:tc>
              <w:tc>
                <w:tcPr>
                  <w:tcW w:w="954" w:type="dxa"/>
                  <w:shd w:val="clear" w:color="auto" w:fill="auto"/>
                  <w:vAlign w:val="center"/>
                </w:tcPr>
                <w:p w14:paraId="3D4DE45F">
                  <w:pPr>
                    <w:adjustRightInd w:val="0"/>
                    <w:snapToGrid w:val="0"/>
                    <w:jc w:val="center"/>
                    <w:rPr>
                      <w:rFonts w:hint="default" w:cs="Times New Roman"/>
                      <w:b w:val="0"/>
                      <w:bCs/>
                      <w:kern w:val="0"/>
                      <w:sz w:val="21"/>
                      <w:szCs w:val="21"/>
                      <w:lang w:val="en-US" w:eastAsia="zh-CN"/>
                    </w:rPr>
                  </w:pPr>
                  <w:r>
                    <w:rPr>
                      <w:rFonts w:hint="default" w:cs="Times New Roman"/>
                      <w:b w:val="0"/>
                      <w:bCs/>
                      <w:kern w:val="0"/>
                      <w:sz w:val="21"/>
                      <w:szCs w:val="21"/>
                      <w:lang w:val="en-US" w:eastAsia="zh-CN"/>
                    </w:rPr>
                    <w:t>/</w:t>
                  </w:r>
                </w:p>
              </w:tc>
              <w:tc>
                <w:tcPr>
                  <w:tcW w:w="954" w:type="dxa"/>
                  <w:shd w:val="clear" w:color="auto" w:fill="auto"/>
                  <w:vAlign w:val="center"/>
                </w:tcPr>
                <w:p w14:paraId="1591D14C">
                  <w:pPr>
                    <w:adjustRightInd w:val="0"/>
                    <w:snapToGrid w:val="0"/>
                    <w:jc w:val="center"/>
                    <w:rPr>
                      <w:rFonts w:hint="eastAsia" w:ascii="Times New Roman" w:hAnsi="Times New Roman" w:eastAsia="宋体" w:cs="Times New Roman"/>
                      <w:kern w:val="0"/>
                      <w:sz w:val="21"/>
                      <w:szCs w:val="21"/>
                      <w:shd w:val="clear" w:color="auto" w:fill="auto"/>
                      <w:lang w:val="en-US" w:eastAsia="zh-CN" w:bidi="ar-SA"/>
                    </w:rPr>
                  </w:pPr>
                  <w:r>
                    <w:rPr>
                      <w:rFonts w:hint="eastAsia" w:cs="Times New Roman"/>
                      <w:kern w:val="0"/>
                      <w:sz w:val="21"/>
                      <w:szCs w:val="21"/>
                      <w:shd w:val="clear" w:color="auto" w:fill="auto"/>
                      <w:lang w:val="en-US" w:eastAsia="zh-CN"/>
                    </w:rPr>
                    <w:t>开发区</w:t>
                  </w:r>
                  <w:r>
                    <w:rPr>
                      <w:rFonts w:hint="eastAsia" w:ascii="Times New Roman" w:hAnsi="Times New Roman" w:eastAsia="宋体" w:cs="Times New Roman"/>
                      <w:kern w:val="0"/>
                      <w:sz w:val="21"/>
                      <w:szCs w:val="21"/>
                      <w:shd w:val="clear" w:color="auto" w:fill="auto"/>
                      <w:lang w:val="en-US" w:eastAsia="zh-CN"/>
                    </w:rPr>
                    <w:t>供水管</w:t>
                  </w:r>
                </w:p>
              </w:tc>
              <w:tc>
                <w:tcPr>
                  <w:tcW w:w="954" w:type="dxa"/>
                  <w:shd w:val="clear" w:color="auto" w:fill="auto"/>
                  <w:vAlign w:val="center"/>
                </w:tcPr>
                <w:p w14:paraId="5D0ABE3B">
                  <w:pPr>
                    <w:adjustRightInd w:val="0"/>
                    <w:snapToGrid w:val="0"/>
                    <w:jc w:val="center"/>
                    <w:rPr>
                      <w:rFonts w:hint="default" w:ascii="Times New Roman" w:hAnsi="Times New Roman" w:eastAsia="宋体" w:cs="Times New Roman"/>
                      <w:kern w:val="0"/>
                      <w:sz w:val="21"/>
                      <w:szCs w:val="21"/>
                      <w:shd w:val="clear" w:color="auto" w:fill="auto"/>
                      <w:lang w:val="en-US" w:eastAsia="zh-CN"/>
                    </w:rPr>
                  </w:pPr>
                  <w:r>
                    <w:rPr>
                      <w:rFonts w:hint="eastAsia" w:cs="Times New Roman"/>
                      <w:kern w:val="0"/>
                      <w:sz w:val="21"/>
                      <w:szCs w:val="21"/>
                      <w:shd w:val="clear" w:color="auto" w:fill="auto"/>
                      <w:lang w:val="en-US" w:eastAsia="zh-CN"/>
                    </w:rPr>
                    <w:t>/</w:t>
                  </w:r>
                </w:p>
              </w:tc>
            </w:tr>
          </w:tbl>
          <w:p w14:paraId="4E58E63B">
            <w:pPr>
              <w:adjustRightInd w:val="0"/>
              <w:snapToGrid w:val="0"/>
              <w:spacing w:before="120" w:beforeLines="50"/>
              <w:jc w:val="center"/>
              <w:rPr>
                <w:b/>
                <w:color w:val="auto"/>
                <w:kern w:val="0"/>
              </w:rPr>
            </w:pPr>
            <w:r>
              <w:rPr>
                <w:rFonts w:hint="eastAsia"/>
                <w:b/>
                <w:bCs/>
                <w:color w:val="auto"/>
              </w:rPr>
              <w:t>表2-5  涉及物质主要理化性质及成分</w:t>
            </w:r>
          </w:p>
          <w:tbl>
            <w:tblPr>
              <w:tblStyle w:val="31"/>
              <w:tblW w:w="7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4492"/>
              <w:gridCol w:w="1315"/>
              <w:gridCol w:w="872"/>
            </w:tblGrid>
            <w:tr w14:paraId="707C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0" w:type="dxa"/>
                  <w:vAlign w:val="center"/>
                </w:tcPr>
                <w:p w14:paraId="615F21DC">
                  <w:pPr>
                    <w:jc w:val="center"/>
                    <w:rPr>
                      <w:b/>
                      <w:bCs/>
                      <w:color w:val="auto"/>
                      <w:sz w:val="21"/>
                      <w:szCs w:val="21"/>
                    </w:rPr>
                  </w:pPr>
                  <w:r>
                    <w:rPr>
                      <w:rFonts w:hint="eastAsia"/>
                      <w:b/>
                      <w:bCs/>
                      <w:color w:val="auto"/>
                      <w:sz w:val="21"/>
                      <w:szCs w:val="21"/>
                    </w:rPr>
                    <w:t>物质名称</w:t>
                  </w:r>
                </w:p>
              </w:tc>
              <w:tc>
                <w:tcPr>
                  <w:tcW w:w="4492" w:type="dxa"/>
                  <w:vAlign w:val="center"/>
                </w:tcPr>
                <w:p w14:paraId="0DFB104C">
                  <w:pPr>
                    <w:jc w:val="center"/>
                    <w:rPr>
                      <w:b/>
                      <w:bCs/>
                      <w:color w:val="auto"/>
                      <w:sz w:val="21"/>
                      <w:szCs w:val="21"/>
                    </w:rPr>
                  </w:pPr>
                  <w:r>
                    <w:rPr>
                      <w:rFonts w:hint="eastAsia"/>
                      <w:b/>
                      <w:bCs/>
                      <w:color w:val="auto"/>
                      <w:sz w:val="21"/>
                      <w:szCs w:val="21"/>
                    </w:rPr>
                    <w:t>理化性质</w:t>
                  </w:r>
                </w:p>
              </w:tc>
              <w:tc>
                <w:tcPr>
                  <w:tcW w:w="1315" w:type="dxa"/>
                  <w:vAlign w:val="center"/>
                </w:tcPr>
                <w:p w14:paraId="3DBA7966">
                  <w:pPr>
                    <w:jc w:val="center"/>
                    <w:rPr>
                      <w:b/>
                      <w:bCs/>
                      <w:color w:val="auto"/>
                      <w:sz w:val="21"/>
                      <w:szCs w:val="21"/>
                    </w:rPr>
                  </w:pPr>
                  <w:r>
                    <w:rPr>
                      <w:rFonts w:hint="eastAsia"/>
                      <w:b/>
                      <w:bCs/>
                      <w:color w:val="auto"/>
                      <w:sz w:val="21"/>
                      <w:szCs w:val="21"/>
                    </w:rPr>
                    <w:t>燃烧爆炸性</w:t>
                  </w:r>
                </w:p>
              </w:tc>
              <w:tc>
                <w:tcPr>
                  <w:tcW w:w="872" w:type="dxa"/>
                  <w:vAlign w:val="center"/>
                </w:tcPr>
                <w:p w14:paraId="5C3F3867">
                  <w:pPr>
                    <w:jc w:val="center"/>
                    <w:rPr>
                      <w:b/>
                      <w:bCs/>
                      <w:color w:val="auto"/>
                      <w:sz w:val="21"/>
                      <w:szCs w:val="21"/>
                    </w:rPr>
                  </w:pPr>
                  <w:r>
                    <w:rPr>
                      <w:rFonts w:hint="eastAsia"/>
                      <w:b/>
                      <w:bCs/>
                      <w:color w:val="auto"/>
                      <w:sz w:val="21"/>
                      <w:szCs w:val="21"/>
                    </w:rPr>
                    <w:t>毒理毒性</w:t>
                  </w:r>
                </w:p>
              </w:tc>
            </w:tr>
            <w:tr w14:paraId="69CA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0" w:type="dxa"/>
                  <w:shd w:val="clear" w:color="auto" w:fill="auto"/>
                  <w:vAlign w:val="center"/>
                </w:tcPr>
                <w:p w14:paraId="7AA1EFE5">
                  <w:pPr>
                    <w:widowControl w:val="0"/>
                    <w:spacing w:line="240" w:lineRule="auto"/>
                    <w:jc w:val="center"/>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润滑油</w:t>
                  </w:r>
                </w:p>
              </w:tc>
              <w:tc>
                <w:tcPr>
                  <w:tcW w:w="4492" w:type="dxa"/>
                  <w:shd w:val="clear" w:color="auto" w:fill="auto"/>
                  <w:vAlign w:val="center"/>
                </w:tcPr>
                <w:p w14:paraId="48E09F49">
                  <w:pPr>
                    <w:widowControl w:val="0"/>
                    <w:spacing w:line="240" w:lineRule="auto"/>
                    <w:jc w:val="center"/>
                    <w:rPr>
                      <w:rFonts w:hint="eastAsia" w:ascii="Times New Roman" w:hAnsi="Times New Roman" w:eastAsia="宋体" w:cs="Times New Roman"/>
                      <w:kern w:val="2"/>
                      <w:sz w:val="21"/>
                      <w:szCs w:val="21"/>
                      <w:lang w:val="en-US" w:eastAsia="zh-CN" w:bidi="ar-SA"/>
                    </w:rPr>
                  </w:pPr>
                  <w:r>
                    <w:rPr>
                      <w:rFonts w:hint="eastAsia" w:cs="Times New Roman"/>
                      <w:b w:val="0"/>
                      <w:bCs w:val="0"/>
                      <w:sz w:val="21"/>
                      <w:szCs w:val="21"/>
                      <w:vertAlign w:val="baseline"/>
                      <w:lang w:val="en-US" w:eastAsia="zh-CN"/>
                    </w:rPr>
                    <w:t>润滑油是用在各种类型汽车、机械设备上以减少摩擦，保护机械及加工件的液体或半固体润滑剂，主要起润滑、辅助冷却、防锈、清洁、密封和缓冲等作用，不溶于水与其他化学物品</w:t>
                  </w:r>
                </w:p>
              </w:tc>
              <w:tc>
                <w:tcPr>
                  <w:tcW w:w="1315" w:type="dxa"/>
                  <w:shd w:val="clear" w:color="auto" w:fill="auto"/>
                  <w:vAlign w:val="center"/>
                </w:tcPr>
                <w:p w14:paraId="6919C88B">
                  <w:pPr>
                    <w:widowControl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b w:val="0"/>
                      <w:bCs w:val="0"/>
                      <w:sz w:val="21"/>
                      <w:szCs w:val="21"/>
                      <w:vertAlign w:val="baseline"/>
                      <w:lang w:val="en-US" w:eastAsia="zh-CN"/>
                    </w:rPr>
                    <w:t>可燃</w:t>
                  </w:r>
                </w:p>
              </w:tc>
              <w:tc>
                <w:tcPr>
                  <w:tcW w:w="872" w:type="dxa"/>
                  <w:vAlign w:val="center"/>
                </w:tcPr>
                <w:p w14:paraId="6C51F7C3">
                  <w:pPr>
                    <w:widowControl/>
                    <w:jc w:val="center"/>
                    <w:rPr>
                      <w:color w:val="auto"/>
                      <w:kern w:val="0"/>
                      <w:sz w:val="21"/>
                      <w:szCs w:val="21"/>
                      <w:lang w:bidi="ar"/>
                    </w:rPr>
                  </w:pPr>
                  <w:r>
                    <w:rPr>
                      <w:rFonts w:hint="eastAsia" w:eastAsia="宋体" w:cs="Times New Roman"/>
                      <w:sz w:val="21"/>
                      <w:szCs w:val="21"/>
                      <w:lang w:val="en-US" w:eastAsia="zh-CN"/>
                    </w:rPr>
                    <w:t>/</w:t>
                  </w:r>
                </w:p>
              </w:tc>
            </w:tr>
          </w:tbl>
          <w:p w14:paraId="3FAEF263">
            <w:pPr>
              <w:adjustRightInd w:val="0"/>
              <w:snapToGrid w:val="0"/>
              <w:spacing w:before="120" w:beforeLines="50" w:line="360" w:lineRule="auto"/>
              <w:rPr>
                <w:b/>
                <w:bCs/>
                <w:color w:val="auto"/>
              </w:rPr>
            </w:pPr>
            <w:r>
              <w:rPr>
                <w:rFonts w:hint="eastAsia"/>
                <w:b/>
                <w:bCs/>
                <w:color w:val="auto"/>
              </w:rPr>
              <w:t>5、水量平衡</w:t>
            </w:r>
          </w:p>
          <w:p w14:paraId="1C254001">
            <w:pPr>
              <w:spacing w:line="360" w:lineRule="auto"/>
              <w:ind w:firstLine="480" w:firstLineChars="200"/>
              <w:rPr>
                <w:color w:val="auto"/>
              </w:rPr>
            </w:pPr>
            <w:r>
              <w:rPr>
                <w:rFonts w:hint="eastAsia"/>
                <w:color w:val="auto"/>
              </w:rPr>
              <w:t>该项目为</w:t>
            </w:r>
            <w:r>
              <w:rPr>
                <w:rFonts w:hint="eastAsia"/>
                <w:color w:val="auto"/>
                <w:lang w:val="en-US" w:eastAsia="zh-CN"/>
              </w:rPr>
              <w:t>新建</w:t>
            </w:r>
            <w:r>
              <w:rPr>
                <w:color w:val="auto"/>
              </w:rPr>
              <w:t>项目</w:t>
            </w:r>
            <w:r>
              <w:rPr>
                <w:rFonts w:hint="eastAsia"/>
                <w:color w:val="auto"/>
              </w:rPr>
              <w:t>，</w:t>
            </w:r>
            <w:r>
              <w:rPr>
                <w:color w:val="auto"/>
              </w:rPr>
              <w:t>用水主要是职工生活</w:t>
            </w:r>
            <w:r>
              <w:rPr>
                <w:rFonts w:hint="eastAsia"/>
                <w:color w:val="auto"/>
              </w:rPr>
              <w:t>用水</w:t>
            </w:r>
            <w:r>
              <w:rPr>
                <w:rFonts w:hint="eastAsia"/>
                <w:color w:val="auto"/>
                <w:lang w:val="en-US" w:eastAsia="zh-CN"/>
              </w:rPr>
              <w:t>和喷淋用水</w:t>
            </w:r>
            <w:r>
              <w:rPr>
                <w:rFonts w:hint="eastAsia"/>
                <w:color w:val="auto"/>
              </w:rPr>
              <w:t>。</w:t>
            </w:r>
          </w:p>
          <w:p w14:paraId="3318F055">
            <w:pPr>
              <w:widowControl/>
              <w:spacing w:line="360" w:lineRule="auto"/>
              <w:ind w:firstLine="480" w:firstLineChars="200"/>
              <w:jc w:val="left"/>
              <w:rPr>
                <w:rFonts w:hint="eastAsia"/>
                <w:color w:val="auto"/>
                <w:kern w:val="0"/>
                <w:lang w:eastAsia="zh-CN"/>
              </w:rPr>
            </w:pPr>
            <w:r>
              <w:rPr>
                <w:rFonts w:hint="eastAsia"/>
                <w:color w:val="auto"/>
                <w:kern w:val="0"/>
                <w:lang w:val="en-US" w:eastAsia="zh-CN"/>
              </w:rPr>
              <w:t>生活用水：</w:t>
            </w:r>
            <w:r>
              <w:rPr>
                <w:color w:val="auto"/>
                <w:kern w:val="0"/>
              </w:rPr>
              <w:t>项目</w:t>
            </w:r>
            <w:r>
              <w:rPr>
                <w:rFonts w:hint="eastAsia"/>
                <w:color w:val="auto"/>
                <w:kern w:val="0"/>
              </w:rPr>
              <w:t>新增</w:t>
            </w:r>
            <w:r>
              <w:rPr>
                <w:color w:val="auto"/>
                <w:kern w:val="0"/>
              </w:rPr>
              <w:t>劳动定员</w:t>
            </w:r>
            <w:r>
              <w:rPr>
                <w:rFonts w:hint="eastAsia"/>
                <w:color w:val="auto"/>
                <w:kern w:val="0"/>
                <w:lang w:val="en-US" w:eastAsia="zh-CN"/>
              </w:rPr>
              <w:t>80</w:t>
            </w:r>
            <w:r>
              <w:rPr>
                <w:color w:val="auto"/>
                <w:kern w:val="0"/>
              </w:rPr>
              <w:t>人</w:t>
            </w:r>
            <w:r>
              <w:rPr>
                <w:rFonts w:hint="eastAsia"/>
                <w:color w:val="auto"/>
                <w:kern w:val="0"/>
              </w:rPr>
              <w:t>，</w:t>
            </w:r>
            <w:r>
              <w:rPr>
                <w:rFonts w:hint="eastAsia"/>
                <w:color w:val="auto"/>
                <w:kern w:val="0"/>
                <w:lang w:val="en-US" w:eastAsia="zh-CN"/>
              </w:rPr>
              <w:t>1</w:t>
            </w:r>
            <w:r>
              <w:rPr>
                <w:rFonts w:hint="eastAsia"/>
                <w:color w:val="auto"/>
                <w:kern w:val="0"/>
              </w:rPr>
              <w:t>班制，每班8小时，</w:t>
            </w:r>
            <w:r>
              <w:rPr>
                <w:rFonts w:hint="eastAsia"/>
                <w:color w:val="auto"/>
                <w:kern w:val="0"/>
                <w:lang w:val="en-US" w:eastAsia="zh-CN"/>
              </w:rPr>
              <w:t>不</w:t>
            </w:r>
            <w:r>
              <w:rPr>
                <w:rFonts w:hint="eastAsia"/>
                <w:color w:val="auto"/>
                <w:kern w:val="0"/>
              </w:rPr>
              <w:t>提供食宿，年工作天数</w:t>
            </w:r>
            <w:r>
              <w:rPr>
                <w:rFonts w:hint="eastAsia"/>
                <w:color w:val="auto"/>
                <w:kern w:val="0"/>
                <w:lang w:val="en-US" w:eastAsia="zh-CN"/>
              </w:rPr>
              <w:t>300</w:t>
            </w:r>
            <w:r>
              <w:rPr>
                <w:rFonts w:hint="eastAsia"/>
                <w:color w:val="auto"/>
                <w:kern w:val="0"/>
              </w:rPr>
              <w:t>天，根据《</w:t>
            </w:r>
            <w:r>
              <w:rPr>
                <w:rFonts w:hint="eastAsia"/>
                <w:color w:val="auto"/>
                <w:kern w:val="0"/>
                <w:lang w:val="en-US" w:eastAsia="zh-CN"/>
              </w:rPr>
              <w:t>宿州市城市</w:t>
            </w:r>
            <w:r>
              <w:rPr>
                <w:rFonts w:hint="eastAsia"/>
                <w:color w:val="auto"/>
                <w:kern w:val="0"/>
              </w:rPr>
              <w:t>行业用水定额》（DB34</w:t>
            </w:r>
            <w:r>
              <w:rPr>
                <w:rFonts w:hint="eastAsia"/>
                <w:color w:val="auto"/>
                <w:kern w:val="0"/>
                <w:lang w:val="en-US" w:eastAsia="zh-CN"/>
              </w:rPr>
              <w:t>13</w:t>
            </w:r>
            <w:r>
              <w:rPr>
                <w:rFonts w:hint="eastAsia"/>
                <w:color w:val="auto"/>
                <w:kern w:val="0"/>
              </w:rPr>
              <w:t xml:space="preserve">/T </w:t>
            </w:r>
            <w:r>
              <w:rPr>
                <w:rFonts w:hint="eastAsia"/>
                <w:color w:val="auto"/>
                <w:kern w:val="0"/>
                <w:lang w:val="en-US" w:eastAsia="zh-CN"/>
              </w:rPr>
              <w:t>0001</w:t>
            </w:r>
            <w:r>
              <w:rPr>
                <w:rFonts w:hint="eastAsia"/>
                <w:color w:val="auto"/>
                <w:kern w:val="0"/>
              </w:rPr>
              <w:t>-20</w:t>
            </w:r>
            <w:r>
              <w:rPr>
                <w:rFonts w:hint="eastAsia"/>
                <w:color w:val="auto"/>
                <w:kern w:val="0"/>
                <w:lang w:val="en-US" w:eastAsia="zh-CN"/>
              </w:rPr>
              <w:t>20</w:t>
            </w:r>
            <w:r>
              <w:rPr>
                <w:rFonts w:hint="eastAsia"/>
                <w:color w:val="auto"/>
                <w:kern w:val="0"/>
              </w:rPr>
              <w:t>），项目人均用水量按</w:t>
            </w:r>
            <w:r>
              <w:rPr>
                <w:rFonts w:hint="eastAsia"/>
                <w:color w:val="auto"/>
                <w:kern w:val="0"/>
                <w:lang w:val="en-US" w:eastAsia="zh-CN"/>
              </w:rPr>
              <w:t>70</w:t>
            </w:r>
            <w:r>
              <w:rPr>
                <w:rFonts w:hint="eastAsia"/>
                <w:color w:val="auto"/>
                <w:kern w:val="0"/>
              </w:rPr>
              <w:t>L/d计，则用水量为</w:t>
            </w:r>
            <w:r>
              <w:rPr>
                <w:rFonts w:hint="eastAsia"/>
                <w:color w:val="auto"/>
                <w:kern w:val="0"/>
                <w:lang w:val="en-US" w:eastAsia="zh-CN"/>
              </w:rPr>
              <w:t>5.6</w:t>
            </w:r>
            <w:r>
              <w:rPr>
                <w:rFonts w:hint="eastAsia"/>
                <w:color w:val="auto"/>
                <w:kern w:val="0"/>
              </w:rPr>
              <w:t>t/d，</w:t>
            </w:r>
            <w:r>
              <w:rPr>
                <w:rFonts w:hint="eastAsia"/>
                <w:color w:val="auto"/>
                <w:kern w:val="0"/>
                <w:lang w:val="en-US" w:eastAsia="zh-CN"/>
              </w:rPr>
              <w:t>1680</w:t>
            </w:r>
            <w:r>
              <w:rPr>
                <w:rFonts w:hint="eastAsia"/>
                <w:color w:val="auto"/>
                <w:kern w:val="0"/>
              </w:rPr>
              <w:t>t/a，废水产生系数取0.8，则废水产生量为</w:t>
            </w:r>
            <w:r>
              <w:rPr>
                <w:rFonts w:hint="eastAsia"/>
                <w:color w:val="auto"/>
                <w:kern w:val="0"/>
                <w:lang w:val="en-US" w:eastAsia="zh-CN"/>
              </w:rPr>
              <w:t>4.48</w:t>
            </w:r>
            <w:r>
              <w:rPr>
                <w:rFonts w:hint="eastAsia"/>
                <w:color w:val="auto"/>
                <w:kern w:val="0"/>
              </w:rPr>
              <w:t>t/d，</w:t>
            </w:r>
            <w:r>
              <w:rPr>
                <w:rFonts w:hint="eastAsia"/>
                <w:color w:val="auto"/>
                <w:kern w:val="0"/>
                <w:lang w:val="en-US" w:eastAsia="zh-CN"/>
              </w:rPr>
              <w:t>1344</w:t>
            </w:r>
            <w:r>
              <w:rPr>
                <w:rFonts w:hint="eastAsia"/>
                <w:color w:val="auto"/>
                <w:kern w:val="0"/>
              </w:rPr>
              <w:t>t/a</w:t>
            </w:r>
            <w:r>
              <w:rPr>
                <w:rFonts w:hint="eastAsia"/>
                <w:color w:val="auto"/>
                <w:kern w:val="0"/>
                <w:lang w:eastAsia="zh-CN"/>
              </w:rPr>
              <w:t>。</w:t>
            </w:r>
          </w:p>
          <w:p w14:paraId="53569056">
            <w:pPr>
              <w:widowControl/>
              <w:spacing w:line="360" w:lineRule="auto"/>
              <w:ind w:firstLine="480" w:firstLineChars="200"/>
              <w:jc w:val="left"/>
              <w:rPr>
                <w:color w:val="auto"/>
                <w:kern w:val="0"/>
              </w:rPr>
            </w:pPr>
            <w:r>
              <w:rPr>
                <w:rFonts w:hint="eastAsia"/>
                <w:color w:val="auto"/>
                <w:kern w:val="0"/>
                <w:lang w:val="en-US" w:eastAsia="zh-CN"/>
              </w:rPr>
              <w:t>喷淋用水：项目刨光工序共有两道，分为一刨和二刨，项目进行一刨工序采用水喷淋湿法作业，消耗水量为0.1</w:t>
            </w:r>
            <w:r>
              <w:rPr>
                <w:rFonts w:hint="eastAsia"/>
                <w:color w:val="auto"/>
                <w:kern w:val="0"/>
              </w:rPr>
              <w:t>t/d，</w:t>
            </w:r>
            <w:r>
              <w:rPr>
                <w:rFonts w:hint="eastAsia"/>
                <w:color w:val="auto"/>
                <w:kern w:val="0"/>
                <w:lang w:val="en-US" w:eastAsia="zh-CN"/>
              </w:rPr>
              <w:t>30</w:t>
            </w:r>
            <w:r>
              <w:rPr>
                <w:rFonts w:hint="eastAsia"/>
                <w:color w:val="auto"/>
                <w:kern w:val="0"/>
              </w:rPr>
              <w:t>t/a</w:t>
            </w:r>
            <w:r>
              <w:rPr>
                <w:rFonts w:hint="eastAsia"/>
                <w:color w:val="auto"/>
                <w:kern w:val="0"/>
                <w:lang w:eastAsia="zh-CN"/>
              </w:rPr>
              <w:t>，</w:t>
            </w:r>
            <w:r>
              <w:rPr>
                <w:rFonts w:hint="eastAsia"/>
                <w:color w:val="auto"/>
                <w:kern w:val="0"/>
                <w:lang w:val="en-US" w:eastAsia="zh-CN"/>
              </w:rPr>
              <w:t>项目湿法作业时喷淋少量水，仅喷淋表面不会有废水产生</w:t>
            </w:r>
            <w:r>
              <w:rPr>
                <w:rFonts w:hint="eastAsia"/>
                <w:color w:val="auto"/>
                <w:kern w:val="0"/>
              </w:rPr>
              <w:t>。</w:t>
            </w:r>
            <w:r>
              <w:rPr>
                <w:rFonts w:hint="eastAsia" w:ascii="Times New Roman" w:hAnsi="Times New Roman"/>
                <w:sz w:val="24"/>
                <w:szCs w:val="24"/>
              </w:rPr>
              <w:t>（本项目</w:t>
            </w:r>
            <w:r>
              <w:rPr>
                <w:rFonts w:hint="eastAsia" w:ascii="Times New Roman" w:hAnsi="Times New Roman"/>
                <w:sz w:val="24"/>
                <w:szCs w:val="24"/>
                <w:lang w:val="en-US" w:eastAsia="zh-CN"/>
              </w:rPr>
              <w:t>喷淋</w:t>
            </w:r>
            <w:r>
              <w:rPr>
                <w:rFonts w:hint="eastAsia" w:ascii="Times New Roman" w:hAnsi="Times New Roman"/>
                <w:sz w:val="24"/>
                <w:szCs w:val="24"/>
              </w:rPr>
              <w:t>用水使用普通自来水即可）</w:t>
            </w:r>
          </w:p>
          <w:p w14:paraId="7EF08162">
            <w:pPr>
              <w:spacing w:line="360" w:lineRule="auto"/>
              <w:jc w:val="center"/>
              <w:rPr>
                <w:color w:val="auto"/>
              </w:rPr>
            </w:pPr>
            <w:r>
              <w:drawing>
                <wp:inline distT="0" distB="0" distL="114300" distR="114300">
                  <wp:extent cx="5040630" cy="2018030"/>
                  <wp:effectExtent l="0" t="0" r="3175"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040630" cy="2018030"/>
                          </a:xfrm>
                          <a:prstGeom prst="rect">
                            <a:avLst/>
                          </a:prstGeom>
                          <a:noFill/>
                          <a:ln>
                            <a:noFill/>
                          </a:ln>
                        </pic:spPr>
                      </pic:pic>
                    </a:graphicData>
                  </a:graphic>
                </wp:inline>
              </w:drawing>
            </w:r>
          </w:p>
          <w:p w14:paraId="15BE94CC">
            <w:pPr>
              <w:jc w:val="center"/>
              <w:rPr>
                <w:b/>
                <w:bCs/>
                <w:color w:val="auto"/>
              </w:rPr>
            </w:pPr>
            <w:r>
              <w:rPr>
                <w:rFonts w:hint="eastAsia"/>
                <w:b/>
                <w:bCs/>
                <w:color w:val="auto"/>
              </w:rPr>
              <w:t xml:space="preserve">图2-1 项目水平衡图  </w:t>
            </w:r>
            <w:r>
              <w:rPr>
                <w:rFonts w:hint="eastAsia"/>
                <w:b/>
                <w:bCs/>
                <w:color w:val="auto"/>
                <w:lang w:val="en-US" w:eastAsia="zh-CN"/>
              </w:rPr>
              <w:t>m</w:t>
            </w:r>
            <w:r>
              <w:rPr>
                <w:rFonts w:hint="eastAsia"/>
                <w:b/>
                <w:bCs/>
                <w:color w:val="auto"/>
                <w:vertAlign w:val="superscript"/>
                <w:lang w:val="en-US" w:eastAsia="zh-CN"/>
              </w:rPr>
              <w:t>3</w:t>
            </w:r>
            <w:r>
              <w:rPr>
                <w:rFonts w:hint="eastAsia"/>
                <w:b/>
                <w:bCs/>
                <w:color w:val="auto"/>
              </w:rPr>
              <w:t>/d</w:t>
            </w:r>
          </w:p>
          <w:p w14:paraId="1C53E056">
            <w:pPr>
              <w:jc w:val="center"/>
              <w:rPr>
                <w:b/>
                <w:bCs/>
                <w:color w:val="auto"/>
              </w:rPr>
            </w:pPr>
          </w:p>
          <w:p w14:paraId="2C6861A2">
            <w:pPr>
              <w:adjustRightInd w:val="0"/>
              <w:snapToGrid w:val="0"/>
              <w:spacing w:line="360" w:lineRule="auto"/>
              <w:rPr>
                <w:b/>
                <w:color w:val="auto"/>
                <w:kern w:val="0"/>
              </w:rPr>
            </w:pPr>
            <w:r>
              <w:rPr>
                <w:rFonts w:hint="eastAsia"/>
                <w:b/>
                <w:color w:val="auto"/>
                <w:kern w:val="0"/>
              </w:rPr>
              <w:t>6、</w:t>
            </w:r>
            <w:r>
              <w:rPr>
                <w:b/>
                <w:color w:val="auto"/>
                <w:kern w:val="0"/>
              </w:rPr>
              <w:t>职工人数及工作制度</w:t>
            </w:r>
          </w:p>
          <w:p w14:paraId="68B5FFB2">
            <w:pPr>
              <w:spacing w:line="360" w:lineRule="auto"/>
              <w:ind w:firstLine="480" w:firstLineChars="200"/>
              <w:rPr>
                <w:color w:val="auto"/>
              </w:rPr>
            </w:pPr>
            <w:r>
              <w:rPr>
                <w:color w:val="auto"/>
              </w:rPr>
              <w:t>项目劳动定员</w:t>
            </w:r>
            <w:r>
              <w:rPr>
                <w:rFonts w:hint="eastAsia"/>
                <w:color w:val="auto"/>
              </w:rPr>
              <w:t>80</w:t>
            </w:r>
            <w:r>
              <w:rPr>
                <w:color w:val="auto"/>
              </w:rPr>
              <w:t>人</w:t>
            </w:r>
            <w:r>
              <w:rPr>
                <w:rFonts w:hint="eastAsia"/>
                <w:color w:val="auto"/>
              </w:rPr>
              <w:t>，</w:t>
            </w:r>
            <w:r>
              <w:rPr>
                <w:color w:val="auto"/>
                <w:kern w:val="0"/>
              </w:rPr>
              <w:t>年工作日</w:t>
            </w:r>
            <w:r>
              <w:rPr>
                <w:rFonts w:hint="eastAsia"/>
                <w:color w:val="auto"/>
                <w:kern w:val="0"/>
                <w:lang w:val="en-US" w:eastAsia="zh-CN"/>
              </w:rPr>
              <w:t>300</w:t>
            </w:r>
            <w:r>
              <w:rPr>
                <w:color w:val="auto"/>
                <w:kern w:val="0"/>
              </w:rPr>
              <w:t>天，</w:t>
            </w:r>
            <w:r>
              <w:rPr>
                <w:rFonts w:hint="eastAsia"/>
                <w:color w:val="auto"/>
                <w:kern w:val="0"/>
                <w:lang w:val="en-US" w:eastAsia="zh-CN"/>
              </w:rPr>
              <w:t>1</w:t>
            </w:r>
            <w:r>
              <w:rPr>
                <w:color w:val="auto"/>
                <w:kern w:val="0"/>
              </w:rPr>
              <w:t>班制，每班</w:t>
            </w:r>
            <w:r>
              <w:rPr>
                <w:rFonts w:hint="eastAsia"/>
                <w:color w:val="auto"/>
                <w:kern w:val="0"/>
              </w:rPr>
              <w:t>8</w:t>
            </w:r>
            <w:r>
              <w:rPr>
                <w:color w:val="auto"/>
                <w:kern w:val="0"/>
              </w:rPr>
              <w:t>小时</w:t>
            </w:r>
            <w:r>
              <w:rPr>
                <w:rFonts w:hint="eastAsia"/>
                <w:color w:val="auto"/>
                <w:kern w:val="0"/>
              </w:rPr>
              <w:t>，</w:t>
            </w:r>
            <w:r>
              <w:rPr>
                <w:color w:val="auto"/>
                <w:kern w:val="0"/>
              </w:rPr>
              <w:t>厂区</w:t>
            </w:r>
            <w:r>
              <w:rPr>
                <w:rFonts w:hint="eastAsia"/>
                <w:color w:val="auto"/>
                <w:kern w:val="0"/>
                <w:lang w:val="en-US" w:eastAsia="zh-CN"/>
              </w:rPr>
              <w:t>不</w:t>
            </w:r>
            <w:r>
              <w:rPr>
                <w:color w:val="auto"/>
                <w:kern w:val="0"/>
              </w:rPr>
              <w:t>设置食</w:t>
            </w:r>
            <w:r>
              <w:rPr>
                <w:color w:val="auto"/>
              </w:rPr>
              <w:t>宿</w:t>
            </w:r>
            <w:r>
              <w:rPr>
                <w:color w:val="auto"/>
                <w:kern w:val="0"/>
              </w:rPr>
              <w:t>。</w:t>
            </w:r>
          </w:p>
          <w:p w14:paraId="1AD42DCF">
            <w:pPr>
              <w:spacing w:line="360" w:lineRule="auto"/>
              <w:rPr>
                <w:b/>
                <w:bCs/>
                <w:color w:val="auto"/>
              </w:rPr>
            </w:pPr>
            <w:r>
              <w:rPr>
                <w:rFonts w:hint="eastAsia"/>
                <w:b/>
                <w:bCs/>
                <w:color w:val="auto"/>
              </w:rPr>
              <w:t>7、</w:t>
            </w:r>
            <w:r>
              <w:rPr>
                <w:b/>
                <w:bCs/>
                <w:color w:val="auto"/>
              </w:rPr>
              <w:t>平面布局</w:t>
            </w:r>
          </w:p>
          <w:p w14:paraId="5DE3F20B">
            <w:pPr>
              <w:pStyle w:val="74"/>
              <w:spacing w:before="0" w:beforeAutospacing="0" w:after="0" w:afterAutospacing="0" w:line="360" w:lineRule="auto"/>
              <w:ind w:firstLine="480" w:firstLineChars="200"/>
              <w:rPr>
                <w:rFonts w:ascii="Times New Roman" w:hAnsi="Times New Roman" w:cs="Times New Roman"/>
                <w:color w:val="auto"/>
              </w:rPr>
            </w:pPr>
            <w:r>
              <w:rPr>
                <w:rFonts w:ascii="Times New Roman" w:hAnsi="Times New Roman" w:cs="Times New Roman"/>
                <w:color w:val="auto"/>
              </w:rPr>
              <w:t>项目位于</w:t>
            </w:r>
            <w:r>
              <w:rPr>
                <w:rFonts w:hint="default" w:ascii="Times New Roman" w:hAnsi="Times New Roman" w:cs="Times New Roman"/>
                <w:color w:val="auto"/>
              </w:rPr>
              <w:t>泗县经济开发区赤山路和南柳路交汇口西北角</w:t>
            </w:r>
            <w:r>
              <w:rPr>
                <w:rFonts w:ascii="Times New Roman" w:hAnsi="Times New Roman" w:cs="Times New Roman"/>
                <w:color w:val="auto"/>
              </w:rPr>
              <w:t>，根据项目功能要求和场地地形，</w:t>
            </w:r>
            <w:r>
              <w:rPr>
                <w:rFonts w:hint="default" w:ascii="Times New Roman" w:hAnsi="Times New Roman" w:cs="Times New Roman"/>
                <w:color w:val="auto"/>
              </w:rPr>
              <w:t>项目计划建设1#生产厂房1栋，2#仓库1栋，办公楼1栋，门卫室1个。</w:t>
            </w:r>
            <w:r>
              <w:rPr>
                <w:rFonts w:hint="default" w:ascii="Times New Roman" w:hAnsi="Times New Roman" w:cs="Times New Roman"/>
                <w:color w:val="auto"/>
                <w:lang w:val="en-US" w:eastAsia="zh-CN"/>
              </w:rPr>
              <w:t>其中</w:t>
            </w:r>
            <w:r>
              <w:rPr>
                <w:rFonts w:hint="default" w:ascii="Times New Roman" w:hAnsi="Times New Roman" w:cs="Times New Roman"/>
                <w:color w:val="auto"/>
              </w:rPr>
              <w:t>1#生产厂房</w:t>
            </w:r>
            <w:r>
              <w:rPr>
                <w:rFonts w:hint="default" w:ascii="Times New Roman" w:hAnsi="Times New Roman" w:cs="Times New Roman"/>
                <w:color w:val="auto"/>
                <w:lang w:val="en-US" w:eastAsia="zh-CN"/>
              </w:rPr>
              <w:t>位于厂区北部，</w:t>
            </w:r>
            <w:r>
              <w:rPr>
                <w:rFonts w:hint="default" w:ascii="Times New Roman" w:hAnsi="Times New Roman" w:cs="Times New Roman"/>
                <w:color w:val="auto"/>
              </w:rPr>
              <w:t>2#仓库</w:t>
            </w:r>
            <w:r>
              <w:rPr>
                <w:rFonts w:hint="default" w:ascii="Times New Roman" w:hAnsi="Times New Roman" w:cs="Times New Roman"/>
                <w:color w:val="auto"/>
                <w:lang w:val="en-US" w:eastAsia="zh-CN"/>
              </w:rPr>
              <w:t>位于厂区西南部，</w:t>
            </w:r>
            <w:r>
              <w:rPr>
                <w:rFonts w:hint="default" w:ascii="Times New Roman" w:hAnsi="Times New Roman" w:cs="Times New Roman"/>
                <w:color w:val="auto"/>
              </w:rPr>
              <w:t>办公楼</w:t>
            </w:r>
            <w:r>
              <w:rPr>
                <w:rFonts w:hint="default" w:ascii="Times New Roman" w:hAnsi="Times New Roman" w:cs="Times New Roman"/>
                <w:color w:val="auto"/>
                <w:lang w:val="en-US" w:eastAsia="zh-CN"/>
              </w:rPr>
              <w:t>位于厂区东南部，门卫室位于厂区南部。项目拟在1#生产厂房</w:t>
            </w:r>
            <w:r>
              <w:rPr>
                <w:rFonts w:hint="default" w:ascii="Times New Roman" w:hAnsi="Times New Roman" w:cs="Times New Roman"/>
                <w:color w:val="auto"/>
              </w:rPr>
              <w:t>内划分为</w:t>
            </w:r>
            <w:r>
              <w:rPr>
                <w:rFonts w:hint="default" w:ascii="Times New Roman" w:hAnsi="Times New Roman" w:cs="Times New Roman"/>
                <w:color w:val="auto"/>
                <w:lang w:val="en-US" w:eastAsia="zh-CN"/>
              </w:rPr>
              <w:t>木制托盘生产区（其中设置砂光机、平头锯、锯板机、切头机、烘干房（2个烘干房，用电烘干，每个烘干房规格为7m*6m*4.5m））、一般固废暂存间</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危废间</w:t>
            </w:r>
            <w:r>
              <w:rPr>
                <w:rFonts w:ascii="Times New Roman" w:hAnsi="Times New Roman" w:cs="Times New Roman"/>
                <w:color w:val="auto"/>
              </w:rPr>
              <w:t>等</w:t>
            </w:r>
            <w:r>
              <w:rPr>
                <w:rFonts w:hint="default" w:ascii="Times New Roman" w:hAnsi="Times New Roman" w:cs="Times New Roman"/>
                <w:color w:val="auto"/>
              </w:rPr>
              <w:t>。</w:t>
            </w:r>
          </w:p>
          <w:p w14:paraId="2B6E249D">
            <w:pPr>
              <w:pStyle w:val="74"/>
              <w:spacing w:before="0" w:beforeAutospacing="0" w:after="0" w:afterAutospacing="0" w:line="360" w:lineRule="auto"/>
              <w:ind w:firstLine="480" w:firstLineChars="200"/>
              <w:rPr>
                <w:rFonts w:hint="eastAsia"/>
                <w:color w:val="auto"/>
                <w:lang w:eastAsia="zh-CN"/>
              </w:rPr>
            </w:pPr>
            <w:r>
              <w:rPr>
                <w:rFonts w:hint="eastAsia" w:ascii="Times New Roman" w:hAnsi="Times New Roman"/>
                <w:color w:val="auto"/>
              </w:rPr>
              <w:t>项目布置总体来说，结构明朗，流程顺畅，布局紧凑，符合防火、安全卫生、环保、交通、运输、生产工艺流程等需求。总体上做到按功能分区，系统分明，布置整齐。</w:t>
            </w:r>
            <w:r>
              <w:rPr>
                <w:rFonts w:ascii="Times New Roman" w:hAnsi="Times New Roman" w:cs="Times New Roman"/>
                <w:color w:val="auto"/>
              </w:rPr>
              <w:t>项目平面布置满足生产人流、物流分离、互不交叉干扰的原则（具体见附图）</w:t>
            </w:r>
            <w:r>
              <w:rPr>
                <w:rFonts w:hint="eastAsia" w:ascii="Times New Roman" w:hAnsi="Times New Roman" w:cs="Times New Roman"/>
                <w:color w:val="auto"/>
              </w:rPr>
              <w:t>。</w:t>
            </w:r>
            <w:r>
              <w:rPr>
                <w:color w:val="auto"/>
              </w:rPr>
              <w:t>综上所述，本项目厂区平面布局较合理</w:t>
            </w:r>
            <w:r>
              <w:rPr>
                <w:rFonts w:hint="eastAsia"/>
                <w:color w:val="auto"/>
                <w:lang w:eastAsia="zh-CN"/>
              </w:rPr>
              <w:t>。</w:t>
            </w:r>
          </w:p>
          <w:p w14:paraId="32B69D75">
            <w:pPr>
              <w:pStyle w:val="74"/>
              <w:spacing w:before="0" w:beforeAutospacing="0" w:after="0" w:afterAutospacing="0" w:line="360" w:lineRule="auto"/>
              <w:ind w:firstLine="480" w:firstLineChars="200"/>
              <w:rPr>
                <w:rFonts w:hint="eastAsia"/>
                <w:color w:val="auto"/>
                <w:lang w:eastAsia="zh-CN"/>
              </w:rPr>
            </w:pPr>
          </w:p>
          <w:p w14:paraId="7453D552">
            <w:pPr>
              <w:pStyle w:val="74"/>
              <w:spacing w:before="0" w:beforeAutospacing="0" w:after="0" w:afterAutospacing="0" w:line="360" w:lineRule="auto"/>
              <w:ind w:firstLine="480" w:firstLineChars="200"/>
              <w:rPr>
                <w:rFonts w:hint="eastAsia"/>
                <w:color w:val="auto"/>
                <w:lang w:eastAsia="zh-CN"/>
              </w:rPr>
            </w:pPr>
          </w:p>
          <w:p w14:paraId="1598BFB5">
            <w:pPr>
              <w:pStyle w:val="74"/>
              <w:spacing w:before="0" w:beforeAutospacing="0" w:after="0" w:afterAutospacing="0" w:line="360" w:lineRule="auto"/>
              <w:ind w:firstLine="0" w:firstLineChars="0"/>
              <w:rPr>
                <w:rFonts w:hint="default"/>
                <w:bCs/>
                <w:color w:val="auto"/>
                <w:szCs w:val="21"/>
                <w:lang w:val="en-US"/>
              </w:rPr>
            </w:pPr>
          </w:p>
        </w:tc>
      </w:tr>
      <w:tr w14:paraId="45FD7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14:paraId="002BD460">
            <w:pPr>
              <w:pStyle w:val="26"/>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工艺流程和产排污环节</w:t>
            </w:r>
          </w:p>
        </w:tc>
        <w:tc>
          <w:tcPr>
            <w:tcW w:w="8161" w:type="dxa"/>
          </w:tcPr>
          <w:p w14:paraId="2417CA47">
            <w:pPr>
              <w:spacing w:line="360" w:lineRule="auto"/>
              <w:ind w:firstLine="480" w:firstLineChars="200"/>
            </w:pPr>
            <w:r>
              <w:t>本项目</w:t>
            </w:r>
            <w:r>
              <w:rPr>
                <w:rFonts w:hint="eastAsia"/>
              </w:rPr>
              <w:t>生产</w:t>
            </w:r>
            <w:r>
              <w:t>工艺流程及产污节点图如下：</w:t>
            </w:r>
          </w:p>
          <w:p w14:paraId="37CCE9FA">
            <w:pPr>
              <w:spacing w:line="360" w:lineRule="auto"/>
              <w:jc w:val="center"/>
            </w:pPr>
            <w:r>
              <w:drawing>
                <wp:inline distT="0" distB="0" distL="114300" distR="114300">
                  <wp:extent cx="3420745" cy="5249545"/>
                  <wp:effectExtent l="0" t="0" r="5080"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3420745" cy="5249545"/>
                          </a:xfrm>
                          <a:prstGeom prst="rect">
                            <a:avLst/>
                          </a:prstGeom>
                          <a:noFill/>
                          <a:ln>
                            <a:noFill/>
                          </a:ln>
                        </pic:spPr>
                      </pic:pic>
                    </a:graphicData>
                  </a:graphic>
                </wp:inline>
              </w:drawing>
            </w:r>
          </w:p>
          <w:p w14:paraId="2F51A560">
            <w:pPr>
              <w:spacing w:line="360" w:lineRule="auto"/>
              <w:jc w:val="center"/>
              <w:rPr>
                <w:rStyle w:val="38"/>
                <w:b/>
                <w:bCs/>
                <w:kern w:val="0"/>
                <w:sz w:val="24"/>
              </w:rPr>
            </w:pPr>
            <w:r>
              <w:rPr>
                <w:b/>
                <w:bCs/>
              </w:rPr>
              <w:t>图</w:t>
            </w:r>
            <w:r>
              <w:rPr>
                <w:rFonts w:hint="eastAsia"/>
                <w:b/>
                <w:bCs/>
              </w:rPr>
              <w:t>2-</w:t>
            </w:r>
            <w:r>
              <w:rPr>
                <w:rFonts w:hint="eastAsia"/>
                <w:b/>
                <w:bCs/>
                <w:lang w:val="en-US" w:eastAsia="zh-CN"/>
              </w:rPr>
              <w:t>2</w:t>
            </w:r>
            <w:r>
              <w:rPr>
                <w:b/>
                <w:bCs/>
              </w:rPr>
              <w:t xml:space="preserve">  生产工艺流程及产污节点图</w:t>
            </w:r>
          </w:p>
          <w:p w14:paraId="5019CFEF">
            <w:pPr>
              <w:spacing w:line="360" w:lineRule="auto"/>
              <w:jc w:val="center"/>
              <w:rPr>
                <w:b/>
                <w:bCs/>
              </w:rPr>
            </w:pPr>
            <w:r>
              <w:rPr>
                <w:rStyle w:val="38"/>
                <w:rFonts w:hint="eastAsia"/>
                <w:b/>
                <w:bCs/>
                <w:kern w:val="0"/>
                <w:sz w:val="24"/>
              </w:rPr>
              <w:t>（G-废气，S-固废，N-噪声）</w:t>
            </w:r>
          </w:p>
          <w:p w14:paraId="0D5EEDCD">
            <w:pPr>
              <w:spacing w:line="360" w:lineRule="auto"/>
              <w:ind w:firstLine="480" w:firstLineChars="200"/>
              <w:jc w:val="left"/>
              <w:rPr>
                <w:rFonts w:hint="eastAsia" w:eastAsia="宋体"/>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下料：对原木进行加工，使用切头锯、平头锯、截断锯、圆木多片锯、圆木分片锯、锯板机、挖孔机等设备，按照订单要求，将原木切割成所需的尺寸和形状，该</w:t>
            </w:r>
            <w:r>
              <w:rPr>
                <w:rFonts w:hint="default" w:ascii="Times New Roman" w:hAnsi="Times New Roman" w:eastAsia="宋体"/>
                <w:b w:val="0"/>
                <w:color w:val="000000"/>
                <w:sz w:val="24"/>
                <w:szCs w:val="24"/>
              </w:rPr>
              <w:t>工序产生的污染物主要为</w:t>
            </w:r>
            <w:r>
              <w:rPr>
                <w:rFonts w:hint="eastAsia" w:ascii="Times New Roman" w:hAnsi="Times New Roman" w:eastAsia="宋体"/>
                <w:b w:val="0"/>
                <w:color w:val="000000"/>
                <w:sz w:val="24"/>
                <w:szCs w:val="24"/>
                <w:lang w:val="en-US" w:eastAsia="zh-CN"/>
              </w:rPr>
              <w:t>粉尘</w:t>
            </w:r>
            <w:r>
              <w:rPr>
                <w:rFonts w:hint="eastAsia" w:ascii="Times New Roman" w:hAnsi="Times New Roman" w:eastAsia="宋体"/>
                <w:b w:val="0"/>
                <w:color w:val="000000"/>
                <w:sz w:val="24"/>
                <w:szCs w:val="24"/>
              </w:rPr>
              <w:t>G1、</w:t>
            </w:r>
            <w:r>
              <w:rPr>
                <w:rFonts w:ascii="Times New Roman" w:hAnsi="Times New Roman" w:eastAsia="宋体"/>
                <w:b w:val="0"/>
                <w:color w:val="000000"/>
                <w:sz w:val="24"/>
                <w:szCs w:val="24"/>
              </w:rPr>
              <w:t>废边角料</w:t>
            </w:r>
            <w:r>
              <w:rPr>
                <w:rFonts w:hint="eastAsia" w:ascii="Times New Roman" w:hAnsi="Times New Roman" w:eastAsia="宋体"/>
                <w:b w:val="0"/>
                <w:color w:val="000000"/>
                <w:sz w:val="24"/>
                <w:szCs w:val="24"/>
              </w:rPr>
              <w:t>S1、</w:t>
            </w:r>
            <w:r>
              <w:rPr>
                <w:rFonts w:hint="eastAsia" w:ascii="Times New Roman" w:hAnsi="Times New Roman" w:eastAsia="宋体"/>
                <w:b w:val="0"/>
                <w:color w:val="000000"/>
                <w:sz w:val="24"/>
                <w:szCs w:val="24"/>
                <w:lang w:val="en-US" w:eastAsia="zh-CN"/>
              </w:rPr>
              <w:t>噪声</w:t>
            </w:r>
            <w:r>
              <w:rPr>
                <w:rFonts w:hint="eastAsia" w:ascii="Times New Roman" w:hAnsi="Times New Roman" w:eastAsia="宋体"/>
                <w:b w:val="0"/>
                <w:color w:val="000000"/>
                <w:sz w:val="24"/>
                <w:szCs w:val="24"/>
              </w:rPr>
              <w:t>N</w:t>
            </w:r>
            <w:r>
              <w:rPr>
                <w:rFonts w:hint="eastAsia"/>
                <w:color w:val="auto"/>
                <w:lang w:val="en-US" w:eastAsia="zh-CN"/>
              </w:rPr>
              <w:t>。</w:t>
            </w:r>
          </w:p>
          <w:p w14:paraId="789BEB20">
            <w:pPr>
              <w:spacing w:line="360" w:lineRule="auto"/>
              <w:ind w:firstLine="480" w:firstLineChars="200"/>
              <w:jc w:val="left"/>
              <w:rPr>
                <w:color w:val="FF0000"/>
              </w:rPr>
            </w:pPr>
            <w:r>
              <w:rPr>
                <w:color w:val="auto"/>
              </w:rPr>
              <w:t>（</w:t>
            </w:r>
            <w:r>
              <w:rPr>
                <w:rFonts w:hint="eastAsia"/>
                <w:color w:val="auto"/>
                <w:lang w:val="en-US" w:eastAsia="zh-CN"/>
              </w:rPr>
              <w:t>2</w:t>
            </w:r>
            <w:r>
              <w:rPr>
                <w:color w:val="auto"/>
              </w:rPr>
              <w:t>）</w:t>
            </w:r>
            <w:r>
              <w:rPr>
                <w:rFonts w:hint="eastAsia"/>
                <w:color w:val="auto"/>
                <w:lang w:val="en-US" w:eastAsia="zh-CN"/>
              </w:rPr>
              <w:t>烘干</w:t>
            </w:r>
            <w:r>
              <w:rPr>
                <w:color w:val="auto"/>
              </w:rPr>
              <w:t>：</w:t>
            </w:r>
            <w:r>
              <w:rPr>
                <w:rFonts w:hint="eastAsia"/>
                <w:color w:val="auto"/>
              </w:rPr>
              <w:t>烘干木</w:t>
            </w:r>
            <w:r>
              <w:rPr>
                <w:rFonts w:hint="eastAsia"/>
                <w:color w:val="auto"/>
                <w:lang w:val="en-US" w:eastAsia="zh-CN"/>
              </w:rPr>
              <w:t>料</w:t>
            </w:r>
            <w:r>
              <w:rPr>
                <w:rFonts w:hint="eastAsia"/>
                <w:color w:val="auto"/>
              </w:rPr>
              <w:t>的主要作用包括防止开裂和变形、提高力学强度、改善物理性能、提升加工效率、延长使用寿命</w:t>
            </w:r>
            <w:r>
              <w:rPr>
                <w:rFonts w:hint="eastAsia"/>
                <w:color w:val="auto"/>
                <w:lang w:eastAsia="zh-CN"/>
              </w:rPr>
              <w:t>。</w:t>
            </w:r>
            <w:r>
              <w:rPr>
                <w:rFonts w:hint="eastAsia"/>
                <w:color w:val="auto"/>
                <w:lang w:val="en-US" w:eastAsia="zh-CN"/>
              </w:rPr>
              <w:t>项目下料后对木料进行干燥处理。项目设置有2个烘干房，用电烘干，每个烘干房大小均为7m*6m*4.5m，每个烘干房内设置安装电烘干机2个，共4个，木料烘干时间在30min左右，烘干温度在55℃左右，</w:t>
            </w:r>
            <w:r>
              <w:rPr>
                <w:rFonts w:hint="eastAsia"/>
                <w:lang w:val="en-US" w:eastAsia="zh-CN"/>
              </w:rPr>
              <w:t>木材湿度控制在40%左右，</w:t>
            </w:r>
            <w:r>
              <w:rPr>
                <w:rFonts w:hint="eastAsia"/>
                <w:color w:val="auto"/>
                <w:lang w:val="en-US" w:eastAsia="zh-CN"/>
              </w:rPr>
              <w:t>该</w:t>
            </w:r>
            <w:r>
              <w:rPr>
                <w:rFonts w:hint="default" w:ascii="Times New Roman" w:hAnsi="Times New Roman" w:eastAsia="宋体"/>
                <w:b w:val="0"/>
                <w:color w:val="000000"/>
                <w:sz w:val="24"/>
                <w:szCs w:val="24"/>
              </w:rPr>
              <w:t>工序产生的污染物主要为</w:t>
            </w:r>
            <w:r>
              <w:rPr>
                <w:rFonts w:hint="eastAsia" w:ascii="Times New Roman" w:hAnsi="Times New Roman" w:eastAsia="宋体"/>
                <w:b w:val="0"/>
                <w:color w:val="000000"/>
                <w:sz w:val="24"/>
                <w:szCs w:val="24"/>
                <w:lang w:val="en-US" w:eastAsia="zh-CN"/>
              </w:rPr>
              <w:t>噪声</w:t>
            </w:r>
            <w:r>
              <w:rPr>
                <w:rFonts w:hint="eastAsia" w:ascii="Times New Roman" w:hAnsi="Times New Roman" w:eastAsia="宋体"/>
                <w:b w:val="0"/>
                <w:color w:val="000000"/>
                <w:sz w:val="24"/>
                <w:szCs w:val="24"/>
              </w:rPr>
              <w:t>N</w:t>
            </w:r>
            <w:r>
              <w:rPr>
                <w:rFonts w:hint="eastAsia"/>
                <w:color w:val="auto"/>
              </w:rPr>
              <w:t>。</w:t>
            </w:r>
          </w:p>
          <w:p w14:paraId="498927B1">
            <w:pPr>
              <w:spacing w:line="360" w:lineRule="auto"/>
              <w:ind w:firstLine="480" w:firstLineChars="200"/>
              <w:jc w:val="left"/>
              <w:rPr>
                <w:rFonts w:hint="eastAsia" w:eastAsia="宋体"/>
                <w:color w:val="auto"/>
                <w:lang w:val="en-US" w:eastAsia="zh-CN"/>
              </w:rPr>
            </w:pPr>
            <w:r>
              <w:rPr>
                <w:rFonts w:hint="eastAsia"/>
                <w:color w:val="auto"/>
              </w:rPr>
              <w:t>（</w:t>
            </w:r>
            <w:r>
              <w:rPr>
                <w:rFonts w:hint="eastAsia"/>
                <w:color w:val="auto"/>
                <w:lang w:val="en-US" w:eastAsia="zh-CN"/>
              </w:rPr>
              <w:t>3</w:t>
            </w:r>
            <w:r>
              <w:rPr>
                <w:rFonts w:hint="eastAsia"/>
                <w:color w:val="auto"/>
              </w:rPr>
              <w:t>）后处理（刨光/砂光）：</w:t>
            </w:r>
            <w:r>
              <w:rPr>
                <w:rFonts w:hint="eastAsia"/>
                <w:color w:val="auto"/>
                <w:lang w:val="en-US" w:eastAsia="zh-CN"/>
              </w:rPr>
              <w:t>干燥后对表面进行清洁处理。项目</w:t>
            </w:r>
            <w:r>
              <w:rPr>
                <w:rFonts w:hint="eastAsia"/>
                <w:color w:val="auto"/>
              </w:rPr>
              <w:t>使用</w:t>
            </w:r>
            <w:r>
              <w:rPr>
                <w:rFonts w:hint="eastAsia"/>
                <w:color w:val="auto"/>
                <w:lang w:val="en-US" w:eastAsia="zh-CN"/>
              </w:rPr>
              <w:t>刨面机、</w:t>
            </w:r>
            <w:r>
              <w:rPr>
                <w:rFonts w:hint="eastAsia"/>
                <w:color w:val="auto"/>
              </w:rPr>
              <w:t>砂光机对工件表面清洁，去除表面的瑕疵和不均匀的表面层，使制品表面更加光滑平整。项目刨光工序共有两道，分为一刨和二刨，项目进行一刨工序采用水喷淋湿法作业，二刨</w:t>
            </w:r>
            <w:r>
              <w:rPr>
                <w:rFonts w:hint="eastAsia"/>
                <w:color w:val="auto"/>
                <w:lang w:val="en-US" w:eastAsia="zh-CN"/>
              </w:rPr>
              <w:t>干法作业，设置布袋除尘器处理、排气筒排放，该</w:t>
            </w:r>
            <w:r>
              <w:rPr>
                <w:rFonts w:hint="default" w:ascii="Times New Roman" w:hAnsi="Times New Roman" w:eastAsia="宋体"/>
                <w:b w:val="0"/>
                <w:color w:val="000000"/>
                <w:sz w:val="24"/>
                <w:szCs w:val="24"/>
              </w:rPr>
              <w:t>工序产生的污染物主要为</w:t>
            </w:r>
            <w:r>
              <w:rPr>
                <w:rFonts w:hint="eastAsia" w:ascii="Times New Roman" w:hAnsi="Times New Roman" w:eastAsia="宋体"/>
                <w:b w:val="0"/>
                <w:color w:val="000000"/>
                <w:sz w:val="24"/>
                <w:szCs w:val="24"/>
                <w:lang w:val="en-US" w:eastAsia="zh-CN"/>
              </w:rPr>
              <w:t>粉尘</w:t>
            </w:r>
            <w:r>
              <w:rPr>
                <w:rFonts w:hint="eastAsia" w:ascii="Times New Roman" w:hAnsi="Times New Roman" w:eastAsia="宋体"/>
                <w:b w:val="0"/>
                <w:color w:val="000000"/>
                <w:sz w:val="24"/>
                <w:szCs w:val="24"/>
              </w:rPr>
              <w:t>G</w:t>
            </w:r>
            <w:r>
              <w:rPr>
                <w:rFonts w:hint="eastAsia" w:ascii="Times New Roman" w:hAnsi="Times New Roman" w:eastAsia="宋体"/>
                <w:b w:val="0"/>
                <w:color w:val="000000"/>
                <w:sz w:val="24"/>
                <w:szCs w:val="24"/>
                <w:lang w:val="en-US" w:eastAsia="zh-CN"/>
              </w:rPr>
              <w:t>2</w:t>
            </w:r>
            <w:r>
              <w:rPr>
                <w:rFonts w:hint="eastAsia" w:ascii="Times New Roman" w:hAnsi="Times New Roman" w:eastAsia="宋体"/>
                <w:b w:val="0"/>
                <w:color w:val="000000"/>
                <w:sz w:val="24"/>
                <w:szCs w:val="24"/>
              </w:rPr>
              <w:t>、</w:t>
            </w:r>
            <w:r>
              <w:rPr>
                <w:rFonts w:ascii="Times New Roman" w:hAnsi="Times New Roman" w:eastAsia="宋体"/>
                <w:b w:val="0"/>
                <w:color w:val="000000"/>
                <w:sz w:val="24"/>
                <w:szCs w:val="24"/>
              </w:rPr>
              <w:t>废边角料</w:t>
            </w:r>
            <w:r>
              <w:rPr>
                <w:rFonts w:hint="eastAsia" w:ascii="Times New Roman" w:hAnsi="Times New Roman" w:eastAsia="宋体"/>
                <w:b w:val="0"/>
                <w:color w:val="000000"/>
                <w:sz w:val="24"/>
                <w:szCs w:val="24"/>
              </w:rPr>
              <w:t>S</w:t>
            </w:r>
            <w:r>
              <w:rPr>
                <w:rFonts w:hint="eastAsia" w:ascii="Times New Roman" w:hAnsi="Times New Roman" w:eastAsia="宋体"/>
                <w:b w:val="0"/>
                <w:color w:val="000000"/>
                <w:sz w:val="24"/>
                <w:szCs w:val="24"/>
                <w:lang w:val="en-US" w:eastAsia="zh-CN"/>
              </w:rPr>
              <w:t>2</w:t>
            </w:r>
            <w:r>
              <w:rPr>
                <w:rFonts w:hint="eastAsia" w:ascii="Times New Roman" w:hAnsi="Times New Roman" w:eastAsia="宋体"/>
                <w:b w:val="0"/>
                <w:color w:val="000000"/>
                <w:sz w:val="24"/>
                <w:szCs w:val="24"/>
              </w:rPr>
              <w:t>、</w:t>
            </w:r>
            <w:r>
              <w:rPr>
                <w:rFonts w:hint="eastAsia" w:ascii="Times New Roman" w:hAnsi="Times New Roman" w:eastAsia="宋体"/>
                <w:b w:val="0"/>
                <w:color w:val="000000"/>
                <w:sz w:val="24"/>
                <w:szCs w:val="24"/>
                <w:lang w:val="en-US" w:eastAsia="zh-CN"/>
              </w:rPr>
              <w:t>噪声</w:t>
            </w:r>
            <w:r>
              <w:rPr>
                <w:rFonts w:hint="eastAsia" w:ascii="Times New Roman" w:hAnsi="Times New Roman" w:eastAsia="宋体"/>
                <w:b w:val="0"/>
                <w:color w:val="000000"/>
                <w:sz w:val="24"/>
                <w:szCs w:val="24"/>
              </w:rPr>
              <w:t>N</w:t>
            </w:r>
            <w:r>
              <w:rPr>
                <w:rFonts w:hint="eastAsia" w:ascii="Times New Roman" w:hAnsi="Times New Roman" w:eastAsia="宋体"/>
                <w:b w:val="0"/>
                <w:color w:val="000000"/>
                <w:sz w:val="24"/>
                <w:szCs w:val="24"/>
                <w:lang w:eastAsia="zh-CN"/>
              </w:rPr>
              <w:t>。</w:t>
            </w:r>
          </w:p>
          <w:p w14:paraId="67049176">
            <w:pPr>
              <w:spacing w:line="360" w:lineRule="auto"/>
              <w:ind w:firstLine="480" w:firstLineChars="200"/>
              <w:jc w:val="left"/>
              <w:rPr>
                <w:color w:val="000000" w:themeColor="text1"/>
                <w14:textFill>
                  <w14:solidFill>
                    <w14:schemeClr w14:val="tx1"/>
                  </w14:solidFill>
                </w14:textFill>
              </w:rPr>
            </w:pPr>
            <w:r>
              <w:rPr>
                <w:rFonts w:hint="eastAsia"/>
                <w:color w:val="auto"/>
              </w:rPr>
              <w:t>（</w:t>
            </w:r>
            <w:r>
              <w:rPr>
                <w:rFonts w:hint="eastAsia"/>
                <w:color w:val="auto"/>
                <w:lang w:val="en-US" w:eastAsia="zh-CN"/>
              </w:rPr>
              <w:t>4</w:t>
            </w:r>
            <w:r>
              <w:rPr>
                <w:rFonts w:hint="eastAsia"/>
                <w:color w:val="auto"/>
              </w:rPr>
              <w:t>）</w:t>
            </w:r>
            <w:r>
              <w:rPr>
                <w:rFonts w:hint="eastAsia"/>
                <w:color w:val="auto"/>
                <w:lang w:val="en-US" w:eastAsia="zh-CN"/>
              </w:rPr>
              <w:t>检测</w:t>
            </w:r>
            <w:r>
              <w:rPr>
                <w:rFonts w:hint="eastAsia"/>
                <w:color w:val="auto"/>
              </w:rPr>
              <w:t>：</w:t>
            </w:r>
            <w:r>
              <w:rPr>
                <w:rFonts w:hint="eastAsia"/>
                <w:color w:val="auto"/>
                <w:lang w:val="en-US" w:eastAsia="zh-CN"/>
              </w:rPr>
              <w:t>人工检测</w:t>
            </w:r>
            <w:r>
              <w:rPr>
                <w:rFonts w:hint="eastAsia"/>
                <w:color w:val="000000" w:themeColor="text1"/>
                <w:lang w:val="en-US" w:eastAsia="zh-CN"/>
                <w14:textFill>
                  <w14:solidFill>
                    <w14:schemeClr w14:val="tx1"/>
                  </w14:solidFill>
                </w14:textFill>
              </w:rPr>
              <w:t>，主要进行平面度检测、清洁度检测‌，根据检测结果对半成品进行分级。半成品根据分级不同分类存放</w:t>
            </w:r>
            <w:r>
              <w:rPr>
                <w:rFonts w:hint="eastAsia"/>
                <w:color w:val="000000" w:themeColor="text1"/>
                <w14:textFill>
                  <w14:solidFill>
                    <w14:schemeClr w14:val="tx1"/>
                  </w14:solidFill>
                </w14:textFill>
              </w:rPr>
              <w:t>。该工序</w:t>
            </w:r>
            <w:r>
              <w:rPr>
                <w:rFonts w:hint="eastAsia"/>
                <w:color w:val="000000" w:themeColor="text1"/>
                <w:lang w:val="en-US" w:eastAsia="zh-CN"/>
                <w14:textFill>
                  <w14:solidFill>
                    <w14:schemeClr w14:val="tx1"/>
                  </w14:solidFill>
                </w14:textFill>
              </w:rPr>
              <w:t>不</w:t>
            </w:r>
            <w:r>
              <w:rPr>
                <w:rFonts w:hint="eastAsia"/>
                <w:color w:val="000000" w:themeColor="text1"/>
                <w14:textFill>
                  <w14:solidFill>
                    <w14:schemeClr w14:val="tx1"/>
                  </w14:solidFill>
                </w14:textFill>
              </w:rPr>
              <w:t>产生污染物。</w:t>
            </w:r>
          </w:p>
          <w:p w14:paraId="5E22D2AD">
            <w:pPr>
              <w:spacing w:line="360" w:lineRule="auto"/>
              <w:ind w:firstLine="480" w:firstLineChars="200"/>
              <w:jc w:val="left"/>
              <w:rPr>
                <w:rFonts w:hint="default" w:eastAsia="宋体"/>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组装钉钉：将同一层级的</w:t>
            </w:r>
            <w:r>
              <w:rPr>
                <w:rFonts w:hint="eastAsia"/>
                <w:color w:val="000000" w:themeColor="text1"/>
                <w:lang w:val="en-US" w:eastAsia="zh-CN"/>
                <w14:textFill>
                  <w14:solidFill>
                    <w14:schemeClr w14:val="tx1"/>
                  </w14:solidFill>
                </w14:textFill>
              </w:rPr>
              <w:t>半成品进行组装，使用钉托盘机作业，得到成品木托盘</w:t>
            </w:r>
            <w:r>
              <w:rPr>
                <w:rFonts w:hint="eastAsia"/>
                <w:color w:val="auto"/>
                <w:lang w:val="en-US" w:eastAsia="zh-CN"/>
              </w:rPr>
              <w:t>，该</w:t>
            </w:r>
            <w:r>
              <w:rPr>
                <w:rFonts w:hint="default" w:ascii="Times New Roman" w:hAnsi="Times New Roman" w:eastAsia="宋体"/>
                <w:b w:val="0"/>
                <w:color w:val="000000"/>
                <w:sz w:val="24"/>
                <w:szCs w:val="24"/>
              </w:rPr>
              <w:t>工序产生的污染物主要为</w:t>
            </w:r>
            <w:r>
              <w:rPr>
                <w:rFonts w:ascii="Times New Roman" w:hAnsi="Times New Roman" w:eastAsia="宋体"/>
                <w:b w:val="0"/>
                <w:color w:val="000000"/>
                <w:sz w:val="24"/>
                <w:szCs w:val="24"/>
              </w:rPr>
              <w:t>废</w:t>
            </w:r>
            <w:r>
              <w:rPr>
                <w:rFonts w:hint="eastAsia" w:ascii="Times New Roman" w:hAnsi="Times New Roman" w:eastAsia="宋体"/>
                <w:b w:val="0"/>
                <w:color w:val="000000"/>
                <w:sz w:val="24"/>
                <w:szCs w:val="24"/>
                <w:lang w:val="en-US" w:eastAsia="zh-CN"/>
              </w:rPr>
              <w:t>包装物</w:t>
            </w:r>
            <w:r>
              <w:rPr>
                <w:rFonts w:hint="eastAsia" w:ascii="Times New Roman" w:hAnsi="Times New Roman" w:eastAsia="宋体"/>
                <w:b w:val="0"/>
                <w:color w:val="000000"/>
                <w:sz w:val="24"/>
                <w:szCs w:val="24"/>
              </w:rPr>
              <w:t>S</w:t>
            </w:r>
            <w:r>
              <w:rPr>
                <w:rFonts w:hint="eastAsia" w:ascii="Times New Roman" w:hAnsi="Times New Roman" w:eastAsia="宋体"/>
                <w:b w:val="0"/>
                <w:color w:val="000000"/>
                <w:sz w:val="24"/>
                <w:szCs w:val="24"/>
                <w:lang w:val="en-US" w:eastAsia="zh-CN"/>
              </w:rPr>
              <w:t>3</w:t>
            </w:r>
            <w:r>
              <w:rPr>
                <w:rFonts w:hint="eastAsia" w:ascii="Times New Roman" w:hAnsi="Times New Roman" w:eastAsia="宋体"/>
                <w:b w:val="0"/>
                <w:color w:val="000000"/>
                <w:sz w:val="24"/>
                <w:szCs w:val="24"/>
              </w:rPr>
              <w:t>、</w:t>
            </w:r>
            <w:r>
              <w:rPr>
                <w:rFonts w:hint="eastAsia" w:ascii="Times New Roman" w:hAnsi="Times New Roman" w:eastAsia="宋体"/>
                <w:b w:val="0"/>
                <w:color w:val="000000"/>
                <w:sz w:val="24"/>
                <w:szCs w:val="24"/>
                <w:lang w:val="en-US" w:eastAsia="zh-CN"/>
              </w:rPr>
              <w:t>噪声</w:t>
            </w:r>
            <w:r>
              <w:rPr>
                <w:rFonts w:hint="eastAsia" w:ascii="Times New Roman" w:hAnsi="Times New Roman" w:eastAsia="宋体"/>
                <w:b w:val="0"/>
                <w:color w:val="000000"/>
                <w:sz w:val="24"/>
                <w:szCs w:val="24"/>
              </w:rPr>
              <w:t>N</w:t>
            </w:r>
            <w:r>
              <w:rPr>
                <w:rFonts w:hint="eastAsia"/>
                <w:color w:val="auto"/>
                <w:lang w:eastAsia="zh-CN"/>
              </w:rPr>
              <w:t>。</w:t>
            </w:r>
          </w:p>
          <w:p w14:paraId="0AF936F5">
            <w:pPr>
              <w:adjustRightInd w:val="0"/>
              <w:snapToGrid w:val="0"/>
              <w:jc w:val="center"/>
              <w:rPr>
                <w:rFonts w:ascii="Times New Roman" w:hAnsi="Times New Roman" w:eastAsia="宋体" w:cs="Times New Roman"/>
                <w:b/>
                <w:sz w:val="24"/>
                <w:szCs w:val="21"/>
              </w:rPr>
            </w:pPr>
            <w:r>
              <w:rPr>
                <w:rFonts w:hint="eastAsia" w:ascii="Times New Roman" w:hAnsi="Times New Roman" w:eastAsia="宋体" w:cs="Times New Roman"/>
                <w:b/>
                <w:sz w:val="24"/>
                <w:szCs w:val="21"/>
              </w:rPr>
              <w:t>表2</w:t>
            </w:r>
            <w:r>
              <w:rPr>
                <w:rFonts w:hint="eastAsia" w:cs="Times New Roman"/>
                <w:b/>
                <w:sz w:val="24"/>
                <w:szCs w:val="21"/>
                <w:lang w:val="en-US" w:eastAsia="zh-CN"/>
              </w:rPr>
              <w:t>-6</w:t>
            </w:r>
            <w:r>
              <w:rPr>
                <w:rFonts w:ascii="Times New Roman" w:hAnsi="Times New Roman" w:eastAsia="宋体" w:cs="Times New Roman"/>
                <w:b/>
                <w:sz w:val="24"/>
                <w:szCs w:val="21"/>
              </w:rPr>
              <w:t xml:space="preserve"> </w:t>
            </w:r>
            <w:r>
              <w:rPr>
                <w:rFonts w:hint="eastAsia" w:ascii="Times New Roman" w:hAnsi="Times New Roman" w:eastAsia="宋体" w:cs="Times New Roman"/>
                <w:b/>
                <w:sz w:val="24"/>
                <w:szCs w:val="21"/>
              </w:rPr>
              <w:t>产污环节一览表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323"/>
              <w:gridCol w:w="2109"/>
              <w:gridCol w:w="2145"/>
              <w:gridCol w:w="1376"/>
            </w:tblGrid>
            <w:tr w14:paraId="3EFF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noWrap w:val="0"/>
                  <w:vAlign w:val="center"/>
                </w:tcPr>
                <w:p w14:paraId="5A891999">
                  <w:pPr>
                    <w:jc w:val="center"/>
                    <w:rPr>
                      <w:rFonts w:hint="eastAsia"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项目</w:t>
                  </w:r>
                </w:p>
              </w:tc>
              <w:tc>
                <w:tcPr>
                  <w:tcW w:w="1323" w:type="dxa"/>
                  <w:noWrap w:val="0"/>
                  <w:vAlign w:val="center"/>
                </w:tcPr>
                <w:p w14:paraId="54501BCD">
                  <w:pPr>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产</w:t>
                  </w:r>
                  <w:r>
                    <w:rPr>
                      <w:rFonts w:hint="eastAsia" w:ascii="Times New Roman" w:hAnsi="Times New Roman" w:eastAsia="宋体" w:cs="Times New Roman"/>
                      <w:b/>
                      <w:sz w:val="21"/>
                      <w:szCs w:val="21"/>
                      <w:lang w:val="en-US" w:eastAsia="zh-CN"/>
                    </w:rPr>
                    <w:t>污</w:t>
                  </w:r>
                  <w:r>
                    <w:rPr>
                      <w:rFonts w:hint="eastAsia" w:ascii="Times New Roman" w:hAnsi="Times New Roman" w:eastAsia="宋体" w:cs="Times New Roman"/>
                      <w:b/>
                      <w:sz w:val="21"/>
                      <w:szCs w:val="21"/>
                    </w:rPr>
                    <w:t>环节</w:t>
                  </w:r>
                </w:p>
              </w:tc>
              <w:tc>
                <w:tcPr>
                  <w:tcW w:w="2109" w:type="dxa"/>
                  <w:noWrap w:val="0"/>
                  <w:vAlign w:val="center"/>
                </w:tcPr>
                <w:p w14:paraId="59A5E9D2">
                  <w:pPr>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污染因子</w:t>
                  </w:r>
                </w:p>
              </w:tc>
              <w:tc>
                <w:tcPr>
                  <w:tcW w:w="2145" w:type="dxa"/>
                  <w:noWrap w:val="0"/>
                  <w:vAlign w:val="center"/>
                </w:tcPr>
                <w:p w14:paraId="0B7C1927">
                  <w:pPr>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处理措施</w:t>
                  </w:r>
                </w:p>
              </w:tc>
              <w:tc>
                <w:tcPr>
                  <w:tcW w:w="1376" w:type="dxa"/>
                  <w:noWrap w:val="0"/>
                  <w:vAlign w:val="center"/>
                </w:tcPr>
                <w:p w14:paraId="201325AF">
                  <w:pPr>
                    <w:jc w:val="center"/>
                    <w:rPr>
                      <w:rFonts w:hint="eastAsia"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排放去向</w:t>
                  </w:r>
                </w:p>
              </w:tc>
            </w:tr>
            <w:tr w14:paraId="03FB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restart"/>
                  <w:noWrap w:val="0"/>
                  <w:vAlign w:val="center"/>
                </w:tcPr>
                <w:p w14:paraId="5761F14C">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废气</w:t>
                  </w:r>
                </w:p>
              </w:tc>
              <w:tc>
                <w:tcPr>
                  <w:tcW w:w="1323" w:type="dxa"/>
                  <w:noWrap w:val="0"/>
                  <w:vAlign w:val="center"/>
                </w:tcPr>
                <w:p w14:paraId="62AB64D9">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下料</w:t>
                  </w:r>
                </w:p>
              </w:tc>
              <w:tc>
                <w:tcPr>
                  <w:tcW w:w="2109" w:type="dxa"/>
                  <w:noWrap w:val="0"/>
                  <w:vAlign w:val="center"/>
                </w:tcPr>
                <w:p w14:paraId="22C5DE9E">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rPr>
                    <w:t>颗粒物</w:t>
                  </w:r>
                </w:p>
              </w:tc>
              <w:tc>
                <w:tcPr>
                  <w:tcW w:w="2145" w:type="dxa"/>
                  <w:vMerge w:val="restart"/>
                  <w:noWrap w:val="0"/>
                  <w:vAlign w:val="center"/>
                </w:tcPr>
                <w:p w14:paraId="1F084759">
                  <w:pPr>
                    <w:jc w:val="center"/>
                    <w:rPr>
                      <w:rFonts w:hint="default" w:ascii="Times New Roman" w:hAnsi="Times New Roman" w:eastAsia="宋体" w:cs="Times New Roman"/>
                      <w:bCs/>
                      <w:color w:val="auto"/>
                      <w:sz w:val="21"/>
                      <w:szCs w:val="21"/>
                      <w:lang w:val="en-US" w:eastAsia="zh-CN"/>
                    </w:rPr>
                  </w:pPr>
                  <w:r>
                    <w:rPr>
                      <w:rFonts w:ascii="Times New Roman" w:hAnsi="Times New Roman" w:eastAsia="宋体" w:cs="Times New Roman"/>
                      <w:color w:val="000000"/>
                      <w:sz w:val="21"/>
                      <w:szCs w:val="21"/>
                    </w:rPr>
                    <w:t>集气罩收集后进入</w:t>
                  </w:r>
                  <w:r>
                    <w:rPr>
                      <w:rFonts w:hint="eastAsia" w:ascii="Times New Roman" w:hAnsi="Times New Roman" w:eastAsia="宋体" w:cs="Times New Roman"/>
                      <w:color w:val="000000"/>
                      <w:sz w:val="21"/>
                      <w:szCs w:val="21"/>
                      <w:lang w:val="en-US" w:eastAsia="zh-CN"/>
                    </w:rPr>
                    <w:t>布袋除尘器</w:t>
                  </w:r>
                  <w:r>
                    <w:rPr>
                      <w:rFonts w:ascii="Times New Roman" w:hAnsi="Times New Roman" w:eastAsia="宋体" w:cs="Times New Roman"/>
                      <w:color w:val="000000"/>
                      <w:sz w:val="21"/>
                      <w:szCs w:val="21"/>
                    </w:rPr>
                    <w:t>处理</w:t>
                  </w:r>
                </w:p>
              </w:tc>
              <w:tc>
                <w:tcPr>
                  <w:tcW w:w="1376" w:type="dxa"/>
                  <w:vMerge w:val="restart"/>
                  <w:noWrap w:val="0"/>
                  <w:vAlign w:val="center"/>
                </w:tcPr>
                <w:p w14:paraId="65E721AB">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DA001</w:t>
                  </w:r>
                </w:p>
              </w:tc>
            </w:tr>
            <w:tr w14:paraId="4DC0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noWrap w:val="0"/>
                  <w:vAlign w:val="center"/>
                </w:tcPr>
                <w:p w14:paraId="61806BAA">
                  <w:pPr>
                    <w:jc w:val="center"/>
                    <w:rPr>
                      <w:rFonts w:hint="eastAsia" w:ascii="Times New Roman" w:hAnsi="Times New Roman" w:eastAsia="宋体" w:cs="Times New Roman"/>
                      <w:bCs/>
                      <w:sz w:val="21"/>
                      <w:szCs w:val="21"/>
                    </w:rPr>
                  </w:pPr>
                </w:p>
              </w:tc>
              <w:tc>
                <w:tcPr>
                  <w:tcW w:w="1323" w:type="dxa"/>
                  <w:noWrap w:val="0"/>
                  <w:vAlign w:val="center"/>
                </w:tcPr>
                <w:p w14:paraId="5FF2FD13">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刨光/砂光</w:t>
                  </w:r>
                </w:p>
              </w:tc>
              <w:tc>
                <w:tcPr>
                  <w:tcW w:w="2109" w:type="dxa"/>
                  <w:noWrap w:val="0"/>
                  <w:vAlign w:val="center"/>
                </w:tcPr>
                <w:p w14:paraId="0D58650B">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rPr>
                    <w:t>颗粒物</w:t>
                  </w:r>
                </w:p>
              </w:tc>
              <w:tc>
                <w:tcPr>
                  <w:tcW w:w="2145" w:type="dxa"/>
                  <w:vMerge w:val="continue"/>
                  <w:noWrap w:val="0"/>
                  <w:vAlign w:val="center"/>
                </w:tcPr>
                <w:p w14:paraId="17E43793">
                  <w:pPr>
                    <w:jc w:val="center"/>
                    <w:rPr>
                      <w:rFonts w:hint="eastAsia" w:ascii="Times New Roman" w:hAnsi="Times New Roman" w:eastAsia="宋体" w:cs="Times New Roman"/>
                      <w:bCs/>
                      <w:color w:val="auto"/>
                      <w:sz w:val="21"/>
                      <w:szCs w:val="21"/>
                      <w:lang w:val="en-US" w:eastAsia="zh-CN"/>
                    </w:rPr>
                  </w:pPr>
                </w:p>
              </w:tc>
              <w:tc>
                <w:tcPr>
                  <w:tcW w:w="1376" w:type="dxa"/>
                  <w:vMerge w:val="continue"/>
                  <w:noWrap w:val="0"/>
                  <w:vAlign w:val="center"/>
                </w:tcPr>
                <w:p w14:paraId="42F575B8">
                  <w:pPr>
                    <w:jc w:val="center"/>
                    <w:rPr>
                      <w:rFonts w:hint="default" w:ascii="Times New Roman" w:hAnsi="Times New Roman" w:eastAsia="宋体" w:cs="Times New Roman"/>
                      <w:bCs/>
                      <w:color w:val="auto"/>
                      <w:sz w:val="21"/>
                      <w:szCs w:val="21"/>
                      <w:lang w:val="en-US" w:eastAsia="zh-CN"/>
                    </w:rPr>
                  </w:pPr>
                </w:p>
              </w:tc>
            </w:tr>
            <w:tr w14:paraId="76ED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noWrap w:val="0"/>
                  <w:vAlign w:val="center"/>
                </w:tcPr>
                <w:p w14:paraId="38A4574F">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废水</w:t>
                  </w:r>
                </w:p>
              </w:tc>
              <w:tc>
                <w:tcPr>
                  <w:tcW w:w="1323" w:type="dxa"/>
                  <w:noWrap w:val="0"/>
                  <w:vAlign w:val="center"/>
                </w:tcPr>
                <w:p w14:paraId="4BE59EE7">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生活污水</w:t>
                  </w:r>
                </w:p>
              </w:tc>
              <w:tc>
                <w:tcPr>
                  <w:tcW w:w="2109" w:type="dxa"/>
                  <w:noWrap w:val="0"/>
                  <w:vAlign w:val="center"/>
                </w:tcPr>
                <w:p w14:paraId="7F7A53CB">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p</w:t>
                  </w:r>
                  <w:r>
                    <w:rPr>
                      <w:rFonts w:ascii="Times New Roman" w:hAnsi="Times New Roman" w:eastAsia="宋体" w:cs="Times New Roman"/>
                      <w:bCs/>
                      <w:sz w:val="21"/>
                      <w:szCs w:val="21"/>
                    </w:rPr>
                    <w:t>H</w:t>
                  </w:r>
                  <w:r>
                    <w:rPr>
                      <w:rFonts w:hint="eastAsia" w:ascii="Times New Roman" w:hAnsi="Times New Roman" w:eastAsia="宋体" w:cs="Times New Roman"/>
                      <w:bCs/>
                      <w:sz w:val="21"/>
                      <w:szCs w:val="21"/>
                    </w:rPr>
                    <w:t>、C</w:t>
                  </w:r>
                  <w:r>
                    <w:rPr>
                      <w:rFonts w:ascii="Times New Roman" w:hAnsi="Times New Roman" w:eastAsia="宋体" w:cs="Times New Roman"/>
                      <w:bCs/>
                      <w:sz w:val="21"/>
                      <w:szCs w:val="21"/>
                    </w:rPr>
                    <w:t>OD</w:t>
                  </w:r>
                  <w:r>
                    <w:rPr>
                      <w:rFonts w:hint="eastAsia" w:ascii="Times New Roman" w:hAnsi="Times New Roman" w:eastAsia="宋体" w:cs="Times New Roman"/>
                      <w:bCs/>
                      <w:sz w:val="21"/>
                      <w:szCs w:val="21"/>
                    </w:rPr>
                    <w:t>、B</w:t>
                  </w:r>
                  <w:r>
                    <w:rPr>
                      <w:rFonts w:ascii="Times New Roman" w:hAnsi="Times New Roman" w:eastAsia="宋体" w:cs="Times New Roman"/>
                      <w:bCs/>
                      <w:sz w:val="21"/>
                      <w:szCs w:val="21"/>
                    </w:rPr>
                    <w:t>OD</w:t>
                  </w:r>
                  <w:r>
                    <w:rPr>
                      <w:rFonts w:ascii="Times New Roman" w:hAnsi="Times New Roman" w:eastAsia="宋体" w:cs="Times New Roman"/>
                      <w:bCs/>
                      <w:sz w:val="21"/>
                      <w:szCs w:val="21"/>
                      <w:vertAlign w:val="subscript"/>
                    </w:rPr>
                    <w:t>5</w:t>
                  </w:r>
                  <w:r>
                    <w:rPr>
                      <w:rFonts w:hint="eastAsia" w:ascii="Times New Roman" w:hAnsi="Times New Roman" w:eastAsia="宋体" w:cs="Times New Roman"/>
                      <w:bCs/>
                      <w:sz w:val="21"/>
                      <w:szCs w:val="21"/>
                    </w:rPr>
                    <w:t>、S</w:t>
                  </w:r>
                  <w:r>
                    <w:rPr>
                      <w:rFonts w:ascii="Times New Roman" w:hAnsi="Times New Roman" w:eastAsia="宋体" w:cs="Times New Roman"/>
                      <w:bCs/>
                      <w:sz w:val="21"/>
                      <w:szCs w:val="21"/>
                    </w:rPr>
                    <w:t>S</w:t>
                  </w:r>
                  <w:r>
                    <w:rPr>
                      <w:rFonts w:hint="eastAsia" w:ascii="Times New Roman" w:hAnsi="Times New Roman" w:eastAsia="宋体" w:cs="Times New Roman"/>
                      <w:bCs/>
                      <w:sz w:val="21"/>
                      <w:szCs w:val="21"/>
                    </w:rPr>
                    <w:t>、N</w:t>
                  </w:r>
                  <w:r>
                    <w:rPr>
                      <w:rFonts w:ascii="Times New Roman" w:hAnsi="Times New Roman" w:eastAsia="宋体" w:cs="Times New Roman"/>
                      <w:bCs/>
                      <w:sz w:val="21"/>
                      <w:szCs w:val="21"/>
                    </w:rPr>
                    <w:t>H</w:t>
                  </w:r>
                  <w:r>
                    <w:rPr>
                      <w:rFonts w:ascii="Times New Roman" w:hAnsi="Times New Roman" w:eastAsia="宋体" w:cs="Times New Roman"/>
                      <w:bCs/>
                      <w:sz w:val="21"/>
                      <w:szCs w:val="21"/>
                      <w:vertAlign w:val="subscript"/>
                    </w:rPr>
                    <w:t>3</w:t>
                  </w:r>
                  <w:r>
                    <w:rPr>
                      <w:rFonts w:ascii="Times New Roman" w:hAnsi="Times New Roman" w:eastAsia="宋体" w:cs="Times New Roman"/>
                      <w:bCs/>
                      <w:sz w:val="21"/>
                      <w:szCs w:val="21"/>
                    </w:rPr>
                    <w:t>-N</w:t>
                  </w:r>
                </w:p>
              </w:tc>
              <w:tc>
                <w:tcPr>
                  <w:tcW w:w="2145" w:type="dxa"/>
                  <w:noWrap w:val="0"/>
                  <w:vAlign w:val="center"/>
                </w:tcPr>
                <w:p w14:paraId="65C9328C">
                  <w:pPr>
                    <w:jc w:val="center"/>
                    <w:rPr>
                      <w:rFonts w:hint="eastAsia" w:ascii="Times New Roman" w:hAnsi="Times New Roman" w:eastAsia="宋体" w:cs="Times New Roman"/>
                      <w:bCs/>
                      <w:sz w:val="21"/>
                      <w:szCs w:val="21"/>
                      <w:lang w:eastAsia="zh-CN"/>
                    </w:rPr>
                  </w:pPr>
                  <w:r>
                    <w:rPr>
                      <w:rFonts w:hint="eastAsia" w:ascii="Times New Roman" w:hAnsi="Times New Roman" w:eastAsia="宋体" w:cs="宋体"/>
                      <w:kern w:val="0"/>
                      <w:sz w:val="21"/>
                      <w:szCs w:val="21"/>
                    </w:rPr>
                    <w:t>化粪池</w:t>
                  </w:r>
                </w:p>
              </w:tc>
              <w:tc>
                <w:tcPr>
                  <w:tcW w:w="1376" w:type="dxa"/>
                  <w:noWrap w:val="0"/>
                  <w:vAlign w:val="center"/>
                </w:tcPr>
                <w:p w14:paraId="4C39E5D6">
                  <w:pPr>
                    <w:jc w:val="center"/>
                    <w:rPr>
                      <w:rFonts w:hint="eastAsia" w:ascii="Times New Roman" w:hAnsi="Times New Roman" w:eastAsia="宋体" w:cs="宋体"/>
                      <w:kern w:val="0"/>
                      <w:sz w:val="21"/>
                      <w:szCs w:val="21"/>
                    </w:rPr>
                  </w:pPr>
                  <w:r>
                    <w:rPr>
                      <w:rFonts w:hint="eastAsia" w:ascii="Times New Roman" w:hAnsi="Times New Roman" w:eastAsia="宋体" w:cs="Times New Roman"/>
                      <w:sz w:val="21"/>
                      <w:szCs w:val="21"/>
                      <w:lang w:val="en-US" w:eastAsia="zh-CN"/>
                    </w:rPr>
                    <w:t>泗县工业污水处理厂</w:t>
                  </w:r>
                </w:p>
              </w:tc>
            </w:tr>
            <w:tr w14:paraId="3BCD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noWrap w:val="0"/>
                  <w:vAlign w:val="center"/>
                </w:tcPr>
                <w:p w14:paraId="693FD527">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噪声</w:t>
                  </w:r>
                </w:p>
              </w:tc>
              <w:tc>
                <w:tcPr>
                  <w:tcW w:w="1323" w:type="dxa"/>
                  <w:noWrap w:val="0"/>
                  <w:vAlign w:val="center"/>
                </w:tcPr>
                <w:p w14:paraId="7FF4D651">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设备运转</w:t>
                  </w:r>
                </w:p>
              </w:tc>
              <w:tc>
                <w:tcPr>
                  <w:tcW w:w="2109" w:type="dxa"/>
                  <w:noWrap w:val="0"/>
                  <w:vAlign w:val="center"/>
                </w:tcPr>
                <w:p w14:paraId="540F2CC7">
                  <w:pPr>
                    <w:jc w:val="center"/>
                    <w:rPr>
                      <w:rFonts w:ascii="Times New Roman" w:hAnsi="Times New Roman" w:eastAsia="宋体" w:cs="Times New Roman"/>
                      <w:bCs/>
                      <w:sz w:val="21"/>
                      <w:szCs w:val="21"/>
                    </w:rPr>
                  </w:pPr>
                  <w:r>
                    <w:rPr>
                      <w:rFonts w:ascii="Times New Roman" w:hAnsi="Times New Roman" w:eastAsia="宋体" w:cs="Times New Roman"/>
                      <w:sz w:val="21"/>
                      <w:szCs w:val="21"/>
                    </w:rPr>
                    <w:t>噪声</w:t>
                  </w:r>
                </w:p>
              </w:tc>
              <w:tc>
                <w:tcPr>
                  <w:tcW w:w="2145" w:type="dxa"/>
                  <w:noWrap w:val="0"/>
                  <w:vAlign w:val="center"/>
                </w:tcPr>
                <w:p w14:paraId="6968ADBF">
                  <w:pPr>
                    <w:jc w:val="center"/>
                    <w:rPr>
                      <w:rFonts w:ascii="Times New Roman" w:hAnsi="Times New Roman" w:eastAsia="宋体" w:cs="Times New Roman"/>
                      <w:bCs/>
                      <w:sz w:val="21"/>
                      <w:szCs w:val="21"/>
                    </w:rPr>
                  </w:pPr>
                  <w:r>
                    <w:rPr>
                      <w:rFonts w:ascii="Times New Roman" w:hAnsi="Times New Roman" w:eastAsia="宋体" w:cs="Times New Roman"/>
                      <w:sz w:val="21"/>
                      <w:szCs w:val="21"/>
                    </w:rPr>
                    <w:t>选用低噪声设备，并安装减振垫</w:t>
                  </w:r>
                </w:p>
              </w:tc>
              <w:tc>
                <w:tcPr>
                  <w:tcW w:w="1376" w:type="dxa"/>
                  <w:noWrap w:val="0"/>
                  <w:vAlign w:val="center"/>
                </w:tcPr>
                <w:p w14:paraId="329299D4">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563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restart"/>
                  <w:noWrap w:val="0"/>
                  <w:vAlign w:val="center"/>
                </w:tcPr>
                <w:p w14:paraId="353D3913">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固废</w:t>
                  </w:r>
                </w:p>
              </w:tc>
              <w:tc>
                <w:tcPr>
                  <w:tcW w:w="1323" w:type="dxa"/>
                  <w:noWrap w:val="0"/>
                  <w:vAlign w:val="center"/>
                </w:tcPr>
                <w:p w14:paraId="7AEC42CB">
                  <w:pPr>
                    <w:jc w:val="center"/>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日常生活</w:t>
                  </w:r>
                </w:p>
              </w:tc>
              <w:tc>
                <w:tcPr>
                  <w:tcW w:w="2109" w:type="dxa"/>
                  <w:noWrap w:val="0"/>
                  <w:vAlign w:val="center"/>
                </w:tcPr>
                <w:p w14:paraId="1AC6A6AB">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生活垃圾</w:t>
                  </w:r>
                </w:p>
              </w:tc>
              <w:tc>
                <w:tcPr>
                  <w:tcW w:w="2145" w:type="dxa"/>
                  <w:noWrap w:val="0"/>
                  <w:vAlign w:val="center"/>
                </w:tcPr>
                <w:p w14:paraId="5F0AF4E1">
                  <w:pPr>
                    <w:jc w:val="center"/>
                    <w:rPr>
                      <w:rFonts w:hint="eastAsia" w:ascii="Times New Roman" w:hAnsi="Times New Roman" w:eastAsia="宋体" w:cs="Times New Roman"/>
                      <w:bCs/>
                      <w:sz w:val="21"/>
                      <w:szCs w:val="21"/>
                    </w:rPr>
                  </w:pPr>
                  <w:r>
                    <w:rPr>
                      <w:rFonts w:ascii="Times New Roman" w:hAnsi="Times New Roman" w:eastAsia="宋体" w:cs="Times New Roman"/>
                      <w:color w:val="000000"/>
                      <w:sz w:val="21"/>
                      <w:szCs w:val="21"/>
                    </w:rPr>
                    <w:t>设置垃圾桶，定期清理</w:t>
                  </w:r>
                </w:p>
              </w:tc>
              <w:tc>
                <w:tcPr>
                  <w:tcW w:w="1376" w:type="dxa"/>
                  <w:noWrap w:val="0"/>
                  <w:vAlign w:val="center"/>
                </w:tcPr>
                <w:p w14:paraId="60F5D42A">
                  <w:pPr>
                    <w:jc w:val="center"/>
                    <w:rPr>
                      <w:rFonts w:hint="eastAsia" w:ascii="Times New Roman" w:hAnsi="Times New Roman" w:eastAsia="宋体" w:cs="Times New Roman"/>
                      <w:bCs/>
                      <w:sz w:val="21"/>
                      <w:szCs w:val="21"/>
                    </w:rPr>
                  </w:pPr>
                  <w:r>
                    <w:rPr>
                      <w:rFonts w:ascii="Times New Roman" w:hAnsi="Times New Roman" w:eastAsia="宋体" w:cs="Times New Roman"/>
                      <w:color w:val="000000"/>
                      <w:sz w:val="21"/>
                      <w:szCs w:val="21"/>
                    </w:rPr>
                    <w:t>交环卫部门处理</w:t>
                  </w:r>
                </w:p>
              </w:tc>
            </w:tr>
            <w:tr w14:paraId="6BDC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noWrap w:val="0"/>
                  <w:vAlign w:val="center"/>
                </w:tcPr>
                <w:p w14:paraId="327B78DA">
                  <w:pPr>
                    <w:jc w:val="center"/>
                    <w:rPr>
                      <w:rFonts w:hint="eastAsia" w:ascii="Times New Roman" w:hAnsi="Times New Roman" w:eastAsia="宋体" w:cs="Times New Roman"/>
                      <w:bCs/>
                      <w:sz w:val="21"/>
                      <w:szCs w:val="21"/>
                    </w:rPr>
                  </w:pPr>
                </w:p>
              </w:tc>
              <w:tc>
                <w:tcPr>
                  <w:tcW w:w="1323" w:type="dxa"/>
                  <w:noWrap w:val="0"/>
                  <w:vAlign w:val="center"/>
                </w:tcPr>
                <w:p w14:paraId="6D2F4E70">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下料</w:t>
                  </w:r>
                </w:p>
              </w:tc>
              <w:tc>
                <w:tcPr>
                  <w:tcW w:w="2109" w:type="dxa"/>
                  <w:noWrap w:val="0"/>
                  <w:vAlign w:val="center"/>
                </w:tcPr>
                <w:p w14:paraId="213C5C71">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废边角料</w:t>
                  </w:r>
                </w:p>
              </w:tc>
              <w:tc>
                <w:tcPr>
                  <w:tcW w:w="2145" w:type="dxa"/>
                  <w:vMerge w:val="restart"/>
                  <w:noWrap w:val="0"/>
                  <w:vAlign w:val="center"/>
                </w:tcPr>
                <w:p w14:paraId="6ABE4E19">
                  <w:pPr>
                    <w:jc w:val="center"/>
                    <w:rPr>
                      <w:rFonts w:hint="eastAsia" w:ascii="Times New Roman" w:hAnsi="Times New Roman" w:eastAsia="宋体" w:cs="Times New Roman"/>
                      <w:bCs/>
                      <w:sz w:val="21"/>
                      <w:szCs w:val="21"/>
                      <w:lang w:eastAsia="zh-CN"/>
                    </w:rPr>
                  </w:pPr>
                  <w:r>
                    <w:rPr>
                      <w:rFonts w:ascii="Times New Roman" w:hAnsi="Times New Roman" w:eastAsia="宋体" w:cs="Times New Roman"/>
                      <w:sz w:val="21"/>
                      <w:szCs w:val="21"/>
                    </w:rPr>
                    <w:t>集中收集后暂存一般固废间</w:t>
                  </w:r>
                  <w:r>
                    <w:rPr>
                      <w:rFonts w:hint="eastAsia" w:ascii="Times New Roman" w:hAnsi="Times New Roman" w:eastAsia="宋体" w:cs="Times New Roman"/>
                      <w:sz w:val="21"/>
                      <w:szCs w:val="21"/>
                    </w:rPr>
                    <w:t>，</w:t>
                  </w:r>
                  <w:r>
                    <w:rPr>
                      <w:rFonts w:ascii="Times New Roman" w:hAnsi="Times New Roman" w:eastAsia="宋体" w:cs="Times New Roman"/>
                      <w:sz w:val="21"/>
                      <w:szCs w:val="21"/>
                    </w:rPr>
                    <w:t>外售</w:t>
                  </w:r>
                  <w:r>
                    <w:rPr>
                      <w:rFonts w:hint="eastAsia" w:ascii="Times New Roman" w:hAnsi="Times New Roman" w:eastAsia="宋体" w:cs="Times New Roman"/>
                      <w:sz w:val="21"/>
                      <w:szCs w:val="21"/>
                      <w:lang w:val="en-US" w:eastAsia="zh-CN"/>
                    </w:rPr>
                    <w:t>处理</w:t>
                  </w:r>
                </w:p>
              </w:tc>
              <w:tc>
                <w:tcPr>
                  <w:tcW w:w="1376" w:type="dxa"/>
                  <w:vMerge w:val="restart"/>
                  <w:noWrap w:val="0"/>
                  <w:vAlign w:val="center"/>
                </w:tcPr>
                <w:p w14:paraId="218C682E">
                  <w:pPr>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合理处置，不造成二次污染</w:t>
                  </w:r>
                </w:p>
              </w:tc>
            </w:tr>
            <w:tr w14:paraId="28B7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noWrap w:val="0"/>
                  <w:vAlign w:val="center"/>
                </w:tcPr>
                <w:p w14:paraId="35A6AC3A">
                  <w:pPr>
                    <w:jc w:val="center"/>
                    <w:rPr>
                      <w:rFonts w:hint="eastAsia" w:ascii="Times New Roman" w:hAnsi="Times New Roman" w:eastAsia="宋体" w:cs="Times New Roman"/>
                      <w:bCs/>
                      <w:sz w:val="21"/>
                      <w:szCs w:val="21"/>
                    </w:rPr>
                  </w:pPr>
                </w:p>
              </w:tc>
              <w:tc>
                <w:tcPr>
                  <w:tcW w:w="1323" w:type="dxa"/>
                  <w:noWrap w:val="0"/>
                  <w:vAlign w:val="center"/>
                </w:tcPr>
                <w:p w14:paraId="1398EE49">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刨光/砂光</w:t>
                  </w:r>
                </w:p>
              </w:tc>
              <w:tc>
                <w:tcPr>
                  <w:tcW w:w="2109" w:type="dxa"/>
                  <w:noWrap w:val="0"/>
                  <w:vAlign w:val="center"/>
                </w:tcPr>
                <w:p w14:paraId="7E2D34A7">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废边角料</w:t>
                  </w:r>
                </w:p>
              </w:tc>
              <w:tc>
                <w:tcPr>
                  <w:tcW w:w="2145" w:type="dxa"/>
                  <w:vMerge w:val="continue"/>
                  <w:noWrap w:val="0"/>
                  <w:vAlign w:val="center"/>
                </w:tcPr>
                <w:p w14:paraId="70567E59">
                  <w:pPr>
                    <w:jc w:val="center"/>
                    <w:rPr>
                      <w:rFonts w:ascii="Times New Roman" w:hAnsi="Times New Roman" w:eastAsia="宋体" w:cs="Times New Roman"/>
                      <w:bCs/>
                      <w:sz w:val="21"/>
                      <w:szCs w:val="21"/>
                    </w:rPr>
                  </w:pPr>
                </w:p>
              </w:tc>
              <w:tc>
                <w:tcPr>
                  <w:tcW w:w="1376" w:type="dxa"/>
                  <w:vMerge w:val="continue"/>
                  <w:noWrap w:val="0"/>
                  <w:vAlign w:val="center"/>
                </w:tcPr>
                <w:p w14:paraId="64A6EEA3">
                  <w:pPr>
                    <w:jc w:val="center"/>
                    <w:rPr>
                      <w:rFonts w:ascii="Times New Roman" w:hAnsi="Times New Roman" w:eastAsia="宋体" w:cs="Times New Roman"/>
                      <w:sz w:val="21"/>
                      <w:szCs w:val="21"/>
                    </w:rPr>
                  </w:pPr>
                </w:p>
              </w:tc>
            </w:tr>
            <w:tr w14:paraId="69CF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noWrap w:val="0"/>
                  <w:vAlign w:val="center"/>
                </w:tcPr>
                <w:p w14:paraId="308D92A2">
                  <w:pPr>
                    <w:jc w:val="center"/>
                    <w:rPr>
                      <w:rFonts w:hint="eastAsia" w:ascii="Times New Roman" w:hAnsi="Times New Roman" w:eastAsia="宋体" w:cs="Times New Roman"/>
                      <w:bCs/>
                      <w:sz w:val="21"/>
                      <w:szCs w:val="21"/>
                    </w:rPr>
                  </w:pPr>
                </w:p>
              </w:tc>
              <w:tc>
                <w:tcPr>
                  <w:tcW w:w="1323" w:type="dxa"/>
                  <w:noWrap w:val="0"/>
                  <w:vAlign w:val="center"/>
                </w:tcPr>
                <w:p w14:paraId="58425D28">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组装钉钉</w:t>
                  </w:r>
                </w:p>
              </w:tc>
              <w:tc>
                <w:tcPr>
                  <w:tcW w:w="2109" w:type="dxa"/>
                  <w:noWrap w:val="0"/>
                  <w:vAlign w:val="center"/>
                </w:tcPr>
                <w:p w14:paraId="7FB1FFD3">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废包装物</w:t>
                  </w:r>
                </w:p>
              </w:tc>
              <w:tc>
                <w:tcPr>
                  <w:tcW w:w="2145" w:type="dxa"/>
                  <w:vMerge w:val="continue"/>
                  <w:noWrap w:val="0"/>
                  <w:vAlign w:val="center"/>
                </w:tcPr>
                <w:p w14:paraId="45DC71CC">
                  <w:pPr>
                    <w:jc w:val="center"/>
                    <w:rPr>
                      <w:rFonts w:ascii="Times New Roman" w:hAnsi="Times New Roman" w:eastAsia="宋体" w:cs="Times New Roman"/>
                      <w:sz w:val="21"/>
                      <w:szCs w:val="21"/>
                    </w:rPr>
                  </w:pPr>
                </w:p>
              </w:tc>
              <w:tc>
                <w:tcPr>
                  <w:tcW w:w="1376" w:type="dxa"/>
                  <w:vMerge w:val="continue"/>
                  <w:noWrap w:val="0"/>
                  <w:vAlign w:val="center"/>
                </w:tcPr>
                <w:p w14:paraId="74371F84">
                  <w:pPr>
                    <w:jc w:val="center"/>
                    <w:rPr>
                      <w:rFonts w:ascii="Times New Roman" w:hAnsi="Times New Roman" w:eastAsia="宋体" w:cs="Times New Roman"/>
                      <w:color w:val="000000"/>
                      <w:sz w:val="21"/>
                      <w:szCs w:val="21"/>
                    </w:rPr>
                  </w:pPr>
                </w:p>
              </w:tc>
            </w:tr>
            <w:tr w14:paraId="08E8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noWrap w:val="0"/>
                  <w:vAlign w:val="center"/>
                </w:tcPr>
                <w:p w14:paraId="6A5907CF">
                  <w:pPr>
                    <w:jc w:val="center"/>
                    <w:rPr>
                      <w:rFonts w:hint="eastAsia" w:ascii="Times New Roman" w:hAnsi="Times New Roman" w:eastAsia="宋体" w:cs="Times New Roman"/>
                      <w:bCs/>
                      <w:sz w:val="21"/>
                      <w:szCs w:val="21"/>
                    </w:rPr>
                  </w:pPr>
                </w:p>
              </w:tc>
              <w:tc>
                <w:tcPr>
                  <w:tcW w:w="1323" w:type="dxa"/>
                  <w:noWrap w:val="0"/>
                  <w:vAlign w:val="center"/>
                </w:tcPr>
                <w:p w14:paraId="7472F9C2">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废气处理</w:t>
                  </w:r>
                </w:p>
              </w:tc>
              <w:tc>
                <w:tcPr>
                  <w:tcW w:w="2109" w:type="dxa"/>
                  <w:noWrap w:val="0"/>
                  <w:vAlign w:val="center"/>
                </w:tcPr>
                <w:p w14:paraId="0843D16E">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收集的粉尘</w:t>
                  </w:r>
                </w:p>
              </w:tc>
              <w:tc>
                <w:tcPr>
                  <w:tcW w:w="2145" w:type="dxa"/>
                  <w:vMerge w:val="continue"/>
                  <w:noWrap w:val="0"/>
                  <w:vAlign w:val="center"/>
                </w:tcPr>
                <w:p w14:paraId="293CE965">
                  <w:pPr>
                    <w:jc w:val="center"/>
                    <w:rPr>
                      <w:rFonts w:ascii="Times New Roman" w:hAnsi="Times New Roman" w:eastAsia="宋体" w:cs="Times New Roman"/>
                      <w:sz w:val="21"/>
                      <w:szCs w:val="21"/>
                    </w:rPr>
                  </w:pPr>
                </w:p>
              </w:tc>
              <w:tc>
                <w:tcPr>
                  <w:tcW w:w="1376" w:type="dxa"/>
                  <w:vMerge w:val="continue"/>
                  <w:noWrap w:val="0"/>
                  <w:vAlign w:val="center"/>
                </w:tcPr>
                <w:p w14:paraId="443ECA17">
                  <w:pPr>
                    <w:jc w:val="center"/>
                    <w:rPr>
                      <w:rFonts w:ascii="Times New Roman" w:hAnsi="Times New Roman" w:eastAsia="宋体" w:cs="Times New Roman"/>
                      <w:color w:val="000000"/>
                      <w:sz w:val="21"/>
                      <w:szCs w:val="21"/>
                    </w:rPr>
                  </w:pPr>
                </w:p>
              </w:tc>
            </w:tr>
            <w:tr w14:paraId="007A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noWrap w:val="0"/>
                  <w:vAlign w:val="center"/>
                </w:tcPr>
                <w:p w14:paraId="5B59DDF4">
                  <w:pPr>
                    <w:jc w:val="center"/>
                    <w:rPr>
                      <w:rFonts w:hint="eastAsia" w:ascii="Times New Roman" w:hAnsi="Times New Roman" w:eastAsia="宋体" w:cs="Times New Roman"/>
                      <w:bCs/>
                      <w:sz w:val="21"/>
                      <w:szCs w:val="21"/>
                    </w:rPr>
                  </w:pPr>
                </w:p>
              </w:tc>
              <w:tc>
                <w:tcPr>
                  <w:tcW w:w="1323" w:type="dxa"/>
                  <w:vMerge w:val="restart"/>
                  <w:noWrap w:val="0"/>
                  <w:vAlign w:val="center"/>
                </w:tcPr>
                <w:p w14:paraId="2E02065D">
                  <w:pPr>
                    <w:jc w:val="center"/>
                    <w:rPr>
                      <w:rFonts w:hint="eastAsia" w:cs="Times New Roman"/>
                      <w:bCs/>
                      <w:sz w:val="21"/>
                      <w:szCs w:val="21"/>
                      <w:lang w:val="en-US" w:eastAsia="zh-CN"/>
                    </w:rPr>
                  </w:pPr>
                  <w:r>
                    <w:rPr>
                      <w:rFonts w:hint="eastAsia" w:cs="Times New Roman"/>
                      <w:bCs/>
                      <w:sz w:val="21"/>
                      <w:szCs w:val="21"/>
                      <w:lang w:val="en-US" w:eastAsia="zh-CN"/>
                    </w:rPr>
                    <w:t>设备维修保养</w:t>
                  </w:r>
                </w:p>
              </w:tc>
              <w:tc>
                <w:tcPr>
                  <w:tcW w:w="2109" w:type="dxa"/>
                  <w:noWrap w:val="0"/>
                  <w:vAlign w:val="center"/>
                </w:tcPr>
                <w:p w14:paraId="0CF6FB55">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废润滑油桶</w:t>
                  </w:r>
                </w:p>
              </w:tc>
              <w:tc>
                <w:tcPr>
                  <w:tcW w:w="2145" w:type="dxa"/>
                  <w:noWrap w:val="0"/>
                  <w:vAlign w:val="center"/>
                </w:tcPr>
                <w:p w14:paraId="1000442C">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收集后暂存于危废暂存间</w:t>
                  </w:r>
                </w:p>
              </w:tc>
              <w:tc>
                <w:tcPr>
                  <w:tcW w:w="1376" w:type="dxa"/>
                  <w:noWrap w:val="0"/>
                  <w:vAlign w:val="center"/>
                </w:tcPr>
                <w:p w14:paraId="1F572AF6">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原厂家回收</w:t>
                  </w:r>
                </w:p>
              </w:tc>
            </w:tr>
            <w:tr w14:paraId="45D9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noWrap w:val="0"/>
                  <w:vAlign w:val="center"/>
                </w:tcPr>
                <w:p w14:paraId="6AD82CE4">
                  <w:pPr>
                    <w:jc w:val="center"/>
                    <w:rPr>
                      <w:rFonts w:hint="eastAsia" w:ascii="Times New Roman" w:hAnsi="Times New Roman" w:eastAsia="宋体" w:cs="Times New Roman"/>
                      <w:bCs/>
                      <w:sz w:val="21"/>
                      <w:szCs w:val="21"/>
                    </w:rPr>
                  </w:pPr>
                </w:p>
              </w:tc>
              <w:tc>
                <w:tcPr>
                  <w:tcW w:w="1323" w:type="dxa"/>
                  <w:vMerge w:val="continue"/>
                  <w:noWrap w:val="0"/>
                  <w:vAlign w:val="center"/>
                </w:tcPr>
                <w:p w14:paraId="2285DEEA">
                  <w:pPr>
                    <w:jc w:val="center"/>
                    <w:rPr>
                      <w:rFonts w:hint="eastAsia" w:cs="Times New Roman"/>
                      <w:bCs/>
                      <w:sz w:val="21"/>
                      <w:szCs w:val="21"/>
                      <w:lang w:val="en-US" w:eastAsia="zh-CN"/>
                    </w:rPr>
                  </w:pPr>
                </w:p>
              </w:tc>
              <w:tc>
                <w:tcPr>
                  <w:tcW w:w="2109" w:type="dxa"/>
                  <w:noWrap w:val="0"/>
                  <w:vAlign w:val="center"/>
                </w:tcPr>
                <w:p w14:paraId="6C121BE7">
                  <w:pPr>
                    <w:jc w:val="center"/>
                    <w:rPr>
                      <w:rFonts w:hint="eastAsia" w:cs="Times New Roman"/>
                      <w:bCs/>
                      <w:sz w:val="21"/>
                      <w:szCs w:val="21"/>
                      <w:lang w:val="en-US" w:eastAsia="zh-CN"/>
                    </w:rPr>
                  </w:pPr>
                  <w:r>
                    <w:rPr>
                      <w:rFonts w:hint="eastAsia" w:cs="Times New Roman"/>
                      <w:bCs/>
                      <w:sz w:val="21"/>
                      <w:szCs w:val="21"/>
                      <w:lang w:val="en-US" w:eastAsia="zh-CN"/>
                    </w:rPr>
                    <w:t>废润滑油</w:t>
                  </w:r>
                </w:p>
              </w:tc>
              <w:tc>
                <w:tcPr>
                  <w:tcW w:w="2145" w:type="dxa"/>
                  <w:noWrap w:val="0"/>
                  <w:vAlign w:val="center"/>
                </w:tcPr>
                <w:p w14:paraId="1AF0115C">
                  <w:pPr>
                    <w:jc w:val="center"/>
                    <w:rPr>
                      <w:rFonts w:ascii="Times New Roman" w:hAnsi="Times New Roman" w:eastAsia="宋体" w:cs="Times New Roman"/>
                      <w:sz w:val="21"/>
                      <w:szCs w:val="21"/>
                    </w:rPr>
                  </w:pPr>
                  <w:r>
                    <w:rPr>
                      <w:rFonts w:hint="eastAsia" w:cs="Times New Roman"/>
                      <w:sz w:val="21"/>
                      <w:szCs w:val="21"/>
                      <w:lang w:val="en-US" w:eastAsia="zh-CN"/>
                    </w:rPr>
                    <w:t>收集后暂存于危废暂存间</w:t>
                  </w:r>
                </w:p>
              </w:tc>
              <w:tc>
                <w:tcPr>
                  <w:tcW w:w="1376" w:type="dxa"/>
                  <w:noWrap w:val="0"/>
                  <w:vAlign w:val="center"/>
                </w:tcPr>
                <w:p w14:paraId="07989A16">
                  <w:pPr>
                    <w:jc w:val="center"/>
                    <w:rPr>
                      <w:rFonts w:ascii="Times New Roman" w:hAnsi="Times New Roman" w:eastAsia="宋体" w:cs="Times New Roman"/>
                      <w:color w:val="000000"/>
                      <w:sz w:val="21"/>
                      <w:szCs w:val="21"/>
                    </w:rPr>
                  </w:pPr>
                  <w:r>
                    <w:rPr>
                      <w:rFonts w:hint="eastAsia" w:cs="Times New Roman"/>
                      <w:color w:val="000000"/>
                      <w:sz w:val="21"/>
                      <w:szCs w:val="21"/>
                      <w:lang w:val="en-US" w:eastAsia="zh-CN"/>
                    </w:rPr>
                    <w:t>委托有资质单位处理</w:t>
                  </w:r>
                </w:p>
              </w:tc>
            </w:tr>
          </w:tbl>
          <w:p w14:paraId="7562C681">
            <w:pPr>
              <w:pStyle w:val="9"/>
              <w:spacing w:line="360" w:lineRule="auto"/>
              <w:ind w:firstLine="0" w:firstLineChars="0"/>
              <w:jc w:val="left"/>
              <w:rPr>
                <w:sz w:val="24"/>
              </w:rPr>
            </w:pPr>
          </w:p>
        </w:tc>
      </w:tr>
      <w:tr w14:paraId="2A867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823" w:type="dxa"/>
            <w:vAlign w:val="center"/>
          </w:tcPr>
          <w:p w14:paraId="45BA3840">
            <w:pPr>
              <w:pStyle w:val="26"/>
              <w:adjustRightInd w:val="0"/>
              <w:snapToGrid w:val="0"/>
              <w:spacing w:before="0" w:beforeAutospacing="0" w:after="0" w:afterAutospacing="0"/>
              <w:jc w:val="center"/>
              <w:rPr>
                <w:rFonts w:cs="宋体"/>
                <w:sz w:val="21"/>
                <w:szCs w:val="21"/>
              </w:rPr>
            </w:pPr>
            <w:r>
              <w:rPr>
                <w:rFonts w:hint="eastAsia" w:cs="宋体"/>
                <w:bCs/>
                <w:kern w:val="2"/>
                <w:szCs w:val="24"/>
              </w:rPr>
              <w:t>与项目有关的原有环境污染问题</w:t>
            </w:r>
          </w:p>
        </w:tc>
        <w:tc>
          <w:tcPr>
            <w:tcW w:w="8161" w:type="dxa"/>
          </w:tcPr>
          <w:p w14:paraId="58D62BEA">
            <w:pPr>
              <w:adjustRightInd w:val="0"/>
              <w:snapToGrid w:val="0"/>
              <w:spacing w:line="360" w:lineRule="auto"/>
              <w:ind w:firstLine="480" w:firstLineChars="200"/>
              <w:jc w:val="left"/>
              <w:rPr>
                <w:rFonts w:hint="default" w:ascii="宋体" w:hAnsi="宋体" w:eastAsia="宋体"/>
                <w:bCs/>
                <w:szCs w:val="21"/>
                <w:lang w:val="en-US" w:eastAsia="zh-CN"/>
              </w:rPr>
            </w:pPr>
            <w:r>
              <w:rPr>
                <w:rFonts w:hint="eastAsia" w:ascii="宋体" w:hAnsi="宋体"/>
                <w:bCs/>
                <w:szCs w:val="21"/>
                <w:lang w:val="en-US" w:eastAsia="zh-CN"/>
              </w:rPr>
              <w:t>项目新建，项目所在地原为空地，无原有污染问题。</w:t>
            </w:r>
          </w:p>
        </w:tc>
      </w:tr>
    </w:tbl>
    <w:p w14:paraId="1E92BF2D">
      <w:pPr>
        <w:pStyle w:val="26"/>
        <w:jc w:val="both"/>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353D722B">
      <w:pPr>
        <w:pStyle w:val="26"/>
        <w:ind w:firstLine="1200" w:firstLineChars="400"/>
        <w:jc w:val="both"/>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1731F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00" w:type="dxa"/>
            <w:vAlign w:val="center"/>
          </w:tcPr>
          <w:p w14:paraId="24901B01">
            <w:pPr>
              <w:adjustRightInd w:val="0"/>
              <w:snapToGrid w:val="0"/>
              <w:jc w:val="center"/>
              <w:rPr>
                <w:kern w:val="0"/>
              </w:rPr>
            </w:pPr>
            <w:r>
              <w:rPr>
                <w:kern w:val="0"/>
              </w:rPr>
              <w:t>区域</w:t>
            </w:r>
          </w:p>
          <w:p w14:paraId="1BCCDF7F">
            <w:pPr>
              <w:adjustRightInd w:val="0"/>
              <w:snapToGrid w:val="0"/>
              <w:jc w:val="center"/>
              <w:rPr>
                <w:kern w:val="0"/>
              </w:rPr>
            </w:pPr>
            <w:r>
              <w:rPr>
                <w:kern w:val="0"/>
              </w:rPr>
              <w:t>环境</w:t>
            </w:r>
          </w:p>
          <w:p w14:paraId="3D9C01AE">
            <w:pPr>
              <w:adjustRightInd w:val="0"/>
              <w:snapToGrid w:val="0"/>
              <w:jc w:val="center"/>
              <w:rPr>
                <w:kern w:val="0"/>
              </w:rPr>
            </w:pPr>
            <w:r>
              <w:rPr>
                <w:kern w:val="0"/>
              </w:rPr>
              <w:t>质量</w:t>
            </w:r>
          </w:p>
          <w:p w14:paraId="414C3242">
            <w:pPr>
              <w:adjustRightInd w:val="0"/>
              <w:snapToGrid w:val="0"/>
              <w:jc w:val="center"/>
              <w:rPr>
                <w:kern w:val="0"/>
              </w:rPr>
            </w:pPr>
            <w:r>
              <w:rPr>
                <w:kern w:val="0"/>
              </w:rPr>
              <w:t>现状</w:t>
            </w:r>
          </w:p>
        </w:tc>
        <w:tc>
          <w:tcPr>
            <w:tcW w:w="8190" w:type="dxa"/>
            <w:vAlign w:val="center"/>
          </w:tcPr>
          <w:p w14:paraId="3FDBA4AB">
            <w:pPr>
              <w:adjustRightInd w:val="0"/>
              <w:snapToGrid w:val="0"/>
              <w:spacing w:line="360" w:lineRule="auto"/>
              <w:ind w:firstLine="480" w:firstLineChars="200"/>
              <w:jc w:val="left"/>
              <w:rPr>
                <w:rFonts w:ascii="Times New Roman" w:hAnsi="Times New Roman" w:eastAsia="宋体" w:cs="宋体"/>
                <w:kern w:val="0"/>
                <w:sz w:val="24"/>
              </w:rPr>
            </w:pPr>
            <w:r>
              <w:rPr>
                <w:rFonts w:hint="eastAsia" w:ascii="Times New Roman" w:hAnsi="Times New Roman" w:eastAsia="宋体" w:cs="宋体"/>
                <w:kern w:val="0"/>
                <w:sz w:val="24"/>
              </w:rPr>
              <w:t>建设项目位于</w:t>
            </w:r>
            <w:r>
              <w:rPr>
                <w:rFonts w:hint="eastAsia" w:cs="宋体"/>
                <w:kern w:val="0"/>
                <w:sz w:val="24"/>
                <w:lang w:val="en-US" w:eastAsia="zh-CN"/>
              </w:rPr>
              <w:t>泗县开发区</w:t>
            </w:r>
            <w:r>
              <w:rPr>
                <w:rFonts w:hint="eastAsia" w:ascii="Times New Roman" w:hAnsi="Times New Roman" w:eastAsia="宋体" w:cs="宋体"/>
                <w:kern w:val="0"/>
                <w:sz w:val="24"/>
              </w:rPr>
              <w:t>，其地区环境质量现状及主要环境问题：</w:t>
            </w:r>
          </w:p>
          <w:p w14:paraId="5912785F">
            <w:pPr>
              <w:spacing w:line="360" w:lineRule="auto"/>
              <w:ind w:firstLine="482" w:firstLineChars="200"/>
              <w:rPr>
                <w:rFonts w:hint="eastAsia" w:ascii="Times New Roman" w:hAnsi="Times New Roman" w:eastAsia="宋体" w:cs="Times New Roman"/>
                <w:b/>
                <w:bCs/>
                <w:sz w:val="24"/>
                <w:szCs w:val="32"/>
              </w:rPr>
            </w:pPr>
            <w:r>
              <w:rPr>
                <w:rFonts w:hint="eastAsia" w:ascii="Times New Roman" w:hAnsi="Times New Roman" w:eastAsia="宋体" w:cs="Times New Roman"/>
                <w:b/>
                <w:bCs/>
                <w:sz w:val="24"/>
                <w:szCs w:val="32"/>
              </w:rPr>
              <w:t>一</w:t>
            </w:r>
            <w:r>
              <w:rPr>
                <w:rFonts w:ascii="Times New Roman" w:hAnsi="Times New Roman" w:eastAsia="宋体" w:cs="Times New Roman"/>
                <w:b/>
                <w:bCs/>
                <w:sz w:val="24"/>
                <w:szCs w:val="32"/>
              </w:rPr>
              <w:t>、环境空气质量现状</w:t>
            </w:r>
          </w:p>
          <w:p w14:paraId="5118D77F">
            <w:pPr>
              <w:adjustRightInd w:val="0"/>
              <w:snapToGrid w:val="0"/>
              <w:spacing w:line="360" w:lineRule="auto"/>
              <w:ind w:firstLine="480" w:firstLineChars="200"/>
              <w:jc w:val="left"/>
              <w:rPr>
                <w:rFonts w:hint="eastAsia" w:ascii="Times New Roman" w:hAnsi="Times New Roman" w:eastAsia="宋体" w:cs="宋体"/>
                <w:color w:val="FF0000"/>
                <w:kern w:val="0"/>
                <w:sz w:val="24"/>
              </w:rPr>
            </w:pPr>
            <w:r>
              <w:rPr>
                <w:rFonts w:hint="eastAsia" w:ascii="Times New Roman" w:hAnsi="Times New Roman" w:eastAsia="宋体" w:cs="宋体"/>
                <w:kern w:val="0"/>
                <w:sz w:val="24"/>
              </w:rPr>
              <w:t>根据宿州市生</w:t>
            </w:r>
            <w:r>
              <w:rPr>
                <w:rFonts w:hint="eastAsia" w:ascii="Times New Roman" w:hAnsi="Times New Roman" w:eastAsia="宋体" w:cs="宋体"/>
                <w:color w:val="auto"/>
                <w:kern w:val="0"/>
                <w:sz w:val="24"/>
              </w:rPr>
              <w:t>态环境局2</w:t>
            </w:r>
            <w:r>
              <w:rPr>
                <w:rFonts w:ascii="Times New Roman" w:hAnsi="Times New Roman" w:eastAsia="宋体" w:cs="宋体"/>
                <w:color w:val="auto"/>
                <w:kern w:val="0"/>
                <w:sz w:val="24"/>
              </w:rPr>
              <w:t>02</w:t>
            </w:r>
            <w:r>
              <w:rPr>
                <w:rFonts w:hint="eastAsia" w:ascii="Times New Roman" w:hAnsi="Times New Roman" w:eastAsia="宋体" w:cs="宋体"/>
                <w:color w:val="auto"/>
                <w:kern w:val="0"/>
                <w:sz w:val="24"/>
                <w:lang w:val="en-US" w:eastAsia="zh-CN"/>
              </w:rPr>
              <w:t>4</w:t>
            </w:r>
            <w:r>
              <w:rPr>
                <w:rFonts w:hint="eastAsia" w:ascii="Times New Roman" w:hAnsi="Times New Roman" w:eastAsia="宋体" w:cs="宋体"/>
                <w:color w:val="auto"/>
                <w:kern w:val="0"/>
                <w:sz w:val="24"/>
              </w:rPr>
              <w:t>年6月</w:t>
            </w:r>
            <w:r>
              <w:rPr>
                <w:rFonts w:hint="eastAsia" w:ascii="Times New Roman" w:hAnsi="Times New Roman" w:eastAsia="宋体" w:cs="宋体"/>
                <w:color w:val="auto"/>
                <w:kern w:val="0"/>
                <w:sz w:val="24"/>
                <w:lang w:val="en-US" w:eastAsia="zh-CN"/>
              </w:rPr>
              <w:t>11</w:t>
            </w:r>
            <w:r>
              <w:rPr>
                <w:rFonts w:hint="eastAsia" w:ascii="Times New Roman" w:hAnsi="Times New Roman" w:eastAsia="宋体" w:cs="宋体"/>
                <w:color w:val="auto"/>
                <w:kern w:val="0"/>
                <w:sz w:val="24"/>
              </w:rPr>
              <w:t>日发布的《宿州市2</w:t>
            </w:r>
            <w:r>
              <w:rPr>
                <w:rFonts w:ascii="Times New Roman" w:hAnsi="Times New Roman" w:eastAsia="宋体" w:cs="宋体"/>
                <w:color w:val="auto"/>
                <w:kern w:val="0"/>
                <w:sz w:val="24"/>
              </w:rPr>
              <w:t>0</w:t>
            </w:r>
            <w:r>
              <w:rPr>
                <w:rFonts w:hint="eastAsia" w:ascii="Times New Roman" w:hAnsi="Times New Roman" w:eastAsia="宋体" w:cs="宋体"/>
                <w:color w:val="auto"/>
                <w:kern w:val="0"/>
                <w:sz w:val="24"/>
                <w:lang w:val="en-US" w:eastAsia="zh-CN"/>
              </w:rPr>
              <w:t>23</w:t>
            </w:r>
            <w:r>
              <w:rPr>
                <w:rFonts w:hint="eastAsia" w:ascii="Times New Roman" w:hAnsi="Times New Roman" w:eastAsia="宋体" w:cs="宋体"/>
                <w:color w:val="auto"/>
                <w:kern w:val="0"/>
                <w:sz w:val="24"/>
              </w:rPr>
              <w:t>年环境质量状况报告》，2023年，宿州市环境空气中细颗粒物（PM</w:t>
            </w:r>
            <w:r>
              <w:rPr>
                <w:rFonts w:hint="eastAsia" w:ascii="Times New Roman" w:hAnsi="Times New Roman" w:eastAsia="宋体" w:cs="宋体"/>
                <w:color w:val="auto"/>
                <w:kern w:val="0"/>
                <w:sz w:val="24"/>
                <w:vertAlign w:val="subscript"/>
              </w:rPr>
              <w:t>2.5</w:t>
            </w:r>
            <w:r>
              <w:rPr>
                <w:rFonts w:hint="eastAsia" w:ascii="Times New Roman" w:hAnsi="Times New Roman" w:eastAsia="宋体" w:cs="宋体"/>
                <w:color w:val="auto"/>
                <w:kern w:val="0"/>
                <w:sz w:val="24"/>
              </w:rPr>
              <w:t>）年平均浓度为41微克/立方米，好于省年度考核目标2.7微克/立方米；全市空气质量优良天数比率为76.4%，好于省年度考核目标4.7个百分点。</w:t>
            </w:r>
          </w:p>
          <w:p w14:paraId="37526CEA">
            <w:pPr>
              <w:adjustRightInd w:val="0"/>
              <w:snapToGri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w:t>
            </w:r>
            <w:r>
              <w:rPr>
                <w:rFonts w:hint="eastAsia" w:ascii="Times New Roman" w:hAnsi="Times New Roman" w:eastAsia="宋体" w:cs="Times New Roman"/>
                <w:sz w:val="24"/>
              </w:rPr>
              <w:t>据</w:t>
            </w:r>
            <w:r>
              <w:rPr>
                <w:rFonts w:ascii="Times New Roman" w:hAnsi="Times New Roman" w:eastAsia="宋体" w:cs="宋体"/>
                <w:sz w:val="24"/>
              </w:rPr>
              <w:t>环境空气质量模型技术支持服务系统</w:t>
            </w:r>
            <w:r>
              <w:rPr>
                <w:rFonts w:hint="eastAsia" w:ascii="Times New Roman" w:hAnsi="Times New Roman" w:eastAsia="宋体" w:cs="宋体"/>
                <w:sz w:val="24"/>
              </w:rPr>
              <w:t>中提供数据</w:t>
            </w:r>
            <w:r>
              <w:rPr>
                <w:rFonts w:hint="eastAsia" w:ascii="Times New Roman" w:hAnsi="Times New Roman" w:eastAsia="宋体" w:cs="Times New Roman"/>
                <w:kern w:val="0"/>
                <w:sz w:val="24"/>
              </w:rPr>
              <w:t>，20</w:t>
            </w:r>
            <w:r>
              <w:rPr>
                <w:rFonts w:hint="eastAsia" w:ascii="Times New Roman" w:hAnsi="Times New Roman" w:eastAsia="宋体" w:cs="Times New Roman"/>
                <w:kern w:val="0"/>
                <w:sz w:val="24"/>
                <w:lang w:val="en-US" w:eastAsia="zh-CN"/>
              </w:rPr>
              <w:t>23</w:t>
            </w:r>
            <w:r>
              <w:rPr>
                <w:rFonts w:hint="eastAsia" w:ascii="Times New Roman" w:hAnsi="Times New Roman" w:eastAsia="宋体" w:cs="Times New Roman"/>
                <w:kern w:val="0"/>
                <w:sz w:val="24"/>
              </w:rPr>
              <w:t>年宿州市SO</w:t>
            </w:r>
            <w:r>
              <w:rPr>
                <w:rFonts w:hint="eastAsia" w:ascii="Times New Roman" w:hAnsi="Times New Roman" w:eastAsia="宋体" w:cs="Times New Roman"/>
                <w:kern w:val="0"/>
                <w:sz w:val="24"/>
                <w:vertAlign w:val="subscript"/>
              </w:rPr>
              <w:t>2</w:t>
            </w:r>
            <w:r>
              <w:rPr>
                <w:rFonts w:hint="eastAsia" w:ascii="Times New Roman" w:hAnsi="Times New Roman" w:eastAsia="宋体" w:cs="Times New Roman"/>
                <w:kern w:val="0"/>
                <w:sz w:val="24"/>
              </w:rPr>
              <w:t>、NO</w:t>
            </w:r>
            <w:r>
              <w:rPr>
                <w:rFonts w:hint="eastAsia" w:ascii="Times New Roman" w:hAnsi="Times New Roman" w:eastAsia="宋体" w:cs="Times New Roman"/>
                <w:kern w:val="0"/>
                <w:sz w:val="24"/>
                <w:vertAlign w:val="subscript"/>
              </w:rPr>
              <w:t>2</w:t>
            </w:r>
            <w:r>
              <w:rPr>
                <w:rFonts w:hint="eastAsia" w:ascii="Times New Roman" w:hAnsi="Times New Roman" w:eastAsia="宋体" w:cs="Times New Roman"/>
                <w:kern w:val="0"/>
                <w:sz w:val="24"/>
              </w:rPr>
              <w:t>、PM</w:t>
            </w:r>
            <w:r>
              <w:rPr>
                <w:rFonts w:hint="eastAsia" w:ascii="Times New Roman" w:hAnsi="Times New Roman" w:eastAsia="宋体" w:cs="Times New Roman"/>
                <w:kern w:val="0"/>
                <w:sz w:val="24"/>
                <w:vertAlign w:val="subscript"/>
              </w:rPr>
              <w:t>10</w:t>
            </w:r>
            <w:r>
              <w:rPr>
                <w:rFonts w:hint="eastAsia" w:ascii="Times New Roman" w:hAnsi="Times New Roman" w:eastAsia="宋体" w:cs="Times New Roman"/>
                <w:kern w:val="0"/>
                <w:sz w:val="24"/>
              </w:rPr>
              <w:t>、PM</w:t>
            </w:r>
            <w:r>
              <w:rPr>
                <w:rFonts w:hint="eastAsia" w:ascii="Times New Roman" w:hAnsi="Times New Roman" w:eastAsia="宋体" w:cs="Times New Roman"/>
                <w:kern w:val="0"/>
                <w:sz w:val="24"/>
                <w:vertAlign w:val="subscript"/>
              </w:rPr>
              <w:t>2.5</w:t>
            </w:r>
            <w:r>
              <w:rPr>
                <w:rFonts w:hint="eastAsia" w:ascii="Times New Roman" w:hAnsi="Times New Roman" w:eastAsia="宋体" w:cs="Times New Roman"/>
                <w:kern w:val="0"/>
                <w:sz w:val="24"/>
              </w:rPr>
              <w:t>年均浓度分别为</w:t>
            </w:r>
            <w:r>
              <w:rPr>
                <w:rFonts w:hint="eastAsia" w:ascii="Times New Roman" w:hAnsi="Times New Roman" w:eastAsia="宋体" w:cs="Times New Roman"/>
                <w:kern w:val="0"/>
                <w:sz w:val="24"/>
                <w:lang w:val="en-US" w:eastAsia="zh-CN"/>
              </w:rPr>
              <w:t>6</w:t>
            </w:r>
            <w:r>
              <w:rPr>
                <w:rFonts w:ascii="Times New Roman" w:hAnsi="Times New Roman" w:eastAsia="宋体" w:cs="Times New Roman"/>
                <w:kern w:val="0"/>
                <w:sz w:val="24"/>
              </w:rPr>
              <w:t>μg/m</w:t>
            </w:r>
            <w:r>
              <w:rPr>
                <w:rFonts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lang w:val="en-US" w:eastAsia="zh-CN"/>
              </w:rPr>
              <w:t>8</w:t>
            </w:r>
            <w:r>
              <w:rPr>
                <w:rFonts w:ascii="Times New Roman" w:hAnsi="Times New Roman" w:eastAsia="宋体" w:cs="Times New Roman"/>
                <w:kern w:val="0"/>
                <w:sz w:val="24"/>
              </w:rPr>
              <w:t>μg/m</w:t>
            </w:r>
            <w:r>
              <w:rPr>
                <w:rFonts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、7</w:t>
            </w:r>
            <w:r>
              <w:rPr>
                <w:rFonts w:hint="eastAsia" w:ascii="Times New Roman" w:hAnsi="Times New Roman" w:eastAsia="宋体" w:cs="Times New Roman"/>
                <w:kern w:val="0"/>
                <w:sz w:val="24"/>
                <w:lang w:val="en-US" w:eastAsia="zh-CN"/>
              </w:rPr>
              <w:t>5</w:t>
            </w:r>
            <w:r>
              <w:rPr>
                <w:rFonts w:ascii="Times New Roman" w:hAnsi="Times New Roman" w:eastAsia="宋体" w:cs="Times New Roman"/>
                <w:kern w:val="0"/>
                <w:sz w:val="24"/>
              </w:rPr>
              <w:t>μg/m</w:t>
            </w:r>
            <w:r>
              <w:rPr>
                <w:rFonts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、4</w:t>
            </w:r>
            <w:r>
              <w:rPr>
                <w:rFonts w:hint="eastAsia" w:ascii="Times New Roman" w:hAnsi="Times New Roman" w:eastAsia="宋体" w:cs="Times New Roman"/>
                <w:kern w:val="0"/>
                <w:sz w:val="24"/>
                <w:lang w:val="en-US" w:eastAsia="zh-CN"/>
              </w:rPr>
              <w:t>1</w:t>
            </w:r>
            <w:r>
              <w:rPr>
                <w:rFonts w:ascii="Times New Roman" w:hAnsi="Times New Roman" w:eastAsia="宋体" w:cs="Times New Roman"/>
                <w:kern w:val="0"/>
                <w:sz w:val="24"/>
              </w:rPr>
              <w:t>μg/m</w:t>
            </w:r>
            <w:r>
              <w:rPr>
                <w:rFonts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；CO24小时平均第95百分位数为</w:t>
            </w:r>
            <w:r>
              <w:rPr>
                <w:rFonts w:hint="eastAsia" w:ascii="Times New Roman" w:hAnsi="Times New Roman" w:eastAsia="宋体" w:cs="Times New Roman"/>
                <w:kern w:val="0"/>
                <w:sz w:val="24"/>
                <w:lang w:val="en-US" w:eastAsia="zh-CN"/>
              </w:rPr>
              <w:t>1.1</w:t>
            </w:r>
            <w:r>
              <w:rPr>
                <w:rFonts w:hint="eastAsia" w:ascii="Times New Roman" w:hAnsi="Times New Roman" w:eastAsia="宋体" w:cs="Times New Roman"/>
                <w:kern w:val="0"/>
                <w:sz w:val="24"/>
              </w:rPr>
              <w:t>mg/m</w:t>
            </w:r>
            <w:r>
              <w:rPr>
                <w:rFonts w:hint="eastAsia"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，O</w:t>
            </w:r>
            <w:r>
              <w:rPr>
                <w:rFonts w:hint="eastAsia" w:ascii="Times New Roman" w:hAnsi="Times New Roman" w:eastAsia="宋体" w:cs="Times New Roman"/>
                <w:kern w:val="0"/>
                <w:sz w:val="24"/>
                <w:vertAlign w:val="subscript"/>
              </w:rPr>
              <w:t>3</w:t>
            </w:r>
            <w:r>
              <w:rPr>
                <w:rFonts w:hint="eastAsia" w:ascii="Times New Roman" w:hAnsi="Times New Roman" w:eastAsia="宋体" w:cs="Times New Roman"/>
                <w:kern w:val="0"/>
                <w:sz w:val="24"/>
              </w:rPr>
              <w:t>日最大8小时平均第90百分位数为16</w:t>
            </w:r>
            <w:r>
              <w:rPr>
                <w:rFonts w:hint="eastAsia" w:ascii="Times New Roman" w:hAnsi="Times New Roman" w:eastAsia="宋体" w:cs="Times New Roman"/>
                <w:kern w:val="0"/>
                <w:sz w:val="24"/>
                <w:lang w:val="en-US" w:eastAsia="zh-CN"/>
              </w:rPr>
              <w:t>5</w:t>
            </w:r>
            <w:r>
              <w:rPr>
                <w:rFonts w:ascii="Times New Roman" w:hAnsi="Times New Roman" w:eastAsia="宋体" w:cs="Times New Roman"/>
                <w:kern w:val="0"/>
                <w:sz w:val="24"/>
              </w:rPr>
              <w:t>μg/m</w:t>
            </w:r>
            <w:r>
              <w:rPr>
                <w:rFonts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；超过《环境空气质量标准》（GB3095-2012）中二级标准限值的污染物为O</w:t>
            </w:r>
            <w:r>
              <w:rPr>
                <w:rFonts w:hint="eastAsia" w:ascii="Times New Roman" w:hAnsi="Times New Roman" w:eastAsia="宋体" w:cs="Times New Roman"/>
                <w:kern w:val="0"/>
                <w:sz w:val="24"/>
                <w:vertAlign w:val="subscript"/>
              </w:rPr>
              <w:t>3</w:t>
            </w:r>
            <w:r>
              <w:rPr>
                <w:rFonts w:hint="eastAsia" w:ascii="Times New Roman" w:hAnsi="Times New Roman" w:eastAsia="宋体" w:cs="Times New Roman"/>
                <w:kern w:val="0"/>
                <w:sz w:val="24"/>
              </w:rPr>
              <w:t>、PM</w:t>
            </w:r>
            <w:r>
              <w:rPr>
                <w:rFonts w:hint="eastAsia" w:ascii="Times New Roman" w:hAnsi="Times New Roman" w:eastAsia="宋体" w:cs="Times New Roman"/>
                <w:kern w:val="0"/>
                <w:sz w:val="24"/>
                <w:vertAlign w:val="subscript"/>
              </w:rPr>
              <w:t>2.5</w:t>
            </w:r>
            <w:r>
              <w:rPr>
                <w:rFonts w:hint="eastAsia" w:ascii="Times New Roman" w:hAnsi="Times New Roman" w:eastAsia="宋体" w:cs="Times New Roman"/>
                <w:kern w:val="0"/>
                <w:sz w:val="24"/>
              </w:rPr>
              <w:t>、</w:t>
            </w:r>
            <w:r>
              <w:rPr>
                <w:rFonts w:ascii="Times New Roman" w:hAnsi="Times New Roman" w:eastAsia="宋体" w:cs="Times New Roman"/>
                <w:kern w:val="0"/>
                <w:sz w:val="24"/>
              </w:rPr>
              <w:t>PM</w:t>
            </w:r>
            <w:r>
              <w:rPr>
                <w:rFonts w:ascii="Times New Roman" w:hAnsi="Times New Roman" w:eastAsia="宋体" w:cs="Times New Roman"/>
                <w:kern w:val="0"/>
                <w:sz w:val="24"/>
                <w:vertAlign w:val="subscript"/>
              </w:rPr>
              <w:t>10</w:t>
            </w:r>
            <w:r>
              <w:rPr>
                <w:rFonts w:hint="eastAsia" w:ascii="Times New Roman" w:hAnsi="Times New Roman" w:eastAsia="宋体" w:cs="Times New Roman"/>
                <w:kern w:val="0"/>
                <w:sz w:val="24"/>
              </w:rPr>
              <w:t>。</w:t>
            </w:r>
          </w:p>
          <w:p w14:paraId="6EC469D1">
            <w:pPr>
              <w:adjustRightInd w:val="0"/>
              <w:snapToGri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w:t>
            </w:r>
            <w:r>
              <w:rPr>
                <w:rFonts w:ascii="Times New Roman" w:hAnsi="Times New Roman" w:eastAsia="宋体" w:cs="宋体"/>
                <w:sz w:val="24"/>
              </w:rPr>
              <w:t>环境空气质量模型技术支持服务系统</w:t>
            </w:r>
            <w:r>
              <w:rPr>
                <w:rFonts w:hint="eastAsia" w:ascii="Times New Roman" w:hAnsi="Times New Roman" w:eastAsia="宋体" w:cs="宋体"/>
                <w:sz w:val="24"/>
              </w:rPr>
              <w:t>中提供数据</w:t>
            </w:r>
            <w:r>
              <w:rPr>
                <w:rFonts w:hint="eastAsia" w:ascii="Times New Roman" w:hAnsi="Times New Roman" w:eastAsia="宋体" w:cs="Times New Roman"/>
                <w:kern w:val="0"/>
                <w:sz w:val="24"/>
              </w:rPr>
              <w:t>对区域达标情况进行判定，宿州市202</w:t>
            </w:r>
            <w:r>
              <w:rPr>
                <w:rFonts w:hint="eastAsia" w:ascii="Times New Roman" w:hAnsi="Times New Roman" w:eastAsia="宋体" w:cs="Times New Roman"/>
                <w:kern w:val="0"/>
                <w:sz w:val="24"/>
                <w:lang w:val="en-US" w:eastAsia="zh-CN"/>
              </w:rPr>
              <w:t>3</w:t>
            </w:r>
            <w:r>
              <w:rPr>
                <w:rFonts w:hint="eastAsia" w:ascii="Times New Roman" w:hAnsi="Times New Roman" w:eastAsia="宋体" w:cs="Times New Roman"/>
                <w:kern w:val="0"/>
                <w:sz w:val="24"/>
              </w:rPr>
              <w:t>年环境空气质量基础污染物监测浓度见下表。</w:t>
            </w:r>
          </w:p>
          <w:p w14:paraId="7A53A13F">
            <w:pPr>
              <w:adjustRightInd w:val="0"/>
              <w:snapToGrid w:val="0"/>
              <w:jc w:val="center"/>
              <w:rPr>
                <w:rFonts w:hint="eastAsia" w:ascii="Times New Roman" w:hAnsi="Times New Roman" w:eastAsia="宋体" w:cs="Times New Roman"/>
                <w:b/>
                <w:bCs/>
                <w:kern w:val="0"/>
                <w:sz w:val="24"/>
              </w:rPr>
            </w:pPr>
            <w:r>
              <w:rPr>
                <w:rFonts w:hint="eastAsia" w:ascii="Times New Roman" w:hAnsi="Times New Roman" w:eastAsia="宋体" w:cs="Times New Roman"/>
                <w:b/>
                <w:bCs/>
                <w:kern w:val="0"/>
                <w:sz w:val="24"/>
              </w:rPr>
              <w:t>表3</w:t>
            </w:r>
            <w:r>
              <w:rPr>
                <w:rFonts w:hint="eastAsia" w:ascii="Times New Roman" w:hAnsi="Times New Roman" w:eastAsia="宋体" w:cs="Times New Roman"/>
                <w:b/>
                <w:bCs/>
                <w:kern w:val="0"/>
                <w:sz w:val="24"/>
                <w:lang w:val="en-US" w:eastAsia="zh-CN"/>
              </w:rPr>
              <w:t>-</w:t>
            </w:r>
            <w:r>
              <w:rPr>
                <w:rFonts w:ascii="Times New Roman" w:hAnsi="Times New Roman" w:eastAsia="宋体" w:cs="Times New Roman"/>
                <w:b/>
                <w:bCs/>
                <w:kern w:val="0"/>
                <w:sz w:val="24"/>
              </w:rPr>
              <w:t xml:space="preserve">1 </w:t>
            </w:r>
            <w:r>
              <w:rPr>
                <w:rFonts w:hint="eastAsia" w:ascii="Times New Roman" w:hAnsi="Times New Roman" w:eastAsia="宋体" w:cs="Times New Roman"/>
                <w:b/>
                <w:bCs/>
                <w:kern w:val="0"/>
                <w:sz w:val="24"/>
              </w:rPr>
              <w:t>区域空气质量现状评价表</w:t>
            </w:r>
          </w:p>
          <w:tbl>
            <w:tblPr>
              <w:tblStyle w:val="30"/>
              <w:tblW w:w="7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779"/>
              <w:gridCol w:w="1287"/>
              <w:gridCol w:w="1307"/>
              <w:gridCol w:w="1262"/>
              <w:gridCol w:w="1292"/>
            </w:tblGrid>
            <w:tr w14:paraId="5826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2" w:type="dxa"/>
                  <w:noWrap w:val="0"/>
                  <w:vAlign w:val="center"/>
                </w:tcPr>
                <w:p w14:paraId="783D389A">
                  <w:pPr>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污染物</w:t>
                  </w:r>
                </w:p>
              </w:tc>
              <w:tc>
                <w:tcPr>
                  <w:tcW w:w="1779" w:type="dxa"/>
                  <w:noWrap w:val="0"/>
                  <w:vAlign w:val="center"/>
                </w:tcPr>
                <w:p w14:paraId="456BD87C">
                  <w:pPr>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评价标准</w:t>
                  </w:r>
                </w:p>
              </w:tc>
              <w:tc>
                <w:tcPr>
                  <w:tcW w:w="1287" w:type="dxa"/>
                  <w:noWrap w:val="0"/>
                  <w:vAlign w:val="center"/>
                </w:tcPr>
                <w:p w14:paraId="0456E2E9">
                  <w:pPr>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年均浓度（μg/m</w:t>
                  </w:r>
                  <w:r>
                    <w:rPr>
                      <w:rFonts w:ascii="Times New Roman" w:hAnsi="Times New Roman" w:eastAsia="宋体" w:cs="Times New Roman"/>
                      <w:b/>
                      <w:bCs/>
                      <w:kern w:val="0"/>
                      <w:sz w:val="21"/>
                      <w:szCs w:val="21"/>
                      <w:vertAlign w:val="superscript"/>
                    </w:rPr>
                    <w:t>3</w:t>
                  </w:r>
                  <w:r>
                    <w:rPr>
                      <w:rFonts w:ascii="Times New Roman" w:hAnsi="Times New Roman" w:eastAsia="宋体" w:cs="Times New Roman"/>
                      <w:b/>
                      <w:bCs/>
                      <w:kern w:val="0"/>
                      <w:sz w:val="21"/>
                      <w:szCs w:val="21"/>
                    </w:rPr>
                    <w:t>）</w:t>
                  </w:r>
                </w:p>
              </w:tc>
              <w:tc>
                <w:tcPr>
                  <w:tcW w:w="1307" w:type="dxa"/>
                  <w:noWrap w:val="0"/>
                  <w:vAlign w:val="center"/>
                </w:tcPr>
                <w:p w14:paraId="176525CA">
                  <w:pPr>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标准值（μg/m</w:t>
                  </w:r>
                  <w:r>
                    <w:rPr>
                      <w:rFonts w:ascii="Times New Roman" w:hAnsi="Times New Roman" w:eastAsia="宋体" w:cs="Times New Roman"/>
                      <w:b/>
                      <w:bCs/>
                      <w:kern w:val="0"/>
                      <w:sz w:val="21"/>
                      <w:szCs w:val="21"/>
                      <w:vertAlign w:val="superscript"/>
                    </w:rPr>
                    <w:t>3</w:t>
                  </w:r>
                  <w:r>
                    <w:rPr>
                      <w:rFonts w:ascii="Times New Roman" w:hAnsi="Times New Roman" w:eastAsia="宋体" w:cs="Times New Roman"/>
                      <w:b/>
                      <w:bCs/>
                      <w:kern w:val="0"/>
                      <w:sz w:val="21"/>
                      <w:szCs w:val="21"/>
                    </w:rPr>
                    <w:t>）</w:t>
                  </w:r>
                </w:p>
              </w:tc>
              <w:tc>
                <w:tcPr>
                  <w:tcW w:w="1262" w:type="dxa"/>
                  <w:noWrap w:val="0"/>
                  <w:vAlign w:val="center"/>
                </w:tcPr>
                <w:p w14:paraId="7A663D36">
                  <w:pPr>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占标率</w:t>
                  </w:r>
                </w:p>
              </w:tc>
              <w:tc>
                <w:tcPr>
                  <w:tcW w:w="1292" w:type="dxa"/>
                  <w:noWrap w:val="0"/>
                  <w:vAlign w:val="center"/>
                </w:tcPr>
                <w:p w14:paraId="381129F0">
                  <w:pPr>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达标情况</w:t>
                  </w:r>
                </w:p>
              </w:tc>
            </w:tr>
            <w:tr w14:paraId="46AE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2" w:type="dxa"/>
                  <w:noWrap w:val="0"/>
                  <w:vAlign w:val="center"/>
                </w:tcPr>
                <w:p w14:paraId="7C7964F1">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PM</w:t>
                  </w:r>
                  <w:r>
                    <w:rPr>
                      <w:rFonts w:ascii="Times New Roman" w:hAnsi="Times New Roman" w:eastAsia="宋体" w:cs="Times New Roman"/>
                      <w:kern w:val="0"/>
                      <w:sz w:val="21"/>
                      <w:szCs w:val="21"/>
                      <w:vertAlign w:val="subscript"/>
                    </w:rPr>
                    <w:t>10</w:t>
                  </w:r>
                </w:p>
              </w:tc>
              <w:tc>
                <w:tcPr>
                  <w:tcW w:w="1779" w:type="dxa"/>
                  <w:noWrap w:val="0"/>
                  <w:vAlign w:val="center"/>
                </w:tcPr>
                <w:p w14:paraId="05C8C155">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年平均浓度</w:t>
                  </w:r>
                </w:p>
              </w:tc>
              <w:tc>
                <w:tcPr>
                  <w:tcW w:w="1287" w:type="dxa"/>
                  <w:noWrap w:val="0"/>
                  <w:vAlign w:val="center"/>
                </w:tcPr>
                <w:p w14:paraId="7BDF65F4">
                  <w:pPr>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7</w:t>
                  </w:r>
                  <w:r>
                    <w:rPr>
                      <w:rFonts w:hint="eastAsia" w:ascii="Times New Roman" w:hAnsi="Times New Roman" w:eastAsia="宋体" w:cs="Times New Roman"/>
                      <w:kern w:val="0"/>
                      <w:sz w:val="21"/>
                      <w:szCs w:val="21"/>
                      <w:lang w:val="en-US" w:eastAsia="zh-CN"/>
                    </w:rPr>
                    <w:t>5</w:t>
                  </w:r>
                </w:p>
              </w:tc>
              <w:tc>
                <w:tcPr>
                  <w:tcW w:w="1307" w:type="dxa"/>
                  <w:noWrap w:val="0"/>
                  <w:vAlign w:val="center"/>
                </w:tcPr>
                <w:p w14:paraId="059FC787">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70</w:t>
                  </w:r>
                </w:p>
              </w:tc>
              <w:tc>
                <w:tcPr>
                  <w:tcW w:w="1262" w:type="dxa"/>
                  <w:noWrap w:val="0"/>
                  <w:vAlign w:val="center"/>
                </w:tcPr>
                <w:p w14:paraId="09D1AB53">
                  <w:pPr>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107.14</w:t>
                  </w:r>
                  <w:r>
                    <w:rPr>
                      <w:rFonts w:ascii="Times New Roman" w:hAnsi="Times New Roman" w:eastAsia="宋体" w:cs="Times New Roman"/>
                      <w:color w:val="auto"/>
                      <w:sz w:val="21"/>
                      <w:szCs w:val="21"/>
                    </w:rPr>
                    <w:t>%</w:t>
                  </w:r>
                </w:p>
              </w:tc>
              <w:tc>
                <w:tcPr>
                  <w:tcW w:w="1292" w:type="dxa"/>
                  <w:noWrap w:val="0"/>
                  <w:vAlign w:val="center"/>
                </w:tcPr>
                <w:p w14:paraId="5F6E0F74">
                  <w:pPr>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不</w:t>
                  </w:r>
                  <w:r>
                    <w:rPr>
                      <w:rFonts w:ascii="Times New Roman" w:hAnsi="Times New Roman" w:eastAsia="宋体" w:cs="Times New Roman"/>
                      <w:color w:val="auto"/>
                      <w:kern w:val="0"/>
                      <w:sz w:val="21"/>
                      <w:szCs w:val="21"/>
                    </w:rPr>
                    <w:t>达标</w:t>
                  </w:r>
                </w:p>
              </w:tc>
            </w:tr>
            <w:tr w14:paraId="613E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2" w:type="dxa"/>
                  <w:noWrap w:val="0"/>
                  <w:vAlign w:val="center"/>
                </w:tcPr>
                <w:p w14:paraId="000A916D">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PM</w:t>
                  </w:r>
                  <w:r>
                    <w:rPr>
                      <w:rFonts w:ascii="Times New Roman" w:hAnsi="Times New Roman" w:eastAsia="宋体" w:cs="Times New Roman"/>
                      <w:kern w:val="0"/>
                      <w:sz w:val="21"/>
                      <w:szCs w:val="21"/>
                      <w:vertAlign w:val="subscript"/>
                    </w:rPr>
                    <w:t>2.5</w:t>
                  </w:r>
                </w:p>
              </w:tc>
              <w:tc>
                <w:tcPr>
                  <w:tcW w:w="1779" w:type="dxa"/>
                  <w:noWrap w:val="0"/>
                  <w:vAlign w:val="center"/>
                </w:tcPr>
                <w:p w14:paraId="46521019">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年平均浓度</w:t>
                  </w:r>
                </w:p>
              </w:tc>
              <w:tc>
                <w:tcPr>
                  <w:tcW w:w="1287" w:type="dxa"/>
                  <w:noWrap w:val="0"/>
                  <w:vAlign w:val="center"/>
                </w:tcPr>
                <w:p w14:paraId="211AD599">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41</w:t>
                  </w:r>
                </w:p>
              </w:tc>
              <w:tc>
                <w:tcPr>
                  <w:tcW w:w="1307" w:type="dxa"/>
                  <w:noWrap w:val="0"/>
                  <w:vAlign w:val="center"/>
                </w:tcPr>
                <w:p w14:paraId="6095151F">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35</w:t>
                  </w:r>
                </w:p>
              </w:tc>
              <w:tc>
                <w:tcPr>
                  <w:tcW w:w="1262" w:type="dxa"/>
                  <w:noWrap w:val="0"/>
                  <w:vAlign w:val="center"/>
                </w:tcPr>
                <w:p w14:paraId="23157A0E">
                  <w:pPr>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117.14</w:t>
                  </w:r>
                  <w:r>
                    <w:rPr>
                      <w:rFonts w:ascii="Times New Roman" w:hAnsi="Times New Roman" w:eastAsia="宋体" w:cs="Times New Roman"/>
                      <w:color w:val="auto"/>
                      <w:sz w:val="21"/>
                      <w:szCs w:val="21"/>
                    </w:rPr>
                    <w:t>%</w:t>
                  </w:r>
                </w:p>
              </w:tc>
              <w:tc>
                <w:tcPr>
                  <w:tcW w:w="1292" w:type="dxa"/>
                  <w:noWrap w:val="0"/>
                  <w:vAlign w:val="center"/>
                </w:tcPr>
                <w:p w14:paraId="2D7DEFA7">
                  <w:pPr>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不达标</w:t>
                  </w:r>
                </w:p>
              </w:tc>
            </w:tr>
            <w:tr w14:paraId="2798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2" w:type="dxa"/>
                  <w:noWrap w:val="0"/>
                  <w:vAlign w:val="center"/>
                </w:tcPr>
                <w:p w14:paraId="33698560">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SO</w:t>
                  </w:r>
                  <w:r>
                    <w:rPr>
                      <w:rFonts w:ascii="Times New Roman" w:hAnsi="Times New Roman" w:eastAsia="宋体" w:cs="Times New Roman"/>
                      <w:kern w:val="0"/>
                      <w:sz w:val="21"/>
                      <w:szCs w:val="21"/>
                      <w:vertAlign w:val="subscript"/>
                    </w:rPr>
                    <w:t>2</w:t>
                  </w:r>
                </w:p>
              </w:tc>
              <w:tc>
                <w:tcPr>
                  <w:tcW w:w="1779" w:type="dxa"/>
                  <w:noWrap w:val="0"/>
                  <w:vAlign w:val="center"/>
                </w:tcPr>
                <w:p w14:paraId="4413761B">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年平均浓度</w:t>
                  </w:r>
                </w:p>
              </w:tc>
              <w:tc>
                <w:tcPr>
                  <w:tcW w:w="1287" w:type="dxa"/>
                  <w:noWrap w:val="0"/>
                  <w:vAlign w:val="center"/>
                </w:tcPr>
                <w:p w14:paraId="2DC8DAE8">
                  <w:pPr>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6</w:t>
                  </w:r>
                </w:p>
              </w:tc>
              <w:tc>
                <w:tcPr>
                  <w:tcW w:w="1307" w:type="dxa"/>
                  <w:noWrap w:val="0"/>
                  <w:vAlign w:val="center"/>
                </w:tcPr>
                <w:p w14:paraId="2B339223">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60</w:t>
                  </w:r>
                </w:p>
              </w:tc>
              <w:tc>
                <w:tcPr>
                  <w:tcW w:w="1262" w:type="dxa"/>
                  <w:noWrap w:val="0"/>
                  <w:vAlign w:val="center"/>
                </w:tcPr>
                <w:p w14:paraId="25217B20">
                  <w:pPr>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10.00</w:t>
                  </w:r>
                  <w:r>
                    <w:rPr>
                      <w:rFonts w:ascii="Times New Roman" w:hAnsi="Times New Roman" w:eastAsia="宋体" w:cs="Times New Roman"/>
                      <w:color w:val="auto"/>
                      <w:sz w:val="21"/>
                      <w:szCs w:val="21"/>
                    </w:rPr>
                    <w:t>%</w:t>
                  </w:r>
                </w:p>
              </w:tc>
              <w:tc>
                <w:tcPr>
                  <w:tcW w:w="1292" w:type="dxa"/>
                  <w:noWrap w:val="0"/>
                  <w:vAlign w:val="center"/>
                </w:tcPr>
                <w:p w14:paraId="4F819297">
                  <w:pPr>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3FF2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2" w:type="dxa"/>
                  <w:noWrap w:val="0"/>
                  <w:vAlign w:val="center"/>
                </w:tcPr>
                <w:p w14:paraId="1C559FE7">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NO</w:t>
                  </w:r>
                  <w:r>
                    <w:rPr>
                      <w:rFonts w:ascii="Times New Roman" w:hAnsi="Times New Roman" w:eastAsia="宋体" w:cs="Times New Roman"/>
                      <w:kern w:val="0"/>
                      <w:sz w:val="21"/>
                      <w:szCs w:val="21"/>
                      <w:vertAlign w:val="subscript"/>
                    </w:rPr>
                    <w:t>2</w:t>
                  </w:r>
                </w:p>
              </w:tc>
              <w:tc>
                <w:tcPr>
                  <w:tcW w:w="1779" w:type="dxa"/>
                  <w:noWrap w:val="0"/>
                  <w:vAlign w:val="center"/>
                </w:tcPr>
                <w:p w14:paraId="395A9632">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年平均浓度</w:t>
                  </w:r>
                </w:p>
              </w:tc>
              <w:tc>
                <w:tcPr>
                  <w:tcW w:w="1287" w:type="dxa"/>
                  <w:noWrap w:val="0"/>
                  <w:vAlign w:val="center"/>
                </w:tcPr>
                <w:p w14:paraId="1007072E">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28</w:t>
                  </w:r>
                </w:p>
              </w:tc>
              <w:tc>
                <w:tcPr>
                  <w:tcW w:w="1307" w:type="dxa"/>
                  <w:noWrap w:val="0"/>
                  <w:vAlign w:val="center"/>
                </w:tcPr>
                <w:p w14:paraId="6F1A42D8">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40</w:t>
                  </w:r>
                </w:p>
              </w:tc>
              <w:tc>
                <w:tcPr>
                  <w:tcW w:w="1262" w:type="dxa"/>
                  <w:noWrap w:val="0"/>
                  <w:vAlign w:val="center"/>
                </w:tcPr>
                <w:p w14:paraId="0FD34FB5">
                  <w:pPr>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70.00</w:t>
                  </w:r>
                  <w:r>
                    <w:rPr>
                      <w:rFonts w:ascii="Times New Roman" w:hAnsi="Times New Roman" w:eastAsia="宋体" w:cs="Times New Roman"/>
                      <w:color w:val="auto"/>
                      <w:sz w:val="21"/>
                      <w:szCs w:val="21"/>
                    </w:rPr>
                    <w:t>%</w:t>
                  </w:r>
                </w:p>
              </w:tc>
              <w:tc>
                <w:tcPr>
                  <w:tcW w:w="1292" w:type="dxa"/>
                  <w:noWrap w:val="0"/>
                  <w:vAlign w:val="center"/>
                </w:tcPr>
                <w:p w14:paraId="53D5459C">
                  <w:pPr>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0547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2" w:type="dxa"/>
                  <w:noWrap w:val="0"/>
                  <w:vAlign w:val="center"/>
                </w:tcPr>
                <w:p w14:paraId="66C007BB">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CO</w:t>
                  </w:r>
                </w:p>
              </w:tc>
              <w:tc>
                <w:tcPr>
                  <w:tcW w:w="1779" w:type="dxa"/>
                  <w:noWrap w:val="0"/>
                  <w:vAlign w:val="center"/>
                </w:tcPr>
                <w:p w14:paraId="1C026F61">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日平均第95百分位质量浓度</w:t>
                  </w:r>
                </w:p>
              </w:tc>
              <w:tc>
                <w:tcPr>
                  <w:tcW w:w="1287" w:type="dxa"/>
                  <w:noWrap w:val="0"/>
                  <w:vAlign w:val="center"/>
                </w:tcPr>
                <w:p w14:paraId="52127C2E">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1.1</w:t>
                  </w:r>
                  <w:r>
                    <w:rPr>
                      <w:rFonts w:ascii="Times New Roman" w:hAnsi="Times New Roman" w:eastAsia="宋体" w:cs="Times New Roman"/>
                      <w:kern w:val="0"/>
                      <w:sz w:val="21"/>
                      <w:szCs w:val="21"/>
                    </w:rPr>
                    <w:t>mg/m</w:t>
                  </w:r>
                  <w:r>
                    <w:rPr>
                      <w:rFonts w:ascii="Times New Roman" w:hAnsi="Times New Roman" w:eastAsia="宋体" w:cs="Times New Roman"/>
                      <w:kern w:val="0"/>
                      <w:sz w:val="21"/>
                      <w:szCs w:val="21"/>
                      <w:vertAlign w:val="superscript"/>
                    </w:rPr>
                    <w:t>3</w:t>
                  </w:r>
                </w:p>
              </w:tc>
              <w:tc>
                <w:tcPr>
                  <w:tcW w:w="1307" w:type="dxa"/>
                  <w:noWrap w:val="0"/>
                  <w:vAlign w:val="center"/>
                </w:tcPr>
                <w:p w14:paraId="540D7FF6">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r>
                    <w:rPr>
                      <w:rFonts w:ascii="Times New Roman" w:hAnsi="Times New Roman" w:eastAsia="宋体" w:cs="Times New Roman"/>
                      <w:kern w:val="0"/>
                      <w:sz w:val="21"/>
                      <w:szCs w:val="21"/>
                    </w:rPr>
                    <w:t>mg/m</w:t>
                  </w:r>
                  <w:r>
                    <w:rPr>
                      <w:rFonts w:ascii="Times New Roman" w:hAnsi="Times New Roman" w:eastAsia="宋体" w:cs="Times New Roman"/>
                      <w:kern w:val="0"/>
                      <w:sz w:val="21"/>
                      <w:szCs w:val="21"/>
                      <w:vertAlign w:val="superscript"/>
                    </w:rPr>
                    <w:t>3</w:t>
                  </w:r>
                </w:p>
              </w:tc>
              <w:tc>
                <w:tcPr>
                  <w:tcW w:w="1262" w:type="dxa"/>
                  <w:noWrap w:val="0"/>
                  <w:vAlign w:val="center"/>
                </w:tcPr>
                <w:p w14:paraId="15622095">
                  <w:pPr>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27.50</w:t>
                  </w:r>
                  <w:r>
                    <w:rPr>
                      <w:rFonts w:ascii="Times New Roman" w:hAnsi="Times New Roman" w:eastAsia="宋体" w:cs="Times New Roman"/>
                      <w:color w:val="auto"/>
                      <w:sz w:val="21"/>
                      <w:szCs w:val="21"/>
                    </w:rPr>
                    <w:t>%</w:t>
                  </w:r>
                </w:p>
              </w:tc>
              <w:tc>
                <w:tcPr>
                  <w:tcW w:w="1292" w:type="dxa"/>
                  <w:noWrap w:val="0"/>
                  <w:vAlign w:val="center"/>
                </w:tcPr>
                <w:p w14:paraId="37ED9C34">
                  <w:pPr>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61E5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2" w:type="dxa"/>
                  <w:noWrap w:val="0"/>
                  <w:vAlign w:val="center"/>
                </w:tcPr>
                <w:p w14:paraId="726015B7">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O</w:t>
                  </w:r>
                  <w:r>
                    <w:rPr>
                      <w:rFonts w:ascii="Times New Roman" w:hAnsi="Times New Roman" w:eastAsia="宋体" w:cs="Times New Roman"/>
                      <w:kern w:val="0"/>
                      <w:sz w:val="21"/>
                      <w:szCs w:val="21"/>
                      <w:vertAlign w:val="subscript"/>
                    </w:rPr>
                    <w:t>3</w:t>
                  </w:r>
                </w:p>
              </w:tc>
              <w:tc>
                <w:tcPr>
                  <w:tcW w:w="1779" w:type="dxa"/>
                  <w:noWrap w:val="0"/>
                  <w:vAlign w:val="center"/>
                </w:tcPr>
                <w:p w14:paraId="2824EC42">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日最大8小时平均第90百分位质量浓度</w:t>
                  </w:r>
                </w:p>
              </w:tc>
              <w:tc>
                <w:tcPr>
                  <w:tcW w:w="1287" w:type="dxa"/>
                  <w:noWrap w:val="0"/>
                  <w:vAlign w:val="center"/>
                </w:tcPr>
                <w:p w14:paraId="106C587A">
                  <w:pPr>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16</w:t>
                  </w:r>
                  <w:r>
                    <w:rPr>
                      <w:rFonts w:hint="eastAsia" w:ascii="Times New Roman" w:hAnsi="Times New Roman" w:eastAsia="宋体" w:cs="Times New Roman"/>
                      <w:kern w:val="0"/>
                      <w:sz w:val="21"/>
                      <w:szCs w:val="21"/>
                      <w:lang w:val="en-US" w:eastAsia="zh-CN"/>
                    </w:rPr>
                    <w:t>5</w:t>
                  </w:r>
                </w:p>
              </w:tc>
              <w:tc>
                <w:tcPr>
                  <w:tcW w:w="1307" w:type="dxa"/>
                  <w:noWrap w:val="0"/>
                  <w:vAlign w:val="center"/>
                </w:tcPr>
                <w:p w14:paraId="0A9F0B30">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160</w:t>
                  </w:r>
                </w:p>
              </w:tc>
              <w:tc>
                <w:tcPr>
                  <w:tcW w:w="1262" w:type="dxa"/>
                  <w:noWrap w:val="0"/>
                  <w:vAlign w:val="center"/>
                </w:tcPr>
                <w:p w14:paraId="78321773">
                  <w:pPr>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103.13</w:t>
                  </w:r>
                  <w:r>
                    <w:rPr>
                      <w:rFonts w:ascii="Times New Roman" w:hAnsi="Times New Roman" w:eastAsia="宋体" w:cs="Times New Roman"/>
                      <w:color w:val="auto"/>
                      <w:sz w:val="21"/>
                      <w:szCs w:val="21"/>
                    </w:rPr>
                    <w:t>%</w:t>
                  </w:r>
                </w:p>
              </w:tc>
              <w:tc>
                <w:tcPr>
                  <w:tcW w:w="1292" w:type="dxa"/>
                  <w:noWrap w:val="0"/>
                  <w:vAlign w:val="center"/>
                </w:tcPr>
                <w:p w14:paraId="5F06BFF9">
                  <w:pPr>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不</w:t>
                  </w:r>
                  <w:r>
                    <w:rPr>
                      <w:rFonts w:ascii="Times New Roman" w:hAnsi="Times New Roman" w:eastAsia="宋体" w:cs="Times New Roman"/>
                      <w:color w:val="auto"/>
                      <w:kern w:val="0"/>
                      <w:sz w:val="21"/>
                      <w:szCs w:val="21"/>
                    </w:rPr>
                    <w:t>达标</w:t>
                  </w:r>
                </w:p>
              </w:tc>
            </w:tr>
          </w:tbl>
          <w:p w14:paraId="7EBAB5E9">
            <w:pPr>
              <w:adjustRightInd w:val="0"/>
              <w:snapToGrid w:val="0"/>
              <w:spacing w:before="120" w:beforeLines="50" w:line="360" w:lineRule="auto"/>
              <w:ind w:firstLine="480" w:firstLineChars="200"/>
              <w:rPr>
                <w:rFonts w:ascii="Times New Roman" w:hAnsi="Times New Roman" w:eastAsia="宋体" w:cs="Times New Roman"/>
                <w:sz w:val="21"/>
              </w:rPr>
            </w:pPr>
            <w:r>
              <w:rPr>
                <w:rFonts w:hint="eastAsia" w:ascii="Times New Roman" w:hAnsi="Times New Roman" w:eastAsia="宋体" w:cs="Times New Roman"/>
                <w:sz w:val="24"/>
                <w:szCs w:val="32"/>
                <w:lang w:val="en-US" w:eastAsia="zh-CN"/>
              </w:rPr>
              <w:t>宿州市属于不达标区，超标污染物为PM</w:t>
            </w:r>
            <w:r>
              <w:rPr>
                <w:rFonts w:hint="eastAsia" w:ascii="Times New Roman" w:hAnsi="Times New Roman" w:eastAsia="宋体" w:cs="Times New Roman"/>
                <w:sz w:val="24"/>
                <w:szCs w:val="32"/>
                <w:vertAlign w:val="subscript"/>
                <w:lang w:val="en-US" w:eastAsia="zh-CN"/>
              </w:rPr>
              <w:t>10</w:t>
            </w:r>
            <w:r>
              <w:rPr>
                <w:rFonts w:hint="eastAsia" w:ascii="Times New Roman" w:hAnsi="Times New Roman" w:eastAsia="宋体" w:cs="Times New Roman"/>
                <w:sz w:val="24"/>
                <w:szCs w:val="32"/>
                <w:lang w:val="en-US" w:eastAsia="zh-CN"/>
              </w:rPr>
              <w:t>、PM</w:t>
            </w:r>
            <w:r>
              <w:rPr>
                <w:rFonts w:hint="eastAsia" w:ascii="Times New Roman" w:hAnsi="Times New Roman" w:eastAsia="宋体" w:cs="Times New Roman"/>
                <w:sz w:val="24"/>
                <w:szCs w:val="32"/>
                <w:vertAlign w:val="subscript"/>
                <w:lang w:val="en-US" w:eastAsia="zh-CN"/>
              </w:rPr>
              <w:t>2.5</w:t>
            </w:r>
            <w:r>
              <w:rPr>
                <w:rFonts w:hint="eastAsia" w:ascii="Times New Roman" w:hAnsi="Times New Roman" w:eastAsia="宋体" w:cs="Times New Roman"/>
                <w:sz w:val="24"/>
                <w:szCs w:val="32"/>
                <w:lang w:val="en-US" w:eastAsia="zh-CN"/>
              </w:rPr>
              <w:t>和臭氧，</w:t>
            </w:r>
            <w:r>
              <w:rPr>
                <w:rFonts w:ascii="Times New Roman" w:hAnsi="Times New Roman" w:eastAsia="宋体" w:cs="Times New Roman"/>
                <w:sz w:val="24"/>
                <w:szCs w:val="32"/>
              </w:rPr>
              <w:t>针对基本污染物不达标问题，宿州市人民政府决定采取措施进行区域整改，具体整改措施如下：在加大调整产业结构、强化环境监督、综合整治面源污染的同时，进一步完善工业污染源治理，取缔分散居民燃煤锅炉的使用，加强施工临时堆土管理及车辆运输管理；加大区域产业布局调整力度。加快城市建成区及临近周边重污染企业搬迁改造或关闭退出，推动实施低端化工等重污染企业搬迁工程。禁止新增化工园区，加大现有化工园区整治力度。已明确的退城企业，要明确时间表，逾期不退城的予以停产；严格控制“两高”行业产能；强化“散乱污”企业综合整治；深化工业污染治理；大力培育绿色环保产业；加快调整能源结构，构建清洁低碳高效能源体系；积极调整运输结构，发展绿色交通体系等，采取以上措施，使宿州市区域环境空气质量大大改善</w:t>
            </w:r>
            <w:r>
              <w:rPr>
                <w:rFonts w:hint="eastAsia" w:ascii="Times New Roman" w:hAnsi="Times New Roman" w:eastAsia="宋体" w:cs="Times New Roman"/>
                <w:sz w:val="21"/>
              </w:rPr>
              <w:t>。</w:t>
            </w:r>
          </w:p>
          <w:p w14:paraId="6E30B42E">
            <w:pPr>
              <w:spacing w:line="360" w:lineRule="auto"/>
              <w:ind w:firstLine="480" w:firstLineChars="200"/>
              <w:jc w:val="left"/>
            </w:pPr>
            <w:r>
              <w:t>其他污染物环境质量现状评价：</w:t>
            </w:r>
            <w:r>
              <w:rPr>
                <w:rFonts w:hint="eastAsia"/>
              </w:rPr>
              <w:t>TSP。</w:t>
            </w:r>
          </w:p>
          <w:p w14:paraId="21B99285">
            <w:pPr>
              <w:adjustRightInd w:val="0"/>
              <w:snapToGrid w:val="0"/>
              <w:spacing w:line="360" w:lineRule="auto"/>
              <w:ind w:firstLine="480" w:firstLineChars="200"/>
              <w:rPr>
                <w:rFonts w:hint="eastAsia" w:eastAsia="宋体" w:cs="Times New Roman"/>
                <w:b w:val="0"/>
                <w:bCs w:val="0"/>
                <w:sz w:val="24"/>
                <w:szCs w:val="24"/>
                <w:highlight w:val="none"/>
                <w:lang w:eastAsia="zh-CN"/>
              </w:rPr>
            </w:pPr>
            <w:r>
              <w:rPr>
                <w:rFonts w:hint="eastAsia" w:cs="Times New Roman"/>
                <w:b w:val="0"/>
                <w:bCs w:val="0"/>
                <w:sz w:val="24"/>
                <w:szCs w:val="24"/>
                <w:highlight w:val="none"/>
              </w:rPr>
              <w:t>1.1引用监测</w:t>
            </w:r>
            <w:r>
              <w:rPr>
                <w:rFonts w:hint="eastAsia" w:cs="Times New Roman"/>
                <w:b w:val="0"/>
                <w:bCs w:val="0"/>
                <w:sz w:val="24"/>
                <w:szCs w:val="24"/>
                <w:highlight w:val="none"/>
                <w:lang w:eastAsia="zh-CN"/>
              </w:rPr>
              <w:t>（</w:t>
            </w:r>
            <w:r>
              <w:rPr>
                <w:rFonts w:hint="eastAsia" w:cs="Times New Roman"/>
                <w:b w:val="0"/>
                <w:bCs w:val="0"/>
                <w:sz w:val="24"/>
                <w:szCs w:val="24"/>
                <w:highlight w:val="none"/>
                <w:lang w:val="en-US" w:eastAsia="zh-CN"/>
              </w:rPr>
              <w:t>TSP</w:t>
            </w:r>
            <w:r>
              <w:rPr>
                <w:rFonts w:hint="eastAsia" w:cs="Times New Roman"/>
                <w:b w:val="0"/>
                <w:bCs w:val="0"/>
                <w:sz w:val="24"/>
                <w:szCs w:val="24"/>
                <w:highlight w:val="none"/>
                <w:lang w:eastAsia="zh-CN"/>
              </w:rPr>
              <w:t>）</w:t>
            </w:r>
          </w:p>
          <w:p w14:paraId="02315883">
            <w:pPr>
              <w:pStyle w:val="61"/>
              <w:adjustRightInd w:val="0"/>
              <w:snapToGrid w:val="0"/>
              <w:spacing w:line="360" w:lineRule="auto"/>
              <w:ind w:firstLineChars="200"/>
              <w:rPr>
                <w:rFonts w:hint="eastAsia" w:eastAsia="宋体" w:cs="Times New Roman"/>
                <w:sz w:val="24"/>
                <w:szCs w:val="24"/>
                <w:lang w:eastAsia="zh-CN"/>
              </w:rPr>
            </w:pPr>
            <w:r>
              <w:rPr>
                <w:rFonts w:hint="eastAsia" w:cs="Times New Roman"/>
                <w:sz w:val="24"/>
                <w:szCs w:val="24"/>
              </w:rPr>
              <w:t>根据《建设项目环境影响报告表编制技术指南（污染影响类）》（试行）可知，排放国家、地方环境空气质量标准中有标准限值要求的特征污染物时，引用建设项目周边5千米范围内近3年的现有监测数据，无相关数据的选择当季主导风向下风向1个点位补充不少于3天的监测数据。</w:t>
            </w:r>
          </w:p>
          <w:p w14:paraId="7D6310CC">
            <w:pPr>
              <w:adjustRightInd w:val="0"/>
              <w:snapToGrid w:val="0"/>
              <w:spacing w:line="360" w:lineRule="auto"/>
              <w:ind w:firstLine="480" w:firstLineChars="200"/>
              <w:jc w:val="left"/>
              <w:rPr>
                <w:kern w:val="0"/>
              </w:rPr>
            </w:pPr>
            <w:r>
              <w:rPr>
                <w:rFonts w:hint="eastAsia"/>
              </w:rPr>
              <w:t>项目据此引用《</w:t>
            </w:r>
            <w:r>
              <w:rPr>
                <w:rFonts w:hint="eastAsia"/>
                <w:lang w:val="en-US" w:eastAsia="zh-CN"/>
              </w:rPr>
              <w:t>泗县凌冰工贸有限公司年产1.5万吨功能性塑料母料项目</w:t>
            </w:r>
            <w:r>
              <w:t>》</w:t>
            </w:r>
            <w:r>
              <w:rPr>
                <w:rFonts w:hint="eastAsia"/>
              </w:rPr>
              <w:t>中TSP现状监测数据。引用数据监测位点为G1</w:t>
            </w:r>
            <w:r>
              <w:rPr>
                <w:rFonts w:hint="eastAsia"/>
                <w:lang w:val="en-US" w:eastAsia="zh-CN"/>
              </w:rPr>
              <w:t>凌冰项目所在地，</w:t>
            </w:r>
            <w:r>
              <w:rPr>
                <w:rFonts w:hint="eastAsia"/>
              </w:rPr>
              <w:t>监测</w:t>
            </w:r>
            <w:r>
              <w:rPr>
                <w:rFonts w:hint="eastAsia"/>
                <w:lang w:val="en-US" w:eastAsia="zh-CN"/>
              </w:rPr>
              <w:t>时间为2023年4月15日~2023年4月22日</w:t>
            </w:r>
            <w:r>
              <w:rPr>
                <w:rFonts w:hint="eastAsia"/>
              </w:rPr>
              <w:t>，本项目距G1</w:t>
            </w:r>
            <w:r>
              <w:rPr>
                <w:rFonts w:hint="eastAsia"/>
                <w:lang w:val="en-US" w:eastAsia="zh-CN"/>
              </w:rPr>
              <w:t>凌冰项目所在地1540</w:t>
            </w:r>
            <w:r>
              <w:rPr>
                <w:rFonts w:hint="eastAsia"/>
              </w:rPr>
              <w:t>m，监测数据引用可行。</w:t>
            </w:r>
          </w:p>
          <w:p w14:paraId="07CB28ED">
            <w:pPr>
              <w:adjustRightInd w:val="0"/>
              <w:snapToGrid w:val="0"/>
              <w:spacing w:line="360" w:lineRule="auto"/>
              <w:ind w:firstLine="480" w:firstLineChars="200"/>
              <w:jc w:val="left"/>
              <w:rPr>
                <w:kern w:val="0"/>
              </w:rPr>
            </w:pPr>
            <w:r>
              <w:rPr>
                <w:kern w:val="0"/>
              </w:rPr>
              <w:t>①监测点位</w:t>
            </w:r>
          </w:p>
          <w:p w14:paraId="40368188">
            <w:pPr>
              <w:adjustRightInd w:val="0"/>
              <w:snapToGrid w:val="0"/>
              <w:ind w:firstLine="12" w:firstLineChars="5"/>
              <w:jc w:val="center"/>
              <w:rPr>
                <w:b/>
                <w:bCs/>
                <w:kern w:val="0"/>
                <w:highlight w:val="none"/>
              </w:rPr>
            </w:pPr>
            <w:r>
              <w:rPr>
                <w:b/>
                <w:bCs/>
                <w:kern w:val="0"/>
                <w:highlight w:val="none"/>
              </w:rPr>
              <w:t>表3</w:t>
            </w:r>
            <w:r>
              <w:rPr>
                <w:rFonts w:hint="eastAsia"/>
                <w:b/>
                <w:bCs/>
                <w:kern w:val="0"/>
                <w:highlight w:val="none"/>
                <w:lang w:val="en-US" w:eastAsia="zh-CN"/>
              </w:rPr>
              <w:t>-</w:t>
            </w:r>
            <w:r>
              <w:rPr>
                <w:rFonts w:hint="eastAsia"/>
                <w:b/>
                <w:bCs/>
                <w:kern w:val="0"/>
                <w:highlight w:val="none"/>
              </w:rPr>
              <w:t>2</w:t>
            </w:r>
            <w:r>
              <w:rPr>
                <w:b/>
                <w:bCs/>
                <w:kern w:val="0"/>
                <w:highlight w:val="none"/>
              </w:rPr>
              <w:t xml:space="preserve"> </w:t>
            </w:r>
            <w:r>
              <w:rPr>
                <w:rFonts w:hint="eastAsia"/>
                <w:b/>
                <w:bCs/>
                <w:kern w:val="0"/>
                <w:highlight w:val="none"/>
              </w:rPr>
              <w:t xml:space="preserve"> </w:t>
            </w:r>
            <w:r>
              <w:rPr>
                <w:b/>
                <w:bCs/>
                <w:kern w:val="0"/>
                <w:highlight w:val="none"/>
              </w:rPr>
              <w:t>监测点位分布</w:t>
            </w:r>
          </w:p>
          <w:tbl>
            <w:tblPr>
              <w:tblStyle w:val="31"/>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902"/>
              <w:gridCol w:w="1991"/>
              <w:gridCol w:w="1991"/>
            </w:tblGrid>
            <w:tr w14:paraId="1BB4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7BC27A7C">
                  <w:pPr>
                    <w:adjustRightInd w:val="0"/>
                    <w:snapToGrid w:val="0"/>
                    <w:spacing w:line="240" w:lineRule="auto"/>
                    <w:jc w:val="center"/>
                    <w:rPr>
                      <w:b/>
                      <w:bCs/>
                      <w:kern w:val="0"/>
                      <w:sz w:val="21"/>
                      <w:szCs w:val="21"/>
                    </w:rPr>
                  </w:pPr>
                  <w:r>
                    <w:rPr>
                      <w:b/>
                      <w:bCs/>
                      <w:kern w:val="0"/>
                      <w:sz w:val="21"/>
                      <w:szCs w:val="21"/>
                    </w:rPr>
                    <w:t>序号</w:t>
                  </w:r>
                </w:p>
              </w:tc>
              <w:tc>
                <w:tcPr>
                  <w:tcW w:w="2902" w:type="dxa"/>
                  <w:vAlign w:val="center"/>
                </w:tcPr>
                <w:p w14:paraId="3C41BCEA">
                  <w:pPr>
                    <w:adjustRightInd w:val="0"/>
                    <w:snapToGrid w:val="0"/>
                    <w:spacing w:line="240" w:lineRule="auto"/>
                    <w:jc w:val="center"/>
                    <w:rPr>
                      <w:b/>
                      <w:bCs/>
                      <w:kern w:val="0"/>
                      <w:sz w:val="21"/>
                      <w:szCs w:val="21"/>
                    </w:rPr>
                  </w:pPr>
                  <w:r>
                    <w:rPr>
                      <w:b/>
                      <w:bCs/>
                      <w:kern w:val="0"/>
                      <w:sz w:val="21"/>
                      <w:szCs w:val="21"/>
                    </w:rPr>
                    <w:t>监测点位</w:t>
                  </w:r>
                </w:p>
              </w:tc>
              <w:tc>
                <w:tcPr>
                  <w:tcW w:w="1991" w:type="dxa"/>
                  <w:vAlign w:val="center"/>
                </w:tcPr>
                <w:p w14:paraId="4AFAABDD">
                  <w:pPr>
                    <w:adjustRightInd w:val="0"/>
                    <w:snapToGrid w:val="0"/>
                    <w:spacing w:line="240" w:lineRule="auto"/>
                    <w:jc w:val="center"/>
                    <w:rPr>
                      <w:b/>
                      <w:bCs/>
                      <w:kern w:val="0"/>
                      <w:sz w:val="21"/>
                      <w:szCs w:val="21"/>
                    </w:rPr>
                  </w:pPr>
                  <w:r>
                    <w:rPr>
                      <w:b/>
                      <w:bCs/>
                      <w:kern w:val="0"/>
                      <w:sz w:val="21"/>
                      <w:szCs w:val="21"/>
                    </w:rPr>
                    <w:t>方位</w:t>
                  </w:r>
                </w:p>
              </w:tc>
              <w:tc>
                <w:tcPr>
                  <w:tcW w:w="1991" w:type="dxa"/>
                  <w:vAlign w:val="center"/>
                </w:tcPr>
                <w:p w14:paraId="66E58514">
                  <w:pPr>
                    <w:adjustRightInd w:val="0"/>
                    <w:snapToGrid w:val="0"/>
                    <w:spacing w:line="240" w:lineRule="auto"/>
                    <w:jc w:val="center"/>
                    <w:rPr>
                      <w:b/>
                      <w:bCs/>
                      <w:kern w:val="0"/>
                      <w:sz w:val="21"/>
                      <w:szCs w:val="21"/>
                    </w:rPr>
                  </w:pPr>
                  <w:r>
                    <w:rPr>
                      <w:b/>
                      <w:bCs/>
                      <w:kern w:val="0"/>
                      <w:sz w:val="21"/>
                      <w:szCs w:val="21"/>
                    </w:rPr>
                    <w:t>距离</w:t>
                  </w:r>
                </w:p>
              </w:tc>
            </w:tr>
            <w:tr w14:paraId="20C8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161318A1">
                  <w:pPr>
                    <w:adjustRightInd w:val="0"/>
                    <w:snapToGrid w:val="0"/>
                    <w:spacing w:line="240" w:lineRule="auto"/>
                    <w:jc w:val="center"/>
                    <w:rPr>
                      <w:kern w:val="0"/>
                      <w:sz w:val="21"/>
                      <w:szCs w:val="21"/>
                    </w:rPr>
                  </w:pPr>
                  <w:r>
                    <w:rPr>
                      <w:kern w:val="0"/>
                      <w:sz w:val="21"/>
                      <w:szCs w:val="21"/>
                    </w:rPr>
                    <w:t>1</w:t>
                  </w:r>
                </w:p>
              </w:tc>
              <w:tc>
                <w:tcPr>
                  <w:tcW w:w="2902" w:type="dxa"/>
                  <w:vAlign w:val="center"/>
                </w:tcPr>
                <w:p w14:paraId="7C6A7721">
                  <w:pPr>
                    <w:adjustRightInd w:val="0"/>
                    <w:snapToGrid w:val="0"/>
                    <w:spacing w:line="240" w:lineRule="auto"/>
                    <w:jc w:val="center"/>
                    <w:rPr>
                      <w:kern w:val="0"/>
                      <w:sz w:val="21"/>
                      <w:szCs w:val="21"/>
                    </w:rPr>
                  </w:pPr>
                  <w:r>
                    <w:rPr>
                      <w:kern w:val="0"/>
                      <w:sz w:val="21"/>
                      <w:szCs w:val="21"/>
                    </w:rPr>
                    <w:t>G1</w:t>
                  </w:r>
                  <w:r>
                    <w:rPr>
                      <w:rFonts w:hint="eastAsia"/>
                      <w:kern w:val="0"/>
                      <w:sz w:val="21"/>
                      <w:szCs w:val="21"/>
                      <w:lang w:val="en-US" w:eastAsia="zh-CN"/>
                    </w:rPr>
                    <w:t>凌冰项目所在地</w:t>
                  </w:r>
                </w:p>
              </w:tc>
              <w:tc>
                <w:tcPr>
                  <w:tcW w:w="1991" w:type="dxa"/>
                  <w:vAlign w:val="center"/>
                </w:tcPr>
                <w:p w14:paraId="40CF22E9">
                  <w:pPr>
                    <w:adjustRightInd w:val="0"/>
                    <w:snapToGrid w:val="0"/>
                    <w:spacing w:line="240" w:lineRule="auto"/>
                    <w:jc w:val="center"/>
                    <w:rPr>
                      <w:rFonts w:hint="eastAsia" w:eastAsia="宋体"/>
                      <w:kern w:val="0"/>
                      <w:sz w:val="21"/>
                      <w:szCs w:val="21"/>
                      <w:lang w:val="en-US" w:eastAsia="zh-CN"/>
                    </w:rPr>
                  </w:pPr>
                  <w:r>
                    <w:rPr>
                      <w:rFonts w:hint="eastAsia"/>
                      <w:kern w:val="0"/>
                      <w:sz w:val="21"/>
                      <w:szCs w:val="21"/>
                      <w:lang w:val="en-US" w:eastAsia="zh-CN"/>
                    </w:rPr>
                    <w:t>东北</w:t>
                  </w:r>
                </w:p>
              </w:tc>
              <w:tc>
                <w:tcPr>
                  <w:tcW w:w="1991" w:type="dxa"/>
                  <w:vAlign w:val="center"/>
                </w:tcPr>
                <w:p w14:paraId="1F211C1B">
                  <w:pPr>
                    <w:adjustRightInd w:val="0"/>
                    <w:snapToGrid w:val="0"/>
                    <w:spacing w:line="240" w:lineRule="auto"/>
                    <w:jc w:val="center"/>
                    <w:rPr>
                      <w:rFonts w:hint="default" w:eastAsia="宋体"/>
                      <w:kern w:val="0"/>
                      <w:sz w:val="21"/>
                      <w:szCs w:val="21"/>
                      <w:lang w:val="en-US" w:eastAsia="zh-CN"/>
                    </w:rPr>
                  </w:pPr>
                  <w:r>
                    <w:rPr>
                      <w:rFonts w:hint="eastAsia"/>
                      <w:kern w:val="0"/>
                      <w:sz w:val="21"/>
                      <w:szCs w:val="21"/>
                      <w:lang w:val="en-US" w:eastAsia="zh-CN"/>
                    </w:rPr>
                    <w:t>1540m</w:t>
                  </w:r>
                </w:p>
              </w:tc>
            </w:tr>
          </w:tbl>
          <w:p w14:paraId="221F8210">
            <w:pPr>
              <w:bidi w:val="0"/>
              <w:spacing w:line="240" w:lineRule="auto"/>
              <w:jc w:val="center"/>
              <w:rPr>
                <w:sz w:val="24"/>
              </w:rPr>
            </w:pPr>
          </w:p>
          <w:p w14:paraId="127881C3">
            <w:pPr>
              <w:bidi w:val="0"/>
              <w:spacing w:line="240" w:lineRule="auto"/>
              <w:jc w:val="center"/>
              <w:rPr>
                <w:rFonts w:hint="eastAsia"/>
              </w:rPr>
            </w:pPr>
            <w:r>
              <w:rPr>
                <w:sz w:val="24"/>
              </w:rPr>
              <mc:AlternateContent>
                <mc:Choice Requires="wps">
                  <w:drawing>
                    <wp:anchor distT="0" distB="0" distL="114300" distR="114300" simplePos="0" relativeHeight="251660288" behindDoc="0" locked="0" layoutInCell="1" allowOverlap="1">
                      <wp:simplePos x="0" y="0"/>
                      <wp:positionH relativeFrom="column">
                        <wp:posOffset>610235</wp:posOffset>
                      </wp:positionH>
                      <wp:positionV relativeFrom="paragraph">
                        <wp:posOffset>2792730</wp:posOffset>
                      </wp:positionV>
                      <wp:extent cx="824865" cy="302260"/>
                      <wp:effectExtent l="42545" t="250190" r="15875" b="17145"/>
                      <wp:wrapNone/>
                      <wp:docPr id="36" name="矩形标注 36"/>
                      <wp:cNvGraphicFramePr/>
                      <a:graphic xmlns:a="http://schemas.openxmlformats.org/drawingml/2006/main">
                        <a:graphicData uri="http://schemas.microsoft.com/office/word/2010/wordprocessingShape">
                          <wps:wsp>
                            <wps:cNvSpPr/>
                            <wps:spPr>
                              <a:xfrm>
                                <a:off x="3864610" y="7800340"/>
                                <a:ext cx="824865" cy="302260"/>
                              </a:xfrm>
                              <a:prstGeom prst="wedgeRectCallout">
                                <a:avLst>
                                  <a:gd name="adj1" fmla="val -53618"/>
                                  <a:gd name="adj2" fmla="val -128571"/>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4AA5A61">
                                  <w:pPr>
                                    <w:jc w:val="both"/>
                                    <w:rPr>
                                      <w:rFonts w:hint="default" w:eastAsia="宋体"/>
                                      <w:sz w:val="18"/>
                                      <w:szCs w:val="18"/>
                                      <w:lang w:val="en-US" w:eastAsia="zh-CN"/>
                                    </w:rPr>
                                  </w:pPr>
                                  <w:r>
                                    <w:rPr>
                                      <w:rFonts w:hint="eastAsia"/>
                                      <w:sz w:val="18"/>
                                      <w:szCs w:val="18"/>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8.05pt;margin-top:219.9pt;height:23.8pt;width:64.95pt;z-index:251660288;v-text-anchor:middle;mso-width-relative:page;mso-height-relative:page;" fillcolor="#4F81BD [3204]" filled="t" stroked="t" coordsize="21600,21600" o:gfxdata="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CmUSXTXAAAACgEA&#10;AA8AAAAAAAAAAQAgAAAAIgAAAGRycy9kb3ducmV2LnhtbFBLAQIUABQAAAAIAIdO4kAiQRdvxgIA&#10;AH0FAAAOAAAAAAAAAAEAIAAAACYBAABkcnMvZTJvRG9jLnhtbFBLBQYAAAAABgAGAFkBAABeBgAA&#10;AAA=&#10;" adj="-781,-16971">
                      <v:fill on="t" focussize="0,0"/>
                      <v:stroke weight="2pt" color="#376092 [2404]" joinstyle="round"/>
                      <v:imagedata o:title=""/>
                      <o:lock v:ext="edit" aspectratio="f"/>
                      <v:textbox>
                        <w:txbxContent>
                          <w:p w14:paraId="74AA5A61">
                            <w:pPr>
                              <w:jc w:val="both"/>
                              <w:rPr>
                                <w:rFonts w:hint="default" w:eastAsia="宋体"/>
                                <w:sz w:val="18"/>
                                <w:szCs w:val="18"/>
                                <w:lang w:val="en-US" w:eastAsia="zh-CN"/>
                              </w:rPr>
                            </w:pPr>
                            <w:r>
                              <w:rPr>
                                <w:rFonts w:hint="eastAsia"/>
                                <w:sz w:val="18"/>
                                <w:szCs w:val="18"/>
                                <w:lang w:val="en-US" w:eastAsia="zh-CN"/>
                              </w:rPr>
                              <w:t>项目所在地</w:t>
                            </w:r>
                          </w:p>
                        </w:txbxContent>
                      </v:textbox>
                    </v:shape>
                  </w:pict>
                </mc:Fallback>
              </mc:AlternateContent>
            </w:r>
            <w:r>
              <w:drawing>
                <wp:inline distT="0" distB="0" distL="114300" distR="114300">
                  <wp:extent cx="4989195" cy="3197860"/>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4989195" cy="3197860"/>
                          </a:xfrm>
                          <a:prstGeom prst="rect">
                            <a:avLst/>
                          </a:prstGeom>
                          <a:noFill/>
                          <a:ln>
                            <a:noFill/>
                          </a:ln>
                        </pic:spPr>
                      </pic:pic>
                    </a:graphicData>
                  </a:graphic>
                </wp:inline>
              </w:drawing>
            </w:r>
            <w:r>
              <w:rPr>
                <w:sz w:val="24"/>
              </w:rPr>
              <mc:AlternateContent>
                <mc:Choice Requires="wps">
                  <w:drawing>
                    <wp:anchor distT="0" distB="0" distL="114300" distR="114300" simplePos="0" relativeHeight="251661312" behindDoc="0" locked="0" layoutInCell="1" allowOverlap="1">
                      <wp:simplePos x="0" y="0"/>
                      <wp:positionH relativeFrom="column">
                        <wp:posOffset>3207385</wp:posOffset>
                      </wp:positionH>
                      <wp:positionV relativeFrom="paragraph">
                        <wp:posOffset>961390</wp:posOffset>
                      </wp:positionV>
                      <wp:extent cx="786130" cy="438150"/>
                      <wp:effectExtent l="76200" t="486410" r="12700" b="16510"/>
                      <wp:wrapNone/>
                      <wp:docPr id="37" name="矩形标注 37"/>
                      <wp:cNvGraphicFramePr/>
                      <a:graphic xmlns:a="http://schemas.openxmlformats.org/drawingml/2006/main">
                        <a:graphicData uri="http://schemas.microsoft.com/office/word/2010/wordprocessingShape">
                          <wps:wsp>
                            <wps:cNvSpPr/>
                            <wps:spPr>
                              <a:xfrm>
                                <a:off x="0" y="0"/>
                                <a:ext cx="786130" cy="438150"/>
                              </a:xfrm>
                              <a:prstGeom prst="wedgeRectCallout">
                                <a:avLst>
                                  <a:gd name="adj1" fmla="val -58077"/>
                                  <a:gd name="adj2" fmla="val -158115"/>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6C315D4B">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G1凌冰项目所在地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55pt;margin-top:75.7pt;height:34.5pt;width:61.9pt;z-index:251661312;v-text-anchor:middle;mso-width-relative:page;mso-height-relative:page;" fillcolor="#4F81BD [3204]" filled="t" stroked="t" coordsize="21600,21600" o:gfxdata="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vM5MFdkAAAALAQAADwAAAAAAAAAB&#10;ACAAAAAiAAAAZHJzL2Rvd25yZXYueG1sUEsBAhQAFAAAAAgAh07iQFTn+aa6AgAAcQUAAA4AAAAA&#10;AAAAAQAgAAAAKAEAAGRycy9lMm9Eb2MueG1sUEsFBgAAAAAGAAYAWQEAAFQGAAAAAA==&#10;" adj="-1745,-23353">
                      <v:fill on="t" focussize="0,0"/>
                      <v:stroke weight="2pt" color="#376092 [2404]" joinstyle="round"/>
                      <v:imagedata o:title=""/>
                      <o:lock v:ext="edit" aspectratio="f"/>
                      <v:textbox>
                        <w:txbxContent>
                          <w:p w14:paraId="6C315D4B">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G1凌冰项目所在地</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568960</wp:posOffset>
                      </wp:positionH>
                      <wp:positionV relativeFrom="paragraph">
                        <wp:posOffset>485775</wp:posOffset>
                      </wp:positionV>
                      <wp:extent cx="2564765" cy="2049145"/>
                      <wp:effectExtent l="7620" t="0" r="3175" b="14605"/>
                      <wp:wrapNone/>
                      <wp:docPr id="38" name="直接箭头连接符 38"/>
                      <wp:cNvGraphicFramePr/>
                      <a:graphic xmlns:a="http://schemas.openxmlformats.org/drawingml/2006/main">
                        <a:graphicData uri="http://schemas.microsoft.com/office/word/2010/wordprocessingShape">
                          <wps:wsp>
                            <wps:cNvCnPr/>
                            <wps:spPr>
                              <a:xfrm flipV="1">
                                <a:off x="3716655" y="6580505"/>
                                <a:ext cx="2564765" cy="204914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4.8pt;margin-top:38.25pt;height:161.35pt;width:201.95pt;z-index:251662336;mso-width-relative:page;mso-height-relative:page;" filled="f" stroked="t" coordsize="21600,21600" o:gfxdata="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lC26XaAAAACQEAAA8A&#10;AAAAAAAAAQAgAAAAIgAAAGRycy9kb3ducmV2LnhtbFBLAQIUABQAAAAIAIdO4kB4HT17FQIAAOYD&#10;AAAOAAAAAAAAAAEAIAAAACkBAABkcnMvZTJvRG9jLnhtbFBLBQYAAAAABgAGAFkBAACwBQAAAAA=&#10;">
                      <v:fill on="f" focussize="0,0"/>
                      <v:stroke weight="2pt" color="#FF0000 [3204]" joinstyle="round" endarrow="open"/>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1784350</wp:posOffset>
                      </wp:positionH>
                      <wp:positionV relativeFrom="paragraph">
                        <wp:posOffset>1618615</wp:posOffset>
                      </wp:positionV>
                      <wp:extent cx="596265" cy="266700"/>
                      <wp:effectExtent l="4445" t="4445" r="10160" b="9525"/>
                      <wp:wrapNone/>
                      <wp:docPr id="35" name="文本框 35"/>
                      <wp:cNvGraphicFramePr/>
                      <a:graphic xmlns:a="http://schemas.openxmlformats.org/drawingml/2006/main">
                        <a:graphicData uri="http://schemas.microsoft.com/office/word/2010/wordprocessingShape">
                          <wps:wsp>
                            <wps:cNvSpPr txBox="1"/>
                            <wps:spPr>
                              <a:xfrm>
                                <a:off x="3845560" y="6979920"/>
                                <a:ext cx="59626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4453CF">
                                  <w:pPr>
                                    <w:jc w:val="both"/>
                                    <w:rPr>
                                      <w:rFonts w:hint="default" w:ascii="Times New Roman" w:hAnsi="Times New Roman" w:eastAsia="宋体" w:cs="Times New Roman"/>
                                      <w:sz w:val="18"/>
                                      <w:szCs w:val="18"/>
                                      <w:lang w:val="en-US" w:eastAsia="zh-CN"/>
                                    </w:rPr>
                                  </w:pPr>
                                  <w:r>
                                    <w:rPr>
                                      <w:rFonts w:hint="eastAsia" w:cs="Times New Roman"/>
                                      <w:sz w:val="18"/>
                                      <w:szCs w:val="18"/>
                                      <w:lang w:val="en-US" w:eastAsia="zh-CN"/>
                                    </w:rPr>
                                    <w:t>1540</w:t>
                                  </w:r>
                                  <w:r>
                                    <w:rPr>
                                      <w:rFonts w:hint="eastAsia" w:ascii="Times New Roman" w:hAnsi="Times New Roman" w:eastAsia="宋体" w:cs="Times New Roman"/>
                                      <w:sz w:val="18"/>
                                      <w:szCs w:val="18"/>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pt;margin-top:127.45pt;height:21pt;width:46.95pt;z-index:251663360;mso-width-relative:page;mso-height-relative:page;" fillcolor="#FFFFFF [3201]" filled="t" stroked="t" coordsize="21600,21600" o:gfxdata="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ZmmvTXAAAACwEAAA8AAAAAAAAAAQAgAAAAIgAAAGRycy9kb3ducmV2LnhtbFBLAQIU&#10;ABQAAAAIAIdO4kBIXF1GZgIAAMQEAAAOAAAAAAAAAAEAIAAAACYBAABkcnMvZTJvRG9jLnhtbFBL&#10;BQYAAAAABgAGAFkBAAD+BQAAAAA=&#10;">
                      <v:fill on="t" focussize="0,0"/>
                      <v:stroke weight="0.5pt" color="#000000 [3204]" joinstyle="round"/>
                      <v:imagedata o:title=""/>
                      <o:lock v:ext="edit" aspectratio="f"/>
                      <v:textbox>
                        <w:txbxContent>
                          <w:p w14:paraId="324453CF">
                            <w:pPr>
                              <w:jc w:val="both"/>
                              <w:rPr>
                                <w:rFonts w:hint="default" w:ascii="Times New Roman" w:hAnsi="Times New Roman" w:eastAsia="宋体" w:cs="Times New Roman"/>
                                <w:sz w:val="18"/>
                                <w:szCs w:val="18"/>
                                <w:lang w:val="en-US" w:eastAsia="zh-CN"/>
                              </w:rPr>
                            </w:pPr>
                            <w:r>
                              <w:rPr>
                                <w:rFonts w:hint="eastAsia" w:cs="Times New Roman"/>
                                <w:sz w:val="18"/>
                                <w:szCs w:val="18"/>
                                <w:lang w:val="en-US" w:eastAsia="zh-CN"/>
                              </w:rPr>
                              <w:t>1540</w:t>
                            </w:r>
                            <w:r>
                              <w:rPr>
                                <w:rFonts w:hint="eastAsia" w:ascii="Times New Roman" w:hAnsi="Times New Roman" w:eastAsia="宋体" w:cs="Times New Roman"/>
                                <w:sz w:val="18"/>
                                <w:szCs w:val="18"/>
                                <w:lang w:val="en-US" w:eastAsia="zh-CN"/>
                              </w:rPr>
                              <w:t>m</w:t>
                            </w:r>
                          </w:p>
                        </w:txbxContent>
                      </v:textbox>
                    </v:shape>
                  </w:pict>
                </mc:Fallback>
              </mc:AlternateContent>
            </w:r>
            <w:r>
              <w:rPr>
                <w:rFonts w:hint="eastAsia" w:eastAsia="宋体" w:cs="Times New Roman"/>
                <w:sz w:val="24"/>
                <w:szCs w:val="24"/>
                <w:lang w:eastAsia="zh-CN"/>
              </w:rPr>
              <w:drawing>
                <wp:anchor distT="0" distB="0" distL="114300" distR="114300" simplePos="0" relativeHeight="251664384" behindDoc="0" locked="0" layoutInCell="1" allowOverlap="1">
                  <wp:simplePos x="0" y="0"/>
                  <wp:positionH relativeFrom="column">
                    <wp:posOffset>4525645</wp:posOffset>
                  </wp:positionH>
                  <wp:positionV relativeFrom="paragraph">
                    <wp:posOffset>3810</wp:posOffset>
                  </wp:positionV>
                  <wp:extent cx="485775" cy="641350"/>
                  <wp:effectExtent l="0" t="0" r="1270" b="2540"/>
                  <wp:wrapNone/>
                  <wp:docPr id="41" name="图片 41" descr="泗县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泗县风玫瑰图"/>
                          <pic:cNvPicPr>
                            <a:picLocks noChangeAspect="1"/>
                          </pic:cNvPicPr>
                        </pic:nvPicPr>
                        <pic:blipFill>
                          <a:blip r:embed="rId14"/>
                          <a:stretch>
                            <a:fillRect/>
                          </a:stretch>
                        </pic:blipFill>
                        <pic:spPr>
                          <a:xfrm>
                            <a:off x="0" y="0"/>
                            <a:ext cx="485775" cy="641350"/>
                          </a:xfrm>
                          <a:prstGeom prst="rect">
                            <a:avLst/>
                          </a:prstGeom>
                        </pic:spPr>
                      </pic:pic>
                    </a:graphicData>
                  </a:graphic>
                </wp:anchor>
              </w:drawing>
            </w:r>
          </w:p>
          <w:p w14:paraId="53B0B6DC">
            <w:pPr>
              <w:adjustRightInd w:val="0"/>
              <w:snapToGrid w:val="0"/>
              <w:spacing w:line="360" w:lineRule="auto"/>
              <w:ind w:left="482" w:hanging="482" w:hangingChars="200"/>
              <w:jc w:val="center"/>
              <w:rPr>
                <w:b/>
                <w:bCs/>
              </w:rPr>
            </w:pPr>
            <w:r>
              <w:rPr>
                <w:rFonts w:hint="eastAsia"/>
                <w:b/>
                <w:bCs/>
              </w:rPr>
              <w:t>图3</w:t>
            </w:r>
            <w:r>
              <w:rPr>
                <w:rFonts w:hint="eastAsia"/>
                <w:b/>
                <w:bCs/>
                <w:lang w:val="en-US" w:eastAsia="zh-CN"/>
              </w:rPr>
              <w:t>-1</w:t>
            </w:r>
            <w:r>
              <w:rPr>
                <w:rFonts w:hint="eastAsia"/>
                <w:b/>
                <w:bCs/>
              </w:rPr>
              <w:t xml:space="preserve">  监测点位图</w:t>
            </w:r>
          </w:p>
          <w:p w14:paraId="28D0119C">
            <w:pPr>
              <w:adjustRightInd w:val="0"/>
              <w:snapToGrid w:val="0"/>
              <w:spacing w:before="120" w:beforeLines="50" w:line="360" w:lineRule="auto"/>
              <w:ind w:left="480" w:leftChars="200"/>
              <w:rPr>
                <w:kern w:val="0"/>
              </w:rPr>
            </w:pPr>
            <w:r>
              <w:rPr>
                <w:kern w:val="0"/>
              </w:rPr>
              <w:t>②</w:t>
            </w:r>
            <w:r>
              <w:rPr>
                <w:rFonts w:hint="eastAsia"/>
                <w:kern w:val="0"/>
              </w:rPr>
              <w:t>检测</w:t>
            </w:r>
            <w:r>
              <w:rPr>
                <w:kern w:val="0"/>
              </w:rPr>
              <w:t>日期和监测单位</w:t>
            </w:r>
          </w:p>
          <w:p w14:paraId="1E52B0C4">
            <w:pPr>
              <w:adjustRightInd w:val="0"/>
              <w:snapToGrid w:val="0"/>
              <w:spacing w:line="360" w:lineRule="auto"/>
              <w:ind w:firstLine="480" w:firstLineChars="200"/>
              <w:jc w:val="left"/>
              <w:rPr>
                <w:kern w:val="0"/>
              </w:rPr>
            </w:pPr>
            <w:r>
              <w:rPr>
                <w:rFonts w:hint="eastAsia"/>
              </w:rPr>
              <w:t>安徽</w:t>
            </w:r>
            <w:r>
              <w:rPr>
                <w:rFonts w:hint="eastAsia"/>
                <w:lang w:val="en-US" w:eastAsia="zh-CN"/>
              </w:rPr>
              <w:t>国晟</w:t>
            </w:r>
            <w:r>
              <w:rPr>
                <w:rFonts w:hint="eastAsia"/>
              </w:rPr>
              <w:t>检测技术有限公司</w:t>
            </w:r>
            <w:r>
              <w:rPr>
                <w:kern w:val="0"/>
              </w:rPr>
              <w:t>分别于202</w:t>
            </w:r>
            <w:r>
              <w:rPr>
                <w:rFonts w:hint="eastAsia"/>
                <w:kern w:val="0"/>
                <w:lang w:val="en-US" w:eastAsia="zh-CN"/>
              </w:rPr>
              <w:t>3</w:t>
            </w:r>
            <w:r>
              <w:rPr>
                <w:rFonts w:hint="eastAsia"/>
                <w:kern w:val="0"/>
              </w:rPr>
              <w:t>年</w:t>
            </w:r>
            <w:r>
              <w:rPr>
                <w:rFonts w:hint="eastAsia"/>
                <w:kern w:val="0"/>
                <w:lang w:val="en-US" w:eastAsia="zh-CN"/>
              </w:rPr>
              <w:t>4</w:t>
            </w:r>
            <w:r>
              <w:rPr>
                <w:rFonts w:hint="eastAsia"/>
                <w:kern w:val="0"/>
              </w:rPr>
              <w:t>月</w:t>
            </w:r>
            <w:r>
              <w:rPr>
                <w:rFonts w:hint="eastAsia"/>
                <w:kern w:val="0"/>
                <w:lang w:val="en-US" w:eastAsia="zh-CN"/>
              </w:rPr>
              <w:t>15</w:t>
            </w:r>
            <w:r>
              <w:rPr>
                <w:rFonts w:hint="eastAsia"/>
                <w:kern w:val="0"/>
              </w:rPr>
              <w:t>日</w:t>
            </w:r>
            <w:r>
              <w:rPr>
                <w:kern w:val="0"/>
              </w:rPr>
              <w:t>~202</w:t>
            </w:r>
            <w:r>
              <w:rPr>
                <w:rFonts w:hint="eastAsia"/>
                <w:kern w:val="0"/>
                <w:lang w:val="en-US" w:eastAsia="zh-CN"/>
              </w:rPr>
              <w:t>3</w:t>
            </w:r>
            <w:r>
              <w:rPr>
                <w:rFonts w:hint="eastAsia"/>
                <w:kern w:val="0"/>
              </w:rPr>
              <w:t>年</w:t>
            </w:r>
            <w:r>
              <w:rPr>
                <w:rFonts w:hint="eastAsia"/>
                <w:kern w:val="0"/>
                <w:lang w:val="en-US" w:eastAsia="zh-CN"/>
              </w:rPr>
              <w:t>4</w:t>
            </w:r>
            <w:r>
              <w:rPr>
                <w:rFonts w:hint="eastAsia"/>
                <w:kern w:val="0"/>
              </w:rPr>
              <w:t>月</w:t>
            </w:r>
            <w:r>
              <w:rPr>
                <w:rFonts w:hint="eastAsia"/>
                <w:kern w:val="0"/>
                <w:lang w:val="en-US" w:eastAsia="zh-CN"/>
              </w:rPr>
              <w:t>22</w:t>
            </w:r>
            <w:r>
              <w:rPr>
                <w:rFonts w:hint="eastAsia"/>
                <w:kern w:val="0"/>
              </w:rPr>
              <w:t>日</w:t>
            </w:r>
            <w:r>
              <w:rPr>
                <w:kern w:val="0"/>
              </w:rPr>
              <w:t>对项目区大气环境质量现状进行</w:t>
            </w:r>
            <w:r>
              <w:rPr>
                <w:rFonts w:hint="eastAsia"/>
                <w:kern w:val="0"/>
              </w:rPr>
              <w:t>检测</w:t>
            </w:r>
            <w:r>
              <w:rPr>
                <w:kern w:val="0"/>
              </w:rPr>
              <w:t>。</w:t>
            </w:r>
          </w:p>
          <w:p w14:paraId="535DEF16">
            <w:pPr>
              <w:adjustRightInd w:val="0"/>
              <w:snapToGrid w:val="0"/>
              <w:spacing w:line="360" w:lineRule="auto"/>
              <w:ind w:firstLine="480" w:firstLineChars="200"/>
              <w:jc w:val="left"/>
              <w:rPr>
                <w:kern w:val="0"/>
              </w:rPr>
            </w:pPr>
            <w:r>
              <w:rPr>
                <w:kern w:val="0"/>
              </w:rPr>
              <w:t>③</w:t>
            </w:r>
            <w:r>
              <w:rPr>
                <w:rFonts w:hint="eastAsia"/>
                <w:kern w:val="0"/>
              </w:rPr>
              <w:t>检测</w:t>
            </w:r>
            <w:r>
              <w:rPr>
                <w:kern w:val="0"/>
              </w:rPr>
              <w:t>因子</w:t>
            </w:r>
          </w:p>
          <w:p w14:paraId="4EA146D3">
            <w:pPr>
              <w:adjustRightInd w:val="0"/>
              <w:snapToGrid w:val="0"/>
              <w:spacing w:line="360" w:lineRule="auto"/>
              <w:ind w:firstLine="480" w:firstLineChars="200"/>
              <w:jc w:val="left"/>
              <w:rPr>
                <w:kern w:val="0"/>
              </w:rPr>
            </w:pPr>
            <w:r>
              <w:rPr>
                <w:rFonts w:hint="eastAsia"/>
                <w:kern w:val="0"/>
              </w:rPr>
              <w:t>TSP</w:t>
            </w:r>
          </w:p>
          <w:p w14:paraId="4A4A2BC6">
            <w:pPr>
              <w:adjustRightInd w:val="0"/>
              <w:snapToGrid w:val="0"/>
              <w:spacing w:line="360" w:lineRule="auto"/>
              <w:ind w:firstLine="480" w:firstLineChars="200"/>
              <w:jc w:val="left"/>
              <w:rPr>
                <w:kern w:val="0"/>
              </w:rPr>
            </w:pPr>
            <w:r>
              <w:rPr>
                <w:rFonts w:hint="eastAsia" w:ascii="宋体" w:hAnsi="宋体" w:cs="宋体"/>
                <w:kern w:val="0"/>
              </w:rPr>
              <w:t>④</w:t>
            </w:r>
            <w:r>
              <w:rPr>
                <w:kern w:val="0"/>
              </w:rPr>
              <w:t>监测结果</w:t>
            </w:r>
          </w:p>
          <w:p w14:paraId="6BFDADC2">
            <w:pPr>
              <w:adjustRightInd w:val="0"/>
              <w:snapToGrid w:val="0"/>
              <w:spacing w:line="360" w:lineRule="auto"/>
              <w:ind w:firstLine="480" w:firstLineChars="200"/>
              <w:jc w:val="left"/>
              <w:rPr>
                <w:rFonts w:ascii="Times New Roman" w:hAnsi="Times New Roman"/>
                <w:b/>
                <w:bCs/>
                <w:kern w:val="2"/>
                <w:szCs w:val="24"/>
                <w:lang w:bidi="ar"/>
              </w:rPr>
            </w:pPr>
            <w:r>
              <w:rPr>
                <w:kern w:val="0"/>
              </w:rPr>
              <w:t>监测数据如下：</w:t>
            </w:r>
          </w:p>
          <w:p w14:paraId="273B868D">
            <w:pPr>
              <w:pStyle w:val="26"/>
              <w:spacing w:before="0" w:beforeAutospacing="0" w:after="0" w:afterAutospacing="0"/>
              <w:jc w:val="center"/>
              <w:rPr>
                <w:rFonts w:ascii="Times New Roman" w:hAnsi="Times New Roman"/>
              </w:rPr>
            </w:pPr>
            <w:r>
              <w:rPr>
                <w:rFonts w:ascii="Times New Roman" w:hAnsi="Times New Roman"/>
                <w:b/>
                <w:bCs/>
                <w:kern w:val="2"/>
                <w:szCs w:val="24"/>
                <w:lang w:bidi="ar"/>
              </w:rPr>
              <w:t>表3</w:t>
            </w:r>
            <w:r>
              <w:rPr>
                <w:rFonts w:hint="eastAsia" w:ascii="Times New Roman" w:hAnsi="Times New Roman"/>
                <w:b/>
                <w:bCs/>
                <w:kern w:val="2"/>
                <w:szCs w:val="24"/>
                <w:lang w:val="en-US" w:eastAsia="zh-CN" w:bidi="ar"/>
              </w:rPr>
              <w:t xml:space="preserve">-3 </w:t>
            </w:r>
            <w:r>
              <w:rPr>
                <w:rFonts w:hint="eastAsia" w:ascii="Times New Roman" w:hAnsi="Times New Roman"/>
                <w:b/>
                <w:bCs/>
                <w:kern w:val="2"/>
                <w:szCs w:val="24"/>
                <w:lang w:bidi="ar"/>
              </w:rPr>
              <w:t xml:space="preserve"> </w:t>
            </w:r>
            <w:r>
              <w:rPr>
                <w:rFonts w:hint="eastAsia" w:ascii="Times New Roman" w:hAnsi="Times New Roman"/>
                <w:b/>
                <w:bCs/>
                <w:kern w:val="2"/>
                <w:szCs w:val="24"/>
                <w:lang w:val="en-US" w:eastAsia="zh-CN" w:bidi="ar"/>
              </w:rPr>
              <w:t>TSP</w:t>
            </w:r>
            <w:r>
              <w:rPr>
                <w:rFonts w:cs="宋体"/>
                <w:b/>
                <w:bCs/>
                <w:lang w:val="zh-CN" w:bidi="zh-CN"/>
              </w:rPr>
              <w:t>监测结果一览表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990"/>
              <w:gridCol w:w="765"/>
              <w:gridCol w:w="840"/>
              <w:gridCol w:w="780"/>
              <w:gridCol w:w="855"/>
              <w:gridCol w:w="820"/>
              <w:gridCol w:w="875"/>
              <w:gridCol w:w="844"/>
            </w:tblGrid>
            <w:tr w14:paraId="1E8F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5" w:type="dxa"/>
                  <w:vMerge w:val="restart"/>
                  <w:vAlign w:val="center"/>
                </w:tcPr>
                <w:p w14:paraId="47AE30DE">
                  <w:pPr>
                    <w:pStyle w:val="26"/>
                    <w:spacing w:before="0" w:beforeAutospacing="0" w:after="0" w:afterAutospacing="0"/>
                    <w:jc w:val="center"/>
                    <w:rPr>
                      <w:rFonts w:hint="default" w:ascii="Times New Roman" w:hAnsi="Times New Roman" w:eastAsia="宋体" w:cs="Times New Roman"/>
                      <w:sz w:val="21"/>
                      <w:szCs w:val="21"/>
                    </w:rPr>
                  </w:pPr>
                  <w:r>
                    <w:rPr>
                      <w:rFonts w:hint="default" w:ascii="Times New Roman" w:hAnsi="Times New Roman" w:eastAsia="宋体" w:cs="Times New Roman"/>
                      <w:b/>
                      <w:bCs/>
                      <w:kern w:val="2"/>
                      <w:sz w:val="21"/>
                      <w:szCs w:val="21"/>
                      <w:lang w:bidi="ar"/>
                    </w:rPr>
                    <w:t>监测点位</w:t>
                  </w:r>
                </w:p>
              </w:tc>
              <w:tc>
                <w:tcPr>
                  <w:tcW w:w="990" w:type="dxa"/>
                  <w:vMerge w:val="restart"/>
                  <w:vAlign w:val="center"/>
                </w:tcPr>
                <w:p w14:paraId="0A7F4CAE">
                  <w:pPr>
                    <w:pStyle w:val="26"/>
                    <w:spacing w:before="0" w:beforeAutospacing="0" w:after="0" w:afterAutospacing="0"/>
                    <w:jc w:val="center"/>
                    <w:rPr>
                      <w:rFonts w:hint="default" w:ascii="Times New Roman" w:hAnsi="Times New Roman" w:eastAsia="宋体" w:cs="Times New Roman"/>
                      <w:sz w:val="21"/>
                      <w:szCs w:val="21"/>
                    </w:rPr>
                  </w:pPr>
                  <w:r>
                    <w:rPr>
                      <w:rFonts w:hint="default" w:ascii="Times New Roman" w:hAnsi="Times New Roman" w:eastAsia="宋体" w:cs="Times New Roman"/>
                      <w:b/>
                      <w:bCs/>
                      <w:kern w:val="2"/>
                      <w:sz w:val="21"/>
                      <w:szCs w:val="21"/>
                      <w:lang w:bidi="ar"/>
                    </w:rPr>
                    <w:t>监测项目</w:t>
                  </w:r>
                </w:p>
              </w:tc>
              <w:tc>
                <w:tcPr>
                  <w:tcW w:w="5779" w:type="dxa"/>
                  <w:gridSpan w:val="7"/>
                  <w:vAlign w:val="center"/>
                </w:tcPr>
                <w:p w14:paraId="1A7193FF">
                  <w:pPr>
                    <w:pStyle w:val="26"/>
                    <w:spacing w:before="0" w:beforeAutospacing="0" w:after="0" w:afterAutospacing="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检测结果（ug/m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lang w:val="en-US" w:eastAsia="zh-CN"/>
                    </w:rPr>
                    <w:t>）</w:t>
                  </w:r>
                </w:p>
              </w:tc>
            </w:tr>
            <w:tr w14:paraId="01A2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5" w:type="dxa"/>
                  <w:vMerge w:val="continue"/>
                  <w:vAlign w:val="center"/>
                </w:tcPr>
                <w:p w14:paraId="35595910">
                  <w:pPr>
                    <w:pStyle w:val="26"/>
                    <w:spacing w:before="0" w:beforeAutospacing="0" w:after="0" w:afterAutospacing="0"/>
                    <w:jc w:val="center"/>
                    <w:rPr>
                      <w:rFonts w:hint="default" w:ascii="Times New Roman" w:hAnsi="Times New Roman" w:eastAsia="宋体" w:cs="Times New Roman"/>
                      <w:sz w:val="21"/>
                      <w:szCs w:val="21"/>
                    </w:rPr>
                  </w:pPr>
                </w:p>
              </w:tc>
              <w:tc>
                <w:tcPr>
                  <w:tcW w:w="990" w:type="dxa"/>
                  <w:vMerge w:val="continue"/>
                  <w:vAlign w:val="center"/>
                </w:tcPr>
                <w:p w14:paraId="051DB602">
                  <w:pPr>
                    <w:pStyle w:val="26"/>
                    <w:spacing w:before="0" w:beforeAutospacing="0" w:after="0" w:afterAutospacing="0"/>
                    <w:jc w:val="center"/>
                    <w:rPr>
                      <w:rFonts w:hint="default" w:ascii="Times New Roman" w:hAnsi="Times New Roman" w:eastAsia="宋体" w:cs="Times New Roman"/>
                      <w:sz w:val="21"/>
                      <w:szCs w:val="21"/>
                    </w:rPr>
                  </w:pPr>
                </w:p>
              </w:tc>
              <w:tc>
                <w:tcPr>
                  <w:tcW w:w="765" w:type="dxa"/>
                  <w:vAlign w:val="center"/>
                </w:tcPr>
                <w:p w14:paraId="6CEF7CFD">
                  <w:pPr>
                    <w:pStyle w:val="26"/>
                    <w:spacing w:before="0" w:beforeAutospacing="0" w:after="0" w:afterAutospacing="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4月15~16日</w:t>
                  </w:r>
                </w:p>
              </w:tc>
              <w:tc>
                <w:tcPr>
                  <w:tcW w:w="840" w:type="dxa"/>
                  <w:vAlign w:val="center"/>
                </w:tcPr>
                <w:p w14:paraId="2CFA4C31">
                  <w:pPr>
                    <w:spacing w:before="0" w:beforeAutospacing="0" w:after="0" w:afterAutospacing="0"/>
                    <w:jc w:val="center"/>
                    <w:rPr>
                      <w:rFonts w:hint="default" w:ascii="Times New Roman" w:hAnsi="Times New Roman" w:eastAsia="宋体" w:cs="Times New Roman"/>
                      <w:b/>
                      <w:bCs/>
                      <w:kern w:val="2"/>
                      <w:sz w:val="21"/>
                      <w:szCs w:val="21"/>
                      <w:lang w:bidi="ar"/>
                    </w:rPr>
                  </w:pPr>
                  <w:r>
                    <w:rPr>
                      <w:rFonts w:hint="default" w:ascii="Times New Roman" w:hAnsi="Times New Roman" w:eastAsia="宋体" w:cs="Times New Roman"/>
                      <w:b/>
                      <w:bCs/>
                      <w:sz w:val="21"/>
                      <w:szCs w:val="21"/>
                      <w:lang w:val="en-US" w:eastAsia="zh-CN"/>
                    </w:rPr>
                    <w:t>4月16~17日</w:t>
                  </w:r>
                </w:p>
              </w:tc>
              <w:tc>
                <w:tcPr>
                  <w:tcW w:w="780" w:type="dxa"/>
                  <w:vAlign w:val="center"/>
                </w:tcPr>
                <w:p w14:paraId="4380BF8E">
                  <w:pPr>
                    <w:spacing w:before="0" w:beforeAutospacing="0" w:after="0" w:afterAutospacing="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4月17~18日</w:t>
                  </w:r>
                </w:p>
              </w:tc>
              <w:tc>
                <w:tcPr>
                  <w:tcW w:w="855" w:type="dxa"/>
                  <w:vAlign w:val="center"/>
                </w:tcPr>
                <w:p w14:paraId="2149EEF5">
                  <w:pPr>
                    <w:spacing w:before="0" w:beforeAutospacing="0" w:after="0" w:afterAutospacing="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4月18~19日</w:t>
                  </w:r>
                </w:p>
              </w:tc>
              <w:tc>
                <w:tcPr>
                  <w:tcW w:w="820" w:type="dxa"/>
                  <w:vAlign w:val="center"/>
                </w:tcPr>
                <w:p w14:paraId="4E85E68B">
                  <w:pPr>
                    <w:spacing w:before="0" w:beforeAutospacing="0" w:after="0" w:afterAutospacing="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4月19~20日</w:t>
                  </w:r>
                </w:p>
              </w:tc>
              <w:tc>
                <w:tcPr>
                  <w:tcW w:w="875" w:type="dxa"/>
                  <w:vAlign w:val="center"/>
                </w:tcPr>
                <w:p w14:paraId="3439209D">
                  <w:pPr>
                    <w:spacing w:before="0" w:beforeAutospacing="0" w:after="0" w:afterAutospacing="0"/>
                    <w:jc w:val="center"/>
                    <w:rPr>
                      <w:rFonts w:hint="default" w:ascii="Times New Roman" w:hAnsi="Times New Roman" w:eastAsia="宋体" w:cs="Times New Roman"/>
                      <w:b/>
                      <w:bCs/>
                      <w:kern w:val="2"/>
                      <w:sz w:val="21"/>
                      <w:szCs w:val="21"/>
                      <w:lang w:bidi="ar"/>
                    </w:rPr>
                  </w:pPr>
                  <w:r>
                    <w:rPr>
                      <w:rFonts w:hint="default" w:ascii="Times New Roman" w:hAnsi="Times New Roman" w:eastAsia="宋体" w:cs="Times New Roman"/>
                      <w:b/>
                      <w:bCs/>
                      <w:sz w:val="21"/>
                      <w:szCs w:val="21"/>
                      <w:lang w:val="en-US" w:eastAsia="zh-CN"/>
                    </w:rPr>
                    <w:t>4月20~21日</w:t>
                  </w:r>
                </w:p>
              </w:tc>
              <w:tc>
                <w:tcPr>
                  <w:tcW w:w="844" w:type="dxa"/>
                  <w:vAlign w:val="center"/>
                </w:tcPr>
                <w:p w14:paraId="42D8CF12">
                  <w:pPr>
                    <w:spacing w:before="0" w:beforeAutospacing="0" w:after="0" w:afterAutospacing="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4月21~22日</w:t>
                  </w:r>
                </w:p>
              </w:tc>
            </w:tr>
            <w:tr w14:paraId="734D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5" w:type="dxa"/>
                  <w:vAlign w:val="center"/>
                </w:tcPr>
                <w:p w14:paraId="655C39C0">
                  <w:pPr>
                    <w:pStyle w:val="26"/>
                    <w:spacing w:before="0" w:beforeAutospacing="0" w:after="0" w:afterAutospacing="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bidi="ar"/>
                    </w:rPr>
                    <w:t>G1</w:t>
                  </w:r>
                  <w:r>
                    <w:rPr>
                      <w:rFonts w:hint="default" w:ascii="Times New Roman" w:hAnsi="Times New Roman" w:eastAsia="宋体" w:cs="Times New Roman"/>
                      <w:kern w:val="2"/>
                      <w:sz w:val="21"/>
                      <w:szCs w:val="21"/>
                      <w:lang w:val="en-US" w:eastAsia="zh-CN" w:bidi="ar"/>
                    </w:rPr>
                    <w:t>凌冰项目所在地</w:t>
                  </w:r>
                </w:p>
              </w:tc>
              <w:tc>
                <w:tcPr>
                  <w:tcW w:w="990" w:type="dxa"/>
                  <w:vAlign w:val="center"/>
                </w:tcPr>
                <w:p w14:paraId="2E7BE19C">
                  <w:pPr>
                    <w:pStyle w:val="7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总悬浮颗粒物</w:t>
                  </w:r>
                </w:p>
              </w:tc>
              <w:tc>
                <w:tcPr>
                  <w:tcW w:w="765" w:type="dxa"/>
                  <w:vAlign w:val="center"/>
                </w:tcPr>
                <w:p w14:paraId="21E97A62">
                  <w:pPr>
                    <w:pStyle w:val="7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277</w:t>
                  </w:r>
                </w:p>
              </w:tc>
              <w:tc>
                <w:tcPr>
                  <w:tcW w:w="840" w:type="dxa"/>
                  <w:vAlign w:val="center"/>
                </w:tcPr>
                <w:p w14:paraId="452D1419">
                  <w:pPr>
                    <w:pStyle w:val="7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289</w:t>
                  </w:r>
                </w:p>
              </w:tc>
              <w:tc>
                <w:tcPr>
                  <w:tcW w:w="780" w:type="dxa"/>
                  <w:vAlign w:val="center"/>
                </w:tcPr>
                <w:p w14:paraId="5E61E810">
                  <w:pPr>
                    <w:pStyle w:val="7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220</w:t>
                  </w:r>
                </w:p>
              </w:tc>
              <w:tc>
                <w:tcPr>
                  <w:tcW w:w="855" w:type="dxa"/>
                  <w:vAlign w:val="center"/>
                </w:tcPr>
                <w:p w14:paraId="7EC44DD8">
                  <w:pPr>
                    <w:pStyle w:val="7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235</w:t>
                  </w:r>
                </w:p>
              </w:tc>
              <w:tc>
                <w:tcPr>
                  <w:tcW w:w="820" w:type="dxa"/>
                  <w:vAlign w:val="center"/>
                </w:tcPr>
                <w:p w14:paraId="1D20F037">
                  <w:pPr>
                    <w:pStyle w:val="7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241</w:t>
                  </w:r>
                </w:p>
              </w:tc>
              <w:tc>
                <w:tcPr>
                  <w:tcW w:w="875" w:type="dxa"/>
                  <w:vAlign w:val="center"/>
                </w:tcPr>
                <w:p w14:paraId="7E3A1C01">
                  <w:pPr>
                    <w:pStyle w:val="7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242</w:t>
                  </w:r>
                </w:p>
              </w:tc>
              <w:tc>
                <w:tcPr>
                  <w:tcW w:w="844" w:type="dxa"/>
                  <w:vAlign w:val="center"/>
                </w:tcPr>
                <w:p w14:paraId="11380D32">
                  <w:pPr>
                    <w:pStyle w:val="7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235</w:t>
                  </w:r>
                </w:p>
              </w:tc>
            </w:tr>
          </w:tbl>
          <w:p w14:paraId="315683DE">
            <w:pPr>
              <w:adjustRightInd w:val="0"/>
              <w:snapToGrid w:val="0"/>
              <w:spacing w:before="120" w:beforeLines="50" w:line="360" w:lineRule="auto"/>
              <w:ind w:firstLine="480" w:firstLineChars="200"/>
              <w:rPr>
                <w:rFonts w:hint="eastAsia"/>
              </w:rPr>
            </w:pPr>
            <w:r>
              <w:rPr>
                <w:kern w:val="0"/>
              </w:rPr>
              <w:t>现状监测结果表明：</w:t>
            </w:r>
            <w:r>
              <w:rPr>
                <w:rFonts w:hint="eastAsia"/>
                <w:lang w:bidi="ar"/>
              </w:rPr>
              <w:t>区域空气中的TSP</w:t>
            </w:r>
            <w:r>
              <w:rPr>
                <w:color w:val="000000"/>
              </w:rPr>
              <w:t>满足《环境空气质量标准》（GB3095-2012）中二级标准限值要求</w:t>
            </w:r>
            <w:r>
              <w:rPr>
                <w:kern w:val="0"/>
              </w:rPr>
              <w:t>。</w:t>
            </w:r>
          </w:p>
          <w:p w14:paraId="55A30281">
            <w:pPr>
              <w:spacing w:line="360" w:lineRule="auto"/>
              <w:ind w:firstLine="482" w:firstLineChars="200"/>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二、地表水环境质量现状</w:t>
            </w:r>
          </w:p>
          <w:p w14:paraId="1A52DE9E">
            <w:pPr>
              <w:widowControl w:val="0"/>
              <w:spacing w:before="0" w:beforeAutospacing="0" w:after="0" w:afterAutospacing="0" w:line="360" w:lineRule="auto"/>
              <w:ind w:firstLine="480" w:firstLineChars="200"/>
              <w:jc w:val="left"/>
              <w:rPr>
                <w:rFonts w:hint="eastAsia" w:ascii="Times New Roman" w:hAnsi="Times New Roman" w:eastAsia="宋体" w:cs="Times New Roman"/>
                <w:kern w:val="0"/>
                <w:sz w:val="24"/>
                <w:szCs w:val="20"/>
                <w:lang w:val="en-US" w:eastAsia="zh-CN" w:bidi="ar-SA"/>
              </w:rPr>
            </w:pPr>
            <w:r>
              <w:rPr>
                <w:rFonts w:ascii="Times New Roman" w:hAnsi="Times New Roman" w:eastAsia="宋体" w:cs="Times New Roman"/>
                <w:kern w:val="2"/>
                <w:sz w:val="24"/>
                <w:szCs w:val="24"/>
                <w:highlight w:val="none"/>
                <w:lang w:val="en-US" w:eastAsia="zh-CN" w:bidi="ar"/>
              </w:rPr>
              <w:t>地表水环境质量现状本项目引用</w:t>
            </w:r>
            <w:r>
              <w:rPr>
                <w:rFonts w:hint="eastAsia" w:ascii="Times New Roman" w:hAnsi="Times New Roman" w:eastAsia="宋体" w:cs="Times New Roman"/>
                <w:kern w:val="0"/>
                <w:sz w:val="24"/>
                <w:szCs w:val="20"/>
                <w:lang w:val="en-US" w:eastAsia="zh-CN" w:bidi="ar-SA"/>
              </w:rPr>
              <w:t>《安徽泗县经济开发区总体发展规划（2022-2035）环境影响报告书》中安徽波谱检测技术有限公司进行采样监测，监测时间为2022年10月2日~4日。</w:t>
            </w:r>
          </w:p>
          <w:p w14:paraId="367D901E">
            <w:pPr>
              <w:widowControl w:val="0"/>
              <w:spacing w:before="0" w:beforeAutospacing="0" w:after="0" w:afterAutospacing="0" w:line="360" w:lineRule="auto"/>
              <w:ind w:firstLine="480" w:firstLineChars="200"/>
              <w:jc w:val="left"/>
              <w:rPr>
                <w:rFonts w:ascii="Times New Roman" w:hAnsi="Times New Roman" w:eastAsia="宋体" w:cs="Times New Roman"/>
                <w:kern w:val="0"/>
                <w:sz w:val="24"/>
                <w:szCs w:val="20"/>
                <w:lang w:val="en-US" w:eastAsia="zh-CN" w:bidi="ar-SA"/>
              </w:rPr>
            </w:pPr>
            <w:r>
              <w:rPr>
                <w:rFonts w:ascii="Times New Roman" w:hAnsi="Times New Roman" w:eastAsia="宋体" w:cs="Times New Roman"/>
                <w:kern w:val="2"/>
                <w:sz w:val="24"/>
                <w:szCs w:val="24"/>
                <w:lang w:val="en-US" w:eastAsia="zh-CN" w:bidi="ar"/>
              </w:rPr>
              <w:t>（1）监测布点及监测因子</w:t>
            </w:r>
          </w:p>
          <w:p w14:paraId="0584975E">
            <w:pPr>
              <w:widowControl/>
              <w:jc w:val="center"/>
              <w:rPr>
                <w:rFonts w:ascii="Times New Roman" w:hAnsi="Times New Roman" w:eastAsia="宋体" w:cs="Times New Roman"/>
                <w:b/>
                <w:bCs/>
                <w:sz w:val="24"/>
                <w:szCs w:val="32"/>
              </w:rPr>
            </w:pPr>
            <w:r>
              <w:rPr>
                <w:rFonts w:ascii="Times New Roman" w:hAnsi="Times New Roman" w:eastAsia="宋体" w:cs="Times New Roman"/>
                <w:b/>
                <w:bCs/>
                <w:sz w:val="24"/>
                <w:szCs w:val="32"/>
              </w:rPr>
              <w:t>表3</w:t>
            </w:r>
            <w:r>
              <w:rPr>
                <w:rFonts w:hint="eastAsia" w:ascii="Times New Roman" w:hAnsi="Times New Roman" w:eastAsia="宋体" w:cs="Times New Roman"/>
                <w:b/>
                <w:bCs/>
                <w:sz w:val="24"/>
                <w:szCs w:val="32"/>
                <w:lang w:val="en-US" w:eastAsia="zh-CN"/>
              </w:rPr>
              <w:t xml:space="preserve">-4 </w:t>
            </w:r>
            <w:r>
              <w:rPr>
                <w:rFonts w:ascii="Times New Roman" w:hAnsi="Times New Roman" w:eastAsia="宋体" w:cs="Times New Roman"/>
                <w:b/>
                <w:bCs/>
                <w:sz w:val="24"/>
                <w:szCs w:val="32"/>
              </w:rPr>
              <w:t xml:space="preserve"> 地表水环境质量现状监测断面及监测因子</w:t>
            </w:r>
          </w:p>
          <w:tbl>
            <w:tblPr>
              <w:tblStyle w:val="95"/>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961"/>
              <w:gridCol w:w="2154"/>
              <w:gridCol w:w="1354"/>
              <w:gridCol w:w="2513"/>
            </w:tblGrid>
            <w:tr w14:paraId="1B2A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4" w:type="dxa"/>
                  <w:tcBorders>
                    <w:tl2br w:val="nil"/>
                    <w:tr2bl w:val="nil"/>
                  </w:tcBorders>
                  <w:noWrap w:val="0"/>
                  <w:vAlign w:val="center"/>
                </w:tcPr>
                <w:p w14:paraId="4FC6E9B7">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河流</w:t>
                  </w:r>
                </w:p>
              </w:tc>
              <w:tc>
                <w:tcPr>
                  <w:tcW w:w="961" w:type="dxa"/>
                  <w:tcBorders>
                    <w:tl2br w:val="nil"/>
                    <w:tr2bl w:val="nil"/>
                  </w:tcBorders>
                  <w:noWrap w:val="0"/>
                  <w:vAlign w:val="center"/>
                </w:tcPr>
                <w:p w14:paraId="5B240EFB">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断面编号</w:t>
                  </w:r>
                </w:p>
              </w:tc>
              <w:tc>
                <w:tcPr>
                  <w:tcW w:w="2155" w:type="dxa"/>
                  <w:tcBorders>
                    <w:tl2br w:val="nil"/>
                    <w:tr2bl w:val="nil"/>
                  </w:tcBorders>
                  <w:noWrap w:val="0"/>
                  <w:vAlign w:val="center"/>
                </w:tcPr>
                <w:p w14:paraId="626E5456">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断面位置</w:t>
                  </w:r>
                </w:p>
              </w:tc>
              <w:tc>
                <w:tcPr>
                  <w:tcW w:w="1355" w:type="dxa"/>
                  <w:tcBorders>
                    <w:tl2br w:val="nil"/>
                    <w:tr2bl w:val="nil"/>
                  </w:tcBorders>
                  <w:noWrap w:val="0"/>
                  <w:vAlign w:val="center"/>
                </w:tcPr>
                <w:p w14:paraId="33EC9D68">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c>
                <w:tcPr>
                  <w:tcW w:w="2514" w:type="dxa"/>
                  <w:tcBorders>
                    <w:tl2br w:val="nil"/>
                    <w:tr2bl w:val="nil"/>
                  </w:tcBorders>
                  <w:noWrap w:val="0"/>
                  <w:vAlign w:val="center"/>
                </w:tcPr>
                <w:p w14:paraId="106C7F5F">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r>
            <w:tr w14:paraId="4199B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4" w:type="dxa"/>
                  <w:vMerge w:val="restart"/>
                  <w:tcBorders>
                    <w:tl2br w:val="nil"/>
                    <w:tr2bl w:val="nil"/>
                  </w:tcBorders>
                  <w:noWrap w:val="0"/>
                  <w:vAlign w:val="center"/>
                </w:tcPr>
                <w:p w14:paraId="5B1A6A5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石梁河</w:t>
                  </w:r>
                </w:p>
              </w:tc>
              <w:tc>
                <w:tcPr>
                  <w:tcW w:w="961" w:type="dxa"/>
                  <w:tcBorders>
                    <w:tl2br w:val="nil"/>
                    <w:tr2bl w:val="nil"/>
                  </w:tcBorders>
                  <w:noWrap w:val="0"/>
                  <w:vAlign w:val="center"/>
                </w:tcPr>
                <w:p w14:paraId="3A8DA26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W1</w:t>
                  </w:r>
                </w:p>
              </w:tc>
              <w:tc>
                <w:tcPr>
                  <w:tcW w:w="2155" w:type="dxa"/>
                  <w:tcBorders>
                    <w:tl2br w:val="nil"/>
                    <w:tr2bl w:val="nil"/>
                  </w:tcBorders>
                  <w:noWrap w:val="0"/>
                  <w:vAlign w:val="center"/>
                </w:tcPr>
                <w:p w14:paraId="255A37E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泗县污水处理厂排污口上游500m</w:t>
                  </w:r>
                </w:p>
              </w:tc>
              <w:tc>
                <w:tcPr>
                  <w:tcW w:w="1355" w:type="dxa"/>
                  <w:tcBorders>
                    <w:tl2br w:val="nil"/>
                    <w:tr2bl w:val="nil"/>
                  </w:tcBorders>
                  <w:noWrap w:val="0"/>
                  <w:vAlign w:val="center"/>
                </w:tcPr>
                <w:p w14:paraId="5F12243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对照断面</w:t>
                  </w:r>
                </w:p>
              </w:tc>
              <w:tc>
                <w:tcPr>
                  <w:tcW w:w="2514" w:type="dxa"/>
                  <w:vMerge w:val="restart"/>
                  <w:tcBorders>
                    <w:tl2br w:val="nil"/>
                    <w:tr2bl w:val="nil"/>
                  </w:tcBorders>
                  <w:noWrap w:val="0"/>
                  <w:vAlign w:val="center"/>
                </w:tcPr>
                <w:p w14:paraId="58D33E4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pH值、CODcr、BOD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、悬浮物、氨氮、溶解氧、总磷、总氮</w:t>
                  </w:r>
                </w:p>
              </w:tc>
            </w:tr>
            <w:tr w14:paraId="1053A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4" w:type="dxa"/>
                  <w:vMerge w:val="continue"/>
                  <w:tcBorders>
                    <w:tl2br w:val="nil"/>
                    <w:tr2bl w:val="nil"/>
                  </w:tcBorders>
                  <w:noWrap w:val="0"/>
                  <w:vAlign w:val="center"/>
                </w:tcPr>
                <w:p w14:paraId="4CD83F45">
                  <w:pPr>
                    <w:jc w:val="center"/>
                    <w:rPr>
                      <w:rFonts w:hint="default" w:ascii="Times New Roman" w:hAnsi="Times New Roman" w:eastAsia="宋体" w:cs="Times New Roman"/>
                      <w:sz w:val="21"/>
                      <w:szCs w:val="21"/>
                    </w:rPr>
                  </w:pPr>
                </w:p>
              </w:tc>
              <w:tc>
                <w:tcPr>
                  <w:tcW w:w="961" w:type="dxa"/>
                  <w:tcBorders>
                    <w:tl2br w:val="nil"/>
                    <w:tr2bl w:val="nil"/>
                  </w:tcBorders>
                  <w:noWrap w:val="0"/>
                  <w:vAlign w:val="center"/>
                </w:tcPr>
                <w:p w14:paraId="0126C64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W2</w:t>
                  </w:r>
                </w:p>
              </w:tc>
              <w:tc>
                <w:tcPr>
                  <w:tcW w:w="2155" w:type="dxa"/>
                  <w:tcBorders>
                    <w:tl2br w:val="nil"/>
                    <w:tr2bl w:val="nil"/>
                  </w:tcBorders>
                  <w:noWrap w:val="0"/>
                  <w:vAlign w:val="center"/>
                </w:tcPr>
                <w:p w14:paraId="451360A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泗县工业污水处理厂排污口下游500m</w:t>
                  </w:r>
                </w:p>
              </w:tc>
              <w:tc>
                <w:tcPr>
                  <w:tcW w:w="1355" w:type="dxa"/>
                  <w:tcBorders>
                    <w:tl2br w:val="nil"/>
                    <w:tr2bl w:val="nil"/>
                  </w:tcBorders>
                  <w:noWrap w:val="0"/>
                  <w:vAlign w:val="center"/>
                </w:tcPr>
                <w:p w14:paraId="61F9947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混合断面</w:t>
                  </w:r>
                </w:p>
              </w:tc>
              <w:tc>
                <w:tcPr>
                  <w:tcW w:w="2514" w:type="dxa"/>
                  <w:vMerge w:val="continue"/>
                  <w:tcBorders>
                    <w:tl2br w:val="nil"/>
                    <w:tr2bl w:val="nil"/>
                  </w:tcBorders>
                  <w:noWrap w:val="0"/>
                  <w:vAlign w:val="center"/>
                </w:tcPr>
                <w:p w14:paraId="51A650AD">
                  <w:pPr>
                    <w:jc w:val="center"/>
                    <w:rPr>
                      <w:rFonts w:hint="default" w:ascii="Times New Roman" w:hAnsi="Times New Roman" w:eastAsia="宋体" w:cs="Times New Roman"/>
                      <w:sz w:val="21"/>
                      <w:szCs w:val="21"/>
                    </w:rPr>
                  </w:pPr>
                </w:p>
              </w:tc>
            </w:tr>
            <w:tr w14:paraId="79C56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84" w:type="dxa"/>
                  <w:vMerge w:val="continue"/>
                  <w:tcBorders>
                    <w:tl2br w:val="nil"/>
                    <w:tr2bl w:val="nil"/>
                  </w:tcBorders>
                  <w:noWrap w:val="0"/>
                  <w:vAlign w:val="center"/>
                </w:tcPr>
                <w:p w14:paraId="5592B2D2">
                  <w:pPr>
                    <w:jc w:val="center"/>
                    <w:rPr>
                      <w:rFonts w:hint="default" w:ascii="Times New Roman" w:hAnsi="Times New Roman" w:eastAsia="宋体" w:cs="Times New Roman"/>
                      <w:sz w:val="21"/>
                      <w:szCs w:val="21"/>
                    </w:rPr>
                  </w:pPr>
                </w:p>
              </w:tc>
              <w:tc>
                <w:tcPr>
                  <w:tcW w:w="961" w:type="dxa"/>
                  <w:tcBorders>
                    <w:tl2br w:val="nil"/>
                    <w:tr2bl w:val="nil"/>
                  </w:tcBorders>
                  <w:noWrap w:val="0"/>
                  <w:vAlign w:val="center"/>
                </w:tcPr>
                <w:p w14:paraId="19F671A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W3</w:t>
                  </w:r>
                </w:p>
              </w:tc>
              <w:tc>
                <w:tcPr>
                  <w:tcW w:w="2155" w:type="dxa"/>
                  <w:tcBorders>
                    <w:tl2br w:val="nil"/>
                    <w:tr2bl w:val="nil"/>
                  </w:tcBorders>
                  <w:noWrap w:val="0"/>
                  <w:vAlign w:val="center"/>
                </w:tcPr>
                <w:p w14:paraId="53EBD9C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排污口下游2300m（石梁河地下涵）</w:t>
                  </w:r>
                </w:p>
              </w:tc>
              <w:tc>
                <w:tcPr>
                  <w:tcW w:w="1355" w:type="dxa"/>
                  <w:tcBorders>
                    <w:tl2br w:val="nil"/>
                    <w:tr2bl w:val="nil"/>
                  </w:tcBorders>
                  <w:noWrap w:val="0"/>
                  <w:vAlign w:val="center"/>
                </w:tcPr>
                <w:p w14:paraId="3F309C6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削减断面</w:t>
                  </w:r>
                </w:p>
              </w:tc>
              <w:tc>
                <w:tcPr>
                  <w:tcW w:w="2514" w:type="dxa"/>
                  <w:vMerge w:val="continue"/>
                  <w:tcBorders>
                    <w:tl2br w:val="nil"/>
                    <w:tr2bl w:val="nil"/>
                  </w:tcBorders>
                  <w:noWrap w:val="0"/>
                  <w:vAlign w:val="center"/>
                </w:tcPr>
                <w:p w14:paraId="62121FD9">
                  <w:pPr>
                    <w:jc w:val="center"/>
                    <w:rPr>
                      <w:rFonts w:hint="default" w:ascii="Times New Roman" w:hAnsi="Times New Roman" w:eastAsia="宋体" w:cs="Times New Roman"/>
                      <w:sz w:val="21"/>
                      <w:szCs w:val="21"/>
                    </w:rPr>
                  </w:pPr>
                </w:p>
              </w:tc>
            </w:tr>
          </w:tbl>
          <w:p w14:paraId="1F680558">
            <w:pPr>
              <w:spacing w:before="120" w:beforeLines="50"/>
              <w:jc w:val="center"/>
              <w:rPr>
                <w:rFonts w:ascii="Times New Roman" w:hAnsi="Times New Roman" w:eastAsia="宋体" w:cs="Times New Roman"/>
                <w:sz w:val="21"/>
              </w:rPr>
            </w:pPr>
            <w:r>
              <w:rPr>
                <w:rFonts w:ascii="Times New Roman" w:hAnsi="Times New Roman" w:eastAsia="宋体" w:cs="Times New Roman"/>
                <w:sz w:val="21"/>
              </w:rPr>
              <mc:AlternateContent>
                <mc:Choice Requires="wps">
                  <w:drawing>
                    <wp:anchor distT="0" distB="0" distL="114300" distR="114300" simplePos="0" relativeHeight="251669504" behindDoc="0" locked="0" layoutInCell="1" allowOverlap="1">
                      <wp:simplePos x="0" y="0"/>
                      <wp:positionH relativeFrom="column">
                        <wp:posOffset>2964815</wp:posOffset>
                      </wp:positionH>
                      <wp:positionV relativeFrom="paragraph">
                        <wp:posOffset>3006725</wp:posOffset>
                      </wp:positionV>
                      <wp:extent cx="457200" cy="2095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a:noFill/>
                              </a:ln>
                            </wps:spPr>
                            <wps:txbx>
                              <w:txbxContent>
                                <w:p w14:paraId="59BE3F25">
                                  <w:pPr>
                                    <w:rPr>
                                      <w:rFonts w:hint="default" w:ascii="Times New Roman" w:hAnsi="Times New Roman" w:eastAsia="宋体" w:cs="Times New Roman"/>
                                      <w:color w:val="FF0000"/>
                                      <w:sz w:val="21"/>
                                      <w:lang w:val="en-US" w:eastAsia="zh-CN"/>
                                    </w:rPr>
                                  </w:pPr>
                                  <w:r>
                                    <w:rPr>
                                      <w:rFonts w:hint="eastAsia" w:ascii="Times New Roman" w:hAnsi="Times New Roman" w:eastAsia="宋体" w:cs="Times New Roman"/>
                                      <w:color w:val="FF0000"/>
                                      <w:sz w:val="21"/>
                                      <w:lang w:val="en-US" w:eastAsia="zh-CN"/>
                                    </w:rPr>
                                    <w:t>W 3</w:t>
                                  </w:r>
                                </w:p>
                              </w:txbxContent>
                            </wps:txbx>
                            <wps:bodyPr upright="1"/>
                          </wps:wsp>
                        </a:graphicData>
                      </a:graphic>
                    </wp:anchor>
                  </w:drawing>
                </mc:Choice>
                <mc:Fallback>
                  <w:pict>
                    <v:shape id="_x0000_s1026" o:spid="_x0000_s1026" o:spt="202" type="#_x0000_t202" style="position:absolute;left:0pt;margin-left:233.45pt;margin-top:236.75pt;height:16.5pt;width:36pt;z-index:251669504;mso-width-relative:page;mso-height-relative:page;" filled="f" stroked="f" coordsize="21600,21600" o:gfxdata="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GcsS2AAA&#10;AAsBAAAPAAAAAAAAAAEAIAAAACIAAABkcnMvZG93bnJldi54bWxQSwECFAAUAAAACACHTuJASJC5&#10;uawBAABPAwAADgAAAAAAAAABACAAAAAnAQAAZHJzL2Uyb0RvYy54bWxQSwUGAAAAAAYABgBZAQAA&#10;RQUAAAAA&#10;">
                      <v:fill on="f" focussize="0,0"/>
                      <v:stroke on="f"/>
                      <v:imagedata o:title=""/>
                      <o:lock v:ext="edit" aspectratio="f"/>
                      <v:textbox>
                        <w:txbxContent>
                          <w:p w14:paraId="59BE3F25">
                            <w:pPr>
                              <w:rPr>
                                <w:rFonts w:hint="default" w:ascii="Times New Roman" w:hAnsi="Times New Roman" w:eastAsia="宋体" w:cs="Times New Roman"/>
                                <w:color w:val="FF0000"/>
                                <w:sz w:val="21"/>
                                <w:lang w:val="en-US" w:eastAsia="zh-CN"/>
                              </w:rPr>
                            </w:pPr>
                            <w:r>
                              <w:rPr>
                                <w:rFonts w:hint="eastAsia" w:ascii="Times New Roman" w:hAnsi="Times New Roman" w:eastAsia="宋体" w:cs="Times New Roman"/>
                                <w:color w:val="FF0000"/>
                                <w:sz w:val="21"/>
                                <w:lang w:val="en-US" w:eastAsia="zh-CN"/>
                              </w:rPr>
                              <w:t>W 3</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68480" behindDoc="0" locked="0" layoutInCell="1" allowOverlap="1">
                      <wp:simplePos x="0" y="0"/>
                      <wp:positionH relativeFrom="column">
                        <wp:posOffset>1688465</wp:posOffset>
                      </wp:positionH>
                      <wp:positionV relativeFrom="paragraph">
                        <wp:posOffset>2520950</wp:posOffset>
                      </wp:positionV>
                      <wp:extent cx="457200" cy="2095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a:noFill/>
                              </a:ln>
                            </wps:spPr>
                            <wps:txbx>
                              <w:txbxContent>
                                <w:p w14:paraId="613F563D">
                                  <w:pPr>
                                    <w:rPr>
                                      <w:rFonts w:hint="default" w:ascii="Times New Roman" w:hAnsi="Times New Roman" w:eastAsia="宋体" w:cs="Times New Roman"/>
                                      <w:color w:val="FF0000"/>
                                      <w:sz w:val="21"/>
                                      <w:lang w:val="en-US" w:eastAsia="zh-CN"/>
                                    </w:rPr>
                                  </w:pPr>
                                  <w:r>
                                    <w:rPr>
                                      <w:rFonts w:hint="eastAsia" w:ascii="Times New Roman" w:hAnsi="Times New Roman" w:eastAsia="宋体" w:cs="Times New Roman"/>
                                      <w:color w:val="FF0000"/>
                                      <w:sz w:val="21"/>
                                      <w:lang w:val="en-US" w:eastAsia="zh-CN"/>
                                    </w:rPr>
                                    <w:t>W2</w:t>
                                  </w:r>
                                </w:p>
                              </w:txbxContent>
                            </wps:txbx>
                            <wps:bodyPr upright="1"/>
                          </wps:wsp>
                        </a:graphicData>
                      </a:graphic>
                    </wp:anchor>
                  </w:drawing>
                </mc:Choice>
                <mc:Fallback>
                  <w:pict>
                    <v:shape id="_x0000_s1026" o:spid="_x0000_s1026" o:spt="202" type="#_x0000_t202" style="position:absolute;left:0pt;margin-left:132.95pt;margin-top:198.5pt;height:16.5pt;width:36pt;z-index:251668480;mso-width-relative:page;mso-height-relative:page;" filled="f" stroked="f" coordsize="21600,21600" o:gfxdata="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aFtbrY&#10;AAAACwEAAA8AAAAAAAAAAQAgAAAAIgAAAGRycy9kb3ducmV2LnhtbFBLAQIUABQAAAAIAIdO4kDU&#10;BDXbrgEAAE8DAAAOAAAAAAAAAAEAIAAAACcBAABkcnMvZTJvRG9jLnhtbFBLBQYAAAAABgAGAFkB&#10;AABHBQAAAAA=&#10;">
                      <v:fill on="f" focussize="0,0"/>
                      <v:stroke on="f"/>
                      <v:imagedata o:title=""/>
                      <o:lock v:ext="edit" aspectratio="f"/>
                      <v:textbox>
                        <w:txbxContent>
                          <w:p w14:paraId="613F563D">
                            <w:pPr>
                              <w:rPr>
                                <w:rFonts w:hint="default" w:ascii="Times New Roman" w:hAnsi="Times New Roman" w:eastAsia="宋体" w:cs="Times New Roman"/>
                                <w:color w:val="FF0000"/>
                                <w:sz w:val="21"/>
                                <w:lang w:val="en-US" w:eastAsia="zh-CN"/>
                              </w:rPr>
                            </w:pPr>
                            <w:r>
                              <w:rPr>
                                <w:rFonts w:hint="eastAsia" w:ascii="Times New Roman" w:hAnsi="Times New Roman" w:eastAsia="宋体" w:cs="Times New Roman"/>
                                <w:color w:val="FF0000"/>
                                <w:sz w:val="21"/>
                                <w:lang w:val="en-US" w:eastAsia="zh-CN"/>
                              </w:rPr>
                              <w:t>W2</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71552" behindDoc="0" locked="0" layoutInCell="1" allowOverlap="1">
                      <wp:simplePos x="0" y="0"/>
                      <wp:positionH relativeFrom="column">
                        <wp:posOffset>3307715</wp:posOffset>
                      </wp:positionH>
                      <wp:positionV relativeFrom="paragraph">
                        <wp:posOffset>2825750</wp:posOffset>
                      </wp:positionV>
                      <wp:extent cx="209550" cy="114300"/>
                      <wp:effectExtent l="0" t="2540" r="5080" b="6985"/>
                      <wp:wrapNone/>
                      <wp:docPr id="17" name="直接连接符 17"/>
                      <wp:cNvGraphicFramePr/>
                      <a:graphic xmlns:a="http://schemas.openxmlformats.org/drawingml/2006/main">
                        <a:graphicData uri="http://schemas.microsoft.com/office/word/2010/wordprocessingShape">
                          <wps:wsp>
                            <wps:cNvCnPr/>
                            <wps:spPr>
                              <a:xfrm flipV="1">
                                <a:off x="0" y="0"/>
                                <a:ext cx="209550" cy="114300"/>
                              </a:xfrm>
                              <a:prstGeom prst="line">
                                <a:avLst/>
                              </a:prstGeom>
                              <a:ln w="9525" cap="flat" cmpd="sng">
                                <a:solidFill>
                                  <a:srgbClr val="FF0000"/>
                                </a:solidFill>
                                <a:prstDash val="solid"/>
                                <a:headEnd type="arrow" w="med" len="med"/>
                                <a:tailEnd type="arrow" w="med" len="med"/>
                              </a:ln>
                            </wps:spPr>
                            <wps:bodyPr upright="1"/>
                          </wps:wsp>
                        </a:graphicData>
                      </a:graphic>
                    </wp:anchor>
                  </w:drawing>
                </mc:Choice>
                <mc:Fallback>
                  <w:pict>
                    <v:line id="_x0000_s1026" o:spid="_x0000_s1026" o:spt="20" style="position:absolute;left:0pt;flip:y;margin-left:260.45pt;margin-top:222.5pt;height:9pt;width:16.5pt;z-index:251671552;mso-width-relative:page;mso-height-relative:page;" filled="f" stroked="t" coordsize="21600,21600" o:gfxdata="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5Lxay2gAAAAsBAAAPAAAAAAAAAAEAIAAAACIAAABk&#10;cnMvZG93bnJldi54bWxQSwECFAAUAAAACACHTuJAECh/fgQCAAD2AwAADgAAAAAAAAABACAAAAAp&#10;AQAAZHJzL2Uyb0RvYy54bWxQSwUGAAAAAAYABgBZAQAAnwUAAAAA&#10;">
                      <v:fill on="f" focussize="0,0"/>
                      <v:stroke color="#FF0000" joinstyle="round" startarrow="open" endarrow="open"/>
                      <v:imagedata o:title=""/>
                      <o:lock v:ext="edit" aspectratio="f"/>
                    </v:line>
                  </w:pict>
                </mc:Fallback>
              </mc:AlternateContent>
            </w:r>
            <w:r>
              <w:rPr>
                <w:rFonts w:ascii="Times New Roman" w:hAnsi="Times New Roman" w:eastAsia="宋体" w:cs="Times New Roman"/>
                <w:sz w:val="21"/>
              </w:rPr>
              <mc:AlternateContent>
                <mc:Choice Requires="wps">
                  <w:drawing>
                    <wp:anchor distT="0" distB="0" distL="114300" distR="114300" simplePos="0" relativeHeight="251670528" behindDoc="0" locked="0" layoutInCell="1" allowOverlap="1">
                      <wp:simplePos x="0" y="0"/>
                      <wp:positionH relativeFrom="column">
                        <wp:posOffset>2069465</wp:posOffset>
                      </wp:positionH>
                      <wp:positionV relativeFrom="paragraph">
                        <wp:posOffset>2330450</wp:posOffset>
                      </wp:positionV>
                      <wp:extent cx="209550" cy="114300"/>
                      <wp:effectExtent l="0" t="2540" r="5080" b="6985"/>
                      <wp:wrapNone/>
                      <wp:docPr id="21" name="直接连接符 21"/>
                      <wp:cNvGraphicFramePr/>
                      <a:graphic xmlns:a="http://schemas.openxmlformats.org/drawingml/2006/main">
                        <a:graphicData uri="http://schemas.microsoft.com/office/word/2010/wordprocessingShape">
                          <wps:wsp>
                            <wps:cNvCnPr/>
                            <wps:spPr>
                              <a:xfrm flipV="1">
                                <a:off x="0" y="0"/>
                                <a:ext cx="209550" cy="114300"/>
                              </a:xfrm>
                              <a:prstGeom prst="line">
                                <a:avLst/>
                              </a:prstGeom>
                              <a:ln w="9525" cap="flat" cmpd="sng">
                                <a:solidFill>
                                  <a:srgbClr val="FF0000"/>
                                </a:solidFill>
                                <a:prstDash val="solid"/>
                                <a:headEnd type="arrow" w="med" len="med"/>
                                <a:tailEnd type="arrow" w="med" len="med"/>
                              </a:ln>
                            </wps:spPr>
                            <wps:bodyPr upright="1"/>
                          </wps:wsp>
                        </a:graphicData>
                      </a:graphic>
                    </wp:anchor>
                  </w:drawing>
                </mc:Choice>
                <mc:Fallback>
                  <w:pict>
                    <v:line id="_x0000_s1026" o:spid="_x0000_s1026" o:spt="20" style="position:absolute;left:0pt;flip:y;margin-left:162.95pt;margin-top:183.5pt;height:9pt;width:16.5pt;z-index:251670528;mso-width-relative:page;mso-height-relative:page;" filled="f" stroked="t" coordsize="21600,21600" o:gfxdata="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&#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Is2iNsAAAALAQAADwAAAAAAAAABACAAAAAiAAAA&#10;ZHJzL2Rvd25yZXYueG1sUEsBAhQAFAAAAAgAh07iQJH55H0EAgAA9gMAAA4AAAAAAAAAAQAgAAAA&#10;KgEAAGRycy9lMm9Eb2MueG1sUEsFBgAAAAAGAAYAWQEAAKAFAAAAAA==&#10;">
                      <v:fill on="f" focussize="0,0"/>
                      <v:stroke color="#FF0000" joinstyle="round" startarrow="open" endarrow="open"/>
                      <v:imagedata o:title=""/>
                      <o:lock v:ext="edit" aspectratio="f"/>
                    </v:line>
                  </w:pict>
                </mc:Fallback>
              </mc:AlternateContent>
            </w:r>
            <w:r>
              <w:rPr>
                <w:rFonts w:ascii="Times New Roman" w:hAnsi="Times New Roman" w:eastAsia="宋体" w:cs="Times New Roman"/>
                <w:sz w:val="21"/>
              </w:rPr>
              <mc:AlternateContent>
                <mc:Choice Requires="wps">
                  <w:drawing>
                    <wp:anchor distT="0" distB="0" distL="114300" distR="114300" simplePos="0" relativeHeight="251667456" behindDoc="0" locked="0" layoutInCell="1" allowOverlap="1">
                      <wp:simplePos x="0" y="0"/>
                      <wp:positionH relativeFrom="column">
                        <wp:posOffset>1364615</wp:posOffset>
                      </wp:positionH>
                      <wp:positionV relativeFrom="paragraph">
                        <wp:posOffset>2105660</wp:posOffset>
                      </wp:positionV>
                      <wp:extent cx="457200" cy="2095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a:noFill/>
                              </a:ln>
                            </wps:spPr>
                            <wps:txbx>
                              <w:txbxContent>
                                <w:p w14:paraId="0AB1A74D">
                                  <w:pPr>
                                    <w:rPr>
                                      <w:rFonts w:hint="default" w:ascii="Times New Roman" w:hAnsi="Times New Roman" w:eastAsia="宋体" w:cs="Times New Roman"/>
                                      <w:color w:val="FF0000"/>
                                      <w:sz w:val="21"/>
                                      <w:lang w:val="en-US" w:eastAsia="zh-CN"/>
                                    </w:rPr>
                                  </w:pPr>
                                  <w:r>
                                    <w:rPr>
                                      <w:rFonts w:hint="eastAsia" w:ascii="Times New Roman" w:hAnsi="Times New Roman" w:eastAsia="宋体" w:cs="Times New Roman"/>
                                      <w:color w:val="FF0000"/>
                                      <w:sz w:val="21"/>
                                      <w:lang w:val="en-US" w:eastAsia="zh-CN"/>
                                    </w:rPr>
                                    <w:t>W1</w:t>
                                  </w:r>
                                </w:p>
                              </w:txbxContent>
                            </wps:txbx>
                            <wps:bodyPr upright="1"/>
                          </wps:wsp>
                        </a:graphicData>
                      </a:graphic>
                    </wp:anchor>
                  </w:drawing>
                </mc:Choice>
                <mc:Fallback>
                  <w:pict>
                    <v:shape id="_x0000_s1026" o:spid="_x0000_s1026" o:spt="202" type="#_x0000_t202" style="position:absolute;left:0pt;margin-left:107.45pt;margin-top:165.8pt;height:16.5pt;width:36pt;z-index:251667456;mso-width-relative:page;mso-height-relative:page;" filled="f" stroked="f" coordsize="21600,21600" o:gfxdata="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2X+4tcA&#10;AAALAQAADwAAAAAAAAABACAAAAAiAAAAZHJzL2Rvd25yZXYueG1sUEsBAhQAFAAAAAgAh07iQMn4&#10;jH2uAQAATwMAAA4AAAAAAAAAAQAgAAAAJgEAAGRycy9lMm9Eb2MueG1sUEsFBgAAAAAGAAYAWQEA&#10;AEYFAAAAAA==&#10;">
                      <v:fill on="f" focussize="0,0"/>
                      <v:stroke on="f"/>
                      <v:imagedata o:title=""/>
                      <o:lock v:ext="edit" aspectratio="f"/>
                      <v:textbox>
                        <w:txbxContent>
                          <w:p w14:paraId="0AB1A74D">
                            <w:pPr>
                              <w:rPr>
                                <w:rFonts w:hint="default" w:ascii="Times New Roman" w:hAnsi="Times New Roman" w:eastAsia="宋体" w:cs="Times New Roman"/>
                                <w:color w:val="FF0000"/>
                                <w:sz w:val="21"/>
                                <w:lang w:val="en-US" w:eastAsia="zh-CN"/>
                              </w:rPr>
                            </w:pPr>
                            <w:r>
                              <w:rPr>
                                <w:rFonts w:hint="eastAsia" w:ascii="Times New Roman" w:hAnsi="Times New Roman" w:eastAsia="宋体" w:cs="Times New Roman"/>
                                <w:color w:val="FF0000"/>
                                <w:sz w:val="21"/>
                                <w:lang w:val="en-US" w:eastAsia="zh-CN"/>
                              </w:rPr>
                              <w:t>W1</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66432" behindDoc="0" locked="0" layoutInCell="1" allowOverlap="1">
                      <wp:simplePos x="0" y="0"/>
                      <wp:positionH relativeFrom="column">
                        <wp:posOffset>1802765</wp:posOffset>
                      </wp:positionH>
                      <wp:positionV relativeFrom="paragraph">
                        <wp:posOffset>1981835</wp:posOffset>
                      </wp:positionV>
                      <wp:extent cx="209550" cy="114300"/>
                      <wp:effectExtent l="0" t="2540" r="5080" b="6985"/>
                      <wp:wrapNone/>
                      <wp:docPr id="22" name="直接连接符 22"/>
                      <wp:cNvGraphicFramePr/>
                      <a:graphic xmlns:a="http://schemas.openxmlformats.org/drawingml/2006/main">
                        <a:graphicData uri="http://schemas.microsoft.com/office/word/2010/wordprocessingShape">
                          <wps:wsp>
                            <wps:cNvCnPr/>
                            <wps:spPr>
                              <a:xfrm flipV="1">
                                <a:off x="0" y="0"/>
                                <a:ext cx="209550" cy="114300"/>
                              </a:xfrm>
                              <a:prstGeom prst="line">
                                <a:avLst/>
                              </a:prstGeom>
                              <a:ln w="9525" cap="flat" cmpd="sng">
                                <a:solidFill>
                                  <a:srgbClr val="FF0000"/>
                                </a:solidFill>
                                <a:prstDash val="solid"/>
                                <a:headEnd type="arrow" w="med" len="med"/>
                                <a:tailEnd type="arrow" w="med" len="med"/>
                              </a:ln>
                            </wps:spPr>
                            <wps:bodyPr upright="1"/>
                          </wps:wsp>
                        </a:graphicData>
                      </a:graphic>
                    </wp:anchor>
                  </w:drawing>
                </mc:Choice>
                <mc:Fallback>
                  <w:pict>
                    <v:line id="_x0000_s1026" o:spid="_x0000_s1026" o:spt="20" style="position:absolute;left:0pt;flip:y;margin-left:141.95pt;margin-top:156.05pt;height:9pt;width:16.5pt;z-index:251666432;mso-width-relative:page;mso-height-relative:page;" filled="f" stroked="t" coordsize="21600,21600" o:gfxdata="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&#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EEo7toAAAALAQAADwAAAAAAAAABACAAAAAiAAAA&#10;ZHJzL2Rvd25yZXYueG1sUEsBAhQAFAAAAAgAh07iQFrWcXoFAgAA9gMAAA4AAAAAAAAAAQAgAAAA&#10;KQEAAGRycy9lMm9Eb2MueG1sUEsFBgAAAAAGAAYAWQEAAKAFAAAAAA==&#10;">
                      <v:fill on="f" focussize="0,0"/>
                      <v:stroke color="#FF0000" joinstyle="round" startarrow="open" endarrow="open"/>
                      <v:imagedata o:title=""/>
                      <o:lock v:ext="edit" aspectratio="f"/>
                    </v:line>
                  </w:pict>
                </mc:Fallback>
              </mc:AlternateContent>
            </w:r>
            <w:r>
              <w:rPr>
                <w:rFonts w:hint="eastAsia" w:ascii="Times New Roman" w:hAnsi="Times New Roman" w:eastAsia="宋体" w:cs="Times New Roman"/>
                <w:sz w:val="24"/>
                <w:szCs w:val="24"/>
                <w:lang w:eastAsia="zh-CN"/>
              </w:rPr>
              <w:drawing>
                <wp:anchor distT="0" distB="0" distL="114300" distR="114300" simplePos="0" relativeHeight="251665408" behindDoc="0" locked="0" layoutInCell="1" allowOverlap="1">
                  <wp:simplePos x="0" y="0"/>
                  <wp:positionH relativeFrom="column">
                    <wp:posOffset>4567555</wp:posOffset>
                  </wp:positionH>
                  <wp:positionV relativeFrom="paragraph">
                    <wp:posOffset>86360</wp:posOffset>
                  </wp:positionV>
                  <wp:extent cx="485775" cy="641350"/>
                  <wp:effectExtent l="0" t="0" r="1270" b="2540"/>
                  <wp:wrapNone/>
                  <wp:docPr id="20" name="图片 44" descr="泗县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descr="泗县风玫瑰图"/>
                          <pic:cNvPicPr>
                            <a:picLocks noChangeAspect="1"/>
                          </pic:cNvPicPr>
                        </pic:nvPicPr>
                        <pic:blipFill>
                          <a:blip r:embed="rId14"/>
                          <a:stretch>
                            <a:fillRect/>
                          </a:stretch>
                        </pic:blipFill>
                        <pic:spPr>
                          <a:xfrm>
                            <a:off x="0" y="0"/>
                            <a:ext cx="485775" cy="641350"/>
                          </a:xfrm>
                          <a:prstGeom prst="rect">
                            <a:avLst/>
                          </a:prstGeom>
                          <a:noFill/>
                          <a:ln>
                            <a:noFill/>
                          </a:ln>
                        </pic:spPr>
                      </pic:pic>
                    </a:graphicData>
                  </a:graphic>
                </wp:anchor>
              </w:drawing>
            </w:r>
            <w:r>
              <w:rPr>
                <w:rFonts w:ascii="Times New Roman" w:hAnsi="Times New Roman" w:eastAsia="宋体" w:cs="Times New Roman"/>
                <w:sz w:val="21"/>
              </w:rPr>
              <w:drawing>
                <wp:inline distT="0" distB="0" distL="114300" distR="114300">
                  <wp:extent cx="5055235" cy="3414395"/>
                  <wp:effectExtent l="0" t="0" r="5080" b="317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5"/>
                          <a:stretch>
                            <a:fillRect/>
                          </a:stretch>
                        </pic:blipFill>
                        <pic:spPr>
                          <a:xfrm>
                            <a:off x="0" y="0"/>
                            <a:ext cx="5055235" cy="3414395"/>
                          </a:xfrm>
                          <a:prstGeom prst="rect">
                            <a:avLst/>
                          </a:prstGeom>
                          <a:noFill/>
                          <a:ln>
                            <a:noFill/>
                          </a:ln>
                        </pic:spPr>
                      </pic:pic>
                    </a:graphicData>
                  </a:graphic>
                </wp:inline>
              </w:drawing>
            </w:r>
          </w:p>
          <w:p w14:paraId="41926A28">
            <w:pPr>
              <w:widowControl w:val="0"/>
              <w:ind w:firstLine="0"/>
              <w:jc w:val="center"/>
              <w:rPr>
                <w:rFonts w:ascii="Times New Roman" w:hAnsi="Times New Roman" w:eastAsia="宋体" w:cs="宋体"/>
                <w:kern w:val="2"/>
                <w:sz w:val="21"/>
                <w:szCs w:val="24"/>
                <w:lang w:val="en-US" w:eastAsia="zh-CN" w:bidi="ar"/>
              </w:rPr>
            </w:pPr>
            <w:r>
              <w:rPr>
                <w:rFonts w:ascii="Times New Roman" w:hAnsi="Times New Roman" w:eastAsia="宋体" w:cs="Times New Roman"/>
                <w:b/>
                <w:bCs/>
                <w:color w:val="000000"/>
                <w:kern w:val="2"/>
                <w:sz w:val="24"/>
                <w:szCs w:val="24"/>
                <w:lang w:val="en-US" w:eastAsia="zh-CN" w:bidi="ar-SA"/>
              </w:rPr>
              <w:t>图3</w:t>
            </w:r>
            <w:r>
              <w:rPr>
                <w:rFonts w:hint="eastAsia" w:ascii="Times New Roman" w:hAnsi="Times New Roman" w:eastAsia="宋体" w:cs="Times New Roman"/>
                <w:b/>
                <w:bCs/>
                <w:color w:val="000000"/>
                <w:kern w:val="2"/>
                <w:sz w:val="24"/>
                <w:szCs w:val="24"/>
                <w:lang w:val="en-US" w:eastAsia="zh-CN" w:bidi="ar-SA"/>
              </w:rPr>
              <w:t xml:space="preserve">-2 </w:t>
            </w:r>
            <w:r>
              <w:rPr>
                <w:rFonts w:ascii="Times New Roman" w:hAnsi="Times New Roman" w:eastAsia="宋体" w:cs="Times New Roman"/>
                <w:b/>
                <w:bCs/>
                <w:color w:val="000000"/>
                <w:kern w:val="2"/>
                <w:sz w:val="24"/>
                <w:szCs w:val="24"/>
                <w:lang w:val="en-US" w:eastAsia="zh-CN" w:bidi="ar-SA"/>
              </w:rPr>
              <w:t xml:space="preserve"> 监测点位图</w:t>
            </w:r>
          </w:p>
          <w:p w14:paraId="4FB49200">
            <w:pPr>
              <w:widowControl w:val="0"/>
              <w:spacing w:before="0" w:beforeAutospacing="0" w:after="0" w:afterAutospacing="0" w:line="360" w:lineRule="auto"/>
              <w:ind w:firstLine="480" w:firstLineChars="200"/>
              <w:jc w:val="left"/>
              <w:rPr>
                <w:rFonts w:ascii="Times New Roman" w:hAnsi="Times New Roman" w:eastAsia="宋体" w:cs="Times New Roman"/>
                <w:kern w:val="2"/>
                <w:sz w:val="24"/>
                <w:szCs w:val="24"/>
                <w:lang w:val="en-US" w:eastAsia="zh-CN" w:bidi="ar"/>
              </w:rPr>
            </w:pPr>
            <w:r>
              <w:rPr>
                <w:rFonts w:ascii="Times New Roman" w:hAnsi="Times New Roman" w:eastAsia="宋体" w:cs="Times New Roman"/>
                <w:kern w:val="2"/>
                <w:sz w:val="24"/>
                <w:szCs w:val="24"/>
                <w:lang w:val="en-US" w:eastAsia="zh-CN" w:bidi="ar"/>
              </w:rPr>
              <w:t>（2）监测结果</w:t>
            </w:r>
          </w:p>
          <w:p w14:paraId="43F50A28">
            <w:pPr>
              <w:widowControl w:val="0"/>
              <w:jc w:val="center"/>
              <w:rPr>
                <w:rFonts w:ascii="Times New Roman" w:hAnsi="Times New Roman" w:eastAsia="宋体" w:cs="Times New Roman"/>
                <w:b/>
                <w:bCs/>
                <w:kern w:val="2"/>
                <w:sz w:val="24"/>
                <w:szCs w:val="24"/>
                <w:lang w:val="en-US" w:eastAsia="zh-CN" w:bidi="ar-SA"/>
              </w:rPr>
            </w:pPr>
            <w:r>
              <w:rPr>
                <w:rFonts w:ascii="Times New Roman" w:hAnsi="Times New Roman" w:eastAsia="宋体" w:cs="Times New Roman"/>
                <w:b/>
                <w:bCs/>
                <w:kern w:val="2"/>
                <w:sz w:val="24"/>
                <w:szCs w:val="24"/>
                <w:lang w:val="zh-CN" w:eastAsia="zh-CN" w:bidi="ar-SA"/>
              </w:rPr>
              <w:t>表</w:t>
            </w:r>
            <w:r>
              <w:rPr>
                <w:rFonts w:ascii="Times New Roman" w:hAnsi="Times New Roman" w:eastAsia="宋体" w:cs="Times New Roman"/>
                <w:b/>
                <w:bCs/>
                <w:kern w:val="2"/>
                <w:sz w:val="24"/>
                <w:szCs w:val="24"/>
                <w:lang w:val="en-US" w:eastAsia="zh-CN" w:bidi="ar-SA"/>
              </w:rPr>
              <w:t>3</w:t>
            </w:r>
            <w:r>
              <w:rPr>
                <w:rFonts w:hint="eastAsia" w:ascii="Times New Roman" w:hAnsi="Times New Roman" w:eastAsia="宋体" w:cs="Times New Roman"/>
                <w:b/>
                <w:bCs/>
                <w:kern w:val="2"/>
                <w:sz w:val="24"/>
                <w:szCs w:val="24"/>
                <w:lang w:val="en-US" w:eastAsia="zh-CN" w:bidi="ar-SA"/>
              </w:rPr>
              <w:t xml:space="preserve">-5 </w:t>
            </w:r>
            <w:r>
              <w:rPr>
                <w:rFonts w:ascii="Times New Roman" w:hAnsi="Times New Roman" w:eastAsia="宋体" w:cs="Times New Roman"/>
                <w:b/>
                <w:bCs/>
                <w:kern w:val="2"/>
                <w:sz w:val="24"/>
                <w:szCs w:val="24"/>
                <w:lang w:val="en-US" w:eastAsia="zh-CN" w:bidi="ar-SA"/>
              </w:rPr>
              <w:t xml:space="preserve"> </w:t>
            </w:r>
            <w:r>
              <w:rPr>
                <w:rFonts w:ascii="Times New Roman" w:hAnsi="Times New Roman" w:eastAsia="宋体" w:cs="Times New Roman"/>
                <w:b/>
                <w:bCs/>
                <w:kern w:val="2"/>
                <w:sz w:val="24"/>
                <w:szCs w:val="24"/>
                <w:lang w:val="zh-CN" w:eastAsia="zh-CN" w:bidi="ar-SA"/>
              </w:rPr>
              <w:t>地表水环境现状监测结果一览表</w:t>
            </w:r>
            <w:r>
              <w:rPr>
                <w:rFonts w:hint="eastAsia" w:ascii="Times New Roman" w:hAnsi="Times New Roman" w:eastAsia="宋体" w:cs="Times New Roman"/>
                <w:b/>
                <w:bCs/>
                <w:kern w:val="2"/>
                <w:sz w:val="24"/>
                <w:szCs w:val="24"/>
                <w:lang w:val="en-US" w:eastAsia="zh-CN" w:bidi="ar-SA"/>
              </w:rPr>
              <w:t>（</w:t>
            </w:r>
            <w:r>
              <w:rPr>
                <w:rFonts w:ascii="Times New Roman" w:hAnsi="Times New Roman" w:eastAsia="宋体" w:cs="Times New Roman"/>
                <w:b/>
                <w:bCs/>
                <w:kern w:val="2"/>
                <w:sz w:val="24"/>
                <w:szCs w:val="24"/>
                <w:lang w:val="en-US" w:eastAsia="zh-CN" w:bidi="ar-SA"/>
              </w:rPr>
              <w:t>单位</w:t>
            </w:r>
            <w:r>
              <w:rPr>
                <w:rFonts w:hint="eastAsia" w:ascii="Times New Roman" w:hAnsi="Times New Roman" w:eastAsia="宋体" w:cs="Times New Roman"/>
                <w:b/>
                <w:bCs/>
                <w:kern w:val="2"/>
                <w:sz w:val="24"/>
                <w:szCs w:val="24"/>
                <w:lang w:val="en-US" w:eastAsia="zh-CN" w:bidi="ar-SA"/>
              </w:rPr>
              <w:t>：</w:t>
            </w:r>
            <w:r>
              <w:rPr>
                <w:rFonts w:ascii="Times New Roman" w:hAnsi="Times New Roman" w:eastAsia="宋体" w:cs="Times New Roman"/>
                <w:b/>
                <w:bCs/>
                <w:kern w:val="2"/>
                <w:sz w:val="24"/>
                <w:szCs w:val="24"/>
                <w:lang w:val="en-US" w:eastAsia="zh-CN" w:bidi="ar-SA"/>
              </w:rPr>
              <w:t>mg/L</w:t>
            </w:r>
            <w:r>
              <w:rPr>
                <w:rFonts w:hint="eastAsia" w:ascii="Times New Roman" w:hAnsi="Times New Roman" w:eastAsia="宋体" w:cs="Times New Roman"/>
                <w:b/>
                <w:bCs/>
                <w:kern w:val="2"/>
                <w:sz w:val="24"/>
                <w:szCs w:val="24"/>
                <w:lang w:val="en-US" w:eastAsia="zh-CN" w:bidi="ar-SA"/>
              </w:rPr>
              <w:t>）</w:t>
            </w:r>
          </w:p>
          <w:tbl>
            <w:tblPr>
              <w:tblStyle w:val="95"/>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5"/>
              <w:gridCol w:w="1867"/>
              <w:gridCol w:w="1542"/>
              <w:gridCol w:w="1539"/>
              <w:gridCol w:w="1541"/>
            </w:tblGrid>
            <w:tr w14:paraId="725F7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tcBorders>
                    <w:tl2br w:val="nil"/>
                    <w:tr2bl w:val="nil"/>
                  </w:tcBorders>
                  <w:noWrap w:val="0"/>
                  <w:vAlign w:val="center"/>
                </w:tcPr>
                <w:p w14:paraId="322E694E">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监测因子</w:t>
                  </w:r>
                </w:p>
              </w:tc>
              <w:tc>
                <w:tcPr>
                  <w:tcW w:w="1867" w:type="dxa"/>
                  <w:tcBorders>
                    <w:tl2br w:val="nil"/>
                    <w:tr2bl w:val="nil"/>
                  </w:tcBorders>
                  <w:noWrap w:val="0"/>
                  <w:vAlign w:val="center"/>
                </w:tcPr>
                <w:p w14:paraId="510D7440">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1542" w:type="dxa"/>
                  <w:tcBorders>
                    <w:tl2br w:val="nil"/>
                    <w:tr2bl w:val="nil"/>
                  </w:tcBorders>
                  <w:noWrap w:val="0"/>
                  <w:vAlign w:val="center"/>
                </w:tcPr>
                <w:p w14:paraId="01B2E704">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W1</w:t>
                  </w:r>
                </w:p>
              </w:tc>
              <w:tc>
                <w:tcPr>
                  <w:tcW w:w="1539" w:type="dxa"/>
                  <w:tcBorders>
                    <w:tl2br w:val="nil"/>
                    <w:tr2bl w:val="nil"/>
                  </w:tcBorders>
                  <w:noWrap w:val="0"/>
                  <w:vAlign w:val="center"/>
                </w:tcPr>
                <w:p w14:paraId="1C0505F3">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W2</w:t>
                  </w:r>
                </w:p>
              </w:tc>
              <w:tc>
                <w:tcPr>
                  <w:tcW w:w="1541" w:type="dxa"/>
                  <w:tcBorders>
                    <w:tl2br w:val="nil"/>
                    <w:tr2bl w:val="nil"/>
                  </w:tcBorders>
                  <w:noWrap w:val="0"/>
                  <w:vAlign w:val="center"/>
                </w:tcPr>
                <w:p w14:paraId="331C8125">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W3</w:t>
                  </w:r>
                </w:p>
              </w:tc>
            </w:tr>
            <w:tr w14:paraId="6D928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restart"/>
                  <w:tcBorders>
                    <w:tl2br w:val="nil"/>
                    <w:tr2bl w:val="nil"/>
                  </w:tcBorders>
                  <w:noWrap w:val="0"/>
                  <w:vAlign w:val="center"/>
                </w:tcPr>
                <w:p w14:paraId="6950F1D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1867" w:type="dxa"/>
                  <w:tcBorders>
                    <w:tl2br w:val="nil"/>
                    <w:tr2bl w:val="nil"/>
                  </w:tcBorders>
                  <w:noWrap w:val="0"/>
                  <w:vAlign w:val="center"/>
                </w:tcPr>
                <w:p w14:paraId="53838BD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1542" w:type="dxa"/>
                  <w:tcBorders>
                    <w:tl2br w:val="nil"/>
                    <w:tr2bl w:val="nil"/>
                  </w:tcBorders>
                  <w:noWrap w:val="0"/>
                  <w:vAlign w:val="center"/>
                </w:tcPr>
                <w:p w14:paraId="2B61FC4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w:t>
                  </w:r>
                </w:p>
              </w:tc>
              <w:tc>
                <w:tcPr>
                  <w:tcW w:w="1539" w:type="dxa"/>
                  <w:tcBorders>
                    <w:tl2br w:val="nil"/>
                    <w:tr2bl w:val="nil"/>
                  </w:tcBorders>
                  <w:noWrap w:val="0"/>
                  <w:vAlign w:val="center"/>
                </w:tcPr>
                <w:p w14:paraId="6B764C9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w:t>
                  </w:r>
                </w:p>
              </w:tc>
              <w:tc>
                <w:tcPr>
                  <w:tcW w:w="1541" w:type="dxa"/>
                  <w:tcBorders>
                    <w:tl2br w:val="nil"/>
                    <w:tr2bl w:val="nil"/>
                  </w:tcBorders>
                  <w:noWrap w:val="0"/>
                  <w:vAlign w:val="center"/>
                </w:tcPr>
                <w:p w14:paraId="156665A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r>
            <w:tr w14:paraId="2BFC3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5B26175E">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2EF2EE8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最小值</w:t>
                  </w:r>
                </w:p>
              </w:tc>
              <w:tc>
                <w:tcPr>
                  <w:tcW w:w="1542" w:type="dxa"/>
                  <w:tcBorders>
                    <w:tl2br w:val="nil"/>
                    <w:tr2bl w:val="nil"/>
                  </w:tcBorders>
                  <w:noWrap w:val="0"/>
                  <w:vAlign w:val="center"/>
                </w:tcPr>
                <w:p w14:paraId="0C72718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w:t>
                  </w:r>
                </w:p>
              </w:tc>
              <w:tc>
                <w:tcPr>
                  <w:tcW w:w="1539" w:type="dxa"/>
                  <w:tcBorders>
                    <w:tl2br w:val="nil"/>
                    <w:tr2bl w:val="nil"/>
                  </w:tcBorders>
                  <w:noWrap w:val="0"/>
                  <w:vAlign w:val="center"/>
                </w:tcPr>
                <w:p w14:paraId="5E0094C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w:t>
                  </w:r>
                </w:p>
              </w:tc>
              <w:tc>
                <w:tcPr>
                  <w:tcW w:w="1541" w:type="dxa"/>
                  <w:tcBorders>
                    <w:tl2br w:val="nil"/>
                    <w:tr2bl w:val="nil"/>
                  </w:tcBorders>
                  <w:noWrap w:val="0"/>
                  <w:vAlign w:val="center"/>
                </w:tcPr>
                <w:p w14:paraId="4BCC09C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w:t>
                  </w:r>
                </w:p>
              </w:tc>
            </w:tr>
            <w:tr w14:paraId="5AF8C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restart"/>
                  <w:tcBorders>
                    <w:tl2br w:val="nil"/>
                    <w:tr2bl w:val="nil"/>
                  </w:tcBorders>
                  <w:noWrap w:val="0"/>
                  <w:vAlign w:val="center"/>
                </w:tcPr>
                <w:p w14:paraId="01F6846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监测因子</w:t>
                  </w:r>
                </w:p>
              </w:tc>
              <w:tc>
                <w:tcPr>
                  <w:tcW w:w="1867" w:type="dxa"/>
                  <w:tcBorders>
                    <w:tl2br w:val="nil"/>
                    <w:tr2bl w:val="nil"/>
                  </w:tcBorders>
                  <w:noWrap w:val="0"/>
                  <w:vAlign w:val="center"/>
                </w:tcPr>
                <w:p w14:paraId="700595E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542" w:type="dxa"/>
                  <w:tcBorders>
                    <w:tl2br w:val="nil"/>
                    <w:tr2bl w:val="nil"/>
                  </w:tcBorders>
                  <w:noWrap w:val="0"/>
                  <w:vAlign w:val="center"/>
                </w:tcPr>
                <w:p w14:paraId="43420A5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W1</w:t>
                  </w:r>
                </w:p>
              </w:tc>
              <w:tc>
                <w:tcPr>
                  <w:tcW w:w="1539" w:type="dxa"/>
                  <w:tcBorders>
                    <w:tl2br w:val="nil"/>
                    <w:tr2bl w:val="nil"/>
                  </w:tcBorders>
                  <w:noWrap w:val="0"/>
                  <w:vAlign w:val="center"/>
                </w:tcPr>
                <w:p w14:paraId="09D7C65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W2</w:t>
                  </w:r>
                </w:p>
              </w:tc>
              <w:tc>
                <w:tcPr>
                  <w:tcW w:w="1541" w:type="dxa"/>
                  <w:tcBorders>
                    <w:tl2br w:val="nil"/>
                    <w:tr2bl w:val="nil"/>
                  </w:tcBorders>
                  <w:noWrap w:val="0"/>
                  <w:vAlign w:val="center"/>
                </w:tcPr>
                <w:p w14:paraId="471066A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W3</w:t>
                  </w:r>
                </w:p>
              </w:tc>
            </w:tr>
            <w:tr w14:paraId="5F2C6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417441A5">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056BFB8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最大值污染 指数</w:t>
                  </w:r>
                </w:p>
              </w:tc>
              <w:tc>
                <w:tcPr>
                  <w:tcW w:w="1542" w:type="dxa"/>
                  <w:tcBorders>
                    <w:tl2br w:val="nil"/>
                    <w:tr2bl w:val="nil"/>
                  </w:tcBorders>
                  <w:noWrap w:val="0"/>
                  <w:vAlign w:val="center"/>
                </w:tcPr>
                <w:p w14:paraId="4B43396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c>
                <w:tcPr>
                  <w:tcW w:w="1539" w:type="dxa"/>
                  <w:tcBorders>
                    <w:tl2br w:val="nil"/>
                    <w:tr2bl w:val="nil"/>
                  </w:tcBorders>
                  <w:noWrap w:val="0"/>
                  <w:vAlign w:val="center"/>
                </w:tcPr>
                <w:p w14:paraId="2F70CA9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c>
                <w:tcPr>
                  <w:tcW w:w="1541" w:type="dxa"/>
                  <w:tcBorders>
                    <w:tl2br w:val="nil"/>
                    <w:tr2bl w:val="nil"/>
                  </w:tcBorders>
                  <w:noWrap w:val="0"/>
                  <w:vAlign w:val="center"/>
                </w:tcPr>
                <w:p w14:paraId="14A0C02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w:t>
                  </w:r>
                </w:p>
              </w:tc>
            </w:tr>
            <w:tr w14:paraId="6214B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15E95E5B">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0DBB46C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1542" w:type="dxa"/>
                  <w:tcBorders>
                    <w:tl2br w:val="nil"/>
                    <w:tr2bl w:val="nil"/>
                  </w:tcBorders>
                  <w:noWrap w:val="0"/>
                  <w:vAlign w:val="center"/>
                </w:tcPr>
                <w:p w14:paraId="2B98A52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39" w:type="dxa"/>
                  <w:tcBorders>
                    <w:tl2br w:val="nil"/>
                    <w:tr2bl w:val="nil"/>
                  </w:tcBorders>
                  <w:noWrap w:val="0"/>
                  <w:vAlign w:val="center"/>
                </w:tcPr>
                <w:p w14:paraId="47596FE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41" w:type="dxa"/>
                  <w:tcBorders>
                    <w:tl2br w:val="nil"/>
                    <w:tr2bl w:val="nil"/>
                  </w:tcBorders>
                  <w:noWrap w:val="0"/>
                  <w:vAlign w:val="center"/>
                </w:tcPr>
                <w:p w14:paraId="1A75C95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14:paraId="4D5DF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restart"/>
                  <w:tcBorders>
                    <w:tl2br w:val="nil"/>
                    <w:tr2bl w:val="nil"/>
                  </w:tcBorders>
                  <w:noWrap w:val="0"/>
                  <w:vAlign w:val="center"/>
                </w:tcPr>
                <w:p w14:paraId="40247F4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1867" w:type="dxa"/>
                  <w:tcBorders>
                    <w:tl2br w:val="nil"/>
                    <w:tr2bl w:val="nil"/>
                  </w:tcBorders>
                  <w:noWrap w:val="0"/>
                  <w:vAlign w:val="center"/>
                </w:tcPr>
                <w:p w14:paraId="675DC70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1542" w:type="dxa"/>
                  <w:tcBorders>
                    <w:tl2br w:val="nil"/>
                    <w:tr2bl w:val="nil"/>
                  </w:tcBorders>
                  <w:noWrap w:val="0"/>
                  <w:vAlign w:val="center"/>
                </w:tcPr>
                <w:p w14:paraId="083949F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1539" w:type="dxa"/>
                  <w:tcBorders>
                    <w:tl2br w:val="nil"/>
                    <w:tr2bl w:val="nil"/>
                  </w:tcBorders>
                  <w:noWrap w:val="0"/>
                  <w:vAlign w:val="center"/>
                </w:tcPr>
                <w:p w14:paraId="1234699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c>
                <w:tcPr>
                  <w:tcW w:w="1541" w:type="dxa"/>
                  <w:tcBorders>
                    <w:tl2br w:val="nil"/>
                    <w:tr2bl w:val="nil"/>
                  </w:tcBorders>
                  <w:noWrap w:val="0"/>
                  <w:vAlign w:val="center"/>
                </w:tcPr>
                <w:p w14:paraId="1AEC130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r>
            <w:tr w14:paraId="03A63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1C115FCE">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43F5457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最小值</w:t>
                  </w:r>
                </w:p>
              </w:tc>
              <w:tc>
                <w:tcPr>
                  <w:tcW w:w="1542" w:type="dxa"/>
                  <w:tcBorders>
                    <w:tl2br w:val="nil"/>
                    <w:tr2bl w:val="nil"/>
                  </w:tcBorders>
                  <w:noWrap w:val="0"/>
                  <w:vAlign w:val="center"/>
                </w:tcPr>
                <w:p w14:paraId="7018E90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1539" w:type="dxa"/>
                  <w:tcBorders>
                    <w:tl2br w:val="nil"/>
                    <w:tr2bl w:val="nil"/>
                  </w:tcBorders>
                  <w:noWrap w:val="0"/>
                  <w:vAlign w:val="center"/>
                </w:tcPr>
                <w:p w14:paraId="694BB67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1541" w:type="dxa"/>
                  <w:tcBorders>
                    <w:tl2br w:val="nil"/>
                    <w:tr2bl w:val="nil"/>
                  </w:tcBorders>
                  <w:noWrap w:val="0"/>
                  <w:vAlign w:val="center"/>
                </w:tcPr>
                <w:p w14:paraId="68915ED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r>
            <w:tr w14:paraId="2AFAB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46B32B8C">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69BFC4B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最大值污染指数</w:t>
                  </w:r>
                </w:p>
              </w:tc>
              <w:tc>
                <w:tcPr>
                  <w:tcW w:w="1542" w:type="dxa"/>
                  <w:tcBorders>
                    <w:tl2br w:val="nil"/>
                    <w:tr2bl w:val="nil"/>
                  </w:tcBorders>
                  <w:noWrap w:val="0"/>
                  <w:vAlign w:val="center"/>
                </w:tcPr>
                <w:p w14:paraId="667FA15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1539" w:type="dxa"/>
                  <w:tcBorders>
                    <w:tl2br w:val="nil"/>
                    <w:tr2bl w:val="nil"/>
                  </w:tcBorders>
                  <w:noWrap w:val="0"/>
                  <w:vAlign w:val="center"/>
                </w:tcPr>
                <w:p w14:paraId="1B13AB4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1541" w:type="dxa"/>
                  <w:tcBorders>
                    <w:tl2br w:val="nil"/>
                    <w:tr2bl w:val="nil"/>
                  </w:tcBorders>
                  <w:noWrap w:val="0"/>
                  <w:vAlign w:val="center"/>
                </w:tcPr>
                <w:p w14:paraId="1CEC8D5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r>
            <w:tr w14:paraId="65429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26F1CA18">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7F649F0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1542" w:type="dxa"/>
                  <w:tcBorders>
                    <w:tl2br w:val="nil"/>
                    <w:tr2bl w:val="nil"/>
                  </w:tcBorders>
                  <w:noWrap w:val="0"/>
                  <w:vAlign w:val="center"/>
                </w:tcPr>
                <w:p w14:paraId="0FB628E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1539" w:type="dxa"/>
                  <w:tcBorders>
                    <w:tl2br w:val="nil"/>
                    <w:tr2bl w:val="nil"/>
                  </w:tcBorders>
                  <w:noWrap w:val="0"/>
                  <w:vAlign w:val="center"/>
                </w:tcPr>
                <w:p w14:paraId="70B900A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1541" w:type="dxa"/>
                  <w:tcBorders>
                    <w:tl2br w:val="nil"/>
                    <w:tr2bl w:val="nil"/>
                  </w:tcBorders>
                  <w:noWrap w:val="0"/>
                  <w:vAlign w:val="center"/>
                </w:tcPr>
                <w:p w14:paraId="3380054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r>
            <w:tr w14:paraId="11D8F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restart"/>
                  <w:tcBorders>
                    <w:tl2br w:val="nil"/>
                    <w:tr2bl w:val="nil"/>
                  </w:tcBorders>
                  <w:noWrap w:val="0"/>
                  <w:vAlign w:val="center"/>
                </w:tcPr>
                <w:p w14:paraId="35E5010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生化需氧量</w:t>
                  </w:r>
                </w:p>
              </w:tc>
              <w:tc>
                <w:tcPr>
                  <w:tcW w:w="1867" w:type="dxa"/>
                  <w:tcBorders>
                    <w:tl2br w:val="nil"/>
                    <w:tr2bl w:val="nil"/>
                  </w:tcBorders>
                  <w:noWrap w:val="0"/>
                  <w:vAlign w:val="center"/>
                </w:tcPr>
                <w:p w14:paraId="3A6FA0A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1542" w:type="dxa"/>
                  <w:tcBorders>
                    <w:tl2br w:val="nil"/>
                    <w:tr2bl w:val="nil"/>
                  </w:tcBorders>
                  <w:noWrap w:val="0"/>
                  <w:vAlign w:val="center"/>
                </w:tcPr>
                <w:p w14:paraId="390F1CA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8.8</w:t>
                  </w:r>
                </w:p>
              </w:tc>
              <w:tc>
                <w:tcPr>
                  <w:tcW w:w="1539" w:type="dxa"/>
                  <w:tcBorders>
                    <w:tl2br w:val="nil"/>
                    <w:tr2bl w:val="nil"/>
                  </w:tcBorders>
                  <w:noWrap w:val="0"/>
                  <w:vAlign w:val="center"/>
                </w:tcPr>
                <w:p w14:paraId="116A033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w:t>
                  </w:r>
                </w:p>
              </w:tc>
              <w:tc>
                <w:tcPr>
                  <w:tcW w:w="1541" w:type="dxa"/>
                  <w:tcBorders>
                    <w:tl2br w:val="nil"/>
                    <w:tr2bl w:val="nil"/>
                  </w:tcBorders>
                  <w:noWrap w:val="0"/>
                  <w:vAlign w:val="center"/>
                </w:tcPr>
                <w:p w14:paraId="0A7A9AA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w:t>
                  </w:r>
                </w:p>
              </w:tc>
            </w:tr>
            <w:tr w14:paraId="30318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7F6198E9">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0D346DE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最小值</w:t>
                  </w:r>
                </w:p>
              </w:tc>
              <w:tc>
                <w:tcPr>
                  <w:tcW w:w="1542" w:type="dxa"/>
                  <w:tcBorders>
                    <w:tl2br w:val="nil"/>
                    <w:tr2bl w:val="nil"/>
                  </w:tcBorders>
                  <w:noWrap w:val="0"/>
                  <w:vAlign w:val="center"/>
                </w:tcPr>
                <w:p w14:paraId="5A30283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w:t>
                  </w:r>
                </w:p>
              </w:tc>
              <w:tc>
                <w:tcPr>
                  <w:tcW w:w="1539" w:type="dxa"/>
                  <w:tcBorders>
                    <w:tl2br w:val="nil"/>
                    <w:tr2bl w:val="nil"/>
                  </w:tcBorders>
                  <w:noWrap w:val="0"/>
                  <w:vAlign w:val="center"/>
                </w:tcPr>
                <w:p w14:paraId="259BAD1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w:t>
                  </w:r>
                </w:p>
              </w:tc>
              <w:tc>
                <w:tcPr>
                  <w:tcW w:w="1541" w:type="dxa"/>
                  <w:tcBorders>
                    <w:tl2br w:val="nil"/>
                    <w:tr2bl w:val="nil"/>
                  </w:tcBorders>
                  <w:noWrap w:val="0"/>
                  <w:vAlign w:val="center"/>
                </w:tcPr>
                <w:p w14:paraId="63687F8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w:t>
                  </w:r>
                </w:p>
              </w:tc>
            </w:tr>
            <w:tr w14:paraId="635C3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434AA2BC">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656F15D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最大值污染指数</w:t>
                  </w:r>
                </w:p>
              </w:tc>
              <w:tc>
                <w:tcPr>
                  <w:tcW w:w="1542" w:type="dxa"/>
                  <w:tcBorders>
                    <w:tl2br w:val="nil"/>
                    <w:tr2bl w:val="nil"/>
                  </w:tcBorders>
                  <w:noWrap w:val="0"/>
                  <w:vAlign w:val="center"/>
                </w:tcPr>
                <w:p w14:paraId="102D0F1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1539" w:type="dxa"/>
                  <w:tcBorders>
                    <w:tl2br w:val="nil"/>
                    <w:tr2bl w:val="nil"/>
                  </w:tcBorders>
                  <w:noWrap w:val="0"/>
                  <w:vAlign w:val="center"/>
                </w:tcPr>
                <w:p w14:paraId="32F2335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1.975</w:t>
                  </w:r>
                </w:p>
              </w:tc>
              <w:tc>
                <w:tcPr>
                  <w:tcW w:w="1541" w:type="dxa"/>
                  <w:tcBorders>
                    <w:tl2br w:val="nil"/>
                    <w:tr2bl w:val="nil"/>
                  </w:tcBorders>
                  <w:noWrap w:val="0"/>
                  <w:vAlign w:val="center"/>
                </w:tcPr>
                <w:p w14:paraId="70C1C92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1.55</w:t>
                  </w:r>
                </w:p>
              </w:tc>
            </w:tr>
            <w:tr w14:paraId="2CB3C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15530C0B">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61E3660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1542" w:type="dxa"/>
                  <w:tcBorders>
                    <w:tl2br w:val="nil"/>
                    <w:tr2bl w:val="nil"/>
                  </w:tcBorders>
                  <w:noWrap w:val="0"/>
                  <w:vAlign w:val="center"/>
                </w:tcPr>
                <w:p w14:paraId="4BC49CC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1539" w:type="dxa"/>
                  <w:tcBorders>
                    <w:tl2br w:val="nil"/>
                    <w:tr2bl w:val="nil"/>
                  </w:tcBorders>
                  <w:noWrap w:val="0"/>
                  <w:vAlign w:val="center"/>
                </w:tcPr>
                <w:p w14:paraId="174D0D0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1541" w:type="dxa"/>
                  <w:tcBorders>
                    <w:tl2br w:val="nil"/>
                    <w:tr2bl w:val="nil"/>
                  </w:tcBorders>
                  <w:noWrap w:val="0"/>
                  <w:vAlign w:val="center"/>
                </w:tcPr>
                <w:p w14:paraId="1242C1E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r>
            <w:tr w14:paraId="0553F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restart"/>
                  <w:tcBorders>
                    <w:tl2br w:val="nil"/>
                    <w:tr2bl w:val="nil"/>
                  </w:tcBorders>
                  <w:noWrap w:val="0"/>
                  <w:vAlign w:val="center"/>
                </w:tcPr>
                <w:p w14:paraId="61910F7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1867" w:type="dxa"/>
                  <w:tcBorders>
                    <w:tl2br w:val="nil"/>
                    <w:tr2bl w:val="nil"/>
                  </w:tcBorders>
                  <w:noWrap w:val="0"/>
                  <w:vAlign w:val="center"/>
                </w:tcPr>
                <w:p w14:paraId="1E6D2BD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1542" w:type="dxa"/>
                  <w:tcBorders>
                    <w:tl2br w:val="nil"/>
                    <w:tr2bl w:val="nil"/>
                  </w:tcBorders>
                  <w:noWrap w:val="0"/>
                  <w:vAlign w:val="center"/>
                </w:tcPr>
                <w:p w14:paraId="38B5F8F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1539" w:type="dxa"/>
                  <w:tcBorders>
                    <w:tl2br w:val="nil"/>
                    <w:tr2bl w:val="nil"/>
                  </w:tcBorders>
                  <w:noWrap w:val="0"/>
                  <w:vAlign w:val="center"/>
                </w:tcPr>
                <w:p w14:paraId="3BC126A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1541" w:type="dxa"/>
                  <w:tcBorders>
                    <w:tl2br w:val="nil"/>
                    <w:tr2bl w:val="nil"/>
                  </w:tcBorders>
                  <w:noWrap w:val="0"/>
                  <w:vAlign w:val="center"/>
                </w:tcPr>
                <w:p w14:paraId="64F96FD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r>
            <w:tr w14:paraId="1AC21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11EB7548">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4F21A4A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最小值</w:t>
                  </w:r>
                </w:p>
              </w:tc>
              <w:tc>
                <w:tcPr>
                  <w:tcW w:w="1542" w:type="dxa"/>
                  <w:tcBorders>
                    <w:tl2br w:val="nil"/>
                    <w:tr2bl w:val="nil"/>
                  </w:tcBorders>
                  <w:noWrap w:val="0"/>
                  <w:vAlign w:val="center"/>
                </w:tcPr>
                <w:p w14:paraId="2683CAB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1539" w:type="dxa"/>
                  <w:tcBorders>
                    <w:tl2br w:val="nil"/>
                    <w:tr2bl w:val="nil"/>
                  </w:tcBorders>
                  <w:noWrap w:val="0"/>
                  <w:vAlign w:val="center"/>
                </w:tcPr>
                <w:p w14:paraId="014EC0F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1541" w:type="dxa"/>
                  <w:tcBorders>
                    <w:tl2br w:val="nil"/>
                    <w:tr2bl w:val="nil"/>
                  </w:tcBorders>
                  <w:noWrap w:val="0"/>
                  <w:vAlign w:val="center"/>
                </w:tcPr>
                <w:p w14:paraId="1B8A4C0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r>
            <w:tr w14:paraId="50DD6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1CC3F9E3">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679AAC2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最大值污染指数</w:t>
                  </w:r>
                </w:p>
              </w:tc>
              <w:tc>
                <w:tcPr>
                  <w:tcW w:w="1542" w:type="dxa"/>
                  <w:tcBorders>
                    <w:tl2br w:val="nil"/>
                    <w:tr2bl w:val="nil"/>
                  </w:tcBorders>
                  <w:noWrap w:val="0"/>
                  <w:vAlign w:val="center"/>
                </w:tcPr>
                <w:p w14:paraId="60D446D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39" w:type="dxa"/>
                  <w:tcBorders>
                    <w:tl2br w:val="nil"/>
                    <w:tr2bl w:val="nil"/>
                  </w:tcBorders>
                  <w:noWrap w:val="0"/>
                  <w:vAlign w:val="center"/>
                </w:tcPr>
                <w:p w14:paraId="3B255AD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1" w:type="dxa"/>
                  <w:tcBorders>
                    <w:tl2br w:val="nil"/>
                    <w:tr2bl w:val="nil"/>
                  </w:tcBorders>
                  <w:noWrap w:val="0"/>
                  <w:vAlign w:val="center"/>
                </w:tcPr>
                <w:p w14:paraId="53B51A1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4A3EC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6B3811C8">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5DBC7DB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1542" w:type="dxa"/>
                  <w:tcBorders>
                    <w:tl2br w:val="nil"/>
                    <w:tr2bl w:val="nil"/>
                  </w:tcBorders>
                  <w:noWrap w:val="0"/>
                  <w:vAlign w:val="center"/>
                </w:tcPr>
                <w:p w14:paraId="1EA968E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39" w:type="dxa"/>
                  <w:tcBorders>
                    <w:tl2br w:val="nil"/>
                    <w:tr2bl w:val="nil"/>
                  </w:tcBorders>
                  <w:noWrap w:val="0"/>
                  <w:vAlign w:val="center"/>
                </w:tcPr>
                <w:p w14:paraId="052B2A8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541" w:type="dxa"/>
                  <w:tcBorders>
                    <w:tl2br w:val="nil"/>
                    <w:tr2bl w:val="nil"/>
                  </w:tcBorders>
                  <w:noWrap w:val="0"/>
                  <w:vAlign w:val="center"/>
                </w:tcPr>
                <w:p w14:paraId="5FB39C4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58206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restart"/>
                  <w:tcBorders>
                    <w:tl2br w:val="nil"/>
                    <w:tr2bl w:val="nil"/>
                  </w:tcBorders>
                  <w:noWrap w:val="0"/>
                  <w:vAlign w:val="center"/>
                </w:tcPr>
                <w:p w14:paraId="20D1F20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1867" w:type="dxa"/>
                  <w:tcBorders>
                    <w:tl2br w:val="nil"/>
                    <w:tr2bl w:val="nil"/>
                  </w:tcBorders>
                  <w:noWrap w:val="0"/>
                  <w:vAlign w:val="center"/>
                </w:tcPr>
                <w:p w14:paraId="59D9B4E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1542" w:type="dxa"/>
                  <w:tcBorders>
                    <w:tl2br w:val="nil"/>
                    <w:tr2bl w:val="nil"/>
                  </w:tcBorders>
                  <w:noWrap w:val="0"/>
                  <w:vAlign w:val="center"/>
                </w:tcPr>
                <w:p w14:paraId="1221A22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0.479</w:t>
                  </w:r>
                </w:p>
              </w:tc>
              <w:tc>
                <w:tcPr>
                  <w:tcW w:w="1539" w:type="dxa"/>
                  <w:tcBorders>
                    <w:tl2br w:val="nil"/>
                    <w:tr2bl w:val="nil"/>
                  </w:tcBorders>
                  <w:noWrap w:val="0"/>
                  <w:vAlign w:val="center"/>
                </w:tcPr>
                <w:p w14:paraId="478838F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0.427</w:t>
                  </w:r>
                </w:p>
              </w:tc>
              <w:tc>
                <w:tcPr>
                  <w:tcW w:w="1541" w:type="dxa"/>
                  <w:tcBorders>
                    <w:tl2br w:val="nil"/>
                    <w:tr2bl w:val="nil"/>
                  </w:tcBorders>
                  <w:noWrap w:val="0"/>
                  <w:vAlign w:val="center"/>
                </w:tcPr>
                <w:p w14:paraId="5B2F15F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0.476</w:t>
                  </w:r>
                </w:p>
              </w:tc>
            </w:tr>
            <w:tr w14:paraId="4EEB2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59AAFC5A">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750579A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最小值</w:t>
                  </w:r>
                </w:p>
              </w:tc>
              <w:tc>
                <w:tcPr>
                  <w:tcW w:w="1542" w:type="dxa"/>
                  <w:tcBorders>
                    <w:tl2br w:val="nil"/>
                    <w:tr2bl w:val="nil"/>
                  </w:tcBorders>
                  <w:noWrap w:val="0"/>
                  <w:vAlign w:val="center"/>
                </w:tcPr>
                <w:p w14:paraId="02EAE22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0.428</w:t>
                  </w:r>
                </w:p>
              </w:tc>
              <w:tc>
                <w:tcPr>
                  <w:tcW w:w="1539" w:type="dxa"/>
                  <w:tcBorders>
                    <w:tl2br w:val="nil"/>
                    <w:tr2bl w:val="nil"/>
                  </w:tcBorders>
                  <w:noWrap w:val="0"/>
                  <w:vAlign w:val="center"/>
                </w:tcPr>
                <w:p w14:paraId="24B7A29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0.395</w:t>
                  </w:r>
                </w:p>
              </w:tc>
              <w:tc>
                <w:tcPr>
                  <w:tcW w:w="1541" w:type="dxa"/>
                  <w:tcBorders>
                    <w:tl2br w:val="nil"/>
                    <w:tr2bl w:val="nil"/>
                  </w:tcBorders>
                  <w:noWrap w:val="0"/>
                  <w:vAlign w:val="center"/>
                </w:tcPr>
                <w:p w14:paraId="29885E0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0.424</w:t>
                  </w:r>
                </w:p>
              </w:tc>
            </w:tr>
            <w:tr w14:paraId="638DA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07B84555">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5638AF5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最大值污染指数</w:t>
                  </w:r>
                </w:p>
              </w:tc>
              <w:tc>
                <w:tcPr>
                  <w:tcW w:w="1542" w:type="dxa"/>
                  <w:tcBorders>
                    <w:tl2br w:val="nil"/>
                    <w:tr2bl w:val="nil"/>
                  </w:tcBorders>
                  <w:noWrap w:val="0"/>
                  <w:vAlign w:val="center"/>
                </w:tcPr>
                <w:p w14:paraId="0C74B6F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0.479</w:t>
                  </w:r>
                </w:p>
              </w:tc>
              <w:tc>
                <w:tcPr>
                  <w:tcW w:w="1539" w:type="dxa"/>
                  <w:tcBorders>
                    <w:tl2br w:val="nil"/>
                    <w:tr2bl w:val="nil"/>
                  </w:tcBorders>
                  <w:noWrap w:val="0"/>
                  <w:vAlign w:val="center"/>
                </w:tcPr>
                <w:p w14:paraId="330AD9C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0.427</w:t>
                  </w:r>
                </w:p>
              </w:tc>
              <w:tc>
                <w:tcPr>
                  <w:tcW w:w="1541" w:type="dxa"/>
                  <w:tcBorders>
                    <w:tl2br w:val="nil"/>
                    <w:tr2bl w:val="nil"/>
                  </w:tcBorders>
                  <w:noWrap w:val="0"/>
                  <w:vAlign w:val="center"/>
                </w:tcPr>
                <w:p w14:paraId="6397D9F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0.476</w:t>
                  </w:r>
                </w:p>
              </w:tc>
            </w:tr>
            <w:tr w14:paraId="2B799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30DA4656">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0E6D81B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1542" w:type="dxa"/>
                  <w:tcBorders>
                    <w:tl2br w:val="nil"/>
                    <w:tr2bl w:val="nil"/>
                  </w:tcBorders>
                  <w:noWrap w:val="0"/>
                  <w:vAlign w:val="center"/>
                </w:tcPr>
                <w:p w14:paraId="75BA839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39" w:type="dxa"/>
                  <w:tcBorders>
                    <w:tl2br w:val="nil"/>
                    <w:tr2bl w:val="nil"/>
                  </w:tcBorders>
                  <w:noWrap w:val="0"/>
                  <w:vAlign w:val="center"/>
                </w:tcPr>
                <w:p w14:paraId="787572A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41" w:type="dxa"/>
                  <w:tcBorders>
                    <w:tl2br w:val="nil"/>
                    <w:tr2bl w:val="nil"/>
                  </w:tcBorders>
                  <w:noWrap w:val="0"/>
                  <w:vAlign w:val="center"/>
                </w:tcPr>
                <w:p w14:paraId="0ADAB33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14:paraId="67411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restart"/>
                  <w:tcBorders>
                    <w:tl2br w:val="nil"/>
                    <w:tr2bl w:val="nil"/>
                  </w:tcBorders>
                  <w:noWrap w:val="0"/>
                  <w:vAlign w:val="center"/>
                </w:tcPr>
                <w:p w14:paraId="6B1D6D7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溶解氧</w:t>
                  </w:r>
                </w:p>
              </w:tc>
              <w:tc>
                <w:tcPr>
                  <w:tcW w:w="1867" w:type="dxa"/>
                  <w:tcBorders>
                    <w:tl2br w:val="nil"/>
                    <w:tr2bl w:val="nil"/>
                  </w:tcBorders>
                  <w:noWrap w:val="0"/>
                  <w:vAlign w:val="center"/>
                </w:tcPr>
                <w:p w14:paraId="516FF7F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1542" w:type="dxa"/>
                  <w:tcBorders>
                    <w:tl2br w:val="nil"/>
                    <w:tr2bl w:val="nil"/>
                  </w:tcBorders>
                  <w:noWrap w:val="0"/>
                  <w:vAlign w:val="center"/>
                </w:tcPr>
                <w:p w14:paraId="046D06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w:t>
                  </w:r>
                </w:p>
              </w:tc>
              <w:tc>
                <w:tcPr>
                  <w:tcW w:w="1539" w:type="dxa"/>
                  <w:tcBorders>
                    <w:tl2br w:val="nil"/>
                    <w:tr2bl w:val="nil"/>
                  </w:tcBorders>
                  <w:noWrap w:val="0"/>
                  <w:vAlign w:val="center"/>
                </w:tcPr>
                <w:p w14:paraId="3184AC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w:t>
                  </w:r>
                </w:p>
              </w:tc>
              <w:tc>
                <w:tcPr>
                  <w:tcW w:w="1541" w:type="dxa"/>
                  <w:tcBorders>
                    <w:tl2br w:val="nil"/>
                    <w:tr2bl w:val="nil"/>
                  </w:tcBorders>
                  <w:noWrap w:val="0"/>
                  <w:vAlign w:val="center"/>
                </w:tcPr>
                <w:p w14:paraId="350CA4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w:t>
                  </w:r>
                </w:p>
              </w:tc>
            </w:tr>
            <w:tr w14:paraId="055BB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46F46BD0">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20B447B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最小值</w:t>
                  </w:r>
                </w:p>
              </w:tc>
              <w:tc>
                <w:tcPr>
                  <w:tcW w:w="1542" w:type="dxa"/>
                  <w:tcBorders>
                    <w:tl2br w:val="nil"/>
                    <w:tr2bl w:val="nil"/>
                  </w:tcBorders>
                  <w:noWrap w:val="0"/>
                  <w:vAlign w:val="center"/>
                </w:tcPr>
                <w:p w14:paraId="1A57BC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w:t>
                  </w:r>
                </w:p>
              </w:tc>
              <w:tc>
                <w:tcPr>
                  <w:tcW w:w="1539" w:type="dxa"/>
                  <w:tcBorders>
                    <w:tl2br w:val="nil"/>
                    <w:tr2bl w:val="nil"/>
                  </w:tcBorders>
                  <w:noWrap w:val="0"/>
                  <w:vAlign w:val="center"/>
                </w:tcPr>
                <w:p w14:paraId="6A8613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w:t>
                  </w:r>
                </w:p>
              </w:tc>
              <w:tc>
                <w:tcPr>
                  <w:tcW w:w="1541" w:type="dxa"/>
                  <w:tcBorders>
                    <w:tl2br w:val="nil"/>
                    <w:tr2bl w:val="nil"/>
                  </w:tcBorders>
                  <w:noWrap w:val="0"/>
                  <w:vAlign w:val="center"/>
                </w:tcPr>
                <w:p w14:paraId="7B5D20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w:t>
                  </w:r>
                </w:p>
              </w:tc>
            </w:tr>
            <w:tr w14:paraId="2B68B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433531DB">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14E66EB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最大值污染指数</w:t>
                  </w:r>
                </w:p>
              </w:tc>
              <w:tc>
                <w:tcPr>
                  <w:tcW w:w="1542" w:type="dxa"/>
                  <w:tcBorders>
                    <w:tl2br w:val="nil"/>
                    <w:tr2bl w:val="nil"/>
                  </w:tcBorders>
                  <w:noWrap w:val="0"/>
                  <w:vAlign w:val="center"/>
                </w:tcPr>
                <w:p w14:paraId="0BF9911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0.040</w:t>
                  </w:r>
                </w:p>
              </w:tc>
              <w:tc>
                <w:tcPr>
                  <w:tcW w:w="1539" w:type="dxa"/>
                  <w:tcBorders>
                    <w:tl2br w:val="nil"/>
                    <w:tr2bl w:val="nil"/>
                  </w:tcBorders>
                  <w:noWrap w:val="0"/>
                  <w:vAlign w:val="center"/>
                </w:tcPr>
                <w:p w14:paraId="7D2844D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0.009</w:t>
                  </w:r>
                </w:p>
              </w:tc>
              <w:tc>
                <w:tcPr>
                  <w:tcW w:w="1541" w:type="dxa"/>
                  <w:tcBorders>
                    <w:tl2br w:val="nil"/>
                    <w:tr2bl w:val="nil"/>
                  </w:tcBorders>
                  <w:noWrap w:val="0"/>
                  <w:vAlign w:val="center"/>
                </w:tcPr>
                <w:p w14:paraId="5550DCB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0.040</w:t>
                  </w:r>
                </w:p>
              </w:tc>
            </w:tr>
            <w:tr w14:paraId="1C8F6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4AE438DF">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7BFDCB2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1542" w:type="dxa"/>
                  <w:tcBorders>
                    <w:tl2br w:val="nil"/>
                    <w:tr2bl w:val="nil"/>
                  </w:tcBorders>
                  <w:noWrap w:val="0"/>
                  <w:vAlign w:val="center"/>
                </w:tcPr>
                <w:p w14:paraId="64EC91B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39" w:type="dxa"/>
                  <w:tcBorders>
                    <w:tl2br w:val="nil"/>
                    <w:tr2bl w:val="nil"/>
                  </w:tcBorders>
                  <w:noWrap w:val="0"/>
                  <w:vAlign w:val="center"/>
                </w:tcPr>
                <w:p w14:paraId="0C87964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41" w:type="dxa"/>
                  <w:tcBorders>
                    <w:tl2br w:val="nil"/>
                    <w:tr2bl w:val="nil"/>
                  </w:tcBorders>
                  <w:noWrap w:val="0"/>
                  <w:vAlign w:val="center"/>
                </w:tcPr>
                <w:p w14:paraId="7FF7153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14:paraId="23E37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restart"/>
                  <w:tcBorders>
                    <w:tl2br w:val="nil"/>
                    <w:tr2bl w:val="nil"/>
                  </w:tcBorders>
                  <w:noWrap w:val="0"/>
                  <w:vAlign w:val="center"/>
                </w:tcPr>
                <w:p w14:paraId="3E479A4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1867" w:type="dxa"/>
                  <w:tcBorders>
                    <w:tl2br w:val="nil"/>
                    <w:tr2bl w:val="nil"/>
                  </w:tcBorders>
                  <w:noWrap w:val="0"/>
                  <w:vAlign w:val="center"/>
                </w:tcPr>
                <w:p w14:paraId="533D602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1542" w:type="dxa"/>
                  <w:tcBorders>
                    <w:tl2br w:val="nil"/>
                    <w:tr2bl w:val="nil"/>
                  </w:tcBorders>
                  <w:noWrap w:val="0"/>
                  <w:vAlign w:val="center"/>
                </w:tcPr>
                <w:p w14:paraId="2071E64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w:t>
                  </w:r>
                </w:p>
              </w:tc>
              <w:tc>
                <w:tcPr>
                  <w:tcW w:w="1539" w:type="dxa"/>
                  <w:tcBorders>
                    <w:tl2br w:val="nil"/>
                    <w:tr2bl w:val="nil"/>
                  </w:tcBorders>
                  <w:noWrap w:val="0"/>
                  <w:vAlign w:val="center"/>
                </w:tcPr>
                <w:p w14:paraId="1DCA3D7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w:t>
                  </w:r>
                </w:p>
              </w:tc>
              <w:tc>
                <w:tcPr>
                  <w:tcW w:w="1541" w:type="dxa"/>
                  <w:tcBorders>
                    <w:tl2br w:val="nil"/>
                    <w:tr2bl w:val="nil"/>
                  </w:tcBorders>
                  <w:noWrap w:val="0"/>
                  <w:vAlign w:val="center"/>
                </w:tcPr>
                <w:p w14:paraId="239BD78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0.07</w:t>
                  </w:r>
                </w:p>
              </w:tc>
            </w:tr>
            <w:tr w14:paraId="1546E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55F72E49">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48D8A9C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最小值</w:t>
                  </w:r>
                </w:p>
              </w:tc>
              <w:tc>
                <w:tcPr>
                  <w:tcW w:w="1542" w:type="dxa"/>
                  <w:tcBorders>
                    <w:tl2br w:val="nil"/>
                    <w:tr2bl w:val="nil"/>
                  </w:tcBorders>
                  <w:noWrap w:val="0"/>
                  <w:vAlign w:val="center"/>
                </w:tcPr>
                <w:p w14:paraId="25F174E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1539" w:type="dxa"/>
                  <w:tcBorders>
                    <w:tl2br w:val="nil"/>
                    <w:tr2bl w:val="nil"/>
                  </w:tcBorders>
                  <w:noWrap w:val="0"/>
                  <w:vAlign w:val="center"/>
                </w:tcPr>
                <w:p w14:paraId="036F852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1541" w:type="dxa"/>
                  <w:tcBorders>
                    <w:tl2br w:val="nil"/>
                    <w:tr2bl w:val="nil"/>
                  </w:tcBorders>
                  <w:noWrap w:val="0"/>
                  <w:vAlign w:val="center"/>
                </w:tcPr>
                <w:p w14:paraId="33EB777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r>
            <w:tr w14:paraId="2BC2F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4F2C12B8">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6E8BD06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最大值污染指数</w:t>
                  </w:r>
                </w:p>
              </w:tc>
              <w:tc>
                <w:tcPr>
                  <w:tcW w:w="1542" w:type="dxa"/>
                  <w:tcBorders>
                    <w:tl2br w:val="nil"/>
                    <w:tr2bl w:val="nil"/>
                  </w:tcBorders>
                  <w:noWrap w:val="0"/>
                  <w:vAlign w:val="center"/>
                </w:tcPr>
                <w:p w14:paraId="4145C3D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w:t>
                  </w:r>
                </w:p>
              </w:tc>
              <w:tc>
                <w:tcPr>
                  <w:tcW w:w="1539" w:type="dxa"/>
                  <w:tcBorders>
                    <w:tl2br w:val="nil"/>
                    <w:tr2bl w:val="nil"/>
                  </w:tcBorders>
                  <w:noWrap w:val="0"/>
                  <w:vAlign w:val="center"/>
                </w:tcPr>
                <w:p w14:paraId="37746E6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w:t>
                  </w:r>
                </w:p>
              </w:tc>
              <w:tc>
                <w:tcPr>
                  <w:tcW w:w="1541" w:type="dxa"/>
                  <w:tcBorders>
                    <w:tl2br w:val="nil"/>
                    <w:tr2bl w:val="nil"/>
                  </w:tcBorders>
                  <w:noWrap w:val="0"/>
                  <w:vAlign w:val="center"/>
                </w:tcPr>
                <w:p w14:paraId="4E5BAE9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w:t>
                  </w:r>
                </w:p>
              </w:tc>
            </w:tr>
            <w:tr w14:paraId="28DE0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626EF011">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4B66BDD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1542" w:type="dxa"/>
                  <w:tcBorders>
                    <w:tl2br w:val="nil"/>
                    <w:tr2bl w:val="nil"/>
                  </w:tcBorders>
                  <w:noWrap w:val="0"/>
                  <w:vAlign w:val="center"/>
                </w:tcPr>
                <w:p w14:paraId="1F152CE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39" w:type="dxa"/>
                  <w:tcBorders>
                    <w:tl2br w:val="nil"/>
                    <w:tr2bl w:val="nil"/>
                  </w:tcBorders>
                  <w:noWrap w:val="0"/>
                  <w:vAlign w:val="center"/>
                </w:tcPr>
                <w:p w14:paraId="28262D6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41" w:type="dxa"/>
                  <w:tcBorders>
                    <w:tl2br w:val="nil"/>
                    <w:tr2bl w:val="nil"/>
                  </w:tcBorders>
                  <w:noWrap w:val="0"/>
                  <w:vAlign w:val="center"/>
                </w:tcPr>
                <w:p w14:paraId="1D8E645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14:paraId="26F25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restart"/>
                  <w:tcBorders>
                    <w:tl2br w:val="nil"/>
                    <w:tr2bl w:val="nil"/>
                  </w:tcBorders>
                  <w:noWrap w:val="0"/>
                  <w:vAlign w:val="center"/>
                </w:tcPr>
                <w:p w14:paraId="17FAE59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1867" w:type="dxa"/>
                  <w:tcBorders>
                    <w:tl2br w:val="nil"/>
                    <w:tr2bl w:val="nil"/>
                  </w:tcBorders>
                  <w:noWrap w:val="0"/>
                  <w:vAlign w:val="center"/>
                </w:tcPr>
                <w:p w14:paraId="0D65D84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1542" w:type="dxa"/>
                  <w:tcBorders>
                    <w:tl2br w:val="nil"/>
                    <w:tr2bl w:val="nil"/>
                  </w:tcBorders>
                  <w:noWrap w:val="0"/>
                  <w:vAlign w:val="center"/>
                </w:tcPr>
                <w:p w14:paraId="75691F0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0.86</w:t>
                  </w:r>
                </w:p>
              </w:tc>
              <w:tc>
                <w:tcPr>
                  <w:tcW w:w="1539" w:type="dxa"/>
                  <w:tcBorders>
                    <w:tl2br w:val="nil"/>
                    <w:tr2bl w:val="nil"/>
                  </w:tcBorders>
                  <w:noWrap w:val="0"/>
                  <w:vAlign w:val="center"/>
                </w:tcPr>
                <w:p w14:paraId="54896D6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0.90</w:t>
                  </w:r>
                </w:p>
              </w:tc>
              <w:tc>
                <w:tcPr>
                  <w:tcW w:w="1541" w:type="dxa"/>
                  <w:tcBorders>
                    <w:tl2br w:val="nil"/>
                    <w:tr2bl w:val="nil"/>
                  </w:tcBorders>
                  <w:noWrap w:val="0"/>
                  <w:vAlign w:val="center"/>
                </w:tcPr>
                <w:p w14:paraId="2EDBEF1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0.93</w:t>
                  </w:r>
                </w:p>
              </w:tc>
            </w:tr>
            <w:tr w14:paraId="2B421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78537564">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400CE8D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最小值</w:t>
                  </w:r>
                </w:p>
              </w:tc>
              <w:tc>
                <w:tcPr>
                  <w:tcW w:w="1542" w:type="dxa"/>
                  <w:tcBorders>
                    <w:tl2br w:val="nil"/>
                    <w:tr2bl w:val="nil"/>
                  </w:tcBorders>
                  <w:noWrap w:val="0"/>
                  <w:vAlign w:val="center"/>
                </w:tcPr>
                <w:p w14:paraId="301A1BE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0.85</w:t>
                  </w:r>
                </w:p>
              </w:tc>
              <w:tc>
                <w:tcPr>
                  <w:tcW w:w="1539" w:type="dxa"/>
                  <w:tcBorders>
                    <w:tl2br w:val="nil"/>
                    <w:tr2bl w:val="nil"/>
                  </w:tcBorders>
                  <w:noWrap w:val="0"/>
                  <w:vAlign w:val="center"/>
                </w:tcPr>
                <w:p w14:paraId="6674E25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0.83</w:t>
                  </w:r>
                </w:p>
              </w:tc>
              <w:tc>
                <w:tcPr>
                  <w:tcW w:w="1541" w:type="dxa"/>
                  <w:tcBorders>
                    <w:tl2br w:val="nil"/>
                    <w:tr2bl w:val="nil"/>
                  </w:tcBorders>
                  <w:noWrap w:val="0"/>
                  <w:vAlign w:val="center"/>
                </w:tcPr>
                <w:p w14:paraId="2CDF69F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0.72</w:t>
                  </w:r>
                </w:p>
              </w:tc>
            </w:tr>
            <w:tr w14:paraId="72E13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49152061">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7FEC9BC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最大值污染 指数</w:t>
                  </w:r>
                </w:p>
              </w:tc>
              <w:tc>
                <w:tcPr>
                  <w:tcW w:w="1542" w:type="dxa"/>
                  <w:tcBorders>
                    <w:tl2br w:val="nil"/>
                    <w:tr2bl w:val="nil"/>
                  </w:tcBorders>
                  <w:noWrap w:val="0"/>
                  <w:vAlign w:val="center"/>
                </w:tcPr>
                <w:p w14:paraId="635CE2C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0.86</w:t>
                  </w:r>
                </w:p>
              </w:tc>
              <w:tc>
                <w:tcPr>
                  <w:tcW w:w="1539" w:type="dxa"/>
                  <w:tcBorders>
                    <w:tl2br w:val="nil"/>
                    <w:tr2bl w:val="nil"/>
                  </w:tcBorders>
                  <w:noWrap w:val="0"/>
                  <w:vAlign w:val="center"/>
                </w:tcPr>
                <w:p w14:paraId="3258990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w:t>
                  </w:r>
                </w:p>
              </w:tc>
              <w:tc>
                <w:tcPr>
                  <w:tcW w:w="1541" w:type="dxa"/>
                  <w:tcBorders>
                    <w:tl2br w:val="nil"/>
                    <w:tr2bl w:val="nil"/>
                  </w:tcBorders>
                  <w:noWrap w:val="0"/>
                  <w:vAlign w:val="center"/>
                </w:tcPr>
                <w:p w14:paraId="6D46F61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0.93</w:t>
                  </w:r>
                </w:p>
              </w:tc>
            </w:tr>
            <w:tr w14:paraId="1CF5E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475" w:type="dxa"/>
                  <w:vMerge w:val="continue"/>
                  <w:tcBorders>
                    <w:tl2br w:val="nil"/>
                    <w:tr2bl w:val="nil"/>
                  </w:tcBorders>
                  <w:noWrap w:val="0"/>
                  <w:vAlign w:val="center"/>
                </w:tcPr>
                <w:p w14:paraId="3D2650D2">
                  <w:pPr>
                    <w:jc w:val="center"/>
                    <w:rPr>
                      <w:rFonts w:hint="default" w:ascii="Times New Roman" w:hAnsi="Times New Roman" w:eastAsia="宋体" w:cs="Times New Roman"/>
                      <w:sz w:val="21"/>
                      <w:szCs w:val="21"/>
                    </w:rPr>
                  </w:pPr>
                </w:p>
              </w:tc>
              <w:tc>
                <w:tcPr>
                  <w:tcW w:w="1867" w:type="dxa"/>
                  <w:tcBorders>
                    <w:tl2br w:val="nil"/>
                    <w:tr2bl w:val="nil"/>
                  </w:tcBorders>
                  <w:noWrap w:val="0"/>
                  <w:vAlign w:val="center"/>
                </w:tcPr>
                <w:p w14:paraId="7F5F043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1542" w:type="dxa"/>
                  <w:tcBorders>
                    <w:tl2br w:val="nil"/>
                    <w:tr2bl w:val="nil"/>
                  </w:tcBorders>
                  <w:noWrap w:val="0"/>
                  <w:vAlign w:val="center"/>
                </w:tcPr>
                <w:p w14:paraId="635BB8B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39" w:type="dxa"/>
                  <w:tcBorders>
                    <w:tl2br w:val="nil"/>
                    <w:tr2bl w:val="nil"/>
                  </w:tcBorders>
                  <w:noWrap w:val="0"/>
                  <w:vAlign w:val="center"/>
                </w:tcPr>
                <w:p w14:paraId="693574F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41" w:type="dxa"/>
                  <w:tcBorders>
                    <w:tl2br w:val="nil"/>
                    <w:tr2bl w:val="nil"/>
                  </w:tcBorders>
                  <w:noWrap w:val="0"/>
                  <w:vAlign w:val="center"/>
                </w:tcPr>
                <w:p w14:paraId="2427173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bl>
          <w:p w14:paraId="7B45C5A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cs="Times New Roman"/>
                <w:sz w:val="24"/>
                <w:szCs w:val="32"/>
                <w:lang w:bidi="ar"/>
              </w:rPr>
            </w:pPr>
            <w:r>
              <w:rPr>
                <w:rFonts w:ascii="Times New Roman" w:hAnsi="Times New Roman" w:eastAsia="宋体" w:cs="Times New Roman"/>
                <w:sz w:val="24"/>
                <w:szCs w:val="32"/>
                <w:lang w:bidi="ar"/>
              </w:rPr>
              <w:t>现状监测结果表明：石梁河</w:t>
            </w:r>
            <w:r>
              <w:rPr>
                <w:rFonts w:hint="eastAsia" w:ascii="Times New Roman" w:hAnsi="Times New Roman" w:eastAsia="宋体" w:cs="Times New Roman"/>
                <w:sz w:val="24"/>
                <w:szCs w:val="32"/>
                <w:lang w:bidi="ar"/>
              </w:rPr>
              <w:t>W</w:t>
            </w:r>
            <w:r>
              <w:rPr>
                <w:rFonts w:ascii="Times New Roman" w:hAnsi="Times New Roman" w:eastAsia="宋体" w:cs="Times New Roman"/>
                <w:sz w:val="24"/>
                <w:szCs w:val="32"/>
                <w:lang w:bidi="ar"/>
              </w:rPr>
              <w:t>1、</w:t>
            </w:r>
            <w:r>
              <w:rPr>
                <w:rFonts w:hint="eastAsia" w:ascii="Times New Roman" w:hAnsi="Times New Roman" w:eastAsia="宋体" w:cs="Times New Roman"/>
                <w:sz w:val="24"/>
                <w:szCs w:val="32"/>
                <w:lang w:bidi="ar"/>
              </w:rPr>
              <w:t>W</w:t>
            </w:r>
            <w:r>
              <w:rPr>
                <w:rFonts w:ascii="Times New Roman" w:hAnsi="Times New Roman" w:eastAsia="宋体" w:cs="Times New Roman"/>
                <w:sz w:val="24"/>
                <w:szCs w:val="32"/>
                <w:lang w:bidi="ar"/>
              </w:rPr>
              <w:t>2、</w:t>
            </w:r>
            <w:r>
              <w:rPr>
                <w:rFonts w:hint="eastAsia" w:ascii="Times New Roman" w:hAnsi="Times New Roman" w:eastAsia="宋体" w:cs="Times New Roman"/>
                <w:sz w:val="24"/>
                <w:szCs w:val="32"/>
                <w:lang w:bidi="ar"/>
              </w:rPr>
              <w:t>W</w:t>
            </w:r>
            <w:r>
              <w:rPr>
                <w:rFonts w:ascii="Times New Roman" w:hAnsi="Times New Roman" w:eastAsia="宋体" w:cs="Times New Roman"/>
                <w:sz w:val="24"/>
                <w:szCs w:val="32"/>
                <w:lang w:bidi="ar"/>
              </w:rPr>
              <w:t>3</w:t>
            </w:r>
            <w:r>
              <w:rPr>
                <w:rFonts w:hint="eastAsia" w:ascii="Times New Roman" w:hAnsi="Times New Roman" w:eastAsia="宋体" w:cs="Times New Roman"/>
                <w:sz w:val="24"/>
                <w:szCs w:val="32"/>
                <w:lang w:bidi="ar"/>
              </w:rPr>
              <w:t>点位</w:t>
            </w:r>
            <w:r>
              <w:rPr>
                <w:rFonts w:ascii="Times New Roman" w:hAnsi="Times New Roman" w:eastAsia="宋体" w:cs="Times New Roman"/>
                <w:sz w:val="24"/>
                <w:szCs w:val="32"/>
                <w:lang w:bidi="ar"/>
              </w:rPr>
              <w:t>监测因子</w:t>
            </w:r>
            <w:r>
              <w:rPr>
                <w:rFonts w:hint="eastAsia" w:ascii="Times New Roman" w:hAnsi="Times New Roman" w:eastAsia="宋体" w:cs="Times New Roman"/>
                <w:sz w:val="24"/>
                <w:szCs w:val="32"/>
                <w:lang w:bidi="ar"/>
              </w:rPr>
              <w:t>COD、BOD</w:t>
            </w:r>
            <w:r>
              <w:rPr>
                <w:rFonts w:hint="eastAsia" w:ascii="Times New Roman" w:hAnsi="Times New Roman" w:eastAsia="宋体" w:cs="Times New Roman"/>
                <w:sz w:val="24"/>
                <w:szCs w:val="32"/>
                <w:vertAlign w:val="subscript"/>
                <w:lang w:bidi="ar"/>
              </w:rPr>
              <w:t>5</w:t>
            </w:r>
            <w:r>
              <w:rPr>
                <w:rFonts w:hint="eastAsia" w:ascii="Times New Roman" w:hAnsi="Times New Roman" w:eastAsia="宋体" w:cs="Times New Roman"/>
                <w:sz w:val="24"/>
                <w:szCs w:val="32"/>
                <w:lang w:bidi="ar"/>
              </w:rPr>
              <w:t>有所超标，可能由于污水处理厂尾水未能与河水充分混合，导致排污口断面内部分因子超标，其余因子均能够满足</w:t>
            </w:r>
            <w:r>
              <w:rPr>
                <w:rFonts w:ascii="Times New Roman" w:hAnsi="Times New Roman" w:eastAsia="宋体" w:cs="Times New Roman"/>
                <w:sz w:val="24"/>
                <w:szCs w:val="32"/>
                <w:lang w:bidi="ar"/>
              </w:rPr>
              <w:t>《地表水环境质量标准》（GB3838-2002）</w:t>
            </w:r>
            <w:r>
              <w:rPr>
                <w:rFonts w:hint="default" w:ascii="Times New Roman" w:hAnsi="Times New Roman" w:eastAsia="宋体" w:cs="Times New Roman"/>
                <w:sz w:val="24"/>
                <w:szCs w:val="32"/>
                <w:lang w:bidi="ar"/>
              </w:rPr>
              <w:t>Ⅲ</w:t>
            </w:r>
            <w:r>
              <w:rPr>
                <w:rFonts w:ascii="Times New Roman" w:hAnsi="Times New Roman" w:eastAsia="宋体" w:cs="Times New Roman"/>
                <w:sz w:val="24"/>
                <w:szCs w:val="32"/>
                <w:lang w:bidi="ar"/>
              </w:rPr>
              <w:t>类水体的要求。</w:t>
            </w:r>
          </w:p>
          <w:p w14:paraId="42BE81CC">
            <w:pPr>
              <w:adjustRightInd w:val="0"/>
              <w:snapToGrid w:val="0"/>
              <w:spacing w:line="360" w:lineRule="auto"/>
              <w:jc w:val="left"/>
              <w:rPr>
                <w:b/>
                <w:bCs/>
                <w:kern w:val="0"/>
              </w:rPr>
            </w:pPr>
            <w:r>
              <w:rPr>
                <w:b/>
                <w:bCs/>
                <w:kern w:val="0"/>
              </w:rPr>
              <w:t>3、声环境</w:t>
            </w:r>
          </w:p>
          <w:p w14:paraId="1FFFCD0A">
            <w:pPr>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项目位于安徽省泗县</w:t>
            </w:r>
            <w:r>
              <w:rPr>
                <w:rFonts w:hint="eastAsia" w:cs="Times New Roman"/>
                <w:color w:val="auto"/>
                <w:lang w:val="en-US" w:eastAsia="zh-CN"/>
              </w:rPr>
              <w:t>经济开发区</w:t>
            </w:r>
            <w:r>
              <w:rPr>
                <w:rFonts w:hint="eastAsia" w:ascii="Times New Roman" w:hAnsi="Times New Roman" w:cs="Times New Roman"/>
                <w:color w:val="auto"/>
              </w:rPr>
              <w:t>，声环境执行《声环境质量标准》（GB3096-2008）3类标准。</w:t>
            </w:r>
          </w:p>
          <w:p w14:paraId="4D6578FD">
            <w:pPr>
              <w:spacing w:line="360" w:lineRule="auto"/>
              <w:ind w:firstLine="480" w:firstLineChars="200"/>
              <w:jc w:val="left"/>
              <w:rPr>
                <w:color w:val="auto"/>
                <w:kern w:val="24"/>
                <w:shd w:val="clear" w:color="auto" w:fill="FFFFFF"/>
              </w:rPr>
            </w:pPr>
            <w:r>
              <w:rPr>
                <w:rFonts w:hint="eastAsia" w:ascii="Times New Roman" w:hAnsi="Times New Roman" w:cs="Times New Roman"/>
                <w:color w:val="auto"/>
              </w:rPr>
              <w:t>项目厂界外周边50m范围内不存在声环境保护目标，</w:t>
            </w:r>
            <w:r>
              <w:rPr>
                <w:rFonts w:ascii="Times New Roman" w:hAnsi="Times New Roman" w:cs="Times New Roman"/>
                <w:color w:val="auto"/>
              </w:rPr>
              <w:t>安徽</w:t>
            </w:r>
            <w:r>
              <w:rPr>
                <w:rFonts w:hint="eastAsia" w:ascii="宋体" w:hAnsi="宋体" w:cs="宋体"/>
                <w:color w:val="auto"/>
              </w:rPr>
              <w:t>波谱</w:t>
            </w:r>
            <w:r>
              <w:rPr>
                <w:rFonts w:ascii="Times New Roman" w:hAnsi="Times New Roman" w:cs="Times New Roman"/>
                <w:color w:val="auto"/>
              </w:rPr>
              <w:t>检测有限公司</w:t>
            </w:r>
            <w:r>
              <w:rPr>
                <w:rFonts w:hint="eastAsia" w:ascii="Times New Roman" w:hAnsi="Times New Roman" w:cs="Times New Roman"/>
                <w:color w:val="auto"/>
              </w:rPr>
              <w:t>的</w:t>
            </w:r>
            <w:r>
              <w:rPr>
                <w:rFonts w:ascii="Times New Roman" w:hAnsi="Times New Roman" w:cs="Times New Roman"/>
                <w:color w:val="auto"/>
              </w:rPr>
              <w:t>《安徽泗县经济开发区</w:t>
            </w:r>
            <w:r>
              <w:rPr>
                <w:rFonts w:hint="eastAsia" w:ascii="Times New Roman" w:hAnsi="Times New Roman" w:cs="Times New Roman"/>
                <w:color w:val="auto"/>
              </w:rPr>
              <w:t>环境空气、地表水、地下水、土壤、噪声检测报告</w:t>
            </w:r>
            <w:r>
              <w:rPr>
                <w:rFonts w:ascii="Times New Roman" w:hAnsi="Times New Roman" w:cs="Times New Roman"/>
                <w:color w:val="auto"/>
              </w:rPr>
              <w:t>》</w:t>
            </w:r>
            <w:r>
              <w:rPr>
                <w:rFonts w:hint="eastAsia" w:ascii="Times New Roman" w:hAnsi="Times New Roman" w:cs="Times New Roman"/>
                <w:color w:val="auto"/>
              </w:rPr>
              <w:t>声环境质量现状监测结果，项目所在区域环境质量现状满足《声环境质量标准》（GB3096-2008）中3类标准要求</w:t>
            </w:r>
            <w:r>
              <w:rPr>
                <w:color w:val="auto"/>
                <w:kern w:val="24"/>
                <w:shd w:val="clear" w:color="auto" w:fill="FFFFFF"/>
              </w:rPr>
              <w:t>。</w:t>
            </w:r>
          </w:p>
          <w:p w14:paraId="1040782E">
            <w:pPr>
              <w:adjustRightInd w:val="0"/>
              <w:snapToGrid w:val="0"/>
              <w:spacing w:line="360" w:lineRule="auto"/>
              <w:jc w:val="left"/>
              <w:rPr>
                <w:b/>
                <w:bCs/>
                <w:kern w:val="0"/>
              </w:rPr>
            </w:pPr>
            <w:r>
              <w:rPr>
                <w:rFonts w:hint="eastAsia"/>
                <w:b/>
                <w:bCs/>
                <w:kern w:val="0"/>
              </w:rPr>
              <w:t>4、生态环境</w:t>
            </w:r>
          </w:p>
          <w:p w14:paraId="0C78226C">
            <w:pPr>
              <w:adjustRightInd w:val="0"/>
              <w:snapToGrid w:val="0"/>
              <w:spacing w:line="360" w:lineRule="auto"/>
              <w:ind w:firstLine="480" w:firstLineChars="200"/>
              <w:jc w:val="left"/>
              <w:rPr>
                <w:kern w:val="0"/>
              </w:rPr>
            </w:pPr>
            <w:r>
              <w:rPr>
                <w:rFonts w:hint="eastAsia"/>
                <w:kern w:val="0"/>
              </w:rPr>
              <w:t>本项目属于开发区内工业用地，不新增用地，用地范围内不含生态环境保护目标，因此无需进行生态现状调查。</w:t>
            </w:r>
          </w:p>
          <w:p w14:paraId="24293B6C">
            <w:pPr>
              <w:adjustRightInd w:val="0"/>
              <w:snapToGrid w:val="0"/>
              <w:spacing w:line="360" w:lineRule="auto"/>
              <w:jc w:val="left"/>
              <w:rPr>
                <w:b/>
                <w:bCs/>
                <w:kern w:val="0"/>
              </w:rPr>
            </w:pPr>
            <w:r>
              <w:rPr>
                <w:rFonts w:hint="eastAsia"/>
                <w:b/>
                <w:bCs/>
                <w:kern w:val="0"/>
              </w:rPr>
              <w:t>5、电磁辐射</w:t>
            </w:r>
          </w:p>
          <w:p w14:paraId="358F855D">
            <w:pPr>
              <w:spacing w:line="360" w:lineRule="auto"/>
              <w:ind w:firstLine="480" w:firstLineChars="200"/>
              <w:rPr>
                <w:rFonts w:hint="eastAsia" w:eastAsia="宋体"/>
                <w:kern w:val="0"/>
                <w:lang w:eastAsia="zh-CN"/>
              </w:rPr>
            </w:pPr>
            <w:r>
              <w:rPr>
                <w:rFonts w:hint="eastAsia"/>
                <w:kern w:val="0"/>
              </w:rPr>
              <w:t>本项目不属于电磁辐射类项目</w:t>
            </w:r>
            <w:r>
              <w:rPr>
                <w:rFonts w:hint="eastAsia"/>
                <w:kern w:val="0"/>
                <w:lang w:eastAsia="zh-CN"/>
              </w:rPr>
              <w:t>，</w:t>
            </w:r>
            <w:r>
              <w:rPr>
                <w:rFonts w:hint="eastAsia"/>
                <w:kern w:val="0"/>
              </w:rPr>
              <w:t>无电磁辐射</w:t>
            </w:r>
            <w:r>
              <w:rPr>
                <w:rFonts w:hint="eastAsia"/>
                <w:kern w:val="0"/>
                <w:lang w:eastAsia="zh-CN"/>
              </w:rPr>
              <w:t>。</w:t>
            </w:r>
          </w:p>
          <w:p w14:paraId="56FB242B">
            <w:pPr>
              <w:spacing w:line="360" w:lineRule="auto"/>
              <w:rPr>
                <w:rFonts w:hint="eastAsia"/>
                <w:b/>
                <w:bCs/>
                <w:sz w:val="24"/>
                <w:szCs w:val="21"/>
              </w:rPr>
            </w:pPr>
            <w:r>
              <w:rPr>
                <w:rFonts w:hint="eastAsia"/>
                <w:b/>
                <w:bCs/>
                <w:sz w:val="24"/>
                <w:szCs w:val="21"/>
                <w:lang w:val="en-US" w:eastAsia="zh-CN"/>
              </w:rPr>
              <w:t>6</w:t>
            </w:r>
            <w:r>
              <w:rPr>
                <w:rFonts w:hint="eastAsia"/>
                <w:b/>
                <w:bCs/>
                <w:sz w:val="24"/>
                <w:szCs w:val="21"/>
              </w:rPr>
              <w:t>、地下水、土壤</w:t>
            </w:r>
          </w:p>
          <w:p w14:paraId="5F003B92">
            <w:pPr>
              <w:adjustRightInd w:val="0"/>
              <w:snapToGrid w:val="0"/>
              <w:spacing w:line="360" w:lineRule="auto"/>
              <w:ind w:firstLine="480" w:firstLineChars="200"/>
              <w:jc w:val="left"/>
              <w:rPr>
                <w:rFonts w:hint="eastAsia"/>
                <w:sz w:val="24"/>
                <w:szCs w:val="21"/>
                <w:lang w:eastAsia="zh-CN"/>
              </w:rPr>
            </w:pPr>
            <w:r>
              <w:rPr>
                <w:rFonts w:hint="eastAsia"/>
                <w:sz w:val="24"/>
                <w:szCs w:val="21"/>
              </w:rPr>
              <w:t>本项目厂界外500米范围内无地下水集中式饮用水水源和热水、矿泉水、温泉等特殊地下水资源，并且本项目严格按照导则要求对厂区进行分区防控，因此无需开展地下水、土壤环境质量现状调查</w:t>
            </w:r>
            <w:r>
              <w:rPr>
                <w:rFonts w:hint="eastAsia"/>
                <w:sz w:val="24"/>
                <w:szCs w:val="21"/>
                <w:lang w:eastAsia="zh-CN"/>
              </w:rPr>
              <w:t>。</w:t>
            </w:r>
          </w:p>
          <w:p w14:paraId="6C55437B">
            <w:pPr>
              <w:adjustRightInd w:val="0"/>
              <w:snapToGrid w:val="0"/>
              <w:spacing w:line="360" w:lineRule="auto"/>
              <w:ind w:firstLine="480" w:firstLineChars="200"/>
              <w:jc w:val="left"/>
              <w:rPr>
                <w:rFonts w:hint="eastAsia"/>
                <w:sz w:val="24"/>
                <w:szCs w:val="21"/>
                <w:lang w:eastAsia="zh-CN"/>
              </w:rPr>
            </w:pPr>
          </w:p>
          <w:p w14:paraId="7283A949">
            <w:pPr>
              <w:adjustRightInd w:val="0"/>
              <w:snapToGrid w:val="0"/>
              <w:spacing w:line="360" w:lineRule="auto"/>
              <w:ind w:firstLine="480" w:firstLineChars="200"/>
              <w:jc w:val="left"/>
              <w:rPr>
                <w:rFonts w:hint="eastAsia"/>
                <w:sz w:val="24"/>
                <w:szCs w:val="21"/>
                <w:lang w:eastAsia="zh-CN"/>
              </w:rPr>
            </w:pPr>
          </w:p>
          <w:p w14:paraId="1B85C409">
            <w:pPr>
              <w:adjustRightInd w:val="0"/>
              <w:snapToGrid w:val="0"/>
              <w:spacing w:line="360" w:lineRule="auto"/>
              <w:ind w:firstLine="480" w:firstLineChars="200"/>
              <w:jc w:val="left"/>
              <w:rPr>
                <w:rFonts w:hint="eastAsia"/>
                <w:sz w:val="24"/>
                <w:szCs w:val="21"/>
                <w:lang w:eastAsia="zh-CN"/>
              </w:rPr>
            </w:pPr>
          </w:p>
          <w:p w14:paraId="4B1AB30D">
            <w:pPr>
              <w:adjustRightInd w:val="0"/>
              <w:snapToGrid w:val="0"/>
              <w:spacing w:line="360" w:lineRule="auto"/>
              <w:ind w:firstLine="480" w:firstLineChars="200"/>
              <w:jc w:val="left"/>
              <w:rPr>
                <w:rFonts w:hint="eastAsia"/>
                <w:sz w:val="24"/>
                <w:szCs w:val="21"/>
                <w:lang w:eastAsia="zh-CN"/>
              </w:rPr>
            </w:pPr>
          </w:p>
          <w:p w14:paraId="1FA7600C">
            <w:pPr>
              <w:adjustRightInd w:val="0"/>
              <w:snapToGrid w:val="0"/>
              <w:spacing w:line="360" w:lineRule="auto"/>
              <w:ind w:firstLine="480" w:firstLineChars="200"/>
              <w:jc w:val="left"/>
              <w:rPr>
                <w:rFonts w:hint="eastAsia"/>
                <w:sz w:val="24"/>
                <w:szCs w:val="21"/>
                <w:lang w:eastAsia="zh-CN"/>
              </w:rPr>
            </w:pPr>
          </w:p>
          <w:p w14:paraId="070326A1">
            <w:pPr>
              <w:adjustRightInd w:val="0"/>
              <w:snapToGrid w:val="0"/>
              <w:spacing w:line="360" w:lineRule="auto"/>
              <w:ind w:firstLine="480" w:firstLineChars="200"/>
              <w:jc w:val="left"/>
              <w:rPr>
                <w:kern w:val="0"/>
              </w:rPr>
            </w:pPr>
          </w:p>
        </w:tc>
      </w:tr>
      <w:tr w14:paraId="27569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00" w:type="dxa"/>
          </w:tcPr>
          <w:p w14:paraId="01A6496F">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p>
          <w:p w14:paraId="2B926AC4">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p>
          <w:p w14:paraId="092991EB">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p>
          <w:p w14:paraId="41534B3D">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p>
          <w:p w14:paraId="58807291">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p>
          <w:p w14:paraId="57901A00">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p>
          <w:p w14:paraId="56C5C85C">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p>
          <w:p w14:paraId="5FB51B3C">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p>
          <w:p w14:paraId="5F57CA63">
            <w:pPr>
              <w:pStyle w:val="26"/>
              <w:adjustRightInd w:val="0"/>
              <w:snapToGrid w:val="0"/>
              <w:spacing w:before="0" w:beforeAutospacing="0" w:after="0" w:afterAutospacing="0" w:line="360" w:lineRule="auto"/>
              <w:jc w:val="center"/>
              <w:outlineLvl w:val="0"/>
              <w:rPr>
                <w:rFonts w:ascii="Times New Roman" w:hAnsi="Times New Roman"/>
              </w:rPr>
            </w:pPr>
            <w:r>
              <w:rPr>
                <w:rFonts w:hint="eastAsia" w:ascii="Times New Roman" w:hAnsi="Times New Roman"/>
                <w:snapToGrid w:val="0"/>
                <w:color w:val="000000"/>
                <w:szCs w:val="24"/>
              </w:rPr>
              <w:t>环境保护目标</w:t>
            </w:r>
          </w:p>
        </w:tc>
        <w:tc>
          <w:tcPr>
            <w:tcW w:w="8190" w:type="dxa"/>
          </w:tcPr>
          <w:p w14:paraId="5CEEB59F">
            <w:pPr>
              <w:adjustRightInd w:val="0"/>
              <w:snapToGrid w:val="0"/>
              <w:spacing w:before="120" w:beforeLines="50" w:line="360" w:lineRule="auto"/>
              <w:rPr>
                <w:b/>
                <w:bCs/>
                <w:kern w:val="0"/>
              </w:rPr>
            </w:pPr>
            <w:r>
              <w:rPr>
                <w:b/>
                <w:bCs/>
                <w:kern w:val="0"/>
              </w:rPr>
              <w:t>1、大气环境</w:t>
            </w:r>
          </w:p>
          <w:p w14:paraId="08B9440C">
            <w:pPr>
              <w:pStyle w:val="7"/>
              <w:adjustRightInd w:val="0"/>
              <w:snapToGrid w:val="0"/>
              <w:spacing w:before="0" w:after="0" w:line="360" w:lineRule="auto"/>
              <w:ind w:firstLine="480" w:firstLineChars="20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项目500m范围内无环境保护目标。</w:t>
            </w:r>
          </w:p>
          <w:p w14:paraId="6B6C1C8E">
            <w:pPr>
              <w:pStyle w:val="7"/>
              <w:adjustRightInd w:val="0"/>
              <w:snapToGrid w:val="0"/>
              <w:spacing w:before="0" w:after="0" w:line="360" w:lineRule="auto"/>
              <w:rPr>
                <w:rFonts w:ascii="Times New Roman" w:hAnsi="Times New Roman" w:eastAsia="宋体"/>
                <w:bCs/>
                <w:kern w:val="0"/>
              </w:rPr>
            </w:pPr>
            <w:r>
              <w:rPr>
                <w:rFonts w:hint="eastAsia" w:ascii="Times New Roman" w:hAnsi="Times New Roman" w:eastAsia="宋体"/>
                <w:bCs/>
                <w:kern w:val="0"/>
              </w:rPr>
              <w:t>2、地表水</w:t>
            </w:r>
          </w:p>
          <w:p w14:paraId="1CA5D11F">
            <w:pPr>
              <w:jc w:val="center"/>
              <w:rPr>
                <w:b/>
                <w:bCs/>
                <w:color w:val="auto"/>
              </w:rPr>
            </w:pPr>
            <w:r>
              <w:rPr>
                <w:b/>
                <w:bCs/>
                <w:color w:val="auto"/>
              </w:rPr>
              <w:t>表3</w:t>
            </w:r>
            <w:r>
              <w:rPr>
                <w:rFonts w:hint="eastAsia"/>
                <w:b/>
                <w:bCs/>
                <w:color w:val="auto"/>
              </w:rPr>
              <w:t>-</w:t>
            </w:r>
            <w:r>
              <w:rPr>
                <w:rFonts w:hint="eastAsia"/>
                <w:b/>
                <w:bCs/>
                <w:color w:val="auto"/>
                <w:lang w:val="en-US" w:eastAsia="zh-CN"/>
              </w:rPr>
              <w:t>6</w:t>
            </w:r>
            <w:r>
              <w:rPr>
                <w:b/>
                <w:bCs/>
                <w:color w:val="auto"/>
              </w:rPr>
              <w:t xml:space="preserve">  水环境保护目标一览表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387"/>
              <w:gridCol w:w="1476"/>
              <w:gridCol w:w="1082"/>
              <w:gridCol w:w="2762"/>
            </w:tblGrid>
            <w:tr w14:paraId="4791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56CD94E8">
                  <w:pPr>
                    <w:jc w:val="center"/>
                    <w:rPr>
                      <w:b/>
                      <w:bCs/>
                      <w:color w:val="auto"/>
                      <w:sz w:val="21"/>
                      <w:szCs w:val="21"/>
                    </w:rPr>
                  </w:pPr>
                  <w:r>
                    <w:rPr>
                      <w:b/>
                      <w:bCs/>
                      <w:color w:val="auto"/>
                      <w:sz w:val="21"/>
                      <w:szCs w:val="21"/>
                    </w:rPr>
                    <w:t>环境要素</w:t>
                  </w:r>
                </w:p>
              </w:tc>
              <w:tc>
                <w:tcPr>
                  <w:tcW w:w="1387" w:type="dxa"/>
                  <w:vAlign w:val="center"/>
                </w:tcPr>
                <w:p w14:paraId="53C1D6F1">
                  <w:pPr>
                    <w:jc w:val="center"/>
                    <w:rPr>
                      <w:b/>
                      <w:bCs/>
                      <w:color w:val="auto"/>
                      <w:sz w:val="21"/>
                      <w:szCs w:val="21"/>
                    </w:rPr>
                  </w:pPr>
                  <w:r>
                    <w:rPr>
                      <w:b/>
                      <w:bCs/>
                      <w:color w:val="auto"/>
                      <w:sz w:val="21"/>
                      <w:szCs w:val="21"/>
                    </w:rPr>
                    <w:t>环境保护对象名称</w:t>
                  </w:r>
                </w:p>
              </w:tc>
              <w:tc>
                <w:tcPr>
                  <w:tcW w:w="1476" w:type="dxa"/>
                  <w:vAlign w:val="center"/>
                </w:tcPr>
                <w:p w14:paraId="4F227F96">
                  <w:pPr>
                    <w:jc w:val="center"/>
                    <w:rPr>
                      <w:b/>
                      <w:bCs/>
                      <w:color w:val="auto"/>
                      <w:sz w:val="21"/>
                      <w:szCs w:val="21"/>
                    </w:rPr>
                  </w:pPr>
                  <w:r>
                    <w:rPr>
                      <w:b/>
                      <w:bCs/>
                      <w:color w:val="auto"/>
                      <w:sz w:val="21"/>
                      <w:szCs w:val="21"/>
                    </w:rPr>
                    <w:t>方位/距离（m）</w:t>
                  </w:r>
                </w:p>
              </w:tc>
              <w:tc>
                <w:tcPr>
                  <w:tcW w:w="1082" w:type="dxa"/>
                  <w:vAlign w:val="center"/>
                </w:tcPr>
                <w:p w14:paraId="7E7ED7A7">
                  <w:pPr>
                    <w:jc w:val="center"/>
                    <w:rPr>
                      <w:b/>
                      <w:bCs/>
                      <w:color w:val="auto"/>
                      <w:sz w:val="21"/>
                      <w:szCs w:val="21"/>
                    </w:rPr>
                  </w:pPr>
                  <w:r>
                    <w:rPr>
                      <w:b/>
                      <w:bCs/>
                      <w:color w:val="auto"/>
                      <w:sz w:val="21"/>
                      <w:szCs w:val="21"/>
                    </w:rPr>
                    <w:t>规模</w:t>
                  </w:r>
                </w:p>
              </w:tc>
              <w:tc>
                <w:tcPr>
                  <w:tcW w:w="2762" w:type="dxa"/>
                  <w:vAlign w:val="center"/>
                </w:tcPr>
                <w:p w14:paraId="3EA3919E">
                  <w:pPr>
                    <w:jc w:val="center"/>
                    <w:rPr>
                      <w:b/>
                      <w:bCs/>
                      <w:color w:val="auto"/>
                      <w:sz w:val="21"/>
                      <w:szCs w:val="21"/>
                    </w:rPr>
                  </w:pPr>
                  <w:r>
                    <w:rPr>
                      <w:b/>
                      <w:bCs/>
                      <w:color w:val="auto"/>
                      <w:sz w:val="21"/>
                      <w:szCs w:val="21"/>
                    </w:rPr>
                    <w:t>保护目标</w:t>
                  </w:r>
                </w:p>
              </w:tc>
            </w:tr>
            <w:tr w14:paraId="4AFC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50A99DEB">
                  <w:pPr>
                    <w:jc w:val="center"/>
                    <w:rPr>
                      <w:color w:val="auto"/>
                      <w:sz w:val="21"/>
                      <w:szCs w:val="21"/>
                    </w:rPr>
                  </w:pPr>
                  <w:r>
                    <w:rPr>
                      <w:color w:val="auto"/>
                      <w:sz w:val="21"/>
                      <w:szCs w:val="21"/>
                    </w:rPr>
                    <w:t>地表水</w:t>
                  </w:r>
                </w:p>
              </w:tc>
              <w:tc>
                <w:tcPr>
                  <w:tcW w:w="1387" w:type="dxa"/>
                  <w:vAlign w:val="center"/>
                </w:tcPr>
                <w:p w14:paraId="6BC2518F">
                  <w:pPr>
                    <w:jc w:val="center"/>
                    <w:rPr>
                      <w:color w:val="auto"/>
                      <w:sz w:val="21"/>
                      <w:szCs w:val="21"/>
                    </w:rPr>
                  </w:pPr>
                  <w:r>
                    <w:rPr>
                      <w:rFonts w:hint="eastAsia"/>
                      <w:color w:val="auto"/>
                      <w:sz w:val="21"/>
                      <w:szCs w:val="21"/>
                    </w:rPr>
                    <w:t>石梁河</w:t>
                  </w:r>
                </w:p>
              </w:tc>
              <w:tc>
                <w:tcPr>
                  <w:tcW w:w="1476" w:type="dxa"/>
                  <w:vAlign w:val="center"/>
                </w:tcPr>
                <w:p w14:paraId="7811E648">
                  <w:pPr>
                    <w:jc w:val="center"/>
                    <w:rPr>
                      <w:rFonts w:hint="default"/>
                      <w:color w:val="auto"/>
                      <w:sz w:val="21"/>
                      <w:szCs w:val="21"/>
                      <w:lang w:val="en-US"/>
                    </w:rPr>
                  </w:pPr>
                  <w:r>
                    <w:rPr>
                      <w:color w:val="auto"/>
                      <w:sz w:val="21"/>
                      <w:szCs w:val="21"/>
                    </w:rPr>
                    <w:t>西南</w:t>
                  </w:r>
                  <w:r>
                    <w:rPr>
                      <w:rFonts w:hint="eastAsia"/>
                      <w:color w:val="auto"/>
                      <w:sz w:val="21"/>
                      <w:szCs w:val="21"/>
                      <w:lang w:val="en-US" w:eastAsia="zh-CN"/>
                    </w:rPr>
                    <w:t>/1450</w:t>
                  </w:r>
                </w:p>
              </w:tc>
              <w:tc>
                <w:tcPr>
                  <w:tcW w:w="1082" w:type="dxa"/>
                  <w:vAlign w:val="center"/>
                </w:tcPr>
                <w:p w14:paraId="7961CC6A">
                  <w:pPr>
                    <w:jc w:val="center"/>
                    <w:rPr>
                      <w:color w:val="auto"/>
                      <w:sz w:val="21"/>
                      <w:szCs w:val="21"/>
                    </w:rPr>
                  </w:pPr>
                  <w:r>
                    <w:rPr>
                      <w:rFonts w:hint="eastAsia"/>
                      <w:color w:val="auto"/>
                      <w:sz w:val="21"/>
                      <w:szCs w:val="21"/>
                    </w:rPr>
                    <w:t>小型河流</w:t>
                  </w:r>
                </w:p>
              </w:tc>
              <w:tc>
                <w:tcPr>
                  <w:tcW w:w="2762" w:type="dxa"/>
                  <w:vAlign w:val="center"/>
                </w:tcPr>
                <w:p w14:paraId="5C90CEA0">
                  <w:pPr>
                    <w:jc w:val="center"/>
                    <w:rPr>
                      <w:color w:val="auto"/>
                      <w:sz w:val="21"/>
                      <w:szCs w:val="21"/>
                    </w:rPr>
                  </w:pPr>
                  <w:r>
                    <w:rPr>
                      <w:rFonts w:hint="eastAsia"/>
                      <w:color w:val="auto"/>
                      <w:sz w:val="21"/>
                      <w:szCs w:val="21"/>
                    </w:rPr>
                    <w:t>《地表水环境质量标准》（GB3838-2002）III类</w:t>
                  </w:r>
                </w:p>
              </w:tc>
            </w:tr>
          </w:tbl>
          <w:p w14:paraId="519FBF79">
            <w:pPr>
              <w:adjustRightInd w:val="0"/>
              <w:snapToGrid w:val="0"/>
              <w:spacing w:before="120" w:beforeLines="50" w:line="360" w:lineRule="auto"/>
              <w:rPr>
                <w:b/>
                <w:bCs/>
                <w:color w:val="auto"/>
                <w:kern w:val="0"/>
              </w:rPr>
            </w:pPr>
            <w:r>
              <w:rPr>
                <w:rFonts w:hint="eastAsia"/>
                <w:b/>
                <w:bCs/>
                <w:color w:val="auto"/>
                <w:kern w:val="0"/>
              </w:rPr>
              <w:t>3</w:t>
            </w:r>
            <w:r>
              <w:rPr>
                <w:b/>
                <w:bCs/>
                <w:color w:val="auto"/>
                <w:kern w:val="0"/>
              </w:rPr>
              <w:t>、声环境</w:t>
            </w:r>
          </w:p>
          <w:p w14:paraId="554C2F48">
            <w:pPr>
              <w:adjustRightInd w:val="0"/>
              <w:snapToGrid w:val="0"/>
              <w:spacing w:line="360" w:lineRule="auto"/>
              <w:ind w:firstLine="480" w:firstLineChars="200"/>
              <w:rPr>
                <w:color w:val="auto"/>
                <w:kern w:val="0"/>
              </w:rPr>
            </w:pPr>
            <w:r>
              <w:rPr>
                <w:rFonts w:hint="eastAsia"/>
                <w:color w:val="auto"/>
                <w:kern w:val="0"/>
              </w:rPr>
              <w:t>本项目周边50m范围内无声环境保护目标。</w:t>
            </w:r>
          </w:p>
          <w:p w14:paraId="21CA36F7">
            <w:pPr>
              <w:adjustRightInd w:val="0"/>
              <w:snapToGrid w:val="0"/>
              <w:spacing w:line="360" w:lineRule="auto"/>
              <w:rPr>
                <w:b/>
                <w:bCs/>
                <w:kern w:val="0"/>
              </w:rPr>
            </w:pPr>
            <w:r>
              <w:rPr>
                <w:rFonts w:hint="eastAsia"/>
                <w:b/>
                <w:bCs/>
                <w:kern w:val="0"/>
              </w:rPr>
              <w:t>4</w:t>
            </w:r>
            <w:r>
              <w:rPr>
                <w:b/>
                <w:bCs/>
                <w:kern w:val="0"/>
              </w:rPr>
              <w:t>、地下水环境</w:t>
            </w:r>
          </w:p>
          <w:p w14:paraId="631780EC">
            <w:pPr>
              <w:adjustRightInd w:val="0"/>
              <w:snapToGrid w:val="0"/>
              <w:spacing w:line="360" w:lineRule="auto"/>
              <w:ind w:firstLine="480" w:firstLineChars="200"/>
              <w:rPr>
                <w:kern w:val="0"/>
              </w:rPr>
            </w:pPr>
            <w:r>
              <w:rPr>
                <w:rFonts w:hint="eastAsia"/>
                <w:kern w:val="0"/>
              </w:rPr>
              <w:t>厂界外500m范围内无地下水集中式引用水水源和热水、矿泉水、温泉等特殊地下水资源。</w:t>
            </w:r>
          </w:p>
          <w:p w14:paraId="55FEE54D">
            <w:pPr>
              <w:adjustRightInd w:val="0"/>
              <w:snapToGrid w:val="0"/>
              <w:spacing w:line="360" w:lineRule="auto"/>
              <w:rPr>
                <w:b/>
                <w:bCs/>
                <w:kern w:val="0"/>
              </w:rPr>
            </w:pPr>
            <w:r>
              <w:rPr>
                <w:rFonts w:hint="eastAsia"/>
                <w:b/>
                <w:bCs/>
                <w:kern w:val="0"/>
              </w:rPr>
              <w:t>5、生态环境</w:t>
            </w:r>
          </w:p>
          <w:p w14:paraId="63D17156">
            <w:pPr>
              <w:adjustRightInd w:val="0"/>
              <w:snapToGrid w:val="0"/>
              <w:spacing w:line="360" w:lineRule="auto"/>
              <w:ind w:firstLine="480" w:firstLineChars="200"/>
              <w:jc w:val="left"/>
              <w:rPr>
                <w:rFonts w:hint="eastAsia" w:eastAsia="宋体"/>
                <w:kern w:val="0"/>
                <w:lang w:eastAsia="zh-CN"/>
              </w:rPr>
            </w:pPr>
            <w:r>
              <w:rPr>
                <w:rFonts w:hint="eastAsia"/>
                <w:kern w:val="0"/>
              </w:rPr>
              <w:t>本项目</w:t>
            </w:r>
            <w:r>
              <w:rPr>
                <w:rFonts w:hint="eastAsia"/>
                <w:kern w:val="0"/>
                <w:lang w:val="en-US" w:eastAsia="zh-CN"/>
              </w:rPr>
              <w:t>位于开发区内，</w:t>
            </w:r>
            <w:r>
              <w:rPr>
                <w:rFonts w:hint="eastAsia"/>
                <w:kern w:val="0"/>
              </w:rPr>
              <w:t>不属于在工业园区外新增用地项目，项目用地范围内无生态环境保护目标</w:t>
            </w:r>
            <w:r>
              <w:rPr>
                <w:rFonts w:hint="eastAsia"/>
                <w:kern w:val="0"/>
                <w:lang w:eastAsia="zh-CN"/>
              </w:rPr>
              <w:t>。</w:t>
            </w:r>
          </w:p>
        </w:tc>
      </w:tr>
      <w:tr w14:paraId="71295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00" w:type="dxa"/>
          </w:tcPr>
          <w:p w14:paraId="5EE9EC91">
            <w:pPr>
              <w:pStyle w:val="26"/>
              <w:snapToGrid w:val="0"/>
              <w:spacing w:before="0" w:beforeAutospacing="0" w:after="0" w:afterAutospacing="0"/>
              <w:jc w:val="both"/>
              <w:outlineLvl w:val="0"/>
              <w:rPr>
                <w:rFonts w:ascii="Times New Roman" w:hAnsi="Times New Roman"/>
                <w:snapToGrid w:val="0"/>
                <w:color w:val="000000"/>
                <w:szCs w:val="24"/>
              </w:rPr>
            </w:pPr>
          </w:p>
          <w:p w14:paraId="37211872">
            <w:pPr>
              <w:pStyle w:val="26"/>
              <w:snapToGrid w:val="0"/>
              <w:spacing w:before="0" w:beforeAutospacing="0" w:after="0" w:afterAutospacing="0"/>
              <w:jc w:val="both"/>
              <w:outlineLvl w:val="0"/>
              <w:rPr>
                <w:rFonts w:ascii="Times New Roman" w:hAnsi="Times New Roman"/>
                <w:snapToGrid w:val="0"/>
                <w:color w:val="000000"/>
                <w:szCs w:val="24"/>
              </w:rPr>
            </w:pPr>
          </w:p>
          <w:p w14:paraId="61E62048">
            <w:pPr>
              <w:pStyle w:val="26"/>
              <w:snapToGrid w:val="0"/>
              <w:spacing w:before="0" w:beforeAutospacing="0" w:after="0" w:afterAutospacing="0"/>
              <w:jc w:val="both"/>
              <w:outlineLvl w:val="0"/>
              <w:rPr>
                <w:rFonts w:ascii="Times New Roman" w:hAnsi="Times New Roman"/>
                <w:snapToGrid w:val="0"/>
                <w:color w:val="000000"/>
                <w:szCs w:val="24"/>
              </w:rPr>
            </w:pPr>
          </w:p>
          <w:p w14:paraId="0FB4B9A4">
            <w:pPr>
              <w:pStyle w:val="26"/>
              <w:snapToGrid w:val="0"/>
              <w:spacing w:before="0" w:beforeAutospacing="0" w:after="0" w:afterAutospacing="0"/>
              <w:jc w:val="both"/>
              <w:outlineLvl w:val="0"/>
              <w:rPr>
                <w:rFonts w:ascii="Times New Roman" w:hAnsi="Times New Roman"/>
                <w:snapToGrid w:val="0"/>
                <w:color w:val="000000"/>
                <w:szCs w:val="24"/>
              </w:rPr>
            </w:pPr>
          </w:p>
          <w:p w14:paraId="3582924B">
            <w:pPr>
              <w:pStyle w:val="26"/>
              <w:snapToGrid w:val="0"/>
              <w:spacing w:before="0" w:beforeAutospacing="0" w:after="0" w:afterAutospacing="0"/>
              <w:jc w:val="both"/>
              <w:outlineLvl w:val="0"/>
              <w:rPr>
                <w:rFonts w:ascii="Times New Roman" w:hAnsi="Times New Roman"/>
                <w:snapToGrid w:val="0"/>
                <w:color w:val="000000"/>
                <w:szCs w:val="24"/>
              </w:rPr>
            </w:pPr>
          </w:p>
          <w:p w14:paraId="6CBCD77D">
            <w:pPr>
              <w:pStyle w:val="26"/>
              <w:snapToGrid w:val="0"/>
              <w:spacing w:before="0" w:beforeAutospacing="0" w:after="0" w:afterAutospacing="0"/>
              <w:jc w:val="center"/>
              <w:outlineLvl w:val="0"/>
              <w:rPr>
                <w:rFonts w:ascii="Times New Roman" w:hAnsi="Times New Roman"/>
                <w:snapToGrid w:val="0"/>
                <w:color w:val="000000"/>
                <w:szCs w:val="24"/>
              </w:rPr>
            </w:pPr>
          </w:p>
          <w:p w14:paraId="3D357DD7">
            <w:pPr>
              <w:pStyle w:val="26"/>
              <w:snapToGrid w:val="0"/>
              <w:spacing w:before="0" w:beforeAutospacing="0" w:after="0" w:afterAutospacing="0"/>
              <w:jc w:val="center"/>
              <w:outlineLvl w:val="0"/>
              <w:rPr>
                <w:rFonts w:ascii="Times New Roman" w:hAnsi="Times New Roman"/>
                <w:snapToGrid w:val="0"/>
                <w:color w:val="000000"/>
                <w:szCs w:val="24"/>
              </w:rPr>
            </w:pPr>
          </w:p>
          <w:p w14:paraId="5D43E9F4">
            <w:pPr>
              <w:pStyle w:val="26"/>
              <w:snapToGrid w:val="0"/>
              <w:spacing w:before="0" w:beforeAutospacing="0" w:after="0" w:afterAutospacing="0"/>
              <w:jc w:val="center"/>
              <w:outlineLvl w:val="0"/>
              <w:rPr>
                <w:rFonts w:ascii="Times New Roman" w:hAnsi="Times New Roman"/>
                <w:snapToGrid w:val="0"/>
                <w:color w:val="000000"/>
                <w:szCs w:val="24"/>
              </w:rPr>
            </w:pPr>
          </w:p>
          <w:p w14:paraId="0144916D">
            <w:pPr>
              <w:pStyle w:val="26"/>
              <w:snapToGrid w:val="0"/>
              <w:spacing w:before="0" w:beforeAutospacing="0" w:after="0" w:afterAutospacing="0"/>
              <w:jc w:val="center"/>
              <w:outlineLvl w:val="0"/>
              <w:rPr>
                <w:rFonts w:ascii="Times New Roman" w:hAnsi="Times New Roman"/>
                <w:snapToGrid w:val="0"/>
                <w:color w:val="000000"/>
                <w:szCs w:val="24"/>
              </w:rPr>
            </w:pPr>
          </w:p>
          <w:p w14:paraId="1529AA7F">
            <w:pPr>
              <w:pStyle w:val="26"/>
              <w:snapToGrid w:val="0"/>
              <w:spacing w:before="0" w:beforeAutospacing="0" w:after="0" w:afterAutospacing="0"/>
              <w:jc w:val="center"/>
              <w:outlineLvl w:val="0"/>
              <w:rPr>
                <w:rFonts w:ascii="Times New Roman" w:hAnsi="Times New Roman"/>
                <w:snapToGrid w:val="0"/>
                <w:color w:val="000000"/>
                <w:szCs w:val="24"/>
              </w:rPr>
            </w:pPr>
            <w:r>
              <w:rPr>
                <w:rFonts w:ascii="Times New Roman" w:hAnsi="Times New Roman"/>
                <w:snapToGrid w:val="0"/>
                <w:color w:val="000000"/>
                <w:szCs w:val="24"/>
              </w:rPr>
              <w:t>污染</w:t>
            </w:r>
          </w:p>
          <w:p w14:paraId="4B64DD67">
            <w:pPr>
              <w:pStyle w:val="26"/>
              <w:snapToGrid w:val="0"/>
              <w:spacing w:before="0" w:beforeAutospacing="0" w:after="0" w:afterAutospacing="0"/>
              <w:jc w:val="center"/>
              <w:outlineLvl w:val="0"/>
              <w:rPr>
                <w:rFonts w:ascii="Times New Roman" w:hAnsi="Times New Roman"/>
                <w:snapToGrid w:val="0"/>
                <w:color w:val="000000"/>
                <w:szCs w:val="24"/>
              </w:rPr>
            </w:pPr>
            <w:r>
              <w:rPr>
                <w:rFonts w:ascii="Times New Roman" w:hAnsi="Times New Roman"/>
                <w:snapToGrid w:val="0"/>
                <w:color w:val="000000"/>
                <w:szCs w:val="24"/>
              </w:rPr>
              <w:t>物排</w:t>
            </w:r>
          </w:p>
          <w:p w14:paraId="5621789A">
            <w:pPr>
              <w:pStyle w:val="26"/>
              <w:snapToGrid w:val="0"/>
              <w:spacing w:before="0" w:beforeAutospacing="0" w:after="0" w:afterAutospacing="0"/>
              <w:jc w:val="center"/>
              <w:outlineLvl w:val="0"/>
              <w:rPr>
                <w:rFonts w:ascii="Times New Roman" w:hAnsi="Times New Roman"/>
                <w:snapToGrid w:val="0"/>
                <w:color w:val="000000"/>
                <w:szCs w:val="24"/>
              </w:rPr>
            </w:pPr>
            <w:r>
              <w:rPr>
                <w:rFonts w:ascii="Times New Roman" w:hAnsi="Times New Roman"/>
                <w:snapToGrid w:val="0"/>
                <w:color w:val="000000"/>
                <w:szCs w:val="24"/>
              </w:rPr>
              <w:t>放控</w:t>
            </w:r>
          </w:p>
          <w:p w14:paraId="058A44E0">
            <w:pPr>
              <w:pStyle w:val="26"/>
              <w:snapToGrid w:val="0"/>
              <w:spacing w:before="0" w:beforeAutospacing="0" w:after="0" w:afterAutospacing="0"/>
              <w:jc w:val="center"/>
              <w:outlineLvl w:val="0"/>
              <w:rPr>
                <w:rFonts w:ascii="Times New Roman" w:hAnsi="Times New Roman"/>
                <w:snapToGrid w:val="0"/>
                <w:color w:val="000000"/>
                <w:szCs w:val="24"/>
              </w:rPr>
            </w:pPr>
            <w:r>
              <w:rPr>
                <w:rFonts w:ascii="Times New Roman" w:hAnsi="Times New Roman"/>
                <w:snapToGrid w:val="0"/>
                <w:color w:val="000000"/>
                <w:szCs w:val="24"/>
              </w:rPr>
              <w:t>制标</w:t>
            </w:r>
          </w:p>
          <w:p w14:paraId="66B86D85">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r>
              <w:rPr>
                <w:rFonts w:ascii="Times New Roman" w:hAnsi="Times New Roman"/>
                <w:snapToGrid w:val="0"/>
                <w:color w:val="000000"/>
                <w:szCs w:val="24"/>
              </w:rPr>
              <w:t>准</w:t>
            </w:r>
          </w:p>
        </w:tc>
        <w:tc>
          <w:tcPr>
            <w:tcW w:w="8190" w:type="dxa"/>
          </w:tcPr>
          <w:p w14:paraId="2645C3C3">
            <w:pPr>
              <w:adjustRightInd w:val="0"/>
              <w:snapToGrid w:val="0"/>
              <w:spacing w:line="360" w:lineRule="auto"/>
              <w:rPr>
                <w:b/>
                <w:color w:val="000000"/>
              </w:rPr>
            </w:pPr>
            <w:r>
              <w:rPr>
                <w:b/>
                <w:color w:val="000000"/>
              </w:rPr>
              <w:t>1、废水排放标准</w:t>
            </w:r>
          </w:p>
          <w:p w14:paraId="6596767C">
            <w:pPr>
              <w:tabs>
                <w:tab w:val="left" w:pos="402"/>
              </w:tabs>
              <w:spacing w:line="360" w:lineRule="auto"/>
              <w:ind w:firstLine="480" w:firstLineChars="200"/>
              <w:outlineLvl w:val="0"/>
              <w:rPr>
                <w:rFonts w:hint="eastAsia" w:eastAsia="宋体"/>
                <w:b/>
                <w:bCs/>
                <w:lang w:eastAsia="zh-CN"/>
              </w:rPr>
            </w:pPr>
            <w:r>
              <w:rPr>
                <w:rFonts w:hint="eastAsia"/>
                <w:lang w:val="en-US" w:eastAsia="zh-CN"/>
              </w:rPr>
              <w:t>废水排放</w:t>
            </w:r>
            <w:r>
              <w:t>执行《污水综合排放标准》（GB8978-1996）中三级标准并满足污水处理厂接管标准</w:t>
            </w:r>
            <w:r>
              <w:rPr>
                <w:rFonts w:hint="eastAsia"/>
                <w:lang w:eastAsia="zh-CN"/>
              </w:rPr>
              <w:t>。</w:t>
            </w:r>
          </w:p>
          <w:p w14:paraId="759F85B8">
            <w:pPr>
              <w:widowControl w:val="0"/>
              <w:spacing w:line="240" w:lineRule="auto"/>
              <w:jc w:val="center"/>
              <w:rPr>
                <w:rFonts w:hint="default" w:ascii="Times New Roman" w:hAnsi="Times New Roman" w:eastAsia="宋体" w:cs="Times New Roman"/>
                <w:bCs/>
                <w:color w:val="000000"/>
                <w:kern w:val="2"/>
                <w:sz w:val="24"/>
                <w:szCs w:val="24"/>
                <w:lang w:val="en-US" w:eastAsia="zh-CN" w:bidi="ar-SA"/>
              </w:rPr>
            </w:pPr>
            <w:r>
              <w:rPr>
                <w:rFonts w:ascii="Times New Roman" w:hAnsi="Times New Roman" w:eastAsia="宋体" w:cs="Times New Roman"/>
                <w:b/>
                <w:bCs/>
                <w:color w:val="000000"/>
                <w:kern w:val="2"/>
                <w:sz w:val="24"/>
                <w:szCs w:val="24"/>
                <w:lang w:val="en-US" w:eastAsia="zh-CN" w:bidi="ar-SA"/>
              </w:rPr>
              <w:t>表</w:t>
            </w:r>
            <w:r>
              <w:rPr>
                <w:rFonts w:hint="eastAsia" w:ascii="Times New Roman" w:hAnsi="Times New Roman" w:eastAsia="宋体" w:cs="Times New Roman"/>
                <w:b/>
                <w:bCs/>
                <w:color w:val="000000"/>
                <w:kern w:val="2"/>
                <w:sz w:val="24"/>
                <w:szCs w:val="24"/>
                <w:lang w:val="en-US" w:eastAsia="zh-CN" w:bidi="ar-SA"/>
              </w:rPr>
              <w:t>3-</w:t>
            </w:r>
            <w:r>
              <w:rPr>
                <w:rFonts w:hint="eastAsia" w:cs="Times New Roman"/>
                <w:b/>
                <w:bCs/>
                <w:color w:val="000000"/>
                <w:kern w:val="2"/>
                <w:sz w:val="24"/>
                <w:szCs w:val="24"/>
                <w:lang w:val="en-US" w:eastAsia="zh-CN" w:bidi="ar-SA"/>
              </w:rPr>
              <w:t>7</w:t>
            </w:r>
            <w:r>
              <w:rPr>
                <w:rFonts w:ascii="Times New Roman" w:hAnsi="Times New Roman" w:eastAsia="宋体" w:cs="Times New Roman"/>
                <w:b/>
                <w:bCs/>
                <w:color w:val="000000"/>
                <w:kern w:val="2"/>
                <w:sz w:val="24"/>
                <w:szCs w:val="24"/>
                <w:lang w:val="en-US" w:eastAsia="zh-CN" w:bidi="ar-SA"/>
              </w:rPr>
              <w:t xml:space="preserve">  水污染排放标准限值</w:t>
            </w:r>
            <w:r>
              <w:rPr>
                <w:rFonts w:hint="eastAsia" w:ascii="Times New Roman" w:hAnsi="Times New Roman" w:eastAsia="宋体" w:cs="Times New Roman"/>
                <w:bCs w:val="0"/>
                <w:color w:val="auto"/>
                <w:kern w:val="2"/>
                <w:sz w:val="21"/>
                <w:szCs w:val="21"/>
                <w:lang w:val="en-US" w:eastAsia="zh-CN" w:bidi="ar-SA"/>
              </w:rPr>
              <w:t xml:space="preserve">  </w:t>
            </w:r>
            <w:r>
              <w:rPr>
                <w:rFonts w:hint="eastAsia" w:ascii="Times New Roman" w:hAnsi="Times New Roman" w:eastAsia="宋体" w:cs="Times New Roman"/>
                <w:b/>
                <w:bCs/>
                <w:color w:val="000000"/>
                <w:kern w:val="2"/>
                <w:sz w:val="24"/>
                <w:szCs w:val="24"/>
                <w:lang w:val="en-US" w:eastAsia="zh-CN" w:bidi="ar-SA"/>
              </w:rPr>
              <w:t>单位：mg/L</w:t>
            </w:r>
          </w:p>
          <w:tbl>
            <w:tblPr>
              <w:tblStyle w:val="31"/>
              <w:tblW w:w="7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1165"/>
              <w:gridCol w:w="938"/>
              <w:gridCol w:w="938"/>
              <w:gridCol w:w="939"/>
              <w:gridCol w:w="938"/>
            </w:tblGrid>
            <w:tr w14:paraId="1CB4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121" w:type="dxa"/>
                  <w:vAlign w:val="center"/>
                </w:tcPr>
                <w:p w14:paraId="4D481BBB">
                  <w:pPr>
                    <w:spacing w:line="240" w:lineRule="auto"/>
                    <w:jc w:val="center"/>
                    <w:rPr>
                      <w:b/>
                      <w:bCs/>
                      <w:sz w:val="21"/>
                      <w:szCs w:val="21"/>
                    </w:rPr>
                  </w:pPr>
                  <w:r>
                    <w:rPr>
                      <w:b/>
                      <w:color w:val="000000"/>
                      <w:sz w:val="21"/>
                      <w:szCs w:val="21"/>
                    </w:rPr>
                    <w:t>污染物</w:t>
                  </w:r>
                </w:p>
              </w:tc>
              <w:tc>
                <w:tcPr>
                  <w:tcW w:w="1165" w:type="dxa"/>
                  <w:vAlign w:val="center"/>
                </w:tcPr>
                <w:p w14:paraId="10CE8043">
                  <w:pPr>
                    <w:spacing w:line="240" w:lineRule="auto"/>
                    <w:jc w:val="center"/>
                    <w:rPr>
                      <w:rFonts w:hint="eastAsia"/>
                      <w:b/>
                      <w:sz w:val="21"/>
                      <w:szCs w:val="21"/>
                    </w:rPr>
                  </w:pPr>
                  <w:r>
                    <w:rPr>
                      <w:rFonts w:hint="eastAsia"/>
                      <w:b/>
                      <w:sz w:val="21"/>
                      <w:szCs w:val="21"/>
                    </w:rPr>
                    <w:t>pH</w:t>
                  </w:r>
                </w:p>
                <w:p w14:paraId="62BEA9B6">
                  <w:pPr>
                    <w:spacing w:line="240" w:lineRule="auto"/>
                    <w:jc w:val="center"/>
                    <w:rPr>
                      <w:rFonts w:hint="eastAsia" w:eastAsia="宋体"/>
                      <w:b/>
                      <w:sz w:val="21"/>
                      <w:szCs w:val="21"/>
                      <w:lang w:eastAsia="zh-CN"/>
                    </w:rPr>
                  </w:pPr>
                  <w:r>
                    <w:rPr>
                      <w:rFonts w:hint="eastAsia" w:eastAsia="宋体"/>
                      <w:b/>
                      <w:sz w:val="21"/>
                      <w:szCs w:val="21"/>
                      <w:lang w:eastAsia="zh-CN"/>
                    </w:rPr>
                    <w:t>（</w:t>
                  </w:r>
                  <w:r>
                    <w:rPr>
                      <w:rFonts w:hint="eastAsia" w:ascii="Times New Roman" w:eastAsia="宋体"/>
                      <w:b/>
                      <w:sz w:val="21"/>
                      <w:szCs w:val="21"/>
                      <w:lang w:val="en-US" w:eastAsia="zh-CN"/>
                    </w:rPr>
                    <w:t>无量纲</w:t>
                  </w:r>
                  <w:r>
                    <w:rPr>
                      <w:rFonts w:hint="eastAsia" w:eastAsia="宋体"/>
                      <w:b/>
                      <w:sz w:val="21"/>
                      <w:szCs w:val="21"/>
                      <w:lang w:eastAsia="zh-CN"/>
                    </w:rPr>
                    <w:t>）</w:t>
                  </w:r>
                </w:p>
              </w:tc>
              <w:tc>
                <w:tcPr>
                  <w:tcW w:w="938" w:type="dxa"/>
                  <w:vAlign w:val="center"/>
                </w:tcPr>
                <w:p w14:paraId="6A87C313">
                  <w:pPr>
                    <w:spacing w:line="240" w:lineRule="auto"/>
                    <w:jc w:val="center"/>
                    <w:rPr>
                      <w:b/>
                      <w:sz w:val="21"/>
                      <w:szCs w:val="21"/>
                    </w:rPr>
                  </w:pPr>
                  <w:r>
                    <w:rPr>
                      <w:b/>
                      <w:color w:val="000000"/>
                      <w:sz w:val="21"/>
                      <w:szCs w:val="21"/>
                    </w:rPr>
                    <w:t>COD</w:t>
                  </w:r>
                </w:p>
              </w:tc>
              <w:tc>
                <w:tcPr>
                  <w:tcW w:w="938" w:type="dxa"/>
                  <w:vAlign w:val="center"/>
                </w:tcPr>
                <w:p w14:paraId="72677AAD">
                  <w:pPr>
                    <w:spacing w:line="240" w:lineRule="auto"/>
                    <w:jc w:val="center"/>
                    <w:rPr>
                      <w:b/>
                      <w:sz w:val="21"/>
                      <w:szCs w:val="21"/>
                    </w:rPr>
                  </w:pPr>
                  <w:r>
                    <w:rPr>
                      <w:b/>
                      <w:color w:val="000000"/>
                      <w:sz w:val="21"/>
                      <w:szCs w:val="21"/>
                    </w:rPr>
                    <w:t>BOD</w:t>
                  </w:r>
                  <w:r>
                    <w:rPr>
                      <w:b/>
                      <w:color w:val="000000"/>
                      <w:sz w:val="21"/>
                      <w:szCs w:val="21"/>
                      <w:vertAlign w:val="subscript"/>
                    </w:rPr>
                    <w:t>5</w:t>
                  </w:r>
                </w:p>
              </w:tc>
              <w:tc>
                <w:tcPr>
                  <w:tcW w:w="939" w:type="dxa"/>
                  <w:vAlign w:val="center"/>
                </w:tcPr>
                <w:p w14:paraId="7ECD13E8">
                  <w:pPr>
                    <w:spacing w:line="240" w:lineRule="auto"/>
                    <w:jc w:val="center"/>
                    <w:rPr>
                      <w:b/>
                      <w:color w:val="000000"/>
                      <w:sz w:val="21"/>
                      <w:szCs w:val="21"/>
                    </w:rPr>
                  </w:pPr>
                  <w:r>
                    <w:rPr>
                      <w:b/>
                      <w:color w:val="000000"/>
                      <w:sz w:val="21"/>
                      <w:szCs w:val="21"/>
                    </w:rPr>
                    <w:t>SS</w:t>
                  </w:r>
                </w:p>
              </w:tc>
              <w:tc>
                <w:tcPr>
                  <w:tcW w:w="938" w:type="dxa"/>
                  <w:vAlign w:val="center"/>
                </w:tcPr>
                <w:p w14:paraId="19C12AD7">
                  <w:pPr>
                    <w:spacing w:line="240" w:lineRule="auto"/>
                    <w:jc w:val="center"/>
                    <w:rPr>
                      <w:b/>
                      <w:color w:val="000000"/>
                      <w:sz w:val="21"/>
                      <w:szCs w:val="21"/>
                    </w:rPr>
                  </w:pPr>
                  <w:r>
                    <w:rPr>
                      <w:b/>
                      <w:color w:val="000000"/>
                      <w:sz w:val="21"/>
                      <w:szCs w:val="21"/>
                    </w:rPr>
                    <w:t>NH</w:t>
                  </w:r>
                  <w:r>
                    <w:rPr>
                      <w:b/>
                      <w:color w:val="000000"/>
                      <w:sz w:val="21"/>
                      <w:szCs w:val="21"/>
                      <w:vertAlign w:val="subscript"/>
                    </w:rPr>
                    <w:t>3</w:t>
                  </w:r>
                  <w:r>
                    <w:rPr>
                      <w:b/>
                      <w:color w:val="000000"/>
                      <w:sz w:val="21"/>
                      <w:szCs w:val="21"/>
                    </w:rPr>
                    <w:t>-N</w:t>
                  </w:r>
                </w:p>
              </w:tc>
            </w:tr>
            <w:tr w14:paraId="75D3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121" w:type="dxa"/>
                  <w:vAlign w:val="center"/>
                </w:tcPr>
                <w:p w14:paraId="507EF367">
                  <w:pPr>
                    <w:spacing w:line="240" w:lineRule="auto"/>
                    <w:jc w:val="center"/>
                    <w:rPr>
                      <w:b/>
                      <w:bCs/>
                      <w:sz w:val="21"/>
                      <w:szCs w:val="21"/>
                    </w:rPr>
                  </w:pPr>
                  <w:r>
                    <w:rPr>
                      <w:b/>
                      <w:color w:val="000000"/>
                      <w:sz w:val="21"/>
                      <w:szCs w:val="21"/>
                    </w:rPr>
                    <w:t>三级标准</w:t>
                  </w:r>
                </w:p>
              </w:tc>
              <w:tc>
                <w:tcPr>
                  <w:tcW w:w="1165" w:type="dxa"/>
                  <w:vAlign w:val="center"/>
                </w:tcPr>
                <w:p w14:paraId="5BC21416">
                  <w:pPr>
                    <w:spacing w:line="240" w:lineRule="auto"/>
                    <w:jc w:val="center"/>
                    <w:rPr>
                      <w:b/>
                      <w:bCs/>
                      <w:sz w:val="21"/>
                      <w:szCs w:val="21"/>
                    </w:rPr>
                  </w:pPr>
                  <w:r>
                    <w:rPr>
                      <w:rFonts w:hint="eastAsia"/>
                      <w:bCs/>
                      <w:color w:val="000000"/>
                      <w:sz w:val="21"/>
                      <w:szCs w:val="21"/>
                    </w:rPr>
                    <w:t>6~9</w:t>
                  </w:r>
                </w:p>
              </w:tc>
              <w:tc>
                <w:tcPr>
                  <w:tcW w:w="938" w:type="dxa"/>
                  <w:vAlign w:val="center"/>
                </w:tcPr>
                <w:p w14:paraId="497D120D">
                  <w:pPr>
                    <w:spacing w:line="240" w:lineRule="auto"/>
                    <w:jc w:val="center"/>
                    <w:rPr>
                      <w:b/>
                      <w:bCs/>
                      <w:sz w:val="21"/>
                      <w:szCs w:val="21"/>
                    </w:rPr>
                  </w:pPr>
                  <w:r>
                    <w:rPr>
                      <w:bCs/>
                      <w:color w:val="000000"/>
                      <w:sz w:val="21"/>
                      <w:szCs w:val="21"/>
                    </w:rPr>
                    <w:t>500</w:t>
                  </w:r>
                </w:p>
              </w:tc>
              <w:tc>
                <w:tcPr>
                  <w:tcW w:w="938" w:type="dxa"/>
                  <w:vAlign w:val="center"/>
                </w:tcPr>
                <w:p w14:paraId="0196F743">
                  <w:pPr>
                    <w:spacing w:line="240" w:lineRule="auto"/>
                    <w:jc w:val="center"/>
                    <w:rPr>
                      <w:b/>
                      <w:bCs/>
                      <w:sz w:val="21"/>
                      <w:szCs w:val="21"/>
                    </w:rPr>
                  </w:pPr>
                  <w:r>
                    <w:rPr>
                      <w:bCs/>
                      <w:color w:val="000000"/>
                      <w:sz w:val="21"/>
                      <w:szCs w:val="21"/>
                    </w:rPr>
                    <w:t>300</w:t>
                  </w:r>
                </w:p>
              </w:tc>
              <w:tc>
                <w:tcPr>
                  <w:tcW w:w="939" w:type="dxa"/>
                  <w:vAlign w:val="center"/>
                </w:tcPr>
                <w:p w14:paraId="0CF11BAC">
                  <w:pPr>
                    <w:spacing w:line="240" w:lineRule="auto"/>
                    <w:jc w:val="center"/>
                    <w:rPr>
                      <w:bCs/>
                      <w:color w:val="000000"/>
                      <w:sz w:val="21"/>
                      <w:szCs w:val="21"/>
                    </w:rPr>
                  </w:pPr>
                  <w:r>
                    <w:rPr>
                      <w:bCs/>
                      <w:color w:val="000000"/>
                      <w:sz w:val="21"/>
                      <w:szCs w:val="21"/>
                    </w:rPr>
                    <w:t>400</w:t>
                  </w:r>
                </w:p>
              </w:tc>
              <w:tc>
                <w:tcPr>
                  <w:tcW w:w="938" w:type="dxa"/>
                  <w:vAlign w:val="center"/>
                </w:tcPr>
                <w:p w14:paraId="332C9E0A">
                  <w:pPr>
                    <w:spacing w:line="240" w:lineRule="auto"/>
                    <w:jc w:val="center"/>
                    <w:rPr>
                      <w:bCs/>
                      <w:color w:val="000000"/>
                      <w:sz w:val="21"/>
                      <w:szCs w:val="21"/>
                    </w:rPr>
                  </w:pPr>
                  <w:r>
                    <w:rPr>
                      <w:bCs/>
                      <w:color w:val="000000"/>
                      <w:sz w:val="21"/>
                      <w:szCs w:val="21"/>
                    </w:rPr>
                    <w:t>/</w:t>
                  </w:r>
                </w:p>
              </w:tc>
            </w:tr>
            <w:tr w14:paraId="62DE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121" w:type="dxa"/>
                  <w:vAlign w:val="center"/>
                </w:tcPr>
                <w:p w14:paraId="4445259A">
                  <w:pPr>
                    <w:spacing w:line="240" w:lineRule="auto"/>
                    <w:jc w:val="center"/>
                    <w:rPr>
                      <w:b/>
                      <w:color w:val="000000"/>
                      <w:sz w:val="21"/>
                      <w:szCs w:val="21"/>
                    </w:rPr>
                  </w:pPr>
                  <w:r>
                    <w:rPr>
                      <w:rFonts w:hint="eastAsia"/>
                      <w:b/>
                      <w:bCs/>
                      <w:sz w:val="21"/>
                      <w:szCs w:val="21"/>
                      <w:lang w:bidi="ar"/>
                    </w:rPr>
                    <w:t>泗县工业</w:t>
                  </w:r>
                  <w:r>
                    <w:rPr>
                      <w:b/>
                      <w:bCs/>
                      <w:sz w:val="21"/>
                      <w:szCs w:val="21"/>
                      <w:lang w:bidi="ar"/>
                    </w:rPr>
                    <w:t>污水处理厂接管标准</w:t>
                  </w:r>
                </w:p>
              </w:tc>
              <w:tc>
                <w:tcPr>
                  <w:tcW w:w="1165" w:type="dxa"/>
                  <w:vAlign w:val="center"/>
                </w:tcPr>
                <w:p w14:paraId="18059716">
                  <w:pPr>
                    <w:spacing w:line="240" w:lineRule="auto"/>
                    <w:jc w:val="center"/>
                    <w:rPr>
                      <w:bCs/>
                      <w:color w:val="000000"/>
                      <w:sz w:val="21"/>
                      <w:szCs w:val="21"/>
                    </w:rPr>
                  </w:pPr>
                  <w:r>
                    <w:rPr>
                      <w:rFonts w:hint="eastAsia"/>
                      <w:bCs/>
                      <w:color w:val="000000"/>
                      <w:sz w:val="21"/>
                      <w:szCs w:val="21"/>
                    </w:rPr>
                    <w:t>6~9</w:t>
                  </w:r>
                </w:p>
              </w:tc>
              <w:tc>
                <w:tcPr>
                  <w:tcW w:w="938" w:type="dxa"/>
                  <w:vAlign w:val="center"/>
                </w:tcPr>
                <w:p w14:paraId="4F7FF4A0">
                  <w:pPr>
                    <w:spacing w:line="240" w:lineRule="auto"/>
                    <w:jc w:val="center"/>
                    <w:rPr>
                      <w:bCs/>
                      <w:color w:val="000000"/>
                      <w:sz w:val="21"/>
                      <w:szCs w:val="21"/>
                    </w:rPr>
                  </w:pPr>
                  <w:r>
                    <w:rPr>
                      <w:rFonts w:hint="eastAsia"/>
                      <w:sz w:val="21"/>
                      <w:szCs w:val="21"/>
                      <w:lang w:bidi="ar"/>
                    </w:rPr>
                    <w:t>400</w:t>
                  </w:r>
                </w:p>
              </w:tc>
              <w:tc>
                <w:tcPr>
                  <w:tcW w:w="938" w:type="dxa"/>
                  <w:vAlign w:val="center"/>
                </w:tcPr>
                <w:p w14:paraId="0BF4B024">
                  <w:pPr>
                    <w:spacing w:line="240" w:lineRule="auto"/>
                    <w:jc w:val="center"/>
                    <w:rPr>
                      <w:bCs/>
                      <w:color w:val="000000"/>
                      <w:sz w:val="21"/>
                      <w:szCs w:val="21"/>
                    </w:rPr>
                  </w:pPr>
                  <w:r>
                    <w:rPr>
                      <w:rFonts w:hint="eastAsia"/>
                      <w:sz w:val="21"/>
                      <w:szCs w:val="21"/>
                      <w:lang w:bidi="ar"/>
                    </w:rPr>
                    <w:t>180</w:t>
                  </w:r>
                </w:p>
              </w:tc>
              <w:tc>
                <w:tcPr>
                  <w:tcW w:w="939" w:type="dxa"/>
                  <w:vAlign w:val="center"/>
                </w:tcPr>
                <w:p w14:paraId="7F380C94">
                  <w:pPr>
                    <w:spacing w:line="240" w:lineRule="auto"/>
                    <w:jc w:val="center"/>
                    <w:rPr>
                      <w:bCs/>
                      <w:color w:val="000000"/>
                      <w:sz w:val="21"/>
                      <w:szCs w:val="21"/>
                    </w:rPr>
                  </w:pPr>
                  <w:r>
                    <w:rPr>
                      <w:sz w:val="21"/>
                      <w:szCs w:val="21"/>
                      <w:lang w:bidi="ar"/>
                    </w:rPr>
                    <w:t>200</w:t>
                  </w:r>
                </w:p>
              </w:tc>
              <w:tc>
                <w:tcPr>
                  <w:tcW w:w="938" w:type="dxa"/>
                  <w:vAlign w:val="center"/>
                </w:tcPr>
                <w:p w14:paraId="2BCB2D63">
                  <w:pPr>
                    <w:spacing w:line="240" w:lineRule="auto"/>
                    <w:jc w:val="center"/>
                    <w:rPr>
                      <w:sz w:val="21"/>
                      <w:szCs w:val="21"/>
                      <w:lang w:bidi="ar"/>
                    </w:rPr>
                  </w:pPr>
                  <w:r>
                    <w:rPr>
                      <w:rFonts w:hint="eastAsia"/>
                      <w:sz w:val="21"/>
                      <w:szCs w:val="21"/>
                      <w:lang w:bidi="ar"/>
                    </w:rPr>
                    <w:t>25</w:t>
                  </w:r>
                </w:p>
              </w:tc>
            </w:tr>
            <w:tr w14:paraId="6B8C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121" w:type="dxa"/>
                  <w:vAlign w:val="center"/>
                </w:tcPr>
                <w:p w14:paraId="4633CB6D">
                  <w:pPr>
                    <w:spacing w:line="240" w:lineRule="auto"/>
                    <w:jc w:val="center"/>
                    <w:rPr>
                      <w:b/>
                      <w:color w:val="000000"/>
                      <w:sz w:val="21"/>
                      <w:szCs w:val="21"/>
                    </w:rPr>
                  </w:pPr>
                  <w:r>
                    <w:rPr>
                      <w:b/>
                      <w:color w:val="000000"/>
                      <w:sz w:val="21"/>
                      <w:szCs w:val="21"/>
                    </w:rPr>
                    <w:t>本项目执行标准</w:t>
                  </w:r>
                </w:p>
              </w:tc>
              <w:tc>
                <w:tcPr>
                  <w:tcW w:w="1165" w:type="dxa"/>
                  <w:vAlign w:val="center"/>
                </w:tcPr>
                <w:p w14:paraId="7275F0D8">
                  <w:pPr>
                    <w:spacing w:line="240" w:lineRule="auto"/>
                    <w:jc w:val="center"/>
                    <w:rPr>
                      <w:bCs/>
                      <w:color w:val="000000"/>
                      <w:sz w:val="21"/>
                      <w:szCs w:val="21"/>
                    </w:rPr>
                  </w:pPr>
                  <w:r>
                    <w:rPr>
                      <w:rFonts w:hint="eastAsia"/>
                      <w:bCs/>
                      <w:color w:val="000000"/>
                      <w:sz w:val="21"/>
                      <w:szCs w:val="21"/>
                    </w:rPr>
                    <w:t>6~9</w:t>
                  </w:r>
                </w:p>
              </w:tc>
              <w:tc>
                <w:tcPr>
                  <w:tcW w:w="938" w:type="dxa"/>
                  <w:vAlign w:val="center"/>
                </w:tcPr>
                <w:p w14:paraId="411E950B">
                  <w:pPr>
                    <w:spacing w:line="240" w:lineRule="auto"/>
                    <w:jc w:val="center"/>
                    <w:rPr>
                      <w:bCs/>
                      <w:color w:val="000000"/>
                      <w:sz w:val="21"/>
                      <w:szCs w:val="21"/>
                    </w:rPr>
                  </w:pPr>
                  <w:r>
                    <w:rPr>
                      <w:rFonts w:hint="eastAsia"/>
                      <w:bCs/>
                      <w:color w:val="000000"/>
                      <w:sz w:val="21"/>
                      <w:szCs w:val="21"/>
                    </w:rPr>
                    <w:t>400</w:t>
                  </w:r>
                </w:p>
              </w:tc>
              <w:tc>
                <w:tcPr>
                  <w:tcW w:w="938" w:type="dxa"/>
                  <w:vAlign w:val="center"/>
                </w:tcPr>
                <w:p w14:paraId="5A98BBB4">
                  <w:pPr>
                    <w:spacing w:line="240" w:lineRule="auto"/>
                    <w:jc w:val="center"/>
                    <w:rPr>
                      <w:bCs/>
                      <w:color w:val="000000"/>
                      <w:sz w:val="21"/>
                      <w:szCs w:val="21"/>
                    </w:rPr>
                  </w:pPr>
                  <w:r>
                    <w:rPr>
                      <w:rFonts w:hint="eastAsia"/>
                      <w:bCs/>
                      <w:color w:val="000000"/>
                      <w:sz w:val="21"/>
                      <w:szCs w:val="21"/>
                    </w:rPr>
                    <w:t>180</w:t>
                  </w:r>
                </w:p>
              </w:tc>
              <w:tc>
                <w:tcPr>
                  <w:tcW w:w="939" w:type="dxa"/>
                  <w:vAlign w:val="center"/>
                </w:tcPr>
                <w:p w14:paraId="7C5BE9A7">
                  <w:pPr>
                    <w:spacing w:line="240" w:lineRule="auto"/>
                    <w:jc w:val="center"/>
                    <w:rPr>
                      <w:bCs/>
                      <w:color w:val="000000"/>
                      <w:sz w:val="21"/>
                      <w:szCs w:val="21"/>
                    </w:rPr>
                  </w:pPr>
                  <w:r>
                    <w:rPr>
                      <w:rFonts w:hint="eastAsia"/>
                      <w:bCs/>
                      <w:color w:val="000000"/>
                      <w:sz w:val="21"/>
                      <w:szCs w:val="21"/>
                    </w:rPr>
                    <w:t>200</w:t>
                  </w:r>
                </w:p>
              </w:tc>
              <w:tc>
                <w:tcPr>
                  <w:tcW w:w="938" w:type="dxa"/>
                  <w:vAlign w:val="center"/>
                </w:tcPr>
                <w:p w14:paraId="02E5450E">
                  <w:pPr>
                    <w:spacing w:line="240" w:lineRule="auto"/>
                    <w:jc w:val="center"/>
                    <w:rPr>
                      <w:bCs/>
                      <w:color w:val="000000"/>
                      <w:sz w:val="21"/>
                      <w:szCs w:val="21"/>
                    </w:rPr>
                  </w:pPr>
                  <w:r>
                    <w:rPr>
                      <w:rFonts w:hint="eastAsia"/>
                      <w:bCs/>
                      <w:color w:val="000000"/>
                      <w:sz w:val="21"/>
                      <w:szCs w:val="21"/>
                    </w:rPr>
                    <w:t>25</w:t>
                  </w:r>
                </w:p>
              </w:tc>
            </w:tr>
          </w:tbl>
          <w:p w14:paraId="245B70DF">
            <w:pPr>
              <w:adjustRightInd w:val="0"/>
              <w:snapToGrid w:val="0"/>
              <w:spacing w:before="120" w:beforeLines="50" w:line="360" w:lineRule="auto"/>
              <w:rPr>
                <w:b/>
                <w:color w:val="000000"/>
              </w:rPr>
            </w:pPr>
            <w:r>
              <w:rPr>
                <w:b/>
                <w:color w:val="000000"/>
              </w:rPr>
              <w:t>2、大气污染物排放标准</w:t>
            </w:r>
          </w:p>
          <w:p w14:paraId="0910CDB4">
            <w:pPr>
              <w:spacing w:line="360" w:lineRule="auto"/>
              <w:ind w:firstLine="480" w:firstLineChars="200"/>
              <w:jc w:val="left"/>
            </w:pPr>
            <w:r>
              <w:rPr>
                <w:rFonts w:hint="eastAsia"/>
                <w:lang w:val="en-US" w:eastAsia="zh-CN"/>
              </w:rPr>
              <w:t>项目</w:t>
            </w:r>
            <w:r>
              <w:rPr>
                <w:rFonts w:hint="eastAsia"/>
              </w:rPr>
              <w:t>施工期废气排放</w:t>
            </w:r>
            <w:r>
              <w:rPr>
                <w:rFonts w:hint="eastAsia"/>
                <w:lang w:val="en-US" w:eastAsia="zh-CN"/>
              </w:rPr>
              <w:t>执行安徽省地方标准《施工场地颗粒物排放标准》（DB34/4811-2024）表1中监测点颗粒物排放要求</w:t>
            </w:r>
            <w:r>
              <w:rPr>
                <w:rFonts w:hint="eastAsia"/>
                <w:lang w:eastAsia="zh-CN"/>
              </w:rPr>
              <w:t>，</w:t>
            </w:r>
            <w:r>
              <w:rPr>
                <w:rFonts w:hint="eastAsia"/>
              </w:rPr>
              <w:t>具体标准值如下表所示。</w:t>
            </w:r>
          </w:p>
          <w:p w14:paraId="3B51F76C">
            <w:pPr>
              <w:jc w:val="center"/>
              <w:rPr>
                <w:rFonts w:hint="default" w:eastAsia="宋体"/>
                <w:b/>
                <w:bCs/>
                <w:color w:val="auto"/>
                <w:lang w:val="en-US" w:eastAsia="zh-CN"/>
              </w:rPr>
            </w:pPr>
            <w:r>
              <w:rPr>
                <w:rFonts w:hint="eastAsia"/>
                <w:b/>
                <w:bCs/>
                <w:color w:val="auto"/>
              </w:rPr>
              <w:t>表3-</w:t>
            </w:r>
            <w:r>
              <w:rPr>
                <w:rFonts w:hint="eastAsia"/>
                <w:b/>
                <w:bCs/>
                <w:color w:val="auto"/>
                <w:lang w:val="en-US" w:eastAsia="zh-CN"/>
              </w:rPr>
              <w:t>8</w:t>
            </w:r>
            <w:r>
              <w:rPr>
                <w:rFonts w:hint="eastAsia"/>
                <w:b/>
                <w:bCs/>
                <w:color w:val="auto"/>
              </w:rPr>
              <w:t xml:space="preserve">  </w:t>
            </w:r>
            <w:r>
              <w:rPr>
                <w:rFonts w:hint="eastAsia"/>
                <w:b/>
                <w:bCs/>
                <w:color w:val="auto"/>
                <w:lang w:val="en-US" w:eastAsia="zh-CN"/>
              </w:rPr>
              <w:t>施工时监测点颗粒物排放要求</w:t>
            </w:r>
          </w:p>
          <w:tbl>
            <w:tblPr>
              <w:tblStyle w:val="30"/>
              <w:tblW w:w="48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861"/>
              <w:gridCol w:w="2007"/>
              <w:gridCol w:w="2007"/>
            </w:tblGrid>
            <w:tr w14:paraId="2DA4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923" w:type="dxa"/>
                  <w:vMerge w:val="restart"/>
                  <w:tcBorders>
                    <w:bottom w:val="single" w:color="auto" w:sz="4" w:space="0"/>
                  </w:tcBorders>
                  <w:vAlign w:val="center"/>
                </w:tcPr>
                <w:p w14:paraId="19AA1DFF">
                  <w:pPr>
                    <w:jc w:val="center"/>
                    <w:rPr>
                      <w:rFonts w:hint="default" w:eastAsia="宋体"/>
                      <w:b/>
                      <w:sz w:val="21"/>
                      <w:szCs w:val="21"/>
                      <w:lang w:val="en-US" w:eastAsia="zh-CN"/>
                    </w:rPr>
                  </w:pPr>
                  <w:r>
                    <w:rPr>
                      <w:rFonts w:hint="eastAsia"/>
                      <w:b/>
                      <w:sz w:val="21"/>
                      <w:szCs w:val="21"/>
                      <w:lang w:val="en-US" w:eastAsia="zh-CN"/>
                    </w:rPr>
                    <w:t>控制项目</w:t>
                  </w:r>
                </w:p>
              </w:tc>
              <w:tc>
                <w:tcPr>
                  <w:tcW w:w="1861" w:type="dxa"/>
                  <w:vMerge w:val="restart"/>
                  <w:tcBorders>
                    <w:bottom w:val="single" w:color="auto" w:sz="4" w:space="0"/>
                  </w:tcBorders>
                  <w:vAlign w:val="center"/>
                </w:tcPr>
                <w:p w14:paraId="4CBACA7A">
                  <w:pPr>
                    <w:jc w:val="center"/>
                    <w:rPr>
                      <w:b/>
                      <w:sz w:val="21"/>
                      <w:szCs w:val="21"/>
                    </w:rPr>
                  </w:pPr>
                  <w:r>
                    <w:rPr>
                      <w:rFonts w:hint="eastAsia"/>
                      <w:b/>
                      <w:sz w:val="21"/>
                      <w:szCs w:val="21"/>
                      <w:lang w:val="en-US" w:eastAsia="zh-CN"/>
                    </w:rPr>
                    <w:t>单位</w:t>
                  </w:r>
                </w:p>
              </w:tc>
              <w:tc>
                <w:tcPr>
                  <w:tcW w:w="2007" w:type="dxa"/>
                  <w:vMerge w:val="restart"/>
                  <w:vAlign w:val="center"/>
                </w:tcPr>
                <w:p w14:paraId="40ADCB1A">
                  <w:pPr>
                    <w:jc w:val="center"/>
                    <w:rPr>
                      <w:rFonts w:hint="default" w:eastAsia="宋体"/>
                      <w:b/>
                      <w:sz w:val="21"/>
                      <w:szCs w:val="21"/>
                      <w:lang w:val="en-US" w:eastAsia="zh-CN"/>
                    </w:rPr>
                  </w:pPr>
                  <w:r>
                    <w:rPr>
                      <w:rFonts w:hint="eastAsia"/>
                      <w:b/>
                      <w:sz w:val="21"/>
                      <w:szCs w:val="21"/>
                      <w:lang w:val="en-US" w:eastAsia="zh-CN"/>
                    </w:rPr>
                    <w:t>监测点浓度限值</w:t>
                  </w:r>
                </w:p>
              </w:tc>
              <w:tc>
                <w:tcPr>
                  <w:tcW w:w="2007" w:type="dxa"/>
                  <w:vMerge w:val="restart"/>
                  <w:vAlign w:val="center"/>
                </w:tcPr>
                <w:p w14:paraId="117AF5CA">
                  <w:pPr>
                    <w:jc w:val="center"/>
                    <w:rPr>
                      <w:rFonts w:hint="default" w:eastAsia="宋体"/>
                      <w:b/>
                      <w:sz w:val="21"/>
                      <w:szCs w:val="21"/>
                      <w:lang w:val="en-US" w:eastAsia="zh-CN"/>
                    </w:rPr>
                  </w:pPr>
                  <w:r>
                    <w:rPr>
                      <w:rFonts w:hint="eastAsia" w:eastAsia="宋体"/>
                      <w:b/>
                      <w:sz w:val="21"/>
                      <w:szCs w:val="21"/>
                      <w:lang w:val="en-US" w:eastAsia="zh-CN"/>
                    </w:rPr>
                    <w:t>达标判定依据</w:t>
                  </w:r>
                </w:p>
              </w:tc>
            </w:tr>
            <w:tr w14:paraId="7D0B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923" w:type="dxa"/>
                  <w:vMerge w:val="continue"/>
                  <w:vAlign w:val="center"/>
                </w:tcPr>
                <w:p w14:paraId="6EFCC77C">
                  <w:pPr>
                    <w:jc w:val="center"/>
                    <w:rPr>
                      <w:b/>
                      <w:sz w:val="21"/>
                      <w:szCs w:val="21"/>
                    </w:rPr>
                  </w:pPr>
                </w:p>
              </w:tc>
              <w:tc>
                <w:tcPr>
                  <w:tcW w:w="1861" w:type="dxa"/>
                  <w:vMerge w:val="continue"/>
                  <w:vAlign w:val="center"/>
                </w:tcPr>
                <w:p w14:paraId="0CAE614A">
                  <w:pPr>
                    <w:jc w:val="center"/>
                    <w:rPr>
                      <w:b/>
                      <w:sz w:val="21"/>
                      <w:szCs w:val="21"/>
                    </w:rPr>
                  </w:pPr>
                </w:p>
              </w:tc>
              <w:tc>
                <w:tcPr>
                  <w:tcW w:w="2007" w:type="dxa"/>
                  <w:vMerge w:val="continue"/>
                  <w:vAlign w:val="center"/>
                </w:tcPr>
                <w:p w14:paraId="467C6D73">
                  <w:pPr>
                    <w:jc w:val="center"/>
                    <w:rPr>
                      <w:b/>
                      <w:sz w:val="21"/>
                      <w:szCs w:val="21"/>
                    </w:rPr>
                  </w:pPr>
                </w:p>
              </w:tc>
              <w:tc>
                <w:tcPr>
                  <w:tcW w:w="2007" w:type="dxa"/>
                  <w:vMerge w:val="continue"/>
                  <w:vAlign w:val="center"/>
                </w:tcPr>
                <w:p w14:paraId="74853DBE">
                  <w:pPr>
                    <w:jc w:val="center"/>
                    <w:rPr>
                      <w:b/>
                      <w:sz w:val="21"/>
                      <w:szCs w:val="21"/>
                    </w:rPr>
                  </w:pPr>
                </w:p>
              </w:tc>
            </w:tr>
            <w:tr w14:paraId="138A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1923" w:type="dxa"/>
                  <w:vMerge w:val="restart"/>
                  <w:vAlign w:val="center"/>
                </w:tcPr>
                <w:p w14:paraId="7008C416">
                  <w:pPr>
                    <w:jc w:val="center"/>
                    <w:rPr>
                      <w:rFonts w:hint="default" w:eastAsia="宋体"/>
                      <w:bCs/>
                      <w:sz w:val="21"/>
                      <w:szCs w:val="21"/>
                      <w:lang w:val="en-US" w:eastAsia="zh-CN"/>
                    </w:rPr>
                  </w:pPr>
                  <w:r>
                    <w:rPr>
                      <w:rFonts w:hint="eastAsia"/>
                      <w:bCs/>
                      <w:sz w:val="21"/>
                      <w:szCs w:val="21"/>
                      <w:lang w:val="en-US" w:eastAsia="zh-CN"/>
                    </w:rPr>
                    <w:t>TSP</w:t>
                  </w:r>
                </w:p>
              </w:tc>
              <w:tc>
                <w:tcPr>
                  <w:tcW w:w="1861" w:type="dxa"/>
                  <w:vMerge w:val="restart"/>
                  <w:vAlign w:val="center"/>
                </w:tcPr>
                <w:p w14:paraId="412845C1">
                  <w:pPr>
                    <w:jc w:val="center"/>
                    <w:rPr>
                      <w:rFonts w:hint="default" w:eastAsia="宋体"/>
                      <w:bCs/>
                      <w:sz w:val="21"/>
                      <w:szCs w:val="21"/>
                      <w:lang w:val="en-US" w:eastAsia="zh-CN"/>
                    </w:rPr>
                  </w:pPr>
                  <w:r>
                    <w:rPr>
                      <w:rFonts w:hint="default" w:ascii="Times New Roman" w:hAnsi="Times New Roman" w:eastAsia="宋体" w:cs="Times New Roman"/>
                      <w:bCs/>
                      <w:sz w:val="21"/>
                      <w:szCs w:val="21"/>
                      <w:lang w:val="en-US" w:eastAsia="zh-CN"/>
                    </w:rPr>
                    <w:t>μg/m</w:t>
                  </w:r>
                  <w:r>
                    <w:rPr>
                      <w:rFonts w:hint="default" w:ascii="Times New Roman" w:hAnsi="Times New Roman" w:eastAsia="宋体" w:cs="Times New Roman"/>
                      <w:bCs/>
                      <w:sz w:val="21"/>
                      <w:szCs w:val="21"/>
                      <w:vertAlign w:val="superscript"/>
                      <w:lang w:val="en-US" w:eastAsia="zh-CN"/>
                    </w:rPr>
                    <w:t>3</w:t>
                  </w:r>
                </w:p>
              </w:tc>
              <w:tc>
                <w:tcPr>
                  <w:tcW w:w="2007" w:type="dxa"/>
                  <w:vAlign w:val="center"/>
                </w:tcPr>
                <w:p w14:paraId="2284247A">
                  <w:pPr>
                    <w:jc w:val="center"/>
                    <w:rPr>
                      <w:rFonts w:hint="default" w:eastAsia="宋体"/>
                      <w:bCs/>
                      <w:sz w:val="21"/>
                      <w:szCs w:val="21"/>
                      <w:lang w:val="en-US" w:eastAsia="zh-CN"/>
                    </w:rPr>
                  </w:pPr>
                  <w:r>
                    <w:rPr>
                      <w:rFonts w:hint="eastAsia"/>
                      <w:bCs/>
                      <w:sz w:val="21"/>
                      <w:szCs w:val="21"/>
                      <w:lang w:val="en-US" w:eastAsia="zh-CN"/>
                    </w:rPr>
                    <w:t>1000</w:t>
                  </w:r>
                </w:p>
              </w:tc>
              <w:tc>
                <w:tcPr>
                  <w:tcW w:w="2007" w:type="dxa"/>
                  <w:vAlign w:val="center"/>
                </w:tcPr>
                <w:p w14:paraId="485CF06F">
                  <w:pPr>
                    <w:jc w:val="center"/>
                    <w:rPr>
                      <w:rFonts w:hint="default" w:eastAsia="宋体"/>
                      <w:bCs/>
                      <w:sz w:val="21"/>
                      <w:szCs w:val="21"/>
                      <w:lang w:val="en-US" w:eastAsia="zh-CN"/>
                    </w:rPr>
                  </w:pPr>
                  <w:r>
                    <w:rPr>
                      <w:rFonts w:hint="eastAsia" w:eastAsia="宋体"/>
                      <w:bCs/>
                      <w:sz w:val="21"/>
                      <w:szCs w:val="21"/>
                      <w:lang w:val="en-US" w:eastAsia="zh-CN"/>
                    </w:rPr>
                    <w:t>超标次数≤1次/日</w:t>
                  </w:r>
                </w:p>
              </w:tc>
            </w:tr>
            <w:tr w14:paraId="357B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1923" w:type="dxa"/>
                  <w:vMerge w:val="continue"/>
                  <w:vAlign w:val="center"/>
                </w:tcPr>
                <w:p w14:paraId="43449ED9">
                  <w:pPr>
                    <w:jc w:val="center"/>
                    <w:rPr>
                      <w:rFonts w:hint="eastAsia"/>
                      <w:bCs/>
                      <w:sz w:val="21"/>
                      <w:szCs w:val="21"/>
                      <w:lang w:val="en-US" w:eastAsia="zh-CN"/>
                    </w:rPr>
                  </w:pPr>
                </w:p>
              </w:tc>
              <w:tc>
                <w:tcPr>
                  <w:tcW w:w="1861" w:type="dxa"/>
                  <w:vMerge w:val="continue"/>
                  <w:vAlign w:val="center"/>
                </w:tcPr>
                <w:p w14:paraId="7128C387">
                  <w:pPr>
                    <w:jc w:val="center"/>
                    <w:rPr>
                      <w:b/>
                      <w:sz w:val="21"/>
                      <w:szCs w:val="21"/>
                    </w:rPr>
                  </w:pPr>
                </w:p>
              </w:tc>
              <w:tc>
                <w:tcPr>
                  <w:tcW w:w="2007" w:type="dxa"/>
                  <w:vAlign w:val="center"/>
                </w:tcPr>
                <w:p w14:paraId="60B5E481">
                  <w:pPr>
                    <w:jc w:val="center"/>
                    <w:rPr>
                      <w:rFonts w:hint="default"/>
                      <w:bCs/>
                      <w:sz w:val="21"/>
                      <w:szCs w:val="21"/>
                      <w:lang w:val="en-US" w:eastAsia="zh-CN"/>
                    </w:rPr>
                  </w:pPr>
                  <w:r>
                    <w:rPr>
                      <w:rFonts w:hint="eastAsia"/>
                      <w:bCs/>
                      <w:sz w:val="21"/>
                      <w:szCs w:val="21"/>
                      <w:lang w:val="en-US" w:eastAsia="zh-CN"/>
                    </w:rPr>
                    <w:t>500</w:t>
                  </w:r>
                </w:p>
              </w:tc>
              <w:tc>
                <w:tcPr>
                  <w:tcW w:w="2007" w:type="dxa"/>
                  <w:vAlign w:val="center"/>
                </w:tcPr>
                <w:p w14:paraId="44AB7369">
                  <w:pPr>
                    <w:jc w:val="center"/>
                    <w:rPr>
                      <w:rFonts w:hint="eastAsia"/>
                      <w:bCs/>
                      <w:sz w:val="21"/>
                      <w:szCs w:val="21"/>
                      <w:lang w:val="en-US" w:eastAsia="zh-CN"/>
                    </w:rPr>
                  </w:pPr>
                  <w:r>
                    <w:rPr>
                      <w:rFonts w:hint="eastAsia" w:eastAsia="宋体"/>
                      <w:bCs/>
                      <w:sz w:val="21"/>
                      <w:szCs w:val="21"/>
                      <w:lang w:val="en-US" w:eastAsia="zh-CN"/>
                    </w:rPr>
                    <w:t>超标次数≤6次/日</w:t>
                  </w:r>
                </w:p>
              </w:tc>
            </w:tr>
            <w:tr w14:paraId="35CB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5" w:hRule="atLeast"/>
                <w:jc w:val="center"/>
              </w:trPr>
              <w:tc>
                <w:tcPr>
                  <w:tcW w:w="7798" w:type="dxa"/>
                  <w:gridSpan w:val="4"/>
                  <w:vAlign w:val="center"/>
                </w:tcPr>
                <w:p w14:paraId="5DE89E0B">
                  <w:pPr>
                    <w:ind w:firstLine="420" w:firstLineChars="200"/>
                    <w:jc w:val="left"/>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任一监测点自整时起依次顺延15分钟的TSP浓度平均值不得超过的限值。超标次数指一个日历日96个TSP15分钟浓度平均值超过监测点浓度限值的次数。</w:t>
                  </w:r>
                </w:p>
                <w:p w14:paraId="07F83E35">
                  <w:pPr>
                    <w:ind w:firstLine="420" w:firstLineChars="200"/>
                    <w:jc w:val="left"/>
                    <w:rPr>
                      <w:rFonts w:hint="eastAsia" w:eastAsia="宋体"/>
                      <w:bCs/>
                      <w:sz w:val="21"/>
                      <w:szCs w:val="21"/>
                      <w:lang w:val="en-US" w:eastAsia="zh-CN"/>
                    </w:rPr>
                  </w:pPr>
                  <w:r>
                    <w:rPr>
                      <w:rFonts w:hint="default" w:ascii="Times New Roman" w:hAnsi="Times New Roman" w:eastAsia="宋体" w:cs="Times New Roman"/>
                      <w:bCs/>
                      <w:sz w:val="21"/>
                      <w:szCs w:val="21"/>
                      <w:lang w:val="en-US" w:eastAsia="zh-CN"/>
                    </w:rPr>
                    <w:t>根据HJ633判定设区市AQI在200~300之间且首要污染物为PM</w:t>
                  </w:r>
                  <w:r>
                    <w:rPr>
                      <w:rFonts w:hint="eastAsia" w:cs="Times New Roman"/>
                      <w:bCs/>
                      <w:sz w:val="21"/>
                      <w:szCs w:val="21"/>
                      <w:vertAlign w:val="subscript"/>
                      <w:lang w:val="en-US" w:eastAsia="zh-CN"/>
                    </w:rPr>
                    <w:t>10</w:t>
                  </w:r>
                  <w:r>
                    <w:rPr>
                      <w:rFonts w:hint="default" w:ascii="Times New Roman" w:hAnsi="Times New Roman" w:eastAsia="宋体" w:cs="Times New Roman"/>
                      <w:bCs/>
                      <w:sz w:val="21"/>
                      <w:szCs w:val="21"/>
                      <w:lang w:val="en-US" w:eastAsia="zh-CN"/>
                    </w:rPr>
                    <w:t>或PM</w:t>
                  </w:r>
                  <w:r>
                    <w:rPr>
                      <w:rFonts w:hint="eastAsia" w:cs="Times New Roman"/>
                      <w:bCs/>
                      <w:sz w:val="21"/>
                      <w:szCs w:val="21"/>
                      <w:vertAlign w:val="subscript"/>
                      <w:lang w:val="en-US" w:eastAsia="zh-CN"/>
                    </w:rPr>
                    <w:t>2.5</w:t>
                  </w:r>
                  <w:r>
                    <w:rPr>
                      <w:rFonts w:hint="default" w:ascii="Times New Roman" w:hAnsi="Times New Roman" w:eastAsia="宋体" w:cs="Times New Roman"/>
                      <w:bCs/>
                      <w:sz w:val="21"/>
                      <w:szCs w:val="21"/>
                      <w:lang w:val="en-US" w:eastAsia="zh-CN"/>
                    </w:rPr>
                    <w:t>时，TSP实测值扣除200μg/m</w:t>
                  </w:r>
                  <w:r>
                    <w:rPr>
                      <w:rFonts w:hint="default" w:ascii="Times New Roman" w:hAnsi="Times New Roman" w:eastAsia="宋体" w:cs="Times New Roman"/>
                      <w:bCs/>
                      <w:sz w:val="21"/>
                      <w:szCs w:val="21"/>
                      <w:vertAlign w:val="superscript"/>
                      <w:lang w:val="en-US" w:eastAsia="zh-CN"/>
                    </w:rPr>
                    <w:t>3</w:t>
                  </w:r>
                  <w:r>
                    <w:rPr>
                      <w:rFonts w:hint="default" w:ascii="Times New Roman" w:hAnsi="Times New Roman" w:eastAsia="宋体" w:cs="Times New Roman"/>
                      <w:bCs/>
                      <w:sz w:val="21"/>
                      <w:szCs w:val="21"/>
                      <w:lang w:val="en-US" w:eastAsia="zh-CN"/>
                    </w:rPr>
                    <w:t>后再进行评价。</w:t>
                  </w:r>
                </w:p>
              </w:tc>
            </w:tr>
          </w:tbl>
          <w:p w14:paraId="30401450">
            <w:pPr>
              <w:spacing w:line="360" w:lineRule="auto"/>
              <w:ind w:firstLine="480" w:firstLineChars="200"/>
              <w:jc w:val="left"/>
              <w:rPr>
                <w:rFonts w:hint="eastAsia" w:eastAsia="宋体"/>
                <w:lang w:val="en-US" w:eastAsia="zh-CN"/>
              </w:rPr>
            </w:pPr>
            <w:r>
              <w:rPr>
                <w:rFonts w:hint="eastAsia"/>
              </w:rPr>
              <w:t>本项目废气执行</w:t>
            </w:r>
            <w:r>
              <w:rPr>
                <w:rFonts w:hint="eastAsia"/>
                <w:lang w:val="en-US" w:eastAsia="zh-CN"/>
              </w:rPr>
              <w:t>安徽省地方标准</w:t>
            </w:r>
            <w:r>
              <w:rPr>
                <w:rFonts w:hint="eastAsia"/>
              </w:rPr>
              <w:t>《</w:t>
            </w:r>
            <w:r>
              <w:rPr>
                <w:rFonts w:hint="eastAsia"/>
                <w:lang w:val="en-US" w:eastAsia="zh-CN"/>
              </w:rPr>
              <w:t>木材加工行业</w:t>
            </w:r>
            <w:r>
              <w:rPr>
                <w:rFonts w:hint="eastAsia"/>
              </w:rPr>
              <w:t>大气污染物排放标准》（</w:t>
            </w:r>
            <w:r>
              <w:rPr>
                <w:rFonts w:hint="eastAsia"/>
                <w:lang w:val="en-US" w:eastAsia="zh-CN"/>
              </w:rPr>
              <w:t>DB34/4810-2024</w:t>
            </w:r>
            <w:r>
              <w:rPr>
                <w:rFonts w:hint="eastAsia"/>
              </w:rPr>
              <w:t>）表</w:t>
            </w:r>
            <w:r>
              <w:rPr>
                <w:rFonts w:hint="eastAsia"/>
                <w:lang w:val="en-US" w:eastAsia="zh-CN"/>
              </w:rPr>
              <w:t>1</w:t>
            </w:r>
            <w:r>
              <w:rPr>
                <w:rFonts w:hint="eastAsia"/>
              </w:rPr>
              <w:t>中</w:t>
            </w:r>
            <w:r>
              <w:rPr>
                <w:rFonts w:hint="eastAsia"/>
                <w:lang w:val="en-US" w:eastAsia="zh-CN"/>
              </w:rPr>
              <w:t>大气污染物排放限值和表3厂区内大气污染物无组织排放限值；厂界无组织废气排放执行</w:t>
            </w:r>
            <w:r>
              <w:rPr>
                <w:rFonts w:hint="eastAsia"/>
              </w:rPr>
              <w:t>《大气污染物综合排放标准》（GB16297-1996）表2中无组织排放限值要求</w:t>
            </w:r>
            <w:r>
              <w:rPr>
                <w:rFonts w:hint="eastAsia"/>
                <w:lang w:eastAsia="zh-CN"/>
              </w:rPr>
              <w:t>。</w:t>
            </w:r>
          </w:p>
          <w:p w14:paraId="7A208042">
            <w:pPr>
              <w:jc w:val="center"/>
              <w:rPr>
                <w:b/>
                <w:bCs/>
                <w:color w:val="auto"/>
              </w:rPr>
            </w:pPr>
            <w:r>
              <w:rPr>
                <w:rFonts w:hint="eastAsia"/>
                <w:b/>
                <w:bCs/>
                <w:color w:val="auto"/>
              </w:rPr>
              <w:t>表3-</w:t>
            </w:r>
            <w:r>
              <w:rPr>
                <w:rFonts w:hint="eastAsia"/>
                <w:b/>
                <w:bCs/>
                <w:color w:val="auto"/>
                <w:lang w:val="en-US" w:eastAsia="zh-CN"/>
              </w:rPr>
              <w:t>9</w:t>
            </w:r>
            <w:r>
              <w:rPr>
                <w:rFonts w:hint="eastAsia"/>
                <w:b/>
                <w:bCs/>
                <w:color w:val="auto"/>
              </w:rPr>
              <w:t xml:space="preserve">  大气污染物排放标准</w:t>
            </w:r>
          </w:p>
          <w:tbl>
            <w:tblPr>
              <w:tblStyle w:val="30"/>
              <w:tblW w:w="41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289"/>
              <w:gridCol w:w="1390"/>
              <w:gridCol w:w="1576"/>
              <w:gridCol w:w="989"/>
            </w:tblGrid>
            <w:tr w14:paraId="66E1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0" w:type="dxa"/>
                  <w:vMerge w:val="restart"/>
                  <w:tcBorders>
                    <w:bottom w:val="single" w:color="auto" w:sz="4" w:space="0"/>
                  </w:tcBorders>
                  <w:vAlign w:val="center"/>
                </w:tcPr>
                <w:p w14:paraId="33DD170A">
                  <w:pPr>
                    <w:jc w:val="center"/>
                    <w:rPr>
                      <w:b/>
                      <w:sz w:val="21"/>
                      <w:szCs w:val="21"/>
                    </w:rPr>
                  </w:pPr>
                  <w:r>
                    <w:rPr>
                      <w:b/>
                      <w:sz w:val="21"/>
                      <w:szCs w:val="21"/>
                    </w:rPr>
                    <w:t>污染物</w:t>
                  </w:r>
                </w:p>
              </w:tc>
              <w:tc>
                <w:tcPr>
                  <w:tcW w:w="1289" w:type="dxa"/>
                  <w:vMerge w:val="restart"/>
                  <w:tcBorders>
                    <w:bottom w:val="single" w:color="auto" w:sz="4" w:space="0"/>
                  </w:tcBorders>
                  <w:vAlign w:val="center"/>
                </w:tcPr>
                <w:p w14:paraId="0AED7671">
                  <w:pPr>
                    <w:jc w:val="center"/>
                    <w:rPr>
                      <w:b/>
                      <w:sz w:val="21"/>
                      <w:szCs w:val="21"/>
                    </w:rPr>
                  </w:pPr>
                  <w:r>
                    <w:rPr>
                      <w:rFonts w:hint="eastAsia"/>
                      <w:b/>
                      <w:sz w:val="21"/>
                      <w:szCs w:val="21"/>
                      <w:lang w:val="en-US" w:eastAsia="zh-CN"/>
                    </w:rPr>
                    <w:t>排放限值</w:t>
                  </w:r>
                  <w:r>
                    <w:rPr>
                      <w:b/>
                      <w:sz w:val="21"/>
                      <w:szCs w:val="21"/>
                    </w:rPr>
                    <w:t>mg/m</w:t>
                  </w:r>
                  <w:r>
                    <w:rPr>
                      <w:b/>
                      <w:sz w:val="21"/>
                      <w:szCs w:val="21"/>
                      <w:vertAlign w:val="superscript"/>
                    </w:rPr>
                    <w:t>3</w:t>
                  </w:r>
                </w:p>
              </w:tc>
              <w:tc>
                <w:tcPr>
                  <w:tcW w:w="1390" w:type="dxa"/>
                  <w:vMerge w:val="restart"/>
                  <w:vAlign w:val="center"/>
                </w:tcPr>
                <w:p w14:paraId="4252872C">
                  <w:pPr>
                    <w:jc w:val="center"/>
                    <w:rPr>
                      <w:rFonts w:hint="default" w:eastAsia="宋体"/>
                      <w:b/>
                      <w:sz w:val="21"/>
                      <w:szCs w:val="21"/>
                      <w:lang w:val="en-US" w:eastAsia="zh-CN"/>
                    </w:rPr>
                  </w:pPr>
                  <w:r>
                    <w:rPr>
                      <w:rFonts w:hint="eastAsia"/>
                      <w:b/>
                      <w:sz w:val="21"/>
                      <w:szCs w:val="21"/>
                      <w:lang w:val="en-US" w:eastAsia="zh-CN"/>
                    </w:rPr>
                    <w:t>污染物排放监控位置</w:t>
                  </w:r>
                </w:p>
              </w:tc>
              <w:tc>
                <w:tcPr>
                  <w:tcW w:w="2565" w:type="dxa"/>
                  <w:gridSpan w:val="2"/>
                  <w:tcBorders>
                    <w:bottom w:val="single" w:color="auto" w:sz="4" w:space="0"/>
                  </w:tcBorders>
                  <w:vAlign w:val="center"/>
                </w:tcPr>
                <w:p w14:paraId="2BD22D7F">
                  <w:pPr>
                    <w:jc w:val="center"/>
                    <w:rPr>
                      <w:b/>
                      <w:sz w:val="21"/>
                      <w:szCs w:val="21"/>
                    </w:rPr>
                  </w:pPr>
                  <w:r>
                    <w:rPr>
                      <w:rFonts w:hint="eastAsia"/>
                      <w:b/>
                      <w:sz w:val="21"/>
                      <w:szCs w:val="21"/>
                      <w:lang w:val="en-US" w:eastAsia="zh-CN"/>
                    </w:rPr>
                    <w:t>厂区内</w:t>
                  </w:r>
                  <w:r>
                    <w:rPr>
                      <w:b/>
                      <w:sz w:val="21"/>
                      <w:szCs w:val="21"/>
                    </w:rPr>
                    <w:t>无组织排放监控浓度限值</w:t>
                  </w:r>
                </w:p>
              </w:tc>
            </w:tr>
            <w:tr w14:paraId="289B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0" w:type="dxa"/>
                  <w:vMerge w:val="continue"/>
                  <w:vAlign w:val="center"/>
                </w:tcPr>
                <w:p w14:paraId="433EF212">
                  <w:pPr>
                    <w:jc w:val="center"/>
                    <w:rPr>
                      <w:b/>
                      <w:sz w:val="21"/>
                      <w:szCs w:val="21"/>
                    </w:rPr>
                  </w:pPr>
                </w:p>
              </w:tc>
              <w:tc>
                <w:tcPr>
                  <w:tcW w:w="1289" w:type="dxa"/>
                  <w:vMerge w:val="continue"/>
                  <w:vAlign w:val="center"/>
                </w:tcPr>
                <w:p w14:paraId="79B649AA">
                  <w:pPr>
                    <w:jc w:val="center"/>
                    <w:rPr>
                      <w:b/>
                      <w:sz w:val="21"/>
                      <w:szCs w:val="21"/>
                    </w:rPr>
                  </w:pPr>
                </w:p>
              </w:tc>
              <w:tc>
                <w:tcPr>
                  <w:tcW w:w="1390" w:type="dxa"/>
                  <w:vMerge w:val="continue"/>
                  <w:vAlign w:val="center"/>
                </w:tcPr>
                <w:p w14:paraId="7B00EB40">
                  <w:pPr>
                    <w:jc w:val="center"/>
                    <w:rPr>
                      <w:b/>
                      <w:sz w:val="21"/>
                      <w:szCs w:val="21"/>
                    </w:rPr>
                  </w:pPr>
                </w:p>
              </w:tc>
              <w:tc>
                <w:tcPr>
                  <w:tcW w:w="1576" w:type="dxa"/>
                  <w:vAlign w:val="center"/>
                </w:tcPr>
                <w:p w14:paraId="00417620">
                  <w:pPr>
                    <w:jc w:val="center"/>
                    <w:rPr>
                      <w:rFonts w:hint="default" w:eastAsia="宋体"/>
                      <w:b/>
                      <w:sz w:val="21"/>
                      <w:szCs w:val="21"/>
                      <w:lang w:val="en-US" w:eastAsia="zh-CN"/>
                    </w:rPr>
                  </w:pPr>
                  <w:r>
                    <w:rPr>
                      <w:rFonts w:hint="eastAsia"/>
                      <w:b/>
                      <w:sz w:val="21"/>
                      <w:szCs w:val="21"/>
                      <w:lang w:val="en-US" w:eastAsia="zh-CN"/>
                    </w:rPr>
                    <w:t>无组织排放监控位置</w:t>
                  </w:r>
                </w:p>
              </w:tc>
              <w:tc>
                <w:tcPr>
                  <w:tcW w:w="989" w:type="dxa"/>
                  <w:vAlign w:val="center"/>
                </w:tcPr>
                <w:p w14:paraId="25EDB139">
                  <w:pPr>
                    <w:jc w:val="center"/>
                    <w:rPr>
                      <w:b/>
                      <w:sz w:val="21"/>
                      <w:szCs w:val="21"/>
                    </w:rPr>
                  </w:pPr>
                  <w:r>
                    <w:rPr>
                      <w:b/>
                      <w:sz w:val="21"/>
                      <w:szCs w:val="21"/>
                    </w:rPr>
                    <w:t>浓度，mg/m</w:t>
                  </w:r>
                  <w:r>
                    <w:rPr>
                      <w:b/>
                      <w:sz w:val="21"/>
                      <w:szCs w:val="21"/>
                      <w:vertAlign w:val="superscript"/>
                    </w:rPr>
                    <w:t>3</w:t>
                  </w:r>
                </w:p>
              </w:tc>
            </w:tr>
            <w:tr w14:paraId="3552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0" w:type="dxa"/>
                  <w:vAlign w:val="center"/>
                </w:tcPr>
                <w:p w14:paraId="46716A66">
                  <w:pPr>
                    <w:jc w:val="center"/>
                    <w:rPr>
                      <w:bCs/>
                      <w:sz w:val="21"/>
                      <w:szCs w:val="21"/>
                    </w:rPr>
                  </w:pPr>
                  <w:r>
                    <w:rPr>
                      <w:rFonts w:hint="eastAsia"/>
                      <w:bCs/>
                      <w:sz w:val="21"/>
                      <w:szCs w:val="21"/>
                    </w:rPr>
                    <w:t>颗粒物</w:t>
                  </w:r>
                </w:p>
              </w:tc>
              <w:tc>
                <w:tcPr>
                  <w:tcW w:w="1289" w:type="dxa"/>
                  <w:vAlign w:val="center"/>
                </w:tcPr>
                <w:p w14:paraId="4712F688">
                  <w:pPr>
                    <w:jc w:val="center"/>
                    <w:rPr>
                      <w:rFonts w:hint="default" w:eastAsia="宋体"/>
                      <w:bCs/>
                      <w:sz w:val="21"/>
                      <w:szCs w:val="21"/>
                      <w:lang w:val="en-US" w:eastAsia="zh-CN"/>
                    </w:rPr>
                  </w:pPr>
                  <w:r>
                    <w:rPr>
                      <w:rFonts w:hint="eastAsia"/>
                      <w:bCs/>
                      <w:sz w:val="21"/>
                      <w:szCs w:val="21"/>
                      <w:lang w:val="en-US" w:eastAsia="zh-CN"/>
                    </w:rPr>
                    <w:t>15</w:t>
                  </w:r>
                </w:p>
              </w:tc>
              <w:tc>
                <w:tcPr>
                  <w:tcW w:w="1390" w:type="dxa"/>
                  <w:vAlign w:val="center"/>
                </w:tcPr>
                <w:p w14:paraId="543D1255">
                  <w:pPr>
                    <w:jc w:val="center"/>
                    <w:rPr>
                      <w:rFonts w:hint="default" w:eastAsia="宋体"/>
                      <w:bCs/>
                      <w:sz w:val="21"/>
                      <w:szCs w:val="21"/>
                      <w:lang w:val="en-US" w:eastAsia="zh-CN"/>
                    </w:rPr>
                  </w:pPr>
                  <w:r>
                    <w:rPr>
                      <w:rFonts w:hint="eastAsia"/>
                      <w:bCs/>
                      <w:sz w:val="21"/>
                      <w:szCs w:val="21"/>
                      <w:lang w:val="en-US" w:eastAsia="zh-CN"/>
                    </w:rPr>
                    <w:t>车间或生产设施排气筒出口</w:t>
                  </w:r>
                </w:p>
              </w:tc>
              <w:tc>
                <w:tcPr>
                  <w:tcW w:w="1576" w:type="dxa"/>
                  <w:vAlign w:val="center"/>
                </w:tcPr>
                <w:p w14:paraId="47E0A643">
                  <w:pPr>
                    <w:jc w:val="center"/>
                    <w:rPr>
                      <w:rFonts w:hint="default" w:eastAsia="宋体"/>
                      <w:bCs/>
                      <w:sz w:val="21"/>
                      <w:szCs w:val="21"/>
                      <w:lang w:val="en-US" w:eastAsia="zh-CN"/>
                    </w:rPr>
                  </w:pPr>
                  <w:r>
                    <w:rPr>
                      <w:rFonts w:hint="eastAsia"/>
                      <w:bCs/>
                      <w:sz w:val="21"/>
                      <w:szCs w:val="21"/>
                      <w:lang w:val="en-US" w:eastAsia="zh-CN"/>
                    </w:rPr>
                    <w:t>在厂房外设置监控点</w:t>
                  </w:r>
                </w:p>
              </w:tc>
              <w:tc>
                <w:tcPr>
                  <w:tcW w:w="989" w:type="dxa"/>
                  <w:vAlign w:val="center"/>
                </w:tcPr>
                <w:p w14:paraId="42367B21">
                  <w:pPr>
                    <w:jc w:val="center"/>
                    <w:rPr>
                      <w:bCs/>
                      <w:sz w:val="21"/>
                      <w:szCs w:val="21"/>
                    </w:rPr>
                  </w:pPr>
                  <w:r>
                    <w:rPr>
                      <w:rFonts w:hint="eastAsia"/>
                      <w:bCs/>
                      <w:sz w:val="21"/>
                      <w:szCs w:val="21"/>
                    </w:rPr>
                    <w:t>1.0</w:t>
                  </w:r>
                </w:p>
              </w:tc>
            </w:tr>
          </w:tbl>
          <w:p w14:paraId="3684917C">
            <w:pPr>
              <w:jc w:val="center"/>
              <w:rPr>
                <w:b/>
                <w:bCs/>
                <w:color w:val="auto"/>
              </w:rPr>
            </w:pPr>
            <w:r>
              <w:rPr>
                <w:rFonts w:hint="eastAsia"/>
                <w:b/>
                <w:bCs/>
                <w:color w:val="auto"/>
              </w:rPr>
              <w:t>表3-</w:t>
            </w:r>
            <w:r>
              <w:rPr>
                <w:rFonts w:hint="eastAsia"/>
                <w:b/>
                <w:bCs/>
                <w:color w:val="auto"/>
                <w:lang w:val="en-US" w:eastAsia="zh-CN"/>
              </w:rPr>
              <w:t>10</w:t>
            </w:r>
            <w:r>
              <w:rPr>
                <w:rFonts w:hint="eastAsia"/>
                <w:b/>
                <w:bCs/>
                <w:color w:val="auto"/>
              </w:rPr>
              <w:t xml:space="preserve">  大气污染物排放标准</w:t>
            </w:r>
          </w:p>
          <w:tbl>
            <w:tblPr>
              <w:tblStyle w:val="30"/>
              <w:tblW w:w="41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2662"/>
              <w:gridCol w:w="1671"/>
            </w:tblGrid>
            <w:tr w14:paraId="7345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246" w:type="dxa"/>
                  <w:vMerge w:val="restart"/>
                  <w:tcBorders>
                    <w:bottom w:val="single" w:color="auto" w:sz="4" w:space="0"/>
                  </w:tcBorders>
                  <w:vAlign w:val="center"/>
                </w:tcPr>
                <w:p w14:paraId="4B907606">
                  <w:pPr>
                    <w:jc w:val="center"/>
                    <w:rPr>
                      <w:b/>
                      <w:sz w:val="21"/>
                      <w:szCs w:val="21"/>
                    </w:rPr>
                  </w:pPr>
                  <w:r>
                    <w:rPr>
                      <w:b/>
                      <w:sz w:val="21"/>
                      <w:szCs w:val="21"/>
                    </w:rPr>
                    <w:t>污染物</w:t>
                  </w:r>
                </w:p>
              </w:tc>
              <w:tc>
                <w:tcPr>
                  <w:tcW w:w="4333" w:type="dxa"/>
                  <w:gridSpan w:val="2"/>
                  <w:tcBorders>
                    <w:bottom w:val="single" w:color="auto" w:sz="4" w:space="0"/>
                  </w:tcBorders>
                  <w:vAlign w:val="center"/>
                </w:tcPr>
                <w:p w14:paraId="4AEDA960">
                  <w:pPr>
                    <w:jc w:val="center"/>
                    <w:rPr>
                      <w:b/>
                      <w:sz w:val="21"/>
                      <w:szCs w:val="21"/>
                    </w:rPr>
                  </w:pPr>
                  <w:r>
                    <w:rPr>
                      <w:rFonts w:hint="eastAsia"/>
                      <w:b/>
                      <w:sz w:val="21"/>
                      <w:szCs w:val="21"/>
                      <w:lang w:val="en-US" w:eastAsia="zh-CN"/>
                    </w:rPr>
                    <w:t>厂界</w:t>
                  </w:r>
                  <w:r>
                    <w:rPr>
                      <w:b/>
                      <w:sz w:val="21"/>
                      <w:szCs w:val="21"/>
                    </w:rPr>
                    <w:t>无组织排放监控浓度限值</w:t>
                  </w:r>
                </w:p>
              </w:tc>
            </w:tr>
            <w:tr w14:paraId="3AD8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2246" w:type="dxa"/>
                  <w:vMerge w:val="continue"/>
                  <w:vAlign w:val="center"/>
                </w:tcPr>
                <w:p w14:paraId="06D236A0">
                  <w:pPr>
                    <w:jc w:val="center"/>
                    <w:rPr>
                      <w:b/>
                      <w:sz w:val="21"/>
                      <w:szCs w:val="21"/>
                    </w:rPr>
                  </w:pPr>
                </w:p>
              </w:tc>
              <w:tc>
                <w:tcPr>
                  <w:tcW w:w="2662" w:type="dxa"/>
                  <w:vAlign w:val="center"/>
                </w:tcPr>
                <w:p w14:paraId="7787F679">
                  <w:pPr>
                    <w:jc w:val="center"/>
                    <w:rPr>
                      <w:b/>
                      <w:sz w:val="21"/>
                      <w:szCs w:val="21"/>
                    </w:rPr>
                  </w:pPr>
                  <w:r>
                    <w:rPr>
                      <w:b/>
                      <w:sz w:val="21"/>
                      <w:szCs w:val="21"/>
                    </w:rPr>
                    <w:t>监控点</w:t>
                  </w:r>
                </w:p>
              </w:tc>
              <w:tc>
                <w:tcPr>
                  <w:tcW w:w="1671" w:type="dxa"/>
                  <w:vAlign w:val="center"/>
                </w:tcPr>
                <w:p w14:paraId="3E37C9D4">
                  <w:pPr>
                    <w:jc w:val="center"/>
                    <w:rPr>
                      <w:b/>
                      <w:sz w:val="21"/>
                      <w:szCs w:val="21"/>
                    </w:rPr>
                  </w:pPr>
                  <w:r>
                    <w:rPr>
                      <w:b/>
                      <w:sz w:val="21"/>
                      <w:szCs w:val="21"/>
                    </w:rPr>
                    <w:t>浓度，mg/m</w:t>
                  </w:r>
                  <w:r>
                    <w:rPr>
                      <w:b/>
                      <w:sz w:val="21"/>
                      <w:szCs w:val="21"/>
                      <w:vertAlign w:val="superscript"/>
                    </w:rPr>
                    <w:t>3</w:t>
                  </w:r>
                </w:p>
              </w:tc>
            </w:tr>
            <w:tr w14:paraId="47CD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2246" w:type="dxa"/>
                  <w:vAlign w:val="center"/>
                </w:tcPr>
                <w:p w14:paraId="0AEB1437">
                  <w:pPr>
                    <w:jc w:val="center"/>
                    <w:rPr>
                      <w:bCs/>
                      <w:sz w:val="21"/>
                      <w:szCs w:val="21"/>
                    </w:rPr>
                  </w:pPr>
                  <w:r>
                    <w:rPr>
                      <w:rFonts w:hint="eastAsia"/>
                      <w:bCs/>
                      <w:sz w:val="21"/>
                      <w:szCs w:val="21"/>
                    </w:rPr>
                    <w:t>颗粒物</w:t>
                  </w:r>
                </w:p>
              </w:tc>
              <w:tc>
                <w:tcPr>
                  <w:tcW w:w="2662" w:type="dxa"/>
                  <w:vAlign w:val="center"/>
                </w:tcPr>
                <w:p w14:paraId="782D8FD9">
                  <w:pPr>
                    <w:jc w:val="center"/>
                    <w:rPr>
                      <w:bCs/>
                      <w:sz w:val="21"/>
                      <w:szCs w:val="21"/>
                    </w:rPr>
                  </w:pPr>
                  <w:r>
                    <w:rPr>
                      <w:bCs/>
                      <w:sz w:val="21"/>
                      <w:szCs w:val="21"/>
                    </w:rPr>
                    <w:t>周界外浓度最高点</w:t>
                  </w:r>
                </w:p>
              </w:tc>
              <w:tc>
                <w:tcPr>
                  <w:tcW w:w="1671" w:type="dxa"/>
                  <w:vAlign w:val="center"/>
                </w:tcPr>
                <w:p w14:paraId="70D66158">
                  <w:pPr>
                    <w:jc w:val="center"/>
                    <w:rPr>
                      <w:bCs/>
                      <w:sz w:val="21"/>
                      <w:szCs w:val="21"/>
                    </w:rPr>
                  </w:pPr>
                  <w:r>
                    <w:rPr>
                      <w:rFonts w:hint="eastAsia"/>
                      <w:bCs/>
                      <w:sz w:val="21"/>
                      <w:szCs w:val="21"/>
                    </w:rPr>
                    <w:t>1.0</w:t>
                  </w:r>
                </w:p>
              </w:tc>
            </w:tr>
          </w:tbl>
          <w:p w14:paraId="5CC783B4">
            <w:pPr>
              <w:jc w:val="center"/>
              <w:rPr>
                <w:rFonts w:hint="eastAsia"/>
                <w:b/>
                <w:bCs/>
                <w:color w:val="auto"/>
              </w:rPr>
            </w:pPr>
          </w:p>
          <w:p w14:paraId="362B8B76">
            <w:pPr>
              <w:adjustRightInd w:val="0"/>
              <w:snapToGrid w:val="0"/>
              <w:spacing w:before="120" w:beforeLines="50" w:line="360" w:lineRule="auto"/>
              <w:rPr>
                <w:b/>
                <w:color w:val="000000"/>
              </w:rPr>
            </w:pPr>
            <w:r>
              <w:rPr>
                <w:b/>
                <w:color w:val="000000"/>
              </w:rPr>
              <w:t>3、噪声排放标准</w:t>
            </w:r>
          </w:p>
          <w:p w14:paraId="701F407D">
            <w:pPr>
              <w:adjustRightInd w:val="0"/>
              <w:snapToGrid w:val="0"/>
              <w:spacing w:line="360" w:lineRule="auto"/>
              <w:ind w:firstLine="480" w:firstLineChars="200"/>
              <w:rPr>
                <w:color w:val="000000"/>
              </w:rPr>
            </w:pPr>
            <w:r>
              <w:rPr>
                <w:rFonts w:hint="eastAsia"/>
                <w:color w:val="000000"/>
              </w:rPr>
              <w:t>施工期厂界噪声执行</w:t>
            </w:r>
            <w:r>
              <w:rPr>
                <w:color w:val="000000"/>
              </w:rPr>
              <w:t>《</w:t>
            </w:r>
            <w:r>
              <w:rPr>
                <w:rFonts w:hint="eastAsia"/>
                <w:color w:val="000000"/>
              </w:rPr>
              <w:t>建筑施工场</w:t>
            </w:r>
            <w:r>
              <w:rPr>
                <w:color w:val="000000"/>
              </w:rPr>
              <w:t>界环境噪声排放标准》（GB12</w:t>
            </w:r>
            <w:r>
              <w:rPr>
                <w:rFonts w:hint="eastAsia"/>
                <w:color w:val="000000"/>
              </w:rPr>
              <w:t>523</w:t>
            </w:r>
            <w:r>
              <w:rPr>
                <w:color w:val="000000"/>
              </w:rPr>
              <w:t>-20</w:t>
            </w:r>
            <w:r>
              <w:rPr>
                <w:rFonts w:hint="eastAsia"/>
                <w:color w:val="000000"/>
              </w:rPr>
              <w:t>11</w:t>
            </w:r>
            <w:r>
              <w:rPr>
                <w:color w:val="000000"/>
              </w:rPr>
              <w:t>）</w:t>
            </w:r>
            <w:r>
              <w:rPr>
                <w:rFonts w:hint="eastAsia"/>
                <w:color w:val="000000"/>
              </w:rPr>
              <w:t>，运营</w:t>
            </w:r>
            <w:r>
              <w:rPr>
                <w:color w:val="000000"/>
              </w:rPr>
              <w:t>期噪声执行《工业企业厂界环境噪声排放标准》（GB12348-2008）中</w:t>
            </w:r>
            <w:r>
              <w:rPr>
                <w:rFonts w:hint="eastAsia"/>
                <w:color w:val="000000"/>
              </w:rPr>
              <w:t>3</w:t>
            </w:r>
            <w:r>
              <w:rPr>
                <w:color w:val="000000"/>
              </w:rPr>
              <w:t>类标准。其标准限值见</w:t>
            </w:r>
            <w:r>
              <w:rPr>
                <w:rFonts w:hint="eastAsia"/>
                <w:color w:val="000000"/>
              </w:rPr>
              <w:t>下</w:t>
            </w:r>
            <w:r>
              <w:rPr>
                <w:color w:val="000000"/>
              </w:rPr>
              <w:t>表。</w:t>
            </w:r>
          </w:p>
          <w:p w14:paraId="0734D580">
            <w:pPr>
              <w:jc w:val="center"/>
              <w:rPr>
                <w:b/>
                <w:bCs/>
                <w:color w:val="000000"/>
              </w:rPr>
            </w:pPr>
            <w:r>
              <w:rPr>
                <w:b/>
                <w:bCs/>
                <w:color w:val="000000"/>
              </w:rPr>
              <w:t>表</w:t>
            </w:r>
            <w:r>
              <w:rPr>
                <w:rFonts w:hint="eastAsia"/>
                <w:b/>
                <w:bCs/>
                <w:color w:val="000000"/>
              </w:rPr>
              <w:t>3-</w:t>
            </w:r>
            <w:r>
              <w:rPr>
                <w:rFonts w:hint="eastAsia"/>
                <w:b/>
                <w:bCs/>
                <w:color w:val="000000"/>
                <w:lang w:val="en-US" w:eastAsia="zh-CN"/>
              </w:rPr>
              <w:t>11</w:t>
            </w:r>
            <w:r>
              <w:rPr>
                <w:rFonts w:hint="eastAsia"/>
                <w:b/>
                <w:bCs/>
                <w:color w:val="000000"/>
              </w:rPr>
              <w:t xml:space="preserve"> </w:t>
            </w:r>
            <w:r>
              <w:rPr>
                <w:b/>
                <w:bCs/>
                <w:color w:val="000000"/>
              </w:rPr>
              <w:t xml:space="preserve"> 建筑施工场界环境噪声排放</w:t>
            </w:r>
            <w:r>
              <w:rPr>
                <w:rFonts w:hint="eastAsia"/>
                <w:b/>
                <w:bCs/>
                <w:color w:val="000000"/>
              </w:rPr>
              <w:t>限值</w:t>
            </w:r>
            <w:r>
              <w:rPr>
                <w:b/>
                <w:bCs/>
                <w:color w:val="000000"/>
              </w:rPr>
              <w:t xml:space="preserve">  单位：dB（A）</w:t>
            </w:r>
          </w:p>
          <w:tbl>
            <w:tblPr>
              <w:tblStyle w:val="30"/>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0"/>
              <w:gridCol w:w="2385"/>
              <w:gridCol w:w="1966"/>
            </w:tblGrid>
            <w:tr w14:paraId="403F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0" w:type="pct"/>
                  <w:vAlign w:val="center"/>
                </w:tcPr>
                <w:p w14:paraId="403CBA7D">
                  <w:pPr>
                    <w:jc w:val="center"/>
                    <w:rPr>
                      <w:b/>
                      <w:bCs/>
                      <w:color w:val="000000"/>
                      <w:sz w:val="21"/>
                      <w:szCs w:val="21"/>
                    </w:rPr>
                  </w:pPr>
                  <w:r>
                    <w:rPr>
                      <w:b/>
                      <w:bCs/>
                      <w:color w:val="000000"/>
                      <w:sz w:val="21"/>
                      <w:szCs w:val="21"/>
                    </w:rPr>
                    <w:t>标准名称</w:t>
                  </w:r>
                </w:p>
              </w:tc>
              <w:tc>
                <w:tcPr>
                  <w:tcW w:w="1496" w:type="pct"/>
                  <w:vAlign w:val="center"/>
                </w:tcPr>
                <w:p w14:paraId="642C5F4C">
                  <w:pPr>
                    <w:jc w:val="center"/>
                    <w:rPr>
                      <w:b/>
                      <w:bCs/>
                      <w:color w:val="000000"/>
                      <w:sz w:val="21"/>
                      <w:szCs w:val="21"/>
                    </w:rPr>
                  </w:pPr>
                  <w:r>
                    <w:rPr>
                      <w:b/>
                      <w:bCs/>
                      <w:color w:val="000000"/>
                      <w:sz w:val="21"/>
                      <w:szCs w:val="21"/>
                    </w:rPr>
                    <w:t>昼间</w:t>
                  </w:r>
                </w:p>
              </w:tc>
              <w:tc>
                <w:tcPr>
                  <w:tcW w:w="1233" w:type="pct"/>
                  <w:vAlign w:val="center"/>
                </w:tcPr>
                <w:p w14:paraId="29603D37">
                  <w:pPr>
                    <w:jc w:val="center"/>
                    <w:rPr>
                      <w:b/>
                      <w:bCs/>
                      <w:color w:val="000000"/>
                      <w:sz w:val="21"/>
                      <w:szCs w:val="21"/>
                    </w:rPr>
                  </w:pPr>
                  <w:r>
                    <w:rPr>
                      <w:b/>
                      <w:bCs/>
                      <w:color w:val="000000"/>
                      <w:sz w:val="21"/>
                      <w:szCs w:val="21"/>
                    </w:rPr>
                    <w:t>夜间</w:t>
                  </w:r>
                </w:p>
              </w:tc>
            </w:tr>
            <w:tr w14:paraId="707E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0" w:type="pct"/>
                  <w:vAlign w:val="center"/>
                </w:tcPr>
                <w:p w14:paraId="28339BB7">
                  <w:pPr>
                    <w:jc w:val="center"/>
                    <w:rPr>
                      <w:color w:val="000000"/>
                      <w:sz w:val="21"/>
                      <w:szCs w:val="21"/>
                    </w:rPr>
                  </w:pPr>
                  <w:r>
                    <w:rPr>
                      <w:color w:val="000000"/>
                      <w:sz w:val="21"/>
                      <w:szCs w:val="21"/>
                    </w:rPr>
                    <w:t>建筑施工场界环境噪声排放标准</w:t>
                  </w:r>
                </w:p>
              </w:tc>
              <w:tc>
                <w:tcPr>
                  <w:tcW w:w="1496" w:type="pct"/>
                  <w:vAlign w:val="center"/>
                </w:tcPr>
                <w:p w14:paraId="2E8CB65E">
                  <w:pPr>
                    <w:jc w:val="center"/>
                    <w:rPr>
                      <w:color w:val="000000"/>
                      <w:sz w:val="21"/>
                      <w:szCs w:val="21"/>
                    </w:rPr>
                  </w:pPr>
                  <w:r>
                    <w:rPr>
                      <w:color w:val="000000"/>
                      <w:sz w:val="21"/>
                      <w:szCs w:val="21"/>
                    </w:rPr>
                    <w:t>70</w:t>
                  </w:r>
                </w:p>
              </w:tc>
              <w:tc>
                <w:tcPr>
                  <w:tcW w:w="1233" w:type="pct"/>
                  <w:vAlign w:val="center"/>
                </w:tcPr>
                <w:p w14:paraId="03F689E9">
                  <w:pPr>
                    <w:jc w:val="center"/>
                    <w:rPr>
                      <w:color w:val="000000"/>
                      <w:sz w:val="21"/>
                      <w:szCs w:val="21"/>
                    </w:rPr>
                  </w:pPr>
                  <w:r>
                    <w:rPr>
                      <w:color w:val="000000"/>
                      <w:sz w:val="21"/>
                      <w:szCs w:val="21"/>
                    </w:rPr>
                    <w:t>55</w:t>
                  </w:r>
                </w:p>
              </w:tc>
            </w:tr>
          </w:tbl>
          <w:p w14:paraId="38DD1AC4">
            <w:pPr>
              <w:adjustRightInd w:val="0"/>
              <w:snapToGrid w:val="0"/>
              <w:jc w:val="center"/>
              <w:rPr>
                <w:b/>
                <w:color w:val="000000"/>
              </w:rPr>
            </w:pPr>
          </w:p>
          <w:p w14:paraId="0CA15D06">
            <w:pPr>
              <w:adjustRightInd w:val="0"/>
              <w:snapToGrid w:val="0"/>
              <w:jc w:val="center"/>
              <w:rPr>
                <w:b/>
                <w:color w:val="000000"/>
              </w:rPr>
            </w:pPr>
            <w:r>
              <w:rPr>
                <w:rFonts w:hint="eastAsia"/>
                <w:b/>
                <w:color w:val="000000"/>
              </w:rPr>
              <w:t>表3-</w:t>
            </w:r>
            <w:r>
              <w:rPr>
                <w:rFonts w:hint="eastAsia"/>
                <w:b/>
                <w:color w:val="000000"/>
                <w:lang w:val="en-US" w:eastAsia="zh-CN"/>
              </w:rPr>
              <w:t>12</w:t>
            </w:r>
            <w:r>
              <w:rPr>
                <w:rFonts w:hint="eastAsia"/>
                <w:b/>
                <w:color w:val="000000"/>
              </w:rPr>
              <w:t xml:space="preserve">  工业企业厂界环境噪声排放标准 单位：dB（A）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9"/>
              <w:gridCol w:w="2380"/>
              <w:gridCol w:w="1965"/>
            </w:tblGrid>
            <w:tr w14:paraId="486B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5" w:type="dxa"/>
                  <w:vAlign w:val="center"/>
                </w:tcPr>
                <w:p w14:paraId="4EB72B33">
                  <w:pPr>
                    <w:autoSpaceDE w:val="0"/>
                    <w:autoSpaceDN w:val="0"/>
                    <w:adjustRightInd w:val="0"/>
                    <w:snapToGrid w:val="0"/>
                    <w:spacing w:before="48" w:beforeLines="20"/>
                    <w:jc w:val="center"/>
                    <w:rPr>
                      <w:b/>
                      <w:color w:val="000000"/>
                      <w:sz w:val="21"/>
                      <w:szCs w:val="21"/>
                      <w:lang w:val="zh-CN"/>
                    </w:rPr>
                  </w:pPr>
                  <w:r>
                    <w:rPr>
                      <w:b/>
                      <w:color w:val="000000"/>
                      <w:sz w:val="21"/>
                      <w:szCs w:val="21"/>
                      <w:lang w:val="zh-CN"/>
                    </w:rPr>
                    <w:t>声环境功能区类别</w:t>
                  </w:r>
                </w:p>
              </w:tc>
              <w:tc>
                <w:tcPr>
                  <w:tcW w:w="2643" w:type="dxa"/>
                  <w:vAlign w:val="center"/>
                </w:tcPr>
                <w:p w14:paraId="6CF5A087">
                  <w:pPr>
                    <w:autoSpaceDE w:val="0"/>
                    <w:autoSpaceDN w:val="0"/>
                    <w:adjustRightInd w:val="0"/>
                    <w:snapToGrid w:val="0"/>
                    <w:spacing w:before="48" w:beforeLines="20"/>
                    <w:jc w:val="center"/>
                    <w:rPr>
                      <w:b/>
                      <w:color w:val="000000"/>
                      <w:sz w:val="21"/>
                      <w:szCs w:val="21"/>
                      <w:lang w:val="zh-CN"/>
                    </w:rPr>
                  </w:pPr>
                  <w:r>
                    <w:rPr>
                      <w:b/>
                      <w:color w:val="000000"/>
                      <w:sz w:val="21"/>
                      <w:szCs w:val="21"/>
                      <w:lang w:val="zh-CN"/>
                    </w:rPr>
                    <w:t>昼间</w:t>
                  </w:r>
                </w:p>
              </w:tc>
              <w:tc>
                <w:tcPr>
                  <w:tcW w:w="2177" w:type="dxa"/>
                  <w:vAlign w:val="center"/>
                </w:tcPr>
                <w:p w14:paraId="736D160A">
                  <w:pPr>
                    <w:autoSpaceDE w:val="0"/>
                    <w:autoSpaceDN w:val="0"/>
                    <w:adjustRightInd w:val="0"/>
                    <w:snapToGrid w:val="0"/>
                    <w:spacing w:before="48" w:beforeLines="20"/>
                    <w:jc w:val="center"/>
                    <w:rPr>
                      <w:b/>
                      <w:color w:val="000000"/>
                      <w:sz w:val="21"/>
                      <w:szCs w:val="21"/>
                      <w:lang w:val="zh-CN"/>
                    </w:rPr>
                  </w:pPr>
                  <w:r>
                    <w:rPr>
                      <w:b/>
                      <w:color w:val="000000"/>
                      <w:sz w:val="21"/>
                      <w:szCs w:val="21"/>
                      <w:lang w:val="zh-CN"/>
                    </w:rPr>
                    <w:t>夜间</w:t>
                  </w:r>
                </w:p>
              </w:tc>
            </w:tr>
            <w:tr w14:paraId="7186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035" w:type="dxa"/>
                  <w:vAlign w:val="center"/>
                </w:tcPr>
                <w:p w14:paraId="774B5766">
                  <w:pPr>
                    <w:autoSpaceDE w:val="0"/>
                    <w:autoSpaceDN w:val="0"/>
                    <w:adjustRightInd w:val="0"/>
                    <w:snapToGrid w:val="0"/>
                    <w:spacing w:before="48" w:beforeLines="20"/>
                    <w:jc w:val="center"/>
                    <w:rPr>
                      <w:bCs/>
                      <w:color w:val="000000"/>
                      <w:sz w:val="21"/>
                      <w:szCs w:val="21"/>
                      <w:lang w:val="zh-CN"/>
                    </w:rPr>
                  </w:pPr>
                  <w:r>
                    <w:rPr>
                      <w:rFonts w:hint="eastAsia"/>
                      <w:bCs/>
                      <w:color w:val="000000"/>
                      <w:sz w:val="21"/>
                      <w:szCs w:val="21"/>
                    </w:rPr>
                    <w:t>3</w:t>
                  </w:r>
                  <w:r>
                    <w:rPr>
                      <w:bCs/>
                      <w:color w:val="000000"/>
                      <w:sz w:val="21"/>
                      <w:szCs w:val="21"/>
                      <w:lang w:val="zh-CN"/>
                    </w:rPr>
                    <w:t>类</w:t>
                  </w:r>
                </w:p>
              </w:tc>
              <w:tc>
                <w:tcPr>
                  <w:tcW w:w="2643" w:type="dxa"/>
                  <w:vAlign w:val="center"/>
                </w:tcPr>
                <w:p w14:paraId="33F7F88F">
                  <w:pPr>
                    <w:autoSpaceDE w:val="0"/>
                    <w:autoSpaceDN w:val="0"/>
                    <w:adjustRightInd w:val="0"/>
                    <w:snapToGrid w:val="0"/>
                    <w:spacing w:before="48" w:beforeLines="20"/>
                    <w:jc w:val="center"/>
                    <w:rPr>
                      <w:bCs/>
                      <w:color w:val="000000"/>
                      <w:sz w:val="21"/>
                      <w:szCs w:val="21"/>
                    </w:rPr>
                  </w:pPr>
                  <w:r>
                    <w:rPr>
                      <w:rFonts w:hint="eastAsia"/>
                      <w:bCs/>
                      <w:color w:val="000000"/>
                      <w:sz w:val="21"/>
                      <w:szCs w:val="21"/>
                    </w:rPr>
                    <w:t>65</w:t>
                  </w:r>
                </w:p>
              </w:tc>
              <w:tc>
                <w:tcPr>
                  <w:tcW w:w="2177" w:type="dxa"/>
                  <w:vAlign w:val="center"/>
                </w:tcPr>
                <w:p w14:paraId="7F4F0438">
                  <w:pPr>
                    <w:autoSpaceDE w:val="0"/>
                    <w:autoSpaceDN w:val="0"/>
                    <w:adjustRightInd w:val="0"/>
                    <w:snapToGrid w:val="0"/>
                    <w:spacing w:before="48" w:beforeLines="20"/>
                    <w:jc w:val="center"/>
                    <w:rPr>
                      <w:bCs/>
                      <w:color w:val="000000"/>
                      <w:sz w:val="21"/>
                      <w:szCs w:val="21"/>
                    </w:rPr>
                  </w:pPr>
                  <w:r>
                    <w:rPr>
                      <w:rFonts w:hint="eastAsia"/>
                      <w:bCs/>
                      <w:color w:val="000000"/>
                      <w:sz w:val="21"/>
                      <w:szCs w:val="21"/>
                    </w:rPr>
                    <w:t>55</w:t>
                  </w:r>
                </w:p>
              </w:tc>
            </w:tr>
          </w:tbl>
          <w:p w14:paraId="419D4D05">
            <w:pPr>
              <w:adjustRightInd w:val="0"/>
              <w:snapToGrid w:val="0"/>
              <w:spacing w:before="120" w:beforeLines="50" w:line="360" w:lineRule="auto"/>
              <w:rPr>
                <w:b/>
                <w:bCs/>
                <w:color w:val="000000"/>
                <w:szCs w:val="32"/>
              </w:rPr>
            </w:pPr>
            <w:r>
              <w:rPr>
                <w:b/>
                <w:bCs/>
                <w:color w:val="000000"/>
                <w:szCs w:val="32"/>
              </w:rPr>
              <w:t>4、固废排放标准</w:t>
            </w:r>
          </w:p>
          <w:p w14:paraId="443DF607">
            <w:pPr>
              <w:pStyle w:val="26"/>
              <w:adjustRightInd w:val="0"/>
              <w:snapToGrid w:val="0"/>
              <w:spacing w:before="0" w:beforeAutospacing="0" w:after="0" w:afterAutospacing="0" w:line="360" w:lineRule="auto"/>
              <w:ind w:firstLine="480" w:firstLineChars="200"/>
              <w:outlineLvl w:val="0"/>
              <w:rPr>
                <w:rFonts w:ascii="Times New Roman" w:hAnsi="Times New Roman"/>
                <w:szCs w:val="24"/>
              </w:rPr>
            </w:pPr>
            <w:r>
              <w:rPr>
                <w:rFonts w:ascii="Times New Roman" w:hAnsi="Times New Roman"/>
                <w:color w:val="000000"/>
                <w:szCs w:val="24"/>
              </w:rPr>
              <w:t>一般固废参照《一般工业固体废物贮存和填埋污染控制标准》（GB18599-2020）</w:t>
            </w:r>
            <w:r>
              <w:rPr>
                <w:rFonts w:hint="eastAsia" w:ascii="Times New Roman" w:hAnsi="Times New Roman"/>
                <w:color w:val="000000"/>
                <w:szCs w:val="24"/>
              </w:rPr>
              <w:t>中要求执行</w:t>
            </w:r>
            <w:r>
              <w:rPr>
                <w:rFonts w:hint="eastAsia" w:ascii="Times New Roman" w:hAnsi="Times New Roman"/>
                <w:color w:val="000000"/>
                <w:szCs w:val="24"/>
                <w:lang w:eastAsia="zh-CN"/>
              </w:rPr>
              <w:t>；</w:t>
            </w:r>
            <w:r>
              <w:rPr>
                <w:rFonts w:hint="eastAsia" w:ascii="Times New Roman" w:hAnsi="Times New Roman"/>
                <w:color w:val="000000"/>
                <w:szCs w:val="24"/>
              </w:rPr>
              <w:t>危险废物按《危险废物贮存污染控制标准》（GB18597-2023）中要求执行</w:t>
            </w:r>
            <w:r>
              <w:rPr>
                <w:rFonts w:ascii="Times New Roman" w:hAnsi="Times New Roman"/>
                <w:color w:val="000000"/>
                <w:szCs w:val="24"/>
              </w:rPr>
              <w:t>。</w:t>
            </w:r>
          </w:p>
        </w:tc>
      </w:tr>
      <w:tr w14:paraId="1DF19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800" w:type="dxa"/>
            <w:vAlign w:val="center"/>
          </w:tcPr>
          <w:p w14:paraId="66B8819F">
            <w:pPr>
              <w:adjustRightInd w:val="0"/>
              <w:snapToGrid w:val="0"/>
              <w:rPr>
                <w:kern w:val="0"/>
              </w:rPr>
            </w:pPr>
          </w:p>
          <w:p w14:paraId="6F1C23AC">
            <w:pPr>
              <w:adjustRightInd w:val="0"/>
              <w:snapToGrid w:val="0"/>
              <w:jc w:val="center"/>
              <w:rPr>
                <w:kern w:val="0"/>
              </w:rPr>
            </w:pPr>
            <w:r>
              <w:rPr>
                <w:kern w:val="0"/>
              </w:rPr>
              <w:t>总量</w:t>
            </w:r>
          </w:p>
          <w:p w14:paraId="394CEF8D">
            <w:pPr>
              <w:adjustRightInd w:val="0"/>
              <w:snapToGrid w:val="0"/>
              <w:jc w:val="center"/>
              <w:rPr>
                <w:kern w:val="0"/>
              </w:rPr>
            </w:pPr>
            <w:r>
              <w:rPr>
                <w:kern w:val="0"/>
              </w:rPr>
              <w:t>控制</w:t>
            </w:r>
          </w:p>
          <w:p w14:paraId="49179955">
            <w:pPr>
              <w:pStyle w:val="26"/>
              <w:adjustRightInd w:val="0"/>
              <w:snapToGrid w:val="0"/>
              <w:spacing w:before="0" w:beforeAutospacing="0" w:after="0" w:afterAutospacing="0" w:line="360" w:lineRule="auto"/>
              <w:jc w:val="center"/>
              <w:outlineLvl w:val="0"/>
              <w:rPr>
                <w:rFonts w:ascii="Times New Roman" w:hAnsi="Times New Roman"/>
                <w:snapToGrid w:val="0"/>
                <w:color w:val="000000"/>
                <w:szCs w:val="24"/>
              </w:rPr>
            </w:pPr>
            <w:r>
              <w:rPr>
                <w:rFonts w:ascii="Times New Roman" w:hAnsi="Times New Roman"/>
                <w:szCs w:val="24"/>
              </w:rPr>
              <w:t>指标</w:t>
            </w:r>
          </w:p>
        </w:tc>
        <w:tc>
          <w:tcPr>
            <w:tcW w:w="8190" w:type="dxa"/>
          </w:tcPr>
          <w:p w14:paraId="0CA5759A">
            <w:pPr>
              <w:pStyle w:val="26"/>
              <w:tabs>
                <w:tab w:val="left" w:pos="805"/>
              </w:tabs>
              <w:adjustRightInd w:val="0"/>
              <w:snapToGrid w:val="0"/>
              <w:spacing w:before="0" w:beforeAutospacing="0" w:after="0" w:afterAutospacing="0" w:line="360" w:lineRule="auto"/>
              <w:ind w:firstLine="480" w:firstLineChars="200"/>
              <w:jc w:val="both"/>
              <w:outlineLvl w:val="0"/>
              <w:rPr>
                <w:rFonts w:ascii="Times New Roman" w:hAnsi="Times New Roman"/>
                <w:color w:val="0000FF"/>
              </w:rPr>
            </w:pPr>
          </w:p>
          <w:p w14:paraId="08644AF7">
            <w:pPr>
              <w:pStyle w:val="26"/>
              <w:tabs>
                <w:tab w:val="left" w:pos="805"/>
              </w:tabs>
              <w:adjustRightInd w:val="0"/>
              <w:snapToGrid w:val="0"/>
              <w:spacing w:before="0" w:beforeAutospacing="0" w:after="0" w:afterAutospacing="0" w:line="360" w:lineRule="auto"/>
              <w:ind w:firstLine="480" w:firstLineChars="200"/>
              <w:jc w:val="both"/>
              <w:outlineLvl w:val="0"/>
              <w:rPr>
                <w:rFonts w:ascii="Times New Roman" w:hAnsi="Times New Roman"/>
                <w:color w:val="0000FF"/>
              </w:rPr>
            </w:pPr>
          </w:p>
          <w:p w14:paraId="7DB3BECC">
            <w:pPr>
              <w:spacing w:line="360" w:lineRule="auto"/>
              <w:ind w:firstLine="480" w:firstLineChars="200"/>
              <w:rPr>
                <w:rFonts w:ascii="Times New Roman" w:hAnsi="Times New Roman" w:eastAsia="宋体" w:cs="Times New Roman"/>
              </w:rPr>
            </w:pPr>
            <w:r>
              <w:rPr>
                <w:rFonts w:ascii="Times New Roman" w:hAnsi="Times New Roman" w:eastAsia="宋体" w:cs="Times New Roman"/>
              </w:rPr>
              <w:t>根据</w:t>
            </w:r>
            <w:r>
              <w:rPr>
                <w:rFonts w:ascii="宋体" w:hAnsi="宋体" w:eastAsia="宋体" w:cs="宋体"/>
              </w:rPr>
              <w:t>安徽省</w:t>
            </w:r>
            <w:r>
              <w:rPr>
                <w:rFonts w:ascii="Times New Roman" w:hAnsi="Times New Roman" w:eastAsia="宋体" w:cs="Times New Roman"/>
              </w:rPr>
              <w:t>主要污染物排放总量控制计划，总量控制因子为二氧化硫、氮氧化物、烟（粉）尘、挥发性有机物、COD和氨氮。本项目涉及的废气总量控制因子为烟（粉）尘。核算本项目污染总量控制指标，具体如下：</w:t>
            </w:r>
          </w:p>
          <w:p w14:paraId="3B84EB2C">
            <w:pPr>
              <w:spacing w:line="360" w:lineRule="auto"/>
              <w:ind w:firstLine="480" w:firstLineChars="200"/>
              <w:rPr>
                <w:rFonts w:ascii="Times New Roman" w:hAnsi="Times New Roman" w:eastAsia="宋体" w:cs="Times New Roman"/>
              </w:rPr>
            </w:pPr>
            <w:r>
              <w:rPr>
                <w:rFonts w:ascii="Times New Roman" w:hAnsi="Times New Roman" w:eastAsia="宋体" w:cs="Times New Roman"/>
              </w:rPr>
              <w:t>（1）废水</w:t>
            </w:r>
          </w:p>
          <w:p w14:paraId="28CB05F9">
            <w:pPr>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项目</w:t>
            </w:r>
            <w:r>
              <w:rPr>
                <w:rFonts w:hint="eastAsia" w:ascii="Times New Roman" w:hAnsi="Times New Roman" w:eastAsia="宋体" w:cs="Times New Roman"/>
                <w:color w:val="auto"/>
              </w:rPr>
              <w:t>产生的废水</w:t>
            </w:r>
            <w:r>
              <w:rPr>
                <w:rFonts w:ascii="Times New Roman" w:hAnsi="Times New Roman" w:eastAsia="宋体" w:cs="Times New Roman"/>
                <w:color w:val="auto"/>
              </w:rPr>
              <w:t>经处理</w:t>
            </w:r>
            <w:r>
              <w:rPr>
                <w:rFonts w:hint="eastAsia" w:ascii="Times New Roman" w:hAnsi="Times New Roman" w:eastAsia="宋体" w:cs="Times New Roman"/>
                <w:color w:val="auto"/>
              </w:rPr>
              <w:t>后</w:t>
            </w:r>
            <w:r>
              <w:rPr>
                <w:rFonts w:ascii="Times New Roman" w:hAnsi="Times New Roman" w:eastAsia="宋体" w:cs="Times New Roman"/>
                <w:color w:val="auto"/>
              </w:rPr>
              <w:t>，进入</w:t>
            </w:r>
            <w:r>
              <w:rPr>
                <w:rFonts w:hint="eastAsia" w:ascii="Times New Roman" w:hAnsi="Times New Roman" w:eastAsia="宋体" w:cs="Times New Roman"/>
                <w:color w:val="auto"/>
                <w:lang w:val="en-US" w:eastAsia="zh-CN"/>
              </w:rPr>
              <w:t>泗县工业</w:t>
            </w:r>
            <w:r>
              <w:rPr>
                <w:rFonts w:hint="eastAsia" w:ascii="Times New Roman" w:hAnsi="Times New Roman" w:eastAsia="宋体" w:cs="Times New Roman"/>
                <w:color w:val="auto"/>
              </w:rPr>
              <w:t>污水处理厂</w:t>
            </w:r>
            <w:r>
              <w:rPr>
                <w:rFonts w:ascii="Times New Roman" w:hAnsi="Times New Roman" w:eastAsia="宋体" w:cs="Times New Roman"/>
                <w:color w:val="auto"/>
              </w:rPr>
              <w:t>处理，项目的总量纳入</w:t>
            </w:r>
            <w:r>
              <w:rPr>
                <w:rFonts w:hint="eastAsia" w:ascii="Times New Roman" w:hAnsi="Times New Roman" w:eastAsia="宋体" w:cs="Times New Roman"/>
                <w:color w:val="auto"/>
              </w:rPr>
              <w:t>污水处理厂</w:t>
            </w:r>
            <w:r>
              <w:rPr>
                <w:rFonts w:ascii="Times New Roman" w:hAnsi="Times New Roman" w:eastAsia="宋体" w:cs="Times New Roman"/>
                <w:color w:val="auto"/>
              </w:rPr>
              <w:t>总量控制指标，无需</w:t>
            </w:r>
            <w:r>
              <w:rPr>
                <w:rFonts w:hint="eastAsia" w:ascii="Times New Roman" w:hAnsi="Times New Roman" w:eastAsia="宋体" w:cs="Times New Roman"/>
                <w:color w:val="auto"/>
              </w:rPr>
              <w:t>单独</w:t>
            </w:r>
            <w:r>
              <w:rPr>
                <w:rFonts w:ascii="Times New Roman" w:hAnsi="Times New Roman" w:eastAsia="宋体" w:cs="Times New Roman"/>
                <w:color w:val="auto"/>
              </w:rPr>
              <w:t>申请总量指标。</w:t>
            </w:r>
          </w:p>
          <w:p w14:paraId="2B0E7954">
            <w:pPr>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（2）废气</w:t>
            </w:r>
          </w:p>
          <w:p w14:paraId="3AFDF7B2">
            <w:pPr>
              <w:adjustRightInd w:val="0"/>
              <w:snapToGrid w:val="0"/>
              <w:spacing w:line="360" w:lineRule="auto"/>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rPr>
              <w:t>根据《建设项目主要污染物排放总量指标核定表（试行）》项目主要污染物排放总量控制目标，本项目许可排放总量为：</w:t>
            </w:r>
            <w:r>
              <w:rPr>
                <w:rFonts w:ascii="Times New Roman" w:hAnsi="Times New Roman" w:eastAsia="宋体" w:cs="Times New Roman"/>
                <w:color w:val="auto"/>
                <w:kern w:val="0"/>
              </w:rPr>
              <w:t>烟（粉）尘：</w:t>
            </w:r>
            <w:r>
              <w:rPr>
                <w:rFonts w:hint="eastAsia" w:cs="Times New Roman"/>
                <w:color w:val="auto"/>
                <w:kern w:val="0"/>
                <w:lang w:val="en-US" w:eastAsia="zh-CN"/>
              </w:rPr>
              <w:t>0.4</w:t>
            </w:r>
            <w:r>
              <w:rPr>
                <w:rFonts w:ascii="Times New Roman" w:hAnsi="Times New Roman" w:eastAsia="宋体" w:cs="Times New Roman"/>
                <w:color w:val="auto"/>
                <w:kern w:val="0"/>
              </w:rPr>
              <w:t>t/a</w:t>
            </w:r>
            <w:r>
              <w:rPr>
                <w:rFonts w:hint="eastAsia" w:cs="Times New Roman"/>
                <w:color w:val="auto"/>
                <w:kern w:val="0"/>
                <w:lang w:eastAsia="zh-CN"/>
              </w:rPr>
              <w:t>，</w:t>
            </w:r>
            <w:r>
              <w:rPr>
                <w:rFonts w:hint="eastAsia" w:cs="Times New Roman"/>
                <w:color w:val="auto"/>
                <w:kern w:val="0"/>
                <w:lang w:val="en-US" w:eastAsia="zh-CN"/>
              </w:rPr>
              <w:t>非甲烷总烃：0.324</w:t>
            </w:r>
            <w:r>
              <w:rPr>
                <w:rFonts w:ascii="Times New Roman" w:hAnsi="Times New Roman" w:eastAsia="宋体" w:cs="Times New Roman"/>
                <w:color w:val="auto"/>
                <w:kern w:val="0"/>
              </w:rPr>
              <w:t>t/a</w:t>
            </w:r>
            <w:r>
              <w:rPr>
                <w:rFonts w:hint="eastAsia" w:ascii="Times New Roman" w:hAnsi="Times New Roman" w:eastAsia="宋体" w:cs="Times New Roman"/>
                <w:color w:val="auto"/>
              </w:rPr>
              <w:t>。</w:t>
            </w:r>
          </w:p>
          <w:p w14:paraId="36DB6315">
            <w:pPr>
              <w:pStyle w:val="26"/>
              <w:tabs>
                <w:tab w:val="left" w:pos="805"/>
              </w:tabs>
              <w:adjustRightInd w:val="0"/>
              <w:snapToGrid w:val="0"/>
              <w:spacing w:before="0" w:beforeAutospacing="0" w:after="0" w:afterAutospacing="0" w:line="360" w:lineRule="auto"/>
              <w:ind w:firstLine="480" w:firstLineChars="200"/>
              <w:jc w:val="both"/>
              <w:outlineLvl w:val="0"/>
              <w:rPr>
                <w:rFonts w:ascii="Times New Roman" w:hAnsi="Times New Roman"/>
                <w:color w:val="000000"/>
                <w:szCs w:val="24"/>
              </w:rPr>
            </w:pPr>
            <w:r>
              <w:rPr>
                <w:rFonts w:hint="eastAsia" w:ascii="Times New Roman" w:hAnsi="Times New Roman" w:eastAsia="宋体" w:cs="Times New Roman"/>
                <w:color w:val="auto"/>
                <w:kern w:val="0"/>
              </w:rPr>
              <w:t>根据计算</w:t>
            </w:r>
            <w:r>
              <w:rPr>
                <w:rFonts w:ascii="Times New Roman" w:hAnsi="Times New Roman" w:eastAsia="宋体" w:cs="Times New Roman"/>
                <w:color w:val="auto"/>
                <w:kern w:val="0"/>
              </w:rPr>
              <w:t>本项目排放总量为：烟（粉）尘：</w:t>
            </w:r>
            <w:r>
              <w:rPr>
                <w:rFonts w:hint="eastAsia" w:ascii="Times New Roman" w:hAnsi="Times New Roman" w:cs="Times New Roman"/>
                <w:color w:val="auto"/>
                <w:szCs w:val="32"/>
                <w:lang w:val="en-US" w:eastAsia="zh-CN"/>
              </w:rPr>
              <w:t>0.3321</w:t>
            </w:r>
            <w:r>
              <w:rPr>
                <w:rFonts w:ascii="Times New Roman" w:hAnsi="Times New Roman" w:eastAsia="宋体" w:cs="Times New Roman"/>
                <w:color w:val="auto"/>
                <w:kern w:val="0"/>
              </w:rPr>
              <w:t>t/a</w:t>
            </w:r>
            <w:r>
              <w:rPr>
                <w:rFonts w:hint="eastAsia" w:ascii="Times New Roman" w:hAnsi="Times New Roman" w:eastAsia="宋体" w:cs="Times New Roman"/>
                <w:color w:val="auto"/>
                <w:kern w:val="0"/>
              </w:rPr>
              <w:t>，</w:t>
            </w:r>
            <w:r>
              <w:rPr>
                <w:rFonts w:hint="eastAsia" w:ascii="Times New Roman" w:hAnsi="Times New Roman" w:eastAsia="宋体" w:cs="Times New Roman"/>
                <w:color w:val="auto"/>
                <w:szCs w:val="32"/>
              </w:rPr>
              <w:t>符合总量控制要求。</w:t>
            </w:r>
          </w:p>
        </w:tc>
      </w:tr>
    </w:tbl>
    <w:p w14:paraId="500412AC">
      <w:pPr>
        <w:pStyle w:val="26"/>
        <w:jc w:val="both"/>
        <w:outlineLvl w:val="0"/>
        <w:rPr>
          <w:rFonts w:ascii="黑体" w:hAnsi="黑体" w:eastAsia="黑体"/>
          <w:snapToGrid w:val="0"/>
          <w:sz w:val="36"/>
          <w:szCs w:val="36"/>
        </w:rPr>
        <w:sectPr>
          <w:pgSz w:w="11907" w:h="16840"/>
          <w:pgMar w:top="1701" w:right="1531" w:bottom="2127" w:left="1531" w:header="851" w:footer="851" w:gutter="0"/>
          <w:cols w:space="720" w:num="1"/>
          <w:docGrid w:linePitch="312" w:charSpace="0"/>
        </w:sectPr>
      </w:pPr>
    </w:p>
    <w:p w14:paraId="4E1D1F7A">
      <w:pPr>
        <w:pStyle w:val="26"/>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30"/>
        <w:tblW w:w="90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210"/>
      </w:tblGrid>
      <w:tr w14:paraId="3FA99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4" w:hRule="atLeast"/>
          <w:jc w:val="center"/>
        </w:trPr>
        <w:tc>
          <w:tcPr>
            <w:tcW w:w="834" w:type="dxa"/>
            <w:tcMar>
              <w:left w:w="28" w:type="dxa"/>
              <w:right w:w="28" w:type="dxa"/>
            </w:tcMar>
            <w:vAlign w:val="center"/>
          </w:tcPr>
          <w:p w14:paraId="2AF981C4">
            <w:pPr>
              <w:pStyle w:val="26"/>
              <w:adjustRightInd w:val="0"/>
              <w:snapToGrid w:val="0"/>
              <w:spacing w:before="0" w:beforeAutospacing="0" w:after="0" w:afterAutospacing="0"/>
              <w:jc w:val="center"/>
              <w:rPr>
                <w:rFonts w:cs="宋体"/>
                <w:kern w:val="2"/>
                <w:szCs w:val="24"/>
              </w:rPr>
            </w:pPr>
            <w:r>
              <w:rPr>
                <w:rFonts w:hint="eastAsia" w:cs="宋体"/>
                <w:kern w:val="2"/>
                <w:szCs w:val="24"/>
              </w:rPr>
              <w:t>施工</w:t>
            </w:r>
          </w:p>
          <w:p w14:paraId="2C55DADC">
            <w:pPr>
              <w:pStyle w:val="26"/>
              <w:adjustRightInd w:val="0"/>
              <w:snapToGrid w:val="0"/>
              <w:spacing w:before="0" w:beforeAutospacing="0" w:after="0" w:afterAutospacing="0"/>
              <w:jc w:val="center"/>
              <w:rPr>
                <w:rFonts w:cs="宋体"/>
                <w:kern w:val="2"/>
                <w:szCs w:val="24"/>
              </w:rPr>
            </w:pPr>
            <w:r>
              <w:rPr>
                <w:rFonts w:hint="eastAsia" w:cs="宋体"/>
                <w:kern w:val="2"/>
                <w:szCs w:val="24"/>
              </w:rPr>
              <w:t>期环</w:t>
            </w:r>
          </w:p>
          <w:p w14:paraId="53216D4E">
            <w:pPr>
              <w:pStyle w:val="26"/>
              <w:adjustRightInd w:val="0"/>
              <w:snapToGrid w:val="0"/>
              <w:spacing w:before="0" w:beforeAutospacing="0" w:after="0" w:afterAutospacing="0"/>
              <w:jc w:val="center"/>
              <w:rPr>
                <w:rFonts w:cs="宋体"/>
                <w:kern w:val="2"/>
                <w:szCs w:val="24"/>
              </w:rPr>
            </w:pPr>
            <w:r>
              <w:rPr>
                <w:rFonts w:hint="eastAsia" w:cs="宋体"/>
                <w:kern w:val="2"/>
                <w:szCs w:val="24"/>
              </w:rPr>
              <w:t>境保</w:t>
            </w:r>
          </w:p>
          <w:p w14:paraId="672357AD">
            <w:pPr>
              <w:pStyle w:val="26"/>
              <w:adjustRightInd w:val="0"/>
              <w:snapToGrid w:val="0"/>
              <w:spacing w:before="0" w:beforeAutospacing="0" w:after="0" w:afterAutospacing="0"/>
              <w:jc w:val="center"/>
              <w:rPr>
                <w:rFonts w:cs="宋体"/>
                <w:kern w:val="2"/>
                <w:szCs w:val="24"/>
              </w:rPr>
            </w:pPr>
            <w:r>
              <w:rPr>
                <w:rFonts w:hint="eastAsia" w:cs="宋体"/>
                <w:kern w:val="2"/>
                <w:szCs w:val="24"/>
              </w:rPr>
              <w:t>护措</w:t>
            </w:r>
          </w:p>
          <w:p w14:paraId="03431EEB">
            <w:pPr>
              <w:pStyle w:val="26"/>
              <w:adjustRightInd w:val="0"/>
              <w:snapToGrid w:val="0"/>
              <w:spacing w:before="0" w:beforeAutospacing="0" w:after="0" w:afterAutospacing="0"/>
              <w:jc w:val="center"/>
              <w:rPr>
                <w:rFonts w:cs="宋体"/>
                <w:bCs/>
                <w:kern w:val="2"/>
                <w:sz w:val="21"/>
                <w:szCs w:val="21"/>
              </w:rPr>
            </w:pPr>
            <w:r>
              <w:rPr>
                <w:rFonts w:hint="eastAsia" w:cs="宋体"/>
                <w:kern w:val="2"/>
                <w:szCs w:val="24"/>
              </w:rPr>
              <w:t>施</w:t>
            </w:r>
          </w:p>
        </w:tc>
        <w:tc>
          <w:tcPr>
            <w:tcW w:w="8210" w:type="dxa"/>
            <w:vAlign w:val="center"/>
          </w:tcPr>
          <w:p w14:paraId="6847CF14">
            <w:pPr>
              <w:spacing w:line="360" w:lineRule="auto"/>
              <w:ind w:firstLine="482" w:firstLineChars="200"/>
              <w:rPr>
                <w:rFonts w:ascii="Times New Roman" w:hAnsi="Times New Roman" w:cs="Times New Roman"/>
                <w:b/>
              </w:rPr>
            </w:pPr>
            <w:r>
              <w:rPr>
                <w:rFonts w:hint="eastAsia" w:ascii="Times New Roman" w:hAnsi="Times New Roman" w:cs="Times New Roman"/>
                <w:b/>
              </w:rPr>
              <w:t>一、</w:t>
            </w:r>
            <w:r>
              <w:rPr>
                <w:rFonts w:ascii="Times New Roman" w:hAnsi="Times New Roman" w:cs="Times New Roman"/>
                <w:b/>
              </w:rPr>
              <w:t>水环境</w:t>
            </w:r>
            <w:r>
              <w:rPr>
                <w:rFonts w:hint="eastAsia" w:ascii="Times New Roman" w:hAnsi="Times New Roman" w:cs="Times New Roman"/>
                <w:b/>
              </w:rPr>
              <w:t>保护措施</w:t>
            </w:r>
          </w:p>
          <w:p w14:paraId="7CF5EDAF">
            <w:pPr>
              <w:spacing w:line="360" w:lineRule="auto"/>
              <w:ind w:firstLine="480" w:firstLineChars="200"/>
              <w:rPr>
                <w:rFonts w:ascii="Times New Roman" w:hAnsi="Times New Roman" w:cs="Times New Roman"/>
              </w:rPr>
            </w:pPr>
            <w:r>
              <w:rPr>
                <w:rFonts w:hint="eastAsia" w:ascii="Times New Roman" w:hAnsi="Times New Roman" w:cs="Times New Roman"/>
              </w:rPr>
              <w:t>1、生活废水</w:t>
            </w:r>
          </w:p>
          <w:p w14:paraId="44A1F5C0">
            <w:pPr>
              <w:spacing w:line="360" w:lineRule="auto"/>
              <w:ind w:firstLine="480" w:firstLineChars="200"/>
              <w:rPr>
                <w:rFonts w:ascii="Times New Roman" w:hAnsi="Times New Roman" w:cs="Times New Roman"/>
              </w:rPr>
            </w:pPr>
            <w:r>
              <w:rPr>
                <w:rFonts w:ascii="Times New Roman" w:hAnsi="Times New Roman" w:cs="Times New Roman"/>
              </w:rPr>
              <w:t>本项目建设期间</w:t>
            </w:r>
            <w:r>
              <w:rPr>
                <w:rFonts w:hint="eastAsia" w:ascii="Times New Roman" w:hAnsi="Times New Roman" w:cs="Times New Roman"/>
              </w:rPr>
              <w:t>，</w:t>
            </w:r>
            <w:r>
              <w:rPr>
                <w:rFonts w:ascii="Times New Roman" w:hAnsi="Times New Roman" w:cs="Times New Roman"/>
              </w:rPr>
              <w:t>施工人员</w:t>
            </w:r>
            <w:r>
              <w:rPr>
                <w:rFonts w:hint="eastAsia" w:ascii="Times New Roman" w:hAnsi="Times New Roman" w:cs="Times New Roman"/>
              </w:rPr>
              <w:t>产生</w:t>
            </w:r>
            <w:r>
              <w:rPr>
                <w:rFonts w:ascii="Times New Roman" w:hAnsi="Times New Roman" w:cs="Times New Roman"/>
              </w:rPr>
              <w:t>生活废水。</w:t>
            </w:r>
            <w:r>
              <w:rPr>
                <w:rFonts w:hint="eastAsia" w:ascii="Times New Roman" w:hAnsi="Times New Roman" w:cs="Times New Roman"/>
              </w:rPr>
              <w:t>本环评要求项目施工期需设临时化粪池，生活污水经过化粪池处理后，</w:t>
            </w:r>
            <w:r>
              <w:rPr>
                <w:rFonts w:hint="eastAsia" w:cs="Times New Roman"/>
                <w:lang w:val="en-US" w:eastAsia="zh-CN"/>
              </w:rPr>
              <w:t>定期清掏不外排</w:t>
            </w:r>
            <w:r>
              <w:rPr>
                <w:rFonts w:ascii="Times New Roman" w:hAnsi="Times New Roman" w:cs="Times New Roman"/>
              </w:rPr>
              <w:t>。</w:t>
            </w:r>
          </w:p>
          <w:p w14:paraId="07AEFF60">
            <w:pPr>
              <w:widowControl/>
              <w:snapToGrid w:val="0"/>
              <w:spacing w:line="360" w:lineRule="auto"/>
              <w:ind w:firstLine="480" w:firstLineChars="200"/>
              <w:rPr>
                <w:rFonts w:ascii="Times New Roman" w:hAnsi="Times New Roman" w:cs="Times New Roman"/>
                <w:kern w:val="0"/>
              </w:rPr>
            </w:pPr>
            <w:r>
              <w:rPr>
                <w:rFonts w:ascii="Times New Roman" w:hAnsi="Times New Roman" w:cs="Times New Roman"/>
                <w:kern w:val="0"/>
              </w:rPr>
              <w:t>2</w:t>
            </w:r>
            <w:r>
              <w:rPr>
                <w:rFonts w:hint="eastAsia" w:ascii="Times New Roman" w:hAnsi="Times New Roman" w:cs="Times New Roman"/>
                <w:kern w:val="0"/>
              </w:rPr>
              <w:t>、施工废水</w:t>
            </w:r>
          </w:p>
          <w:p w14:paraId="52D0253B">
            <w:pPr>
              <w:spacing w:line="360" w:lineRule="auto"/>
              <w:ind w:firstLine="480" w:firstLineChars="200"/>
              <w:rPr>
                <w:rFonts w:ascii="Times New Roman" w:hAnsi="Times New Roman" w:cs="Times New Roman"/>
              </w:rPr>
            </w:pPr>
            <w:r>
              <w:rPr>
                <w:rFonts w:hint="eastAsia" w:ascii="Times New Roman" w:hAnsi="Times New Roman" w:cs="Times New Roman"/>
              </w:rPr>
              <w:t>施工期水污染物主要来源于机械的冲洗、楼层地面及墙体的冲洗、材料的洗刷以及基础施工中排出的泥浆等。为防止施工废水对项目所在区域地表水环境造成影响，本环评要求建设单位应采取以下污染防治措施：</w:t>
            </w:r>
          </w:p>
          <w:p w14:paraId="1301054C">
            <w:pPr>
              <w:widowControl/>
              <w:snapToGrid w:val="0"/>
              <w:spacing w:line="360" w:lineRule="auto"/>
              <w:ind w:firstLine="480" w:firstLineChars="200"/>
              <w:rPr>
                <w:rFonts w:ascii="宋体" w:hAnsi="宋体" w:cs="Times New Roman"/>
                <w:kern w:val="0"/>
              </w:rPr>
            </w:pPr>
            <w:r>
              <w:rPr>
                <w:rFonts w:hint="eastAsia" w:ascii="宋体" w:hAnsi="宋体" w:cs="Times New Roman"/>
                <w:kern w:val="0"/>
              </w:rPr>
              <w:t>①施工场地应建设沉淀池，施工废水经沉淀后全部用于建筑工地洒水和车辆冲洗。</w:t>
            </w:r>
          </w:p>
          <w:p w14:paraId="6C8288F2">
            <w:pPr>
              <w:spacing w:line="360" w:lineRule="auto"/>
              <w:ind w:firstLine="480" w:firstLineChars="200"/>
              <w:rPr>
                <w:rFonts w:ascii="Times New Roman" w:hAnsi="Times New Roman" w:cs="Times New Roman"/>
              </w:rPr>
            </w:pPr>
            <w:r>
              <w:rPr>
                <w:rFonts w:hint="eastAsia" w:ascii="宋体" w:hAnsi="宋体" w:cs="Times New Roman"/>
              </w:rPr>
              <w:t>②</w:t>
            </w:r>
            <w:r>
              <w:rPr>
                <w:rFonts w:hint="eastAsia" w:ascii="Times New Roman" w:hAnsi="Times New Roman" w:cs="Times New Roman"/>
              </w:rPr>
              <w:t>施工期机械和车辆冲洗废水含有少量油污，应修建隔油池及配套排水沟，污水经隔油处理后经排水沟引入沉淀池处理后全部回用。</w:t>
            </w:r>
          </w:p>
          <w:p w14:paraId="5300EF1A">
            <w:pPr>
              <w:spacing w:line="360" w:lineRule="auto"/>
              <w:ind w:firstLine="480" w:firstLineChars="200"/>
              <w:rPr>
                <w:rFonts w:ascii="Times New Roman" w:hAnsi="Times New Roman" w:cs="Times New Roman"/>
              </w:rPr>
            </w:pPr>
            <w:r>
              <w:rPr>
                <w:rFonts w:ascii="Times New Roman" w:hAnsi="Times New Roman" w:cs="Times New Roman"/>
              </w:rPr>
              <w:t>通过采取上述废水治理措施后，项目施工期产生的废水可以得到妥善处理，不会对项目所在区域地表水环境产生影响。</w:t>
            </w:r>
          </w:p>
          <w:p w14:paraId="7E2951DE">
            <w:pPr>
              <w:spacing w:line="360" w:lineRule="auto"/>
              <w:ind w:firstLine="482" w:firstLineChars="200"/>
              <w:rPr>
                <w:rFonts w:ascii="Times New Roman" w:hAnsi="Times New Roman" w:cs="Times New Roman"/>
                <w:b/>
              </w:rPr>
            </w:pPr>
            <w:r>
              <w:rPr>
                <w:rFonts w:hint="eastAsia" w:ascii="Times New Roman" w:hAnsi="Times New Roman" w:cs="Times New Roman"/>
                <w:b/>
              </w:rPr>
              <w:t>二、</w:t>
            </w:r>
            <w:r>
              <w:rPr>
                <w:rFonts w:ascii="Times New Roman" w:hAnsi="Times New Roman" w:cs="Times New Roman"/>
                <w:b/>
              </w:rPr>
              <w:t>声环境</w:t>
            </w:r>
            <w:r>
              <w:rPr>
                <w:rFonts w:hint="eastAsia" w:ascii="Times New Roman" w:hAnsi="Times New Roman" w:cs="Times New Roman"/>
                <w:b/>
              </w:rPr>
              <w:t>保护措施</w:t>
            </w:r>
          </w:p>
          <w:p w14:paraId="2DF6857C">
            <w:pPr>
              <w:spacing w:line="360" w:lineRule="auto"/>
              <w:ind w:firstLine="480" w:firstLineChars="200"/>
              <w:rPr>
                <w:rFonts w:ascii="Times New Roman" w:hAnsi="Times New Roman" w:cs="Times New Roman"/>
              </w:rPr>
            </w:pPr>
            <w:r>
              <w:rPr>
                <w:rFonts w:ascii="Times New Roman" w:hAnsi="Times New Roman" w:cs="Times New Roman"/>
              </w:rPr>
              <w:t>本项目施工期噪声源主要为土地平整、开挖、施工设备运行等产生的噪声，为使本项目施工噪声不影响周围环境，环评提出</w:t>
            </w:r>
            <w:r>
              <w:rPr>
                <w:rFonts w:ascii="Times New Roman" w:hAnsi="Times New Roman" w:cs="Times New Roman"/>
                <w:iCs/>
              </w:rPr>
              <w:t>合理安排施工作业时间，不得在夜间施工；</w:t>
            </w:r>
            <w:r>
              <w:rPr>
                <w:rFonts w:ascii="Times New Roman" w:hAnsi="Times New Roman" w:cs="Times New Roman"/>
              </w:rPr>
              <w:t>进、离场运输工具限速，禁止鸣笛；加强设备维护，保证运输车辆及施工机械处于良好的工作状态；合理布局施工场所和设置临时声屏障等措施</w:t>
            </w:r>
            <w:r>
              <w:rPr>
                <w:rFonts w:ascii="Times New Roman" w:hAnsi="Times New Roman" w:cs="Times New Roman"/>
                <w:iCs/>
              </w:rPr>
              <w:t>，</w:t>
            </w:r>
            <w:r>
              <w:rPr>
                <w:rFonts w:ascii="Times New Roman" w:hAnsi="Times New Roman" w:cs="Times New Roman"/>
              </w:rPr>
              <w:t>最大限度降低施工期对区域声学环境的影响。</w:t>
            </w:r>
          </w:p>
          <w:p w14:paraId="392AF7F0">
            <w:pPr>
              <w:spacing w:line="360" w:lineRule="auto"/>
              <w:ind w:firstLine="556"/>
              <w:rPr>
                <w:rFonts w:ascii="Times New Roman" w:hAnsi="Times New Roman" w:cs="Times New Roman"/>
                <w:kern w:val="0"/>
              </w:rPr>
            </w:pPr>
            <w:r>
              <w:rPr>
                <w:rFonts w:ascii="Times New Roman" w:hAnsi="Times New Roman" w:cs="Times New Roman"/>
                <w:kern w:val="0"/>
              </w:rPr>
              <w:t>为了减少施工过程产生的噪声对周边环境的影响，根据《中华人民共和国噪声污染防治法》，本项目施工期间应采取以下特殊措施：</w:t>
            </w:r>
          </w:p>
          <w:p w14:paraId="06CBA814">
            <w:pPr>
              <w:spacing w:line="360" w:lineRule="auto"/>
              <w:ind w:firstLine="480" w:firstLineChars="200"/>
              <w:rPr>
                <w:rFonts w:ascii="Times New Roman" w:hAnsi="Times New Roman" w:cs="Times New Roman"/>
                <w:kern w:val="0"/>
              </w:rPr>
            </w:pPr>
            <w:r>
              <w:rPr>
                <w:rFonts w:ascii="Times New Roman" w:hAnsi="Times New Roman" w:cs="Times New Roman"/>
                <w:kern w:val="0"/>
              </w:rPr>
              <w:t>①合理选择施工机械放置位置，尽量避免在项目靠近厂界有小区居民的一侧放置高噪声施工设备；对动力机械设备进行定期的维修、养护，防止因设备部件松动或消声器破坏而加大其工作的声级。</w:t>
            </w:r>
          </w:p>
          <w:p w14:paraId="24802690">
            <w:pPr>
              <w:spacing w:line="360" w:lineRule="auto"/>
              <w:ind w:firstLine="480" w:firstLineChars="200"/>
              <w:rPr>
                <w:rFonts w:ascii="Times New Roman" w:hAnsi="Times New Roman" w:cs="Times New Roman"/>
                <w:kern w:val="0"/>
              </w:rPr>
            </w:pPr>
            <w:r>
              <w:rPr>
                <w:rFonts w:ascii="Times New Roman" w:hAnsi="Times New Roman" w:cs="Times New Roman"/>
                <w:kern w:val="0"/>
              </w:rPr>
              <w:t>②在拟建地周边居民点的施工设备设置屏蔽；</w:t>
            </w:r>
          </w:p>
          <w:p w14:paraId="42C35523">
            <w:pPr>
              <w:spacing w:line="360" w:lineRule="auto"/>
              <w:ind w:firstLine="480" w:firstLineChars="200"/>
              <w:rPr>
                <w:rFonts w:ascii="Times New Roman" w:hAnsi="Times New Roman" w:cs="Times New Roman"/>
                <w:kern w:val="0"/>
              </w:rPr>
            </w:pPr>
            <w:r>
              <w:rPr>
                <w:rFonts w:ascii="Times New Roman" w:hAnsi="Times New Roman" w:cs="Times New Roman"/>
                <w:kern w:val="0"/>
              </w:rPr>
              <w:t>③合理选择运输车辆的行驶路线，尽量绕开居民点、学校；</w:t>
            </w:r>
          </w:p>
          <w:p w14:paraId="52C5EF64">
            <w:pPr>
              <w:spacing w:line="360" w:lineRule="auto"/>
              <w:ind w:firstLine="480" w:firstLineChars="200"/>
              <w:rPr>
                <w:rFonts w:ascii="Times New Roman" w:hAnsi="Times New Roman" w:cs="Times New Roman"/>
                <w:kern w:val="0"/>
              </w:rPr>
            </w:pPr>
            <w:r>
              <w:rPr>
                <w:rFonts w:ascii="Times New Roman" w:hAnsi="Times New Roman" w:cs="Times New Roman"/>
                <w:kern w:val="0"/>
              </w:rPr>
              <w:t>④在建设地块周边居民、学校作息时间避免使用高噪声设备进行施工作业；</w:t>
            </w:r>
          </w:p>
          <w:p w14:paraId="6FD892F7">
            <w:pPr>
              <w:spacing w:line="360" w:lineRule="auto"/>
              <w:ind w:firstLine="480" w:firstLineChars="200"/>
              <w:rPr>
                <w:rFonts w:ascii="Times New Roman" w:hAnsi="Times New Roman" w:cs="Times New Roman"/>
                <w:kern w:val="0"/>
              </w:rPr>
            </w:pPr>
            <w:r>
              <w:rPr>
                <w:rFonts w:ascii="Times New Roman" w:hAnsi="Times New Roman" w:cs="Times New Roman"/>
                <w:kern w:val="0"/>
              </w:rPr>
              <w:t>⑤加强施工管理，提倡文明施工；</w:t>
            </w:r>
          </w:p>
          <w:p w14:paraId="24B2C08B">
            <w:pPr>
              <w:spacing w:line="360" w:lineRule="auto"/>
              <w:ind w:firstLine="480" w:firstLineChars="200"/>
              <w:rPr>
                <w:rFonts w:ascii="Times New Roman" w:hAnsi="Times New Roman" w:cs="Times New Roman"/>
                <w:kern w:val="0"/>
              </w:rPr>
            </w:pPr>
            <w:r>
              <w:rPr>
                <w:rFonts w:ascii="Times New Roman" w:hAnsi="Times New Roman" w:cs="Times New Roman"/>
                <w:kern w:val="0"/>
              </w:rPr>
              <w:t>⑥详细调查并掌握邻近居民点、学校主要建、构筑物的设置情况，及与本项目的距离，并在此基础上进行工程设计，确保易产生振动的施工设备或设置作业区在安全距离以外。</w:t>
            </w:r>
          </w:p>
          <w:p w14:paraId="64D4737E">
            <w:pPr>
              <w:spacing w:line="360" w:lineRule="auto"/>
              <w:ind w:firstLine="480" w:firstLineChars="200"/>
              <w:rPr>
                <w:rFonts w:ascii="Times New Roman" w:hAnsi="Times New Roman" w:cs="Times New Roman"/>
                <w:kern w:val="0"/>
              </w:rPr>
            </w:pPr>
            <w:r>
              <w:rPr>
                <w:rFonts w:ascii="Times New Roman" w:hAnsi="Times New Roman" w:cs="Times New Roman"/>
                <w:kern w:val="0"/>
              </w:rPr>
              <w:t>⑦施工单位必须在工程开工十五日以前向工程所在地县级以上地方人民政府环境保护行政主管部门申报该工程的项目名称、施工场所和期限、可能产生的环境噪声值以及所采取的环境噪声污染防治措施的情况。</w:t>
            </w:r>
          </w:p>
          <w:p w14:paraId="130C434D">
            <w:pPr>
              <w:spacing w:line="360" w:lineRule="auto"/>
              <w:ind w:firstLine="480" w:firstLineChars="200"/>
              <w:rPr>
                <w:rFonts w:ascii="Times New Roman" w:hAnsi="Times New Roman" w:cs="Times New Roman"/>
                <w:kern w:val="0"/>
              </w:rPr>
            </w:pPr>
            <w:r>
              <w:rPr>
                <w:rFonts w:ascii="Times New Roman" w:hAnsi="Times New Roman" w:cs="Times New Roman"/>
                <w:kern w:val="0"/>
              </w:rPr>
              <w:t>⑧禁止夜间进行产生环境噪声污染的建筑施工作业，但抢修、抢险作业和因生产工艺上要求或者特殊需要必须连续作业的除外。因特殊需要必须连续作业的，必须有县级以上人民政府或者其有关主管部门的证明，并在周围敏感点张贴告示。</w:t>
            </w:r>
          </w:p>
          <w:p w14:paraId="271A798E">
            <w:pPr>
              <w:spacing w:line="360" w:lineRule="auto"/>
              <w:ind w:firstLine="482" w:firstLineChars="200"/>
              <w:rPr>
                <w:rFonts w:ascii="Times New Roman" w:hAnsi="Times New Roman" w:cs="Times New Roman"/>
                <w:b/>
              </w:rPr>
            </w:pPr>
            <w:r>
              <w:rPr>
                <w:rFonts w:hint="eastAsia" w:ascii="Times New Roman" w:hAnsi="Times New Roman" w:cs="Times New Roman"/>
                <w:b/>
              </w:rPr>
              <w:t>三、</w:t>
            </w:r>
            <w:r>
              <w:rPr>
                <w:rFonts w:ascii="Times New Roman" w:hAnsi="Times New Roman" w:cs="Times New Roman"/>
                <w:b/>
              </w:rPr>
              <w:t>大气环境</w:t>
            </w:r>
            <w:r>
              <w:rPr>
                <w:rFonts w:hint="eastAsia" w:ascii="Times New Roman" w:hAnsi="Times New Roman" w:cs="Times New Roman"/>
                <w:b/>
              </w:rPr>
              <w:t>保护措施</w:t>
            </w:r>
          </w:p>
          <w:p w14:paraId="17B60EA8">
            <w:pPr>
              <w:widowControl/>
              <w:adjustRightInd w:val="0"/>
              <w:spacing w:line="360" w:lineRule="auto"/>
              <w:ind w:firstLine="480" w:firstLineChars="200"/>
              <w:jc w:val="left"/>
              <w:textAlignment w:val="baseline"/>
              <w:rPr>
                <w:rFonts w:ascii="Times New Roman" w:hAnsi="Times New Roman" w:cs="Times New Roman"/>
                <w:kern w:val="0"/>
                <w:szCs w:val="20"/>
              </w:rPr>
            </w:pPr>
            <w:r>
              <w:rPr>
                <w:rFonts w:ascii="Times New Roman" w:hAnsi="Times New Roman" w:cs="Times New Roman"/>
                <w:kern w:val="0"/>
                <w:szCs w:val="20"/>
              </w:rPr>
              <w:t>本项目施工期大气污染物为运输车辆产生的汽车尾气和施工扬尘。</w:t>
            </w:r>
          </w:p>
          <w:p w14:paraId="3C2144F9">
            <w:pPr>
              <w:widowControl/>
              <w:adjustRightInd w:val="0"/>
              <w:spacing w:line="360" w:lineRule="auto"/>
              <w:ind w:firstLine="472" w:firstLineChars="200"/>
              <w:jc w:val="left"/>
              <w:textAlignment w:val="baseline"/>
              <w:rPr>
                <w:rFonts w:ascii="Times New Roman" w:hAnsi="Times New Roman" w:cs="Times New Roman"/>
                <w:spacing w:val="-2"/>
                <w:kern w:val="28"/>
              </w:rPr>
            </w:pPr>
            <w:r>
              <w:rPr>
                <w:rFonts w:ascii="Times New Roman" w:hAnsi="Times New Roman" w:cs="Times New Roman"/>
                <w:spacing w:val="-2"/>
                <w:kern w:val="28"/>
              </w:rPr>
              <w:t>（1）</w:t>
            </w:r>
            <w:r>
              <w:rPr>
                <w:rFonts w:ascii="Times New Roman" w:hAnsi="Times New Roman" w:cs="Times New Roman"/>
                <w:kern w:val="0"/>
                <w:szCs w:val="20"/>
              </w:rPr>
              <w:t>施工扬尘</w:t>
            </w:r>
          </w:p>
          <w:p w14:paraId="0DA020B5">
            <w:pPr>
              <w:widowControl/>
              <w:adjustRightInd w:val="0"/>
              <w:spacing w:line="360" w:lineRule="auto"/>
              <w:ind w:firstLine="472" w:firstLineChars="200"/>
              <w:jc w:val="left"/>
              <w:textAlignment w:val="baseline"/>
              <w:rPr>
                <w:rFonts w:ascii="Times New Roman" w:hAnsi="Times New Roman" w:cs="Times New Roman"/>
                <w:spacing w:val="-2"/>
                <w:kern w:val="28"/>
              </w:rPr>
            </w:pPr>
            <w:r>
              <w:rPr>
                <w:rFonts w:ascii="Times New Roman" w:hAnsi="Times New Roman" w:cs="Times New Roman"/>
                <w:spacing w:val="-2"/>
                <w:kern w:val="28"/>
              </w:rPr>
              <w:t>在整个施工期间，产生扬尘的作业主要有土地平整、打桩、开挖、回填、道路浇注、建材运输、露天堆放、装卸和搅拌等过程，如遇干旱无雨季节，在大风时，施工扬尘将更严重。</w:t>
            </w:r>
          </w:p>
          <w:p w14:paraId="39877CCE">
            <w:pPr>
              <w:spacing w:line="360" w:lineRule="auto"/>
              <w:ind w:firstLine="480"/>
              <w:rPr>
                <w:rFonts w:ascii="Times New Roman" w:hAnsi="Times New Roman" w:cs="Times New Roman"/>
                <w:kern w:val="0"/>
              </w:rPr>
            </w:pPr>
            <w:r>
              <w:rPr>
                <w:rFonts w:ascii="Times New Roman" w:hAnsi="Times New Roman" w:cs="Times New Roman"/>
                <w:kern w:val="0"/>
              </w:rPr>
              <w:t>为了减少施工过程产生的粉尘对周边环境的影响影响，根据《安徽省建筑工程施工扬尘污染防治规定》、《宿州市大气污染防治实施细则》宿政发〔2014〕3号文和《宿州市大气污染专项整治工作行动方案》（2016年5月16日印发）</w:t>
            </w:r>
            <w:r>
              <w:rPr>
                <w:rFonts w:hint="eastAsia" w:ascii="Times New Roman" w:hAnsi="Times New Roman" w:cs="Times New Roman"/>
                <w:kern w:val="0"/>
              </w:rPr>
              <w:t>、《关于严格执行全市城区房屋建筑施工现场扬尘治理六个百分之百标准的通知》</w:t>
            </w:r>
            <w:r>
              <w:rPr>
                <w:rFonts w:ascii="Times New Roman" w:hAnsi="Times New Roman" w:cs="Times New Roman"/>
                <w:kern w:val="0"/>
              </w:rPr>
              <w:t>要求，本项目施工时应达到以下环保要求：</w:t>
            </w:r>
          </w:p>
          <w:p w14:paraId="0C8FFEC0">
            <w:pPr>
              <w:widowControl/>
              <w:spacing w:line="360" w:lineRule="auto"/>
              <w:ind w:firstLine="480" w:firstLineChars="200"/>
              <w:jc w:val="left"/>
              <w:rPr>
                <w:rFonts w:ascii="Times New Roman" w:hAnsi="Times New Roman" w:cs="Times New Roman"/>
                <w:kern w:val="0"/>
              </w:rPr>
            </w:pPr>
            <w:r>
              <w:rPr>
                <w:rFonts w:ascii="Times New Roman" w:hAnsi="Times New Roman" w:cs="Times New Roman"/>
                <w:kern w:val="0"/>
              </w:rPr>
              <w:t>①</w:t>
            </w:r>
            <w:r>
              <w:rPr>
                <w:rFonts w:hint="eastAsia" w:ascii="Times New Roman" w:hAnsi="Times New Roman" w:cs="Times New Roman"/>
                <w:kern w:val="0"/>
              </w:rPr>
              <w:t>严格实施六个百分百标准：现场封闭管理百分之百。施工现场硬质围挡应连续设置，城区主要路段工地围挡高度不低于2.5m，一般路段的工地不低于1.8m，做到坚固、平稳、整洁、美观。在建工程外立面应用安全网实现全封闭围护；场区道路硬化百分之百。主要通道、进出道路、材料加工区及办公生活区地面进行硬化处理；渣土物料蓬盖百分之百。施工现场内裸露的场地和集中堆放的土方应采取覆盖、固化或绿化等防尘措施。易产生扬尘的物料要篷盖；洒水清扫保洁百分之百。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物料密闭运输百分之百。易产生扬尘的建筑材料、渣土应采取密闭搬运、存储或采用防尘布苫盖等防尘措施。严禁熔融沥青、焚烧垃圾等有毒有害物质。建筑物内施工垃圾清运，应采用器具或管道运输，严禁凌空抛掷。生活垃圾应存放在密封式垃圾站，并及时清运出场。同时，禁止无牌无证车辆进入施工现场；出入车辆清洗百分之百。施工现场出入口处设置自动车辆冲洗装置和沉淀池，运输车辆底盘和车轮冲洗干净后方可驶离施工现场。建筑工地主出入口应安装视频监控系统，视频录像要保证连续存储2个月以上。</w:t>
            </w:r>
          </w:p>
          <w:p w14:paraId="4F5698A6">
            <w:pPr>
              <w:widowControl/>
              <w:spacing w:line="360" w:lineRule="auto"/>
              <w:ind w:firstLine="480" w:firstLineChars="200"/>
              <w:jc w:val="left"/>
              <w:rPr>
                <w:rFonts w:ascii="Times New Roman" w:hAnsi="Times New Roman" w:cs="Times New Roman"/>
                <w:kern w:val="0"/>
              </w:rPr>
            </w:pPr>
            <w:r>
              <w:rPr>
                <w:rFonts w:ascii="Times New Roman" w:hAnsi="Times New Roman" w:cs="Times New Roman"/>
                <w:kern w:val="0"/>
              </w:rPr>
              <w:t>②</w:t>
            </w:r>
            <w:r>
              <w:rPr>
                <w:rFonts w:hint="eastAsia" w:ascii="Times New Roman" w:hAnsi="Times New Roman" w:cs="Times New Roman"/>
                <w:kern w:val="0"/>
              </w:rPr>
              <w:t>在施工场地边界设置临时围挡，高度不得低于2.5m，距离环境敏感点较近的区域，不得低于3.5m，能够在增加施工场地安全，减少不利景观影响的同时，降低施工粉尘对周边的影响；围档底边应当封闭并设置防溢沉淀井，不得有泥浆外漏。</w:t>
            </w:r>
          </w:p>
          <w:p w14:paraId="2A978330">
            <w:pPr>
              <w:widowControl/>
              <w:spacing w:line="360" w:lineRule="auto"/>
              <w:ind w:firstLine="480" w:firstLineChars="200"/>
              <w:jc w:val="left"/>
              <w:rPr>
                <w:rFonts w:ascii="Times New Roman" w:hAnsi="Times New Roman" w:cs="Times New Roman"/>
                <w:kern w:val="0"/>
              </w:rPr>
            </w:pPr>
            <w:r>
              <w:rPr>
                <w:rFonts w:ascii="Times New Roman" w:hAnsi="Times New Roman" w:cs="Times New Roman"/>
                <w:kern w:val="0"/>
              </w:rPr>
              <w:t>③对施工单位加强监督管理，在施工委托合同中明确施工期环境保护要求，要求施工单位文明施工，如及时清运建筑垃圾、土方和物料堆棚应采用篷布遮盖或者表面洒水抑尘或表面夯实处理等抑尘措施。硬化后的地面，不得有浮土、积土，裸露场地应当采取覆盖或绿化措施。施工单位要签订控制扬尘污染责任书，落实控制扬尘污染方案。着力控制施工过程中产生扬尘的重点环节和重点时段，严禁高空抛洒建筑垃圾、严控围墙过早拆除。对建筑施工、监理企业实行信用等级评价，严肃查处违法违规行为。</w:t>
            </w:r>
          </w:p>
          <w:p w14:paraId="17DB5BD5">
            <w:pPr>
              <w:widowControl/>
              <w:spacing w:line="360" w:lineRule="auto"/>
              <w:ind w:firstLine="480" w:firstLineChars="200"/>
              <w:jc w:val="left"/>
              <w:rPr>
                <w:rFonts w:ascii="Times New Roman" w:hAnsi="Times New Roman" w:cs="Times New Roman"/>
                <w:kern w:val="0"/>
              </w:rPr>
            </w:pPr>
            <w:r>
              <w:rPr>
                <w:rFonts w:ascii="Times New Roman" w:hAnsi="Times New Roman" w:cs="Times New Roman"/>
                <w:kern w:val="0"/>
              </w:rPr>
              <w:t>④施工现场使用商品混凝土和预拌砂浆，搅拌混凝土和砂浆采取封闭、降尘措施。施工现场设置洒水降尘设施，安排专人定时洒水降尘。</w:t>
            </w:r>
          </w:p>
          <w:p w14:paraId="2F77387A">
            <w:pPr>
              <w:widowControl/>
              <w:spacing w:line="360" w:lineRule="auto"/>
              <w:ind w:firstLine="480" w:firstLineChars="200"/>
              <w:jc w:val="left"/>
              <w:rPr>
                <w:rFonts w:ascii="Times New Roman" w:hAnsi="Times New Roman" w:cs="Times New Roman"/>
                <w:kern w:val="0"/>
              </w:rPr>
            </w:pPr>
            <w:r>
              <w:rPr>
                <w:rFonts w:ascii="Times New Roman" w:hAnsi="Times New Roman" w:cs="Times New Roman"/>
                <w:kern w:val="0"/>
              </w:rPr>
              <w:t>⑤弃土等建筑垃圾集中、分类堆放，严密遮盖，采用封闭式管道或装袋清运，严禁高处抛洒。需要运输、处理的，按照市、县（区）政府市容环境卫生行政主管部门规定的时间、线路和要求，清运到指定的场所处理。</w:t>
            </w:r>
          </w:p>
          <w:p w14:paraId="032039CA">
            <w:pPr>
              <w:widowControl/>
              <w:spacing w:line="360" w:lineRule="auto"/>
              <w:ind w:firstLine="480" w:firstLineChars="200"/>
              <w:jc w:val="left"/>
              <w:rPr>
                <w:rFonts w:ascii="Times New Roman" w:hAnsi="Times New Roman" w:cs="Times New Roman"/>
                <w:kern w:val="0"/>
              </w:rPr>
            </w:pPr>
            <w:r>
              <w:rPr>
                <w:rFonts w:ascii="Times New Roman" w:hAnsi="Times New Roman" w:cs="Times New Roman"/>
                <w:kern w:val="0"/>
              </w:rPr>
              <w:t>⑥渣土等建筑垃圾集中、分类堆放，严密遮盖，采用封闭式管道或装袋清运，严禁高处抛洒。外脚手架应当设置悬挂密目式安全网封闭，并保持严密整洁。</w:t>
            </w:r>
          </w:p>
          <w:p w14:paraId="72FFDF08">
            <w:pPr>
              <w:widowControl/>
              <w:spacing w:line="360" w:lineRule="auto"/>
              <w:ind w:firstLine="480" w:firstLineChars="200"/>
              <w:jc w:val="left"/>
              <w:rPr>
                <w:rFonts w:ascii="Times New Roman" w:hAnsi="Times New Roman" w:cs="Times New Roman"/>
                <w:kern w:val="0"/>
              </w:rPr>
            </w:pPr>
            <w:r>
              <w:rPr>
                <w:rFonts w:ascii="Times New Roman" w:hAnsi="Times New Roman" w:cs="Times New Roman"/>
                <w:kern w:val="0"/>
              </w:rPr>
              <w:t>⑦运进或运出工地的土方、砂石、粉煤灰、建筑垃圾等易产生扬尘的材料，应采取封闭运输。施工现场禁止焚烧沥青、油毡、橡胶、塑料、皮革、垃圾以及其他产生有毒有害烟尘和恶臭气体的物质。</w:t>
            </w:r>
          </w:p>
          <w:p w14:paraId="03EE7213">
            <w:pPr>
              <w:widowControl/>
              <w:spacing w:line="360" w:lineRule="auto"/>
              <w:ind w:firstLine="480" w:firstLineChars="200"/>
              <w:jc w:val="left"/>
              <w:rPr>
                <w:rFonts w:ascii="Times New Roman" w:hAnsi="Times New Roman" w:cs="Times New Roman"/>
                <w:kern w:val="0"/>
              </w:rPr>
            </w:pPr>
            <w:r>
              <w:rPr>
                <w:rFonts w:ascii="Times New Roman" w:hAnsi="Times New Roman" w:cs="Times New Roman"/>
                <w:kern w:val="0"/>
              </w:rPr>
              <w:t>⑧运输车辆严格执行准运证、密闭运输和按规定时间、线路、倾倒地点进行运输、倾倒等制度，严禁车身不洁、带泥上路、超高超载、沿途抛洒、私拉乱运、随意倾倒等行为。落实出入口保洁制度，及时清扫、冲洗污染的路面。</w:t>
            </w:r>
          </w:p>
          <w:p w14:paraId="57B83192">
            <w:pPr>
              <w:widowControl/>
              <w:spacing w:line="360" w:lineRule="auto"/>
              <w:ind w:firstLine="480" w:firstLineChars="200"/>
              <w:jc w:val="left"/>
              <w:rPr>
                <w:rFonts w:ascii="Times New Roman" w:hAnsi="Times New Roman" w:cs="Times New Roman"/>
                <w:kern w:val="0"/>
              </w:rPr>
            </w:pPr>
            <w:r>
              <w:rPr>
                <w:rFonts w:ascii="Times New Roman" w:hAnsi="Times New Roman" w:cs="Times New Roman"/>
                <w:kern w:val="0"/>
              </w:rPr>
              <w:t>⑨拆除工程工地的围挡应当使用金属或硬质板材材料，严禁使用各类砌筑墙体；拆除作业实行持续加压洒水或者喷淋方式作业。拆除作业后，场地闲置1个月以上的，用地单位对拆除后的裸露地面采取绿化等防尘措施。</w:t>
            </w:r>
          </w:p>
          <w:p w14:paraId="4F8BAE37">
            <w:pPr>
              <w:spacing w:line="360" w:lineRule="auto"/>
              <w:ind w:firstLine="480" w:firstLineChars="200"/>
              <w:rPr>
                <w:rFonts w:ascii="Times New Roman" w:hAnsi="Times New Roman" w:cs="Times New Roman"/>
                <w:kern w:val="0"/>
              </w:rPr>
            </w:pPr>
            <w:r>
              <w:rPr>
                <w:rFonts w:hint="eastAsia" w:ascii="宋体" w:hAnsi="宋体" w:cs="宋体"/>
                <w:kern w:val="0"/>
              </w:rPr>
              <w:t>⑩</w:t>
            </w:r>
            <w:r>
              <w:rPr>
                <w:rFonts w:ascii="Times New Roman" w:hAnsi="Times New Roman" w:cs="Times New Roman"/>
                <w:kern w:val="0"/>
              </w:rPr>
              <w:t>根据《安徽省重污染天气应急预案》启动Ⅲ级（黄色）预警以上或气象预报风速达到五级以上时，不得进行土方挖填和转运、拆除、道路路面鼓风机吹灰等易产生扬尘的作业。</w:t>
            </w:r>
          </w:p>
          <w:p w14:paraId="60DA135B">
            <w:pPr>
              <w:widowControl/>
              <w:spacing w:line="360" w:lineRule="auto"/>
              <w:ind w:firstLine="472" w:firstLineChars="200"/>
              <w:rPr>
                <w:rFonts w:ascii="Times New Roman" w:hAnsi="Times New Roman" w:cs="Times New Roman"/>
                <w:kern w:val="0"/>
              </w:rPr>
            </w:pPr>
            <w:r>
              <w:rPr>
                <w:rFonts w:ascii="Times New Roman" w:hAnsi="Times New Roman" w:cs="Times New Roman"/>
                <w:spacing w:val="-2"/>
                <w:kern w:val="28"/>
              </w:rPr>
              <w:t>（2）</w:t>
            </w:r>
            <w:r>
              <w:rPr>
                <w:rFonts w:ascii="Times New Roman" w:hAnsi="Times New Roman" w:cs="Times New Roman"/>
                <w:kern w:val="0"/>
              </w:rPr>
              <w:t>机械设备燃油尾气</w:t>
            </w:r>
          </w:p>
          <w:p w14:paraId="75E9471B">
            <w:pPr>
              <w:spacing w:line="360" w:lineRule="auto"/>
              <w:ind w:firstLine="480" w:firstLineChars="200"/>
              <w:rPr>
                <w:rFonts w:ascii="Times New Roman" w:hAnsi="Times New Roman" w:cs="Times New Roman"/>
                <w:kern w:val="0"/>
              </w:rPr>
            </w:pPr>
            <w:r>
              <w:rPr>
                <w:rFonts w:ascii="Times New Roman" w:hAnsi="Times New Roman" w:cs="Times New Roman"/>
                <w:kern w:val="0"/>
              </w:rPr>
              <w:t>汽车和施工机械设备的燃油尾气主要污染物是CO、HC、NOx等，其属于无组织排放，具有间断性产生、产尘量较小、产生点相对分散、易被稀释扩散等特点。项目区施工范围相对较大，大气扩散条件相对较好。燃油尾气自然扩散和稀释后，对项目所在区域的空气环境质量影响不大。</w:t>
            </w:r>
          </w:p>
          <w:p w14:paraId="49B11E44">
            <w:pPr>
              <w:spacing w:line="360" w:lineRule="auto"/>
              <w:ind w:firstLine="480" w:firstLineChars="200"/>
              <w:rPr>
                <w:rFonts w:ascii="Times New Roman" w:hAnsi="Times New Roman" w:cs="Times New Roman"/>
                <w:kern w:val="0"/>
              </w:rPr>
            </w:pPr>
            <w:r>
              <w:rPr>
                <w:rFonts w:ascii="Times New Roman" w:hAnsi="Times New Roman" w:cs="Times New Roman"/>
                <w:kern w:val="0"/>
              </w:rPr>
              <w:t>采取限速、限载、加强汽车维护保养和加强施工机械设备维护保养，保证其良好运转状态等措施，降低运输车辆和施工机械设备尾气污染物的排放量。</w:t>
            </w:r>
          </w:p>
          <w:p w14:paraId="41E0D6CC">
            <w:pPr>
              <w:spacing w:line="360" w:lineRule="auto"/>
              <w:ind w:firstLine="480" w:firstLineChars="200"/>
              <w:rPr>
                <w:rFonts w:ascii="Times New Roman" w:hAnsi="Times New Roman" w:cs="Times New Roman"/>
                <w:kern w:val="0"/>
              </w:rPr>
            </w:pPr>
            <w:r>
              <w:rPr>
                <w:rFonts w:ascii="Times New Roman" w:hAnsi="Times New Roman" w:cs="Times New Roman"/>
                <w:kern w:val="0"/>
              </w:rPr>
              <w:t>总之，只要加强管理、切实落实好环评提出的废气污染防治措施，施工期产生的粉尘、燃油尾气等废气对环境的影响将降至最低，同时影响也将随施工的结束而消失。</w:t>
            </w:r>
          </w:p>
          <w:p w14:paraId="5D157B9E">
            <w:pPr>
              <w:spacing w:line="360" w:lineRule="auto"/>
              <w:ind w:firstLine="482" w:firstLineChars="200"/>
              <w:rPr>
                <w:rFonts w:ascii="Times New Roman" w:hAnsi="Times New Roman" w:cs="Times New Roman"/>
                <w:b/>
              </w:rPr>
            </w:pPr>
            <w:r>
              <w:rPr>
                <w:rFonts w:hint="eastAsia" w:ascii="Times New Roman" w:hAnsi="Times New Roman" w:cs="Times New Roman"/>
                <w:b/>
              </w:rPr>
              <w:t>四、</w:t>
            </w:r>
            <w:r>
              <w:rPr>
                <w:rFonts w:ascii="Times New Roman" w:hAnsi="Times New Roman" w:cs="Times New Roman"/>
                <w:b/>
              </w:rPr>
              <w:t>固体废弃物</w:t>
            </w:r>
            <w:r>
              <w:rPr>
                <w:rFonts w:hint="eastAsia" w:ascii="Times New Roman" w:hAnsi="Times New Roman" w:cs="Times New Roman"/>
                <w:b/>
              </w:rPr>
              <w:t>保护措施</w:t>
            </w:r>
          </w:p>
          <w:p w14:paraId="778D268F">
            <w:pPr>
              <w:spacing w:line="360" w:lineRule="auto"/>
              <w:ind w:firstLine="480"/>
              <w:rPr>
                <w:rFonts w:ascii="Times New Roman" w:hAnsi="Times New Roman" w:cs="Times New Roman"/>
                <w:kern w:val="0"/>
              </w:rPr>
            </w:pPr>
            <w:r>
              <w:rPr>
                <w:rFonts w:ascii="Times New Roman" w:hAnsi="Times New Roman" w:cs="Times New Roman"/>
                <w:kern w:val="0"/>
              </w:rPr>
              <w:t>项目施工期产生的固体废物主要有工程开挖产生的土石方、施工场地产生的建筑垃圾和施工人员产生的生活垃圾。</w:t>
            </w:r>
          </w:p>
          <w:p w14:paraId="48667E55">
            <w:pPr>
              <w:spacing w:line="360" w:lineRule="auto"/>
              <w:ind w:firstLine="480"/>
              <w:rPr>
                <w:rFonts w:ascii="Times New Roman" w:hAnsi="Times New Roman" w:cs="Times New Roman"/>
                <w:kern w:val="0"/>
              </w:rPr>
            </w:pPr>
            <w:r>
              <w:rPr>
                <w:rFonts w:ascii="Times New Roman" w:hAnsi="Times New Roman" w:cs="Times New Roman"/>
                <w:kern w:val="0"/>
              </w:rPr>
              <w:t>环评要求项目将挖方全部用于回填，不足部分外购或从附近其它工地运入，不得自行设置取土场；施工产生的建筑垃圾应集中堆放，由施工单位运至市政指定建筑废渣专用堆放场，以免影响施工和环境卫生；施工人员产生的生活垃圾应全部及时外运至城市垃圾处理场进行处置。</w:t>
            </w:r>
          </w:p>
          <w:p w14:paraId="093BBAC0">
            <w:pPr>
              <w:spacing w:line="360" w:lineRule="auto"/>
              <w:ind w:firstLine="480"/>
              <w:rPr>
                <w:rFonts w:ascii="Times New Roman" w:hAnsi="Times New Roman" w:cs="Times New Roman"/>
                <w:kern w:val="0"/>
              </w:rPr>
            </w:pPr>
            <w:r>
              <w:rPr>
                <w:rFonts w:ascii="Times New Roman" w:hAnsi="Times New Roman" w:cs="Times New Roman"/>
                <w:kern w:val="0"/>
              </w:rPr>
              <w:t>在落实以上环保措施后，本项目产生的固体废物不会对区域环境产生不利影响，但值得注意的是建筑垃圾和生活垃圾应分类收集、分类存放、分类运输和分类处置，不得混装。</w:t>
            </w:r>
          </w:p>
          <w:p w14:paraId="04AAB0A7">
            <w:pPr>
              <w:spacing w:line="360" w:lineRule="auto"/>
              <w:ind w:firstLine="480" w:firstLineChars="200"/>
              <w:rPr>
                <w:rFonts w:ascii="Times New Roman" w:hAnsi="Times New Roman" w:cs="Times New Roman"/>
                <w:b/>
              </w:rPr>
            </w:pPr>
            <w:r>
              <w:rPr>
                <w:rFonts w:ascii="Times New Roman" w:hAnsi="Times New Roman" w:cs="Times New Roman"/>
                <w:lang w:bidi="ar"/>
              </w:rPr>
              <w:t>经采取上述措施后，项目施工期扬尘等大气污染物对周围环境影响较小，且由于施工期影响是暂时的，随着施工结束，影响将逐渐消除，因此项目施工期大气污染物经采取相关防护措施处理后对周围环境影响较小。</w:t>
            </w:r>
          </w:p>
          <w:p w14:paraId="1E7DBD10">
            <w:pPr>
              <w:spacing w:line="360" w:lineRule="auto"/>
              <w:ind w:firstLine="480" w:firstLineChars="200"/>
              <w:rPr>
                <w:rFonts w:hint="eastAsia" w:cs="Times New Roman"/>
                <w:lang w:eastAsia="zh-CN"/>
              </w:rPr>
            </w:pPr>
          </w:p>
          <w:p w14:paraId="27F7EBCB">
            <w:pPr>
              <w:spacing w:line="360" w:lineRule="auto"/>
              <w:ind w:firstLine="480" w:firstLineChars="200"/>
              <w:rPr>
                <w:rFonts w:hint="eastAsia" w:cs="Times New Roman"/>
                <w:lang w:eastAsia="zh-CN"/>
              </w:rPr>
            </w:pPr>
          </w:p>
          <w:p w14:paraId="3AAC9C9F">
            <w:pPr>
              <w:spacing w:line="360" w:lineRule="auto"/>
              <w:ind w:firstLine="480" w:firstLineChars="200"/>
              <w:rPr>
                <w:rFonts w:hint="eastAsia" w:cs="Times New Roman"/>
                <w:lang w:eastAsia="zh-CN"/>
              </w:rPr>
            </w:pPr>
          </w:p>
          <w:p w14:paraId="0AE78A62">
            <w:pPr>
              <w:spacing w:line="360" w:lineRule="auto"/>
              <w:ind w:firstLine="480" w:firstLineChars="200"/>
              <w:rPr>
                <w:rFonts w:hint="eastAsia" w:cs="Times New Roman"/>
                <w:lang w:eastAsia="zh-CN"/>
              </w:rPr>
            </w:pPr>
          </w:p>
          <w:p w14:paraId="203B543B">
            <w:pPr>
              <w:spacing w:line="360" w:lineRule="auto"/>
              <w:ind w:firstLine="480" w:firstLineChars="200"/>
              <w:rPr>
                <w:rFonts w:hint="eastAsia" w:cs="Times New Roman"/>
                <w:lang w:eastAsia="zh-CN"/>
              </w:rPr>
            </w:pPr>
          </w:p>
          <w:p w14:paraId="4D173068">
            <w:pPr>
              <w:spacing w:line="360" w:lineRule="auto"/>
              <w:ind w:firstLine="480" w:firstLineChars="200"/>
              <w:rPr>
                <w:rFonts w:hint="eastAsia" w:cs="Times New Roman"/>
                <w:lang w:eastAsia="zh-CN"/>
              </w:rPr>
            </w:pPr>
          </w:p>
          <w:p w14:paraId="5F87266D">
            <w:pPr>
              <w:spacing w:line="360" w:lineRule="auto"/>
              <w:ind w:firstLine="480" w:firstLineChars="200"/>
              <w:rPr>
                <w:rFonts w:hint="eastAsia" w:cs="Times New Roman"/>
                <w:lang w:eastAsia="zh-CN"/>
              </w:rPr>
            </w:pPr>
          </w:p>
          <w:p w14:paraId="799B0A94">
            <w:pPr>
              <w:spacing w:line="360" w:lineRule="auto"/>
              <w:ind w:firstLine="480" w:firstLineChars="200"/>
              <w:rPr>
                <w:rFonts w:hint="eastAsia" w:cs="Times New Roman"/>
                <w:lang w:eastAsia="zh-CN"/>
              </w:rPr>
            </w:pPr>
          </w:p>
          <w:p w14:paraId="375AD0E9">
            <w:pPr>
              <w:spacing w:line="360" w:lineRule="auto"/>
              <w:ind w:firstLine="480" w:firstLineChars="200"/>
              <w:rPr>
                <w:rFonts w:hint="eastAsia" w:cs="Times New Roman"/>
                <w:lang w:eastAsia="zh-CN"/>
              </w:rPr>
            </w:pPr>
          </w:p>
          <w:p w14:paraId="2A254EC0">
            <w:pPr>
              <w:spacing w:line="360" w:lineRule="auto"/>
              <w:rPr>
                <w:rFonts w:hint="eastAsia" w:eastAsia="宋体"/>
                <w:szCs w:val="32"/>
                <w:lang w:eastAsia="zh-CN" w:bidi="ar"/>
              </w:rPr>
            </w:pPr>
          </w:p>
        </w:tc>
      </w:tr>
      <w:tr w14:paraId="3BBEE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tcMar>
              <w:left w:w="28" w:type="dxa"/>
              <w:right w:w="28" w:type="dxa"/>
            </w:tcMar>
            <w:vAlign w:val="center"/>
          </w:tcPr>
          <w:p w14:paraId="7EF02776">
            <w:pPr>
              <w:pStyle w:val="26"/>
              <w:adjustRightInd w:val="0"/>
              <w:snapToGrid w:val="0"/>
              <w:spacing w:before="0" w:beforeAutospacing="0" w:after="0" w:afterAutospacing="0"/>
              <w:jc w:val="center"/>
              <w:rPr>
                <w:rFonts w:cs="宋体"/>
                <w:kern w:val="2"/>
                <w:szCs w:val="24"/>
              </w:rPr>
            </w:pPr>
            <w:r>
              <w:rPr>
                <w:rFonts w:ascii="Times New Roman" w:hAnsi="Times New Roman"/>
                <w:bCs/>
              </w:rPr>
              <w:t>运营期环境影响和保护措施</w:t>
            </w:r>
          </w:p>
        </w:tc>
        <w:tc>
          <w:tcPr>
            <w:tcW w:w="8210" w:type="dxa"/>
            <w:vAlign w:val="center"/>
          </w:tcPr>
          <w:p w14:paraId="763FAAB6">
            <w:pPr>
              <w:adjustRightInd w:val="0"/>
              <w:snapToGrid w:val="0"/>
              <w:spacing w:line="360" w:lineRule="auto"/>
              <w:rPr>
                <w:b/>
                <w:color w:val="auto"/>
              </w:rPr>
            </w:pPr>
            <w:r>
              <w:rPr>
                <w:rFonts w:hint="eastAsia"/>
                <w:b/>
                <w:color w:val="auto"/>
              </w:rPr>
              <w:t>1、</w:t>
            </w:r>
            <w:r>
              <w:rPr>
                <w:b/>
                <w:color w:val="auto"/>
              </w:rPr>
              <w:t>废气</w:t>
            </w:r>
          </w:p>
          <w:p w14:paraId="70287159">
            <w:pPr>
              <w:adjustRightInd w:val="0"/>
              <w:snapToGrid w:val="0"/>
              <w:spacing w:line="360" w:lineRule="auto"/>
              <w:ind w:firstLine="480" w:firstLineChars="200"/>
              <w:rPr>
                <w:rFonts w:hint="eastAsia" w:ascii="宋体" w:hAnsi="宋体" w:cs="宋体"/>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ascii="宋体" w:hAnsi="宋体" w:cs="宋体"/>
                <w:color w:val="auto"/>
              </w:rPr>
              <w:t>污染源强分析</w:t>
            </w:r>
          </w:p>
          <w:p w14:paraId="1F54BA72">
            <w:pPr>
              <w:adjustRightInd w:val="0"/>
              <w:snapToGrid w:val="0"/>
              <w:spacing w:line="360" w:lineRule="auto"/>
              <w:ind w:firstLine="480" w:firstLineChars="200"/>
              <w:rPr>
                <w:color w:val="auto"/>
              </w:rPr>
            </w:pPr>
            <w:r>
              <w:rPr>
                <w:color w:val="auto"/>
              </w:rPr>
              <w:t>项目运营期废气主要是</w:t>
            </w:r>
            <w:r>
              <w:rPr>
                <w:rFonts w:hint="eastAsia"/>
                <w:color w:val="auto"/>
              </w:rPr>
              <w:t>下料、后处理（</w:t>
            </w:r>
            <w:r>
              <w:rPr>
                <w:rFonts w:hint="eastAsia"/>
                <w:color w:val="auto"/>
                <w:lang w:val="en-US" w:eastAsia="zh-CN"/>
              </w:rPr>
              <w:t>刨</w:t>
            </w:r>
            <w:r>
              <w:rPr>
                <w:rFonts w:hint="eastAsia"/>
                <w:color w:val="auto"/>
              </w:rPr>
              <w:t>光/砂光）产生的粉尘，</w:t>
            </w:r>
            <w:r>
              <w:rPr>
                <w:rFonts w:hint="eastAsia" w:ascii="宋体" w:hAnsi="宋体" w:cs="宋体"/>
                <w:color w:val="auto"/>
              </w:rPr>
              <w:t>废气污染源强分析如下</w:t>
            </w:r>
            <w:r>
              <w:rPr>
                <w:rFonts w:hint="eastAsia" w:ascii="宋体" w:hAnsi="宋体"/>
                <w:color w:val="auto"/>
              </w:rPr>
              <w:t>：</w:t>
            </w:r>
          </w:p>
          <w:p w14:paraId="128DB7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①下料</w:t>
            </w:r>
            <w:r>
              <w:rPr>
                <w:rFonts w:hint="eastAsia" w:ascii="Times New Roman" w:hAnsi="Times New Roman" w:cs="Times New Roman"/>
                <w:b w:val="0"/>
                <w:bCs/>
                <w:color w:val="auto"/>
                <w:sz w:val="24"/>
                <w:lang w:val="en-US" w:eastAsia="zh-CN"/>
              </w:rPr>
              <w:t>粉尘</w:t>
            </w:r>
          </w:p>
          <w:p w14:paraId="18BBD5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eastAsia="宋体" w:cs="Times New Roman"/>
                <w:bCs/>
                <w:sz w:val="24"/>
              </w:rPr>
            </w:pPr>
            <w:r>
              <w:rPr>
                <w:rFonts w:hint="eastAsia" w:ascii="Times New Roman" w:hAnsi="Times New Roman" w:cs="Times New Roman"/>
                <w:b w:val="0"/>
                <w:bCs/>
                <w:color w:val="auto"/>
                <w:sz w:val="24"/>
                <w:lang w:val="en-US" w:eastAsia="zh-CN"/>
              </w:rPr>
              <w:t>根据</w:t>
            </w:r>
            <w:r>
              <w:rPr>
                <w:rFonts w:hint="eastAsia" w:ascii="Times New Roman" w:hAnsi="Times New Roman" w:eastAsia="宋体" w:cs="Times New Roman"/>
                <w:sz w:val="24"/>
              </w:rPr>
              <w:t>《排放源统计调查产排污核算方法和系数手册》中“203木质制品制造行业系数手册”</w:t>
            </w:r>
            <w:r>
              <w:rPr>
                <w:rFonts w:hint="eastAsia" w:ascii="Times New Roman" w:hAnsi="Times New Roman" w:eastAsia="宋体" w:cs="Times New Roman"/>
                <w:sz w:val="24"/>
                <w:lang w:val="en-US" w:eastAsia="zh-CN"/>
              </w:rPr>
              <w:t>中203 木质制品制造行业系数表</w:t>
            </w:r>
            <w:r>
              <w:rPr>
                <w:rFonts w:hint="eastAsia" w:ascii="Times New Roman" w:hAnsi="Times New Roman" w:cs="Times New Roman"/>
                <w:b w:val="0"/>
                <w:bCs/>
                <w:color w:val="auto"/>
                <w:sz w:val="24"/>
                <w:lang w:val="en-US" w:eastAsia="zh-CN"/>
              </w:rPr>
              <w:t>，下料粉尘产污系数为</w:t>
            </w:r>
            <w:r>
              <w:rPr>
                <w:rFonts w:hint="eastAsia" w:ascii="Times New Roman" w:hAnsi="Times New Roman" w:eastAsia="宋体" w:cs="Times New Roman"/>
                <w:sz w:val="24"/>
                <w:szCs w:val="24"/>
                <w:lang w:val="en-US" w:eastAsia="zh-CN"/>
              </w:rPr>
              <w:t>24</w:t>
            </w:r>
            <w:r>
              <w:rPr>
                <w:rFonts w:hint="eastAsia" w:cs="Times New Roman"/>
                <w:sz w:val="24"/>
                <w:szCs w:val="24"/>
                <w:lang w:val="en-US" w:eastAsia="zh-CN"/>
              </w:rPr>
              <w:t>5</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cs="Times New Roman"/>
                <w:b w:val="0"/>
                <w:bCs/>
                <w:color w:val="auto"/>
                <w:sz w:val="24"/>
                <w:lang w:val="en-US" w:eastAsia="zh-CN"/>
              </w:rPr>
              <w:t>千克/立方米-产品，项目产品年产量2万</w:t>
            </w:r>
            <w:r>
              <w:rPr>
                <w:rFonts w:hint="eastAsia" w:cs="Times New Roman"/>
                <w:b w:val="0"/>
                <w:bCs/>
                <w:color w:val="auto"/>
                <w:sz w:val="24"/>
                <w:lang w:val="en-US" w:eastAsia="zh-CN"/>
              </w:rPr>
              <w:t>立</w:t>
            </w:r>
            <w:r>
              <w:rPr>
                <w:rFonts w:hint="eastAsia" w:ascii="Times New Roman" w:hAnsi="Times New Roman" w:cs="Times New Roman"/>
                <w:b w:val="0"/>
                <w:bCs/>
                <w:color w:val="auto"/>
                <w:sz w:val="24"/>
                <w:lang w:val="en-US" w:eastAsia="zh-CN"/>
              </w:rPr>
              <w:t>方米，则粉尘产生量为</w:t>
            </w:r>
            <w:r>
              <w:rPr>
                <w:rFonts w:hint="eastAsia" w:cs="Times New Roman"/>
                <w:b w:val="0"/>
                <w:bCs/>
                <w:color w:val="auto"/>
                <w:sz w:val="24"/>
                <w:lang w:val="en-US" w:eastAsia="zh-CN"/>
              </w:rPr>
              <w:t>4.9</w:t>
            </w:r>
            <w:r>
              <w:rPr>
                <w:rFonts w:hint="eastAsia" w:ascii="Times New Roman" w:hAnsi="Times New Roman" w:cs="Times New Roman"/>
                <w:b w:val="0"/>
                <w:bCs/>
                <w:color w:val="auto"/>
                <w:sz w:val="24"/>
                <w:lang w:val="en-US" w:eastAsia="zh-CN"/>
              </w:rPr>
              <w:t>吨/年。</w:t>
            </w:r>
          </w:p>
          <w:p w14:paraId="68E3AB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②刨光/砂光</w:t>
            </w:r>
            <w:r>
              <w:rPr>
                <w:rFonts w:hint="eastAsia" w:ascii="Times New Roman" w:hAnsi="Times New Roman" w:cs="Times New Roman"/>
                <w:b w:val="0"/>
                <w:bCs/>
                <w:color w:val="auto"/>
                <w:sz w:val="24"/>
                <w:lang w:val="en-US" w:eastAsia="zh-CN"/>
              </w:rPr>
              <w:t>粉尘</w:t>
            </w:r>
          </w:p>
          <w:p w14:paraId="61E112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cs="Times New Roman"/>
                <w:b w:val="0"/>
                <w:bCs/>
                <w:color w:val="auto"/>
                <w:sz w:val="24"/>
                <w:lang w:val="en-US" w:eastAsia="zh-CN"/>
              </w:rPr>
            </w:pPr>
            <w:r>
              <w:rPr>
                <w:rFonts w:hint="eastAsia" w:ascii="Times New Roman" w:hAnsi="Times New Roman" w:cs="Times New Roman"/>
                <w:b w:val="0"/>
                <w:bCs/>
                <w:color w:val="auto"/>
                <w:sz w:val="24"/>
                <w:lang w:val="en-US" w:eastAsia="zh-CN"/>
              </w:rPr>
              <w:t>根据</w:t>
            </w:r>
            <w:r>
              <w:rPr>
                <w:rFonts w:hint="eastAsia" w:ascii="Times New Roman" w:hAnsi="Times New Roman" w:eastAsia="宋体" w:cs="Times New Roman"/>
                <w:sz w:val="24"/>
              </w:rPr>
              <w:t>《排放源统计调查产排污核算方法和系数手册》中“203木质制品制造行业系数手册”</w:t>
            </w:r>
            <w:r>
              <w:rPr>
                <w:rFonts w:hint="eastAsia" w:ascii="Times New Roman" w:hAnsi="Times New Roman" w:eastAsia="宋体" w:cs="Times New Roman"/>
                <w:sz w:val="24"/>
                <w:lang w:val="en-US" w:eastAsia="zh-CN"/>
              </w:rPr>
              <w:t>中203 木质制品制造行业系数表</w:t>
            </w:r>
            <w:r>
              <w:rPr>
                <w:rFonts w:hint="eastAsia" w:cs="Times New Roman"/>
                <w:sz w:val="24"/>
                <w:lang w:val="en-US" w:eastAsia="zh-CN"/>
              </w:rPr>
              <w:t>（续4）</w:t>
            </w:r>
            <w:r>
              <w:rPr>
                <w:rFonts w:hint="eastAsia" w:ascii="Times New Roman" w:hAnsi="Times New Roman" w:cs="Times New Roman"/>
                <w:b w:val="0"/>
                <w:bCs/>
                <w:color w:val="auto"/>
                <w:sz w:val="24"/>
                <w:lang w:val="en-US" w:eastAsia="zh-CN"/>
              </w:rPr>
              <w:t>，后处理（抛光/砂光）粉尘产污系数为</w:t>
            </w:r>
            <w:r>
              <w:rPr>
                <w:rFonts w:hint="eastAsia" w:cs="Times New Roman"/>
                <w:sz w:val="24"/>
                <w:szCs w:val="24"/>
                <w:lang w:val="en-US" w:eastAsia="zh-CN"/>
              </w:rPr>
              <w:t>1.6</w:t>
            </w:r>
            <w:r>
              <w:rPr>
                <w:rFonts w:hint="eastAsia" w:ascii="Times New Roman" w:hAnsi="Times New Roman" w:cs="Times New Roman"/>
                <w:b w:val="0"/>
                <w:bCs/>
                <w:color w:val="auto"/>
                <w:sz w:val="24"/>
                <w:lang w:val="en-US" w:eastAsia="zh-CN"/>
              </w:rPr>
              <w:t>千克/立方米-产品，项目产品年产量为2万</w:t>
            </w:r>
            <w:r>
              <w:rPr>
                <w:rFonts w:hint="eastAsia" w:cs="Times New Roman"/>
                <w:b w:val="0"/>
                <w:bCs/>
                <w:color w:val="auto"/>
                <w:sz w:val="24"/>
                <w:lang w:val="en-US" w:eastAsia="zh-CN"/>
              </w:rPr>
              <w:t>立</w:t>
            </w:r>
            <w:r>
              <w:rPr>
                <w:rFonts w:hint="eastAsia" w:ascii="Times New Roman" w:hAnsi="Times New Roman" w:cs="Times New Roman"/>
                <w:b w:val="0"/>
                <w:bCs/>
                <w:color w:val="auto"/>
                <w:sz w:val="24"/>
                <w:lang w:val="en-US" w:eastAsia="zh-CN"/>
              </w:rPr>
              <w:t>方米，则粉尘产生量为</w:t>
            </w:r>
            <w:r>
              <w:rPr>
                <w:rFonts w:hint="eastAsia" w:cs="Times New Roman"/>
                <w:b w:val="0"/>
                <w:bCs/>
                <w:color w:val="auto"/>
                <w:sz w:val="24"/>
                <w:lang w:val="en-US" w:eastAsia="zh-CN"/>
              </w:rPr>
              <w:t>32</w:t>
            </w:r>
            <w:r>
              <w:rPr>
                <w:rFonts w:hint="eastAsia" w:ascii="Times New Roman" w:hAnsi="Times New Roman" w:cs="Times New Roman"/>
                <w:b w:val="0"/>
                <w:bCs/>
                <w:color w:val="auto"/>
                <w:sz w:val="24"/>
                <w:lang w:val="en-US" w:eastAsia="zh-CN"/>
              </w:rPr>
              <w:t>吨/年。</w:t>
            </w:r>
          </w:p>
          <w:p w14:paraId="460967EA">
            <w:pPr>
              <w:widowControl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（2）风量核算</w:t>
            </w:r>
          </w:p>
          <w:p w14:paraId="2779BDCA">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根据《三废处理工程技术手册》（废气卷）中外部集气罩风量确定，风量计算公式如下：</w:t>
            </w:r>
          </w:p>
          <w:p w14:paraId="135F441F">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position w:val="-10"/>
                <w:sz w:val="24"/>
                <w:szCs w:val="24"/>
                <w:lang w:val="en-US" w:eastAsia="zh-CN" w:bidi="ar-SA"/>
              </w:rPr>
              <w:object>
                <v:shape id="_x0000_i1025" o:spt="75" type="#_x0000_t75" style="height:18pt;width:108pt;" o:ole="t" filled="f" o:preferrelative="t" stroked="f" coordsize="21600,21600">
                  <v:path/>
                  <v:fill on="f" focussize="0,0"/>
                  <v:stroke on="f" joinstyle="miter"/>
                  <v:imagedata r:id="rId17" o:title=""/>
                  <o:lock v:ext="edit" aspectratio="t"/>
                  <w10:wrap type="none"/>
                  <w10:anchorlock/>
                </v:shape>
                <o:OLEObject Type="Embed" ProgID="Equation.KSEE3" ShapeID="_x0000_i1025" DrawAspect="Content" ObjectID="_1468075725" r:id="rId16">
                  <o:LockedField>false</o:LockedField>
                </o:OLEObject>
              </w:object>
            </w:r>
          </w:p>
          <w:p w14:paraId="4FEEA2C8">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式中：Q----集气罩排风量；m</w:t>
            </w:r>
            <w:r>
              <w:rPr>
                <w:rFonts w:ascii="Times New Roman" w:hAnsi="Times New Roman" w:eastAsia="宋体" w:cs="Times New Roman"/>
                <w:color w:val="auto"/>
                <w:kern w:val="2"/>
                <w:sz w:val="24"/>
                <w:szCs w:val="24"/>
                <w:vertAlign w:val="superscript"/>
                <w:lang w:val="en-US" w:eastAsia="zh-CN" w:bidi="ar-SA"/>
              </w:rPr>
              <w:t>3</w:t>
            </w:r>
            <w:r>
              <w:rPr>
                <w:rFonts w:ascii="Times New Roman" w:hAnsi="Times New Roman" w:eastAsia="宋体" w:cs="Times New Roman"/>
                <w:color w:val="auto"/>
                <w:kern w:val="2"/>
                <w:sz w:val="24"/>
                <w:szCs w:val="24"/>
                <w:lang w:val="en-US" w:eastAsia="zh-CN" w:bidi="ar-SA"/>
              </w:rPr>
              <w:t>/s；</w:t>
            </w:r>
          </w:p>
          <w:p w14:paraId="57316C58">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 xml:space="preserve">      x-----污染物产生点至罩口的距离；m；本项目取1m；</w:t>
            </w:r>
          </w:p>
          <w:p w14:paraId="453C5178">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 xml:space="preserve">      A----罩口面积，m</w:t>
            </w:r>
            <w:r>
              <w:rPr>
                <w:rFonts w:ascii="Times New Roman" w:hAnsi="Times New Roman" w:eastAsia="宋体" w:cs="Times New Roman"/>
                <w:color w:val="auto"/>
                <w:kern w:val="2"/>
                <w:sz w:val="24"/>
                <w:szCs w:val="24"/>
                <w:vertAlign w:val="superscript"/>
                <w:lang w:val="en-US" w:eastAsia="zh-CN" w:bidi="ar-SA"/>
              </w:rPr>
              <w:t>2</w:t>
            </w:r>
            <w:r>
              <w:rPr>
                <w:rFonts w:ascii="Times New Roman" w:hAnsi="Times New Roman" w:eastAsia="宋体" w:cs="Times New Roman"/>
                <w:color w:val="auto"/>
                <w:kern w:val="2"/>
                <w:sz w:val="24"/>
                <w:szCs w:val="24"/>
                <w:lang w:val="en-US" w:eastAsia="zh-CN" w:bidi="ar-SA"/>
              </w:rPr>
              <w:t>，本项目共设有</w:t>
            </w:r>
            <w:r>
              <w:rPr>
                <w:rFonts w:hint="eastAsia" w:cs="Times New Roman"/>
                <w:color w:val="auto"/>
                <w:kern w:val="2"/>
                <w:sz w:val="24"/>
                <w:szCs w:val="24"/>
                <w:lang w:val="en-US" w:eastAsia="zh-CN" w:bidi="ar-SA"/>
              </w:rPr>
              <w:t>16</w:t>
            </w:r>
            <w:r>
              <w:rPr>
                <w:rFonts w:ascii="Times New Roman" w:hAnsi="Times New Roman" w:eastAsia="宋体" w:cs="Times New Roman"/>
                <w:color w:val="auto"/>
                <w:kern w:val="2"/>
                <w:sz w:val="24"/>
                <w:szCs w:val="24"/>
                <w:lang w:val="en-US" w:eastAsia="zh-CN" w:bidi="ar-SA"/>
              </w:rPr>
              <w:t>个集气罩，参数为：长×宽1m×1m，个。则集气罩口总面积为</w:t>
            </w:r>
            <w:r>
              <w:rPr>
                <w:rFonts w:hint="eastAsia" w:cs="Times New Roman"/>
                <w:color w:val="auto"/>
                <w:kern w:val="2"/>
                <w:sz w:val="24"/>
                <w:szCs w:val="24"/>
                <w:lang w:val="en-US" w:eastAsia="zh-CN" w:bidi="ar-SA"/>
              </w:rPr>
              <w:t>16</w:t>
            </w:r>
            <w:r>
              <w:rPr>
                <w:rFonts w:ascii="Times New Roman" w:hAnsi="Times New Roman" w:eastAsia="宋体" w:cs="Times New Roman"/>
                <w:color w:val="auto"/>
                <w:kern w:val="2"/>
                <w:sz w:val="24"/>
                <w:szCs w:val="24"/>
                <w:lang w:val="en-US" w:eastAsia="zh-CN" w:bidi="ar-SA"/>
              </w:rPr>
              <w:t>m</w:t>
            </w:r>
            <w:r>
              <w:rPr>
                <w:rFonts w:ascii="Times New Roman" w:hAnsi="Times New Roman" w:eastAsia="宋体" w:cs="Times New Roman"/>
                <w:color w:val="auto"/>
                <w:kern w:val="2"/>
                <w:sz w:val="24"/>
                <w:szCs w:val="24"/>
                <w:vertAlign w:val="superscript"/>
                <w:lang w:val="en-US" w:eastAsia="zh-CN" w:bidi="ar-SA"/>
              </w:rPr>
              <w:t>2</w:t>
            </w:r>
            <w:r>
              <w:rPr>
                <w:rFonts w:ascii="Times New Roman" w:hAnsi="Times New Roman" w:eastAsia="宋体" w:cs="Times New Roman"/>
                <w:color w:val="auto"/>
                <w:kern w:val="2"/>
                <w:sz w:val="24"/>
                <w:szCs w:val="24"/>
                <w:lang w:val="en-US" w:eastAsia="zh-CN" w:bidi="ar-SA"/>
              </w:rPr>
              <w:t>；</w:t>
            </w:r>
          </w:p>
          <w:p w14:paraId="09F0DA0A">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 xml:space="preserve">      v</w:t>
            </w:r>
            <w:r>
              <w:rPr>
                <w:rFonts w:ascii="Times New Roman" w:hAnsi="Times New Roman" w:eastAsia="宋体" w:cs="Times New Roman"/>
                <w:color w:val="auto"/>
                <w:kern w:val="2"/>
                <w:sz w:val="24"/>
                <w:szCs w:val="24"/>
                <w:vertAlign w:val="subscript"/>
                <w:lang w:val="en-US" w:eastAsia="zh-CN" w:bidi="ar-SA"/>
              </w:rPr>
              <w:t>x</w:t>
            </w:r>
            <w:r>
              <w:rPr>
                <w:rFonts w:ascii="Times New Roman" w:hAnsi="Times New Roman" w:eastAsia="宋体" w:cs="Times New Roman"/>
                <w:color w:val="auto"/>
                <w:kern w:val="2"/>
                <w:sz w:val="24"/>
                <w:szCs w:val="24"/>
                <w:lang w:val="en-US" w:eastAsia="zh-CN" w:bidi="ar-SA"/>
              </w:rPr>
              <w:t>----最小控制风速，m/s，一般取0.25~0.5m/s，本项目取0.</w:t>
            </w:r>
            <w:r>
              <w:rPr>
                <w:rFonts w:hint="eastAsia" w:cs="Times New Roman"/>
                <w:color w:val="auto"/>
                <w:kern w:val="2"/>
                <w:sz w:val="24"/>
                <w:szCs w:val="24"/>
                <w:lang w:val="en-US" w:eastAsia="zh-CN" w:bidi="ar-SA"/>
              </w:rPr>
              <w:t>25</w:t>
            </w:r>
            <w:r>
              <w:rPr>
                <w:rFonts w:ascii="Times New Roman" w:hAnsi="Times New Roman" w:eastAsia="宋体" w:cs="Times New Roman"/>
                <w:color w:val="auto"/>
                <w:kern w:val="2"/>
                <w:sz w:val="24"/>
                <w:szCs w:val="24"/>
                <w:lang w:val="en-US" w:eastAsia="zh-CN" w:bidi="ar-SA"/>
              </w:rPr>
              <w:t>m/s。</w:t>
            </w:r>
          </w:p>
          <w:p w14:paraId="05D66FF9">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则Q=0.75×（5×1</w:t>
            </w:r>
            <w:r>
              <w:rPr>
                <w:rFonts w:ascii="Times New Roman" w:hAnsi="Times New Roman" w:eastAsia="宋体" w:cs="Times New Roman"/>
                <w:color w:val="auto"/>
                <w:kern w:val="2"/>
                <w:sz w:val="24"/>
                <w:szCs w:val="24"/>
                <w:vertAlign w:val="superscript"/>
                <w:lang w:val="en-US" w:eastAsia="zh-CN" w:bidi="ar-SA"/>
              </w:rPr>
              <w:t>2</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kern w:val="2"/>
                <w:sz w:val="24"/>
                <w:szCs w:val="24"/>
                <w:lang w:val="en-US" w:eastAsia="zh-CN" w:bidi="ar-SA"/>
              </w:rPr>
              <w:t>6</w:t>
            </w:r>
            <w:r>
              <w:rPr>
                <w:rFonts w:ascii="Times New Roman" w:hAnsi="Times New Roman" w:eastAsia="宋体" w:cs="Times New Roman"/>
                <w:color w:val="auto"/>
                <w:kern w:val="2"/>
                <w:sz w:val="24"/>
                <w:szCs w:val="24"/>
                <w:lang w:val="en-US" w:eastAsia="zh-CN" w:bidi="ar-SA"/>
              </w:rPr>
              <w:t>）×0.</w:t>
            </w:r>
            <w:r>
              <w:rPr>
                <w:rFonts w:hint="eastAsia" w:cs="Times New Roman"/>
                <w:color w:val="auto"/>
                <w:kern w:val="2"/>
                <w:sz w:val="24"/>
                <w:szCs w:val="24"/>
                <w:lang w:val="en-US" w:eastAsia="zh-CN" w:bidi="ar-SA"/>
              </w:rPr>
              <w:t>25</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3600</w:t>
            </w:r>
            <w:r>
              <w:rPr>
                <w:rFonts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14175</w:t>
            </w:r>
            <w:r>
              <w:rPr>
                <w:rFonts w:ascii="Times New Roman" w:hAnsi="Times New Roman" w:eastAsia="宋体" w:cs="Times New Roman"/>
                <w:color w:val="auto"/>
                <w:kern w:val="2"/>
                <w:sz w:val="24"/>
                <w:szCs w:val="24"/>
                <w:lang w:val="en-US" w:eastAsia="zh-CN" w:bidi="ar-SA"/>
              </w:rPr>
              <w:t>m</w:t>
            </w:r>
            <w:r>
              <w:rPr>
                <w:rFonts w:ascii="Times New Roman" w:hAnsi="Times New Roman" w:eastAsia="宋体" w:cs="Times New Roman"/>
                <w:color w:val="auto"/>
                <w:kern w:val="2"/>
                <w:sz w:val="24"/>
                <w:szCs w:val="24"/>
                <w:vertAlign w:val="superscript"/>
                <w:lang w:val="en-US" w:eastAsia="zh-CN" w:bidi="ar-SA"/>
              </w:rPr>
              <w:t>3</w:t>
            </w:r>
            <w:r>
              <w:rPr>
                <w:rFonts w:ascii="Times New Roman" w:hAnsi="Times New Roman" w:eastAsia="宋体" w:cs="Times New Roman"/>
                <w:color w:val="auto"/>
                <w:kern w:val="2"/>
                <w:sz w:val="24"/>
                <w:szCs w:val="24"/>
                <w:lang w:val="en-US" w:eastAsia="zh-CN" w:bidi="ar-SA"/>
              </w:rPr>
              <w:t>/h</w:t>
            </w:r>
            <w:r>
              <w:rPr>
                <w:rFonts w:hint="eastAsia" w:ascii="Times New Roman" w:hAnsi="Times New Roman" w:eastAsia="宋体" w:cs="Times New Roman"/>
                <w:color w:val="auto"/>
                <w:kern w:val="2"/>
                <w:sz w:val="24"/>
                <w:szCs w:val="24"/>
                <w:lang w:val="en-US" w:eastAsia="zh-CN" w:bidi="ar-SA"/>
              </w:rPr>
              <w:t>。</w:t>
            </w:r>
          </w:p>
          <w:p w14:paraId="675699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eastAsia="宋体"/>
                <w:bCs/>
                <w:color w:val="auto"/>
                <w:lang w:val="en-US" w:eastAsia="zh-CN"/>
              </w:rPr>
            </w:pPr>
            <w:r>
              <w:rPr>
                <w:rFonts w:hint="eastAsia"/>
                <w:bCs/>
                <w:color w:val="auto"/>
                <w:lang w:val="en-US" w:eastAsia="zh-CN"/>
              </w:rPr>
              <w:t>考虑风阻，本项目废气量取15000</w:t>
            </w:r>
            <w:r>
              <w:rPr>
                <w:rFonts w:ascii="Times New Roman" w:hAnsi="Times New Roman" w:eastAsia="宋体" w:cs="Times New Roman"/>
                <w:color w:val="auto"/>
                <w:kern w:val="2"/>
                <w:sz w:val="24"/>
                <w:szCs w:val="24"/>
                <w:lang w:val="en-US" w:eastAsia="zh-CN" w:bidi="ar-SA"/>
              </w:rPr>
              <w:t>m</w:t>
            </w:r>
            <w:r>
              <w:rPr>
                <w:rFonts w:ascii="Times New Roman" w:hAnsi="Times New Roman" w:eastAsia="宋体" w:cs="Times New Roman"/>
                <w:color w:val="auto"/>
                <w:kern w:val="2"/>
                <w:sz w:val="24"/>
                <w:szCs w:val="24"/>
                <w:vertAlign w:val="superscript"/>
                <w:lang w:val="en-US" w:eastAsia="zh-CN" w:bidi="ar-SA"/>
              </w:rPr>
              <w:t>3</w:t>
            </w:r>
            <w:r>
              <w:rPr>
                <w:rFonts w:ascii="Times New Roman" w:hAnsi="Times New Roman" w:eastAsia="宋体" w:cs="Times New Roman"/>
                <w:color w:val="auto"/>
                <w:kern w:val="2"/>
                <w:sz w:val="24"/>
                <w:szCs w:val="24"/>
                <w:lang w:val="en-US" w:eastAsia="zh-CN" w:bidi="ar-SA"/>
              </w:rPr>
              <w:t>/h</w:t>
            </w:r>
            <w:r>
              <w:rPr>
                <w:rFonts w:hint="eastAsia" w:cs="Times New Roman"/>
                <w:color w:val="auto"/>
                <w:kern w:val="2"/>
                <w:sz w:val="24"/>
                <w:szCs w:val="24"/>
                <w:lang w:val="en-US" w:eastAsia="zh-CN" w:bidi="ar-SA"/>
              </w:rPr>
              <w:t>。</w:t>
            </w:r>
          </w:p>
          <w:p w14:paraId="1F392C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bCs/>
                <w:color w:val="auto"/>
              </w:rPr>
            </w:pPr>
            <w:r>
              <w:rPr>
                <w:rFonts w:hint="eastAsia"/>
                <w:bCs/>
                <w:color w:val="auto"/>
                <w:lang w:eastAsia="zh-CN"/>
              </w:rPr>
              <w:t>（</w:t>
            </w:r>
            <w:r>
              <w:rPr>
                <w:rFonts w:hint="eastAsia"/>
                <w:bCs/>
                <w:color w:val="auto"/>
                <w:lang w:val="en-US" w:eastAsia="zh-CN"/>
              </w:rPr>
              <w:t>3</w:t>
            </w:r>
            <w:r>
              <w:rPr>
                <w:rFonts w:hint="eastAsia"/>
                <w:bCs/>
                <w:color w:val="auto"/>
                <w:lang w:eastAsia="zh-CN"/>
              </w:rPr>
              <w:t>）</w:t>
            </w:r>
            <w:r>
              <w:rPr>
                <w:rFonts w:hint="eastAsia"/>
                <w:bCs/>
                <w:color w:val="auto"/>
              </w:rPr>
              <w:t>废气收集、处理效率依据：</w:t>
            </w:r>
          </w:p>
          <w:p w14:paraId="6AD985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bCs/>
                <w:color w:val="auto"/>
              </w:rPr>
            </w:pPr>
            <w:r>
              <w:rPr>
                <w:rFonts w:hint="eastAsia"/>
                <w:bCs/>
                <w:color w:val="auto"/>
              </w:rPr>
              <w:t>根据《袋式除尘工程通用技术规范》（HJ2020-2012）中6.2.8，吹吸罩捕集率不低于90%；半密闭集气罩捕集率不低于95%；密闭集气罩捕集率不低于100%。项目</w:t>
            </w:r>
            <w:r>
              <w:rPr>
                <w:rFonts w:hint="eastAsia"/>
                <w:bCs/>
                <w:color w:val="auto"/>
                <w:lang w:val="en-US" w:eastAsia="zh-CN"/>
              </w:rPr>
              <w:t>下料、刨光/砂光</w:t>
            </w:r>
            <w:r>
              <w:rPr>
                <w:rFonts w:hint="eastAsia"/>
                <w:bCs/>
                <w:color w:val="auto"/>
              </w:rPr>
              <w:t>工序使用吹吸集气罩，收集效率取90%。</w:t>
            </w:r>
          </w:p>
          <w:p w14:paraId="1F6C12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bCs/>
                <w:color w:val="auto"/>
              </w:rPr>
            </w:pPr>
            <w:r>
              <w:rPr>
                <w:rFonts w:hint="eastAsia"/>
                <w:bCs/>
                <w:color w:val="auto"/>
                <w:lang w:val="en-US" w:eastAsia="zh-CN"/>
              </w:rPr>
              <w:t>下料、刨光/砂光</w:t>
            </w:r>
            <w:r>
              <w:rPr>
                <w:rFonts w:hint="eastAsia"/>
                <w:bCs/>
                <w:color w:val="auto"/>
              </w:rPr>
              <w:t>废气采用</w:t>
            </w:r>
            <w:r>
              <w:rPr>
                <w:rFonts w:hint="eastAsia"/>
                <w:bCs/>
                <w:color w:val="auto"/>
                <w:lang w:val="en-US" w:eastAsia="zh-CN"/>
              </w:rPr>
              <w:t>布袋除尘器</w:t>
            </w:r>
            <w:r>
              <w:rPr>
                <w:rFonts w:hint="eastAsia"/>
                <w:bCs/>
                <w:color w:val="auto"/>
              </w:rPr>
              <w:t>进行处理。根据《环境保护产品技术要求脉冲喷吹类袋式除尘器（HJ/T 328-2006）》表1中除尘效率为&gt;99.5%，本项目考虑除尘器损耗等因素，废气处理装置处理效率取9</w:t>
            </w:r>
            <w:r>
              <w:rPr>
                <w:rFonts w:hint="eastAsia"/>
                <w:bCs/>
                <w:color w:val="auto"/>
                <w:lang w:val="en-US" w:eastAsia="zh-CN"/>
              </w:rPr>
              <w:t>9</w:t>
            </w:r>
            <w:r>
              <w:rPr>
                <w:rFonts w:hint="eastAsia"/>
                <w:bCs/>
                <w:color w:val="auto"/>
              </w:rPr>
              <w:t>%。</w:t>
            </w:r>
          </w:p>
          <w:p w14:paraId="43E8B4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000000"/>
                <w:sz w:val="24"/>
                <w:lang w:val="en-US" w:eastAsia="zh-CN"/>
              </w:rPr>
            </w:pPr>
            <w:r>
              <w:rPr>
                <w:rFonts w:hint="eastAsia"/>
                <w:bCs/>
                <w:color w:val="auto"/>
              </w:rPr>
              <w:t>项目配套风量为</w:t>
            </w:r>
            <w:r>
              <w:rPr>
                <w:rFonts w:hint="eastAsia"/>
                <w:bCs/>
                <w:color w:val="auto"/>
                <w:lang w:val="en-US" w:eastAsia="zh-CN"/>
              </w:rPr>
              <w:t>15000</w:t>
            </w:r>
            <w:r>
              <w:rPr>
                <w:color w:val="auto"/>
              </w:rPr>
              <w:t>m</w:t>
            </w:r>
            <w:r>
              <w:rPr>
                <w:color w:val="auto"/>
                <w:vertAlign w:val="superscript"/>
              </w:rPr>
              <w:t>3</w:t>
            </w:r>
            <w:r>
              <w:rPr>
                <w:color w:val="auto"/>
              </w:rPr>
              <w:t>/h</w:t>
            </w:r>
            <w:r>
              <w:rPr>
                <w:rFonts w:hint="eastAsia"/>
                <w:color w:val="auto"/>
              </w:rPr>
              <w:t>，</w:t>
            </w:r>
            <w:r>
              <w:rPr>
                <w:rFonts w:hint="eastAsia" w:ascii="Times New Roman" w:hAnsi="Times New Roman" w:cs="Times New Roman"/>
                <w:color w:val="000000"/>
                <w:sz w:val="24"/>
                <w:lang w:val="en-US" w:eastAsia="zh-CN"/>
              </w:rPr>
              <w:t>项目生产过程中粉尘产生总量为</w:t>
            </w:r>
            <w:r>
              <w:rPr>
                <w:rFonts w:hint="eastAsia" w:cs="Times New Roman"/>
                <w:b w:val="0"/>
                <w:bCs/>
                <w:color w:val="auto"/>
                <w:sz w:val="24"/>
                <w:lang w:val="en-US" w:eastAsia="zh-CN"/>
              </w:rPr>
              <w:t>36.9</w:t>
            </w:r>
            <w:r>
              <w:rPr>
                <w:rFonts w:hint="eastAsia" w:ascii="Times New Roman" w:hAnsi="Times New Roman" w:cs="Times New Roman"/>
                <w:b w:val="0"/>
                <w:bCs/>
                <w:color w:val="auto"/>
                <w:sz w:val="24"/>
                <w:lang w:val="en-US" w:eastAsia="zh-CN"/>
              </w:rPr>
              <w:t>吨/年，</w:t>
            </w:r>
            <w:r>
              <w:rPr>
                <w:rFonts w:hint="eastAsia" w:ascii="Times New Roman" w:hAnsi="Times New Roman" w:cs="Times New Roman"/>
                <w:color w:val="000000"/>
                <w:sz w:val="24"/>
                <w:lang w:val="en-US" w:eastAsia="zh-CN"/>
              </w:rPr>
              <w:t>通过集气罩收集、布袋除尘器处理，收集效率为90%，处理效率为9</w:t>
            </w:r>
            <w:r>
              <w:rPr>
                <w:rFonts w:hint="eastAsia" w:cs="Times New Roman"/>
                <w:color w:val="000000"/>
                <w:sz w:val="24"/>
                <w:lang w:val="en-US" w:eastAsia="zh-CN"/>
              </w:rPr>
              <w:t>9</w:t>
            </w:r>
            <w:r>
              <w:rPr>
                <w:rFonts w:hint="eastAsia" w:ascii="Times New Roman" w:hAnsi="Times New Roman" w:cs="Times New Roman"/>
                <w:color w:val="000000"/>
                <w:sz w:val="24"/>
                <w:lang w:val="en-US" w:eastAsia="zh-CN"/>
              </w:rPr>
              <w:t>%，粉尘</w:t>
            </w:r>
            <w:r>
              <w:rPr>
                <w:rFonts w:hint="eastAsia" w:cs="Times New Roman"/>
                <w:color w:val="000000"/>
                <w:sz w:val="24"/>
                <w:lang w:val="en-US" w:eastAsia="zh-CN"/>
              </w:rPr>
              <w:t>有组织产生量为33.21t/a，产生速率为13.838</w:t>
            </w:r>
            <w:r>
              <w:rPr>
                <w:rFonts w:hint="eastAsia" w:ascii="Times New Roman" w:hAnsi="Times New Roman" w:eastAsia="宋体" w:cs="Times New Roman"/>
                <w:color w:val="000000"/>
                <w:sz w:val="24"/>
                <w:lang w:val="en-US" w:eastAsia="zh-CN"/>
              </w:rPr>
              <w:t>kg/h，产生</w:t>
            </w:r>
            <w:r>
              <w:rPr>
                <w:rFonts w:hint="eastAsia"/>
                <w:bCs/>
                <w:color w:val="auto"/>
              </w:rPr>
              <w:t>浓度为</w:t>
            </w:r>
            <w:r>
              <w:rPr>
                <w:rFonts w:hint="eastAsia" w:cs="Times New Roman"/>
                <w:color w:val="000000"/>
                <w:sz w:val="24"/>
                <w:lang w:val="en-US" w:eastAsia="zh-CN"/>
              </w:rPr>
              <w:t>922.53</w:t>
            </w:r>
            <w:r>
              <w:rPr>
                <w:rFonts w:hint="eastAsia"/>
                <w:bCs/>
                <w:color w:val="auto"/>
              </w:rPr>
              <w:t>m</w:t>
            </w:r>
            <w:r>
              <w:rPr>
                <w:bCs/>
                <w:color w:val="auto"/>
              </w:rPr>
              <w:t>g</w:t>
            </w:r>
            <w:r>
              <w:rPr>
                <w:color w:val="auto"/>
              </w:rPr>
              <w:t>/m</w:t>
            </w:r>
            <w:r>
              <w:rPr>
                <w:color w:val="auto"/>
                <w:vertAlign w:val="superscript"/>
              </w:rPr>
              <w:t>3</w:t>
            </w:r>
            <w:r>
              <w:rPr>
                <w:rFonts w:hint="eastAsia" w:cs="Times New Roman"/>
                <w:color w:val="000000"/>
                <w:sz w:val="24"/>
                <w:lang w:val="en-US" w:eastAsia="zh-CN"/>
              </w:rPr>
              <w:t>；</w:t>
            </w:r>
            <w:r>
              <w:rPr>
                <w:rFonts w:hint="eastAsia" w:ascii="Times New Roman" w:hAnsi="Times New Roman" w:cs="Times New Roman"/>
                <w:color w:val="000000"/>
                <w:sz w:val="24"/>
                <w:lang w:val="en-US" w:eastAsia="zh-CN"/>
              </w:rPr>
              <w:t>处理后排放量为</w:t>
            </w:r>
            <w:r>
              <w:rPr>
                <w:rFonts w:hint="eastAsia" w:cs="Times New Roman"/>
                <w:color w:val="000000"/>
                <w:sz w:val="24"/>
                <w:lang w:val="en-US" w:eastAsia="zh-CN"/>
              </w:rPr>
              <w:t>0.3321</w:t>
            </w:r>
            <w:r>
              <w:rPr>
                <w:rFonts w:hint="eastAsia" w:ascii="Times New Roman" w:hAnsi="Times New Roman" w:eastAsia="宋体" w:cs="Times New Roman"/>
                <w:color w:val="000000"/>
                <w:sz w:val="24"/>
                <w:lang w:val="en-US" w:eastAsia="zh-CN"/>
              </w:rPr>
              <w:t>t/a</w:t>
            </w:r>
            <w:r>
              <w:rPr>
                <w:rFonts w:hint="eastAsia" w:ascii="Times New Roman" w:hAnsi="Times New Roman" w:cs="Times New Roman"/>
                <w:color w:val="000000"/>
                <w:sz w:val="24"/>
                <w:lang w:val="en-US" w:eastAsia="zh-CN"/>
              </w:rPr>
              <w:t>，排放速率为</w:t>
            </w:r>
            <w:r>
              <w:rPr>
                <w:rFonts w:hint="eastAsia" w:cs="Times New Roman"/>
                <w:color w:val="000000"/>
                <w:sz w:val="24"/>
                <w:lang w:val="en-US" w:eastAsia="zh-CN"/>
              </w:rPr>
              <w:t>0.138</w:t>
            </w:r>
            <w:r>
              <w:rPr>
                <w:rFonts w:hint="eastAsia" w:ascii="Times New Roman" w:hAnsi="Times New Roman" w:eastAsia="宋体" w:cs="Times New Roman"/>
                <w:color w:val="000000"/>
                <w:sz w:val="24"/>
                <w:lang w:val="en-US" w:eastAsia="zh-CN"/>
              </w:rPr>
              <w:t>kg/h（年工作2400h）</w:t>
            </w:r>
            <w:r>
              <w:rPr>
                <w:rFonts w:hint="eastAsia" w:cs="Times New Roman"/>
                <w:color w:val="000000"/>
                <w:sz w:val="24"/>
                <w:lang w:val="en-US" w:eastAsia="zh-CN"/>
              </w:rPr>
              <w:t>，</w:t>
            </w:r>
            <w:r>
              <w:rPr>
                <w:rFonts w:hint="eastAsia"/>
                <w:bCs/>
                <w:color w:val="auto"/>
              </w:rPr>
              <w:t>排放浓度为</w:t>
            </w:r>
            <w:r>
              <w:rPr>
                <w:rFonts w:hint="eastAsia"/>
                <w:bCs/>
                <w:color w:val="auto"/>
                <w:lang w:val="en-US" w:eastAsia="zh-CN"/>
              </w:rPr>
              <w:t>9.2</w:t>
            </w:r>
            <w:r>
              <w:rPr>
                <w:rFonts w:hint="eastAsia"/>
                <w:bCs/>
                <w:color w:val="auto"/>
              </w:rPr>
              <w:t>m</w:t>
            </w:r>
            <w:r>
              <w:rPr>
                <w:bCs/>
                <w:color w:val="auto"/>
              </w:rPr>
              <w:t>g</w:t>
            </w:r>
            <w:r>
              <w:rPr>
                <w:color w:val="auto"/>
              </w:rPr>
              <w:t>/m</w:t>
            </w:r>
            <w:r>
              <w:rPr>
                <w:color w:val="auto"/>
                <w:vertAlign w:val="superscript"/>
              </w:rPr>
              <w:t>3</w:t>
            </w:r>
            <w:r>
              <w:rPr>
                <w:rFonts w:hint="eastAsia" w:ascii="Times New Roman" w:hAnsi="Times New Roman" w:eastAsia="宋体" w:cs="Times New Roman"/>
                <w:color w:val="000000"/>
                <w:sz w:val="24"/>
                <w:lang w:val="en-US" w:eastAsia="zh-CN"/>
              </w:rPr>
              <w:t>。</w:t>
            </w:r>
          </w:p>
          <w:p w14:paraId="4C7711DE">
            <w:pPr>
              <w:autoSpaceDE w:val="0"/>
              <w:autoSpaceDN w:val="0"/>
              <w:adjustRightInd w:val="0"/>
              <w:snapToGrid w:val="0"/>
              <w:spacing w:line="360" w:lineRule="auto"/>
              <w:ind w:firstLine="482" w:firstLineChars="200"/>
              <w:rPr>
                <w:rFonts w:eastAsiaTheme="minorEastAsia"/>
                <w:color w:val="auto"/>
              </w:rPr>
            </w:pPr>
            <w:r>
              <w:rPr>
                <w:rFonts w:hint="eastAsia"/>
                <w:b/>
                <w:bCs/>
                <w:color w:val="auto"/>
              </w:rPr>
              <w:t>综上所述，</w:t>
            </w:r>
            <w:r>
              <w:rPr>
                <w:b/>
                <w:bCs/>
                <w:color w:val="auto"/>
              </w:rPr>
              <w:t>本项目</w:t>
            </w:r>
            <w:r>
              <w:rPr>
                <w:rFonts w:hint="eastAsia"/>
                <w:b/>
                <w:bCs/>
                <w:color w:val="auto"/>
              </w:rPr>
              <w:t>烟（粉）尘</w:t>
            </w:r>
            <w:r>
              <w:rPr>
                <w:rFonts w:hint="eastAsia"/>
                <w:b/>
                <w:bCs/>
                <w:color w:val="auto"/>
                <w:lang w:val="en-US" w:eastAsia="zh-CN"/>
              </w:rPr>
              <w:t>有组织</w:t>
            </w:r>
            <w:r>
              <w:rPr>
                <w:rFonts w:hint="eastAsia"/>
                <w:b/>
                <w:bCs/>
                <w:color w:val="auto"/>
              </w:rPr>
              <w:t>排放量为</w:t>
            </w:r>
            <w:r>
              <w:rPr>
                <w:rFonts w:hint="eastAsia"/>
                <w:b/>
                <w:bCs/>
                <w:color w:val="auto"/>
                <w:lang w:val="en-US" w:eastAsia="zh-CN"/>
              </w:rPr>
              <w:t>0.3321</w:t>
            </w:r>
            <w:r>
              <w:rPr>
                <w:rFonts w:hint="eastAsia"/>
                <w:b/>
                <w:bCs/>
                <w:color w:val="auto"/>
              </w:rPr>
              <w:t>t/a。</w:t>
            </w:r>
          </w:p>
          <w:p w14:paraId="5F675E22">
            <w:pPr>
              <w:jc w:val="center"/>
              <w:rPr>
                <w:b/>
                <w:bCs/>
                <w:color w:val="auto"/>
              </w:rPr>
            </w:pPr>
            <w:r>
              <w:rPr>
                <w:b/>
                <w:bCs/>
                <w:color w:val="auto"/>
              </w:rPr>
              <w:t>表4</w:t>
            </w:r>
            <w:r>
              <w:rPr>
                <w:rFonts w:hint="eastAsia"/>
                <w:b/>
                <w:bCs/>
                <w:color w:val="auto"/>
              </w:rPr>
              <w:t>-</w:t>
            </w:r>
            <w:r>
              <w:rPr>
                <w:rFonts w:hint="eastAsia"/>
                <w:b/>
                <w:bCs/>
                <w:color w:val="auto"/>
                <w:lang w:val="en-US" w:eastAsia="zh-CN"/>
              </w:rPr>
              <w:t>1</w:t>
            </w:r>
            <w:r>
              <w:rPr>
                <w:rFonts w:hint="eastAsia"/>
                <w:b/>
                <w:bCs/>
                <w:color w:val="auto"/>
              </w:rPr>
              <w:t xml:space="preserve">  项目</w:t>
            </w:r>
            <w:r>
              <w:rPr>
                <w:b/>
                <w:bCs/>
                <w:color w:val="auto"/>
              </w:rPr>
              <w:t>有组织产排污情况一览表</w:t>
            </w:r>
          </w:p>
          <w:tbl>
            <w:tblPr>
              <w:tblStyle w:val="30"/>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660"/>
              <w:gridCol w:w="558"/>
              <w:gridCol w:w="751"/>
              <w:gridCol w:w="735"/>
              <w:gridCol w:w="709"/>
              <w:gridCol w:w="873"/>
              <w:gridCol w:w="836"/>
              <w:gridCol w:w="689"/>
              <w:gridCol w:w="832"/>
            </w:tblGrid>
            <w:tr w14:paraId="1F1E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blHeader/>
                <w:jc w:val="center"/>
              </w:trPr>
              <w:tc>
                <w:tcPr>
                  <w:tcW w:w="846" w:type="pct"/>
                  <w:vMerge w:val="restart"/>
                  <w:vAlign w:val="center"/>
                </w:tcPr>
                <w:p w14:paraId="4725BB17">
                  <w:pPr>
                    <w:jc w:val="center"/>
                    <w:rPr>
                      <w:b/>
                      <w:color w:val="auto"/>
                      <w:sz w:val="21"/>
                      <w:szCs w:val="21"/>
                    </w:rPr>
                  </w:pPr>
                  <w:r>
                    <w:rPr>
                      <w:b/>
                      <w:color w:val="auto"/>
                      <w:sz w:val="21"/>
                      <w:szCs w:val="21"/>
                    </w:rPr>
                    <w:t>名称</w:t>
                  </w:r>
                </w:p>
              </w:tc>
              <w:tc>
                <w:tcPr>
                  <w:tcW w:w="412" w:type="pct"/>
                  <w:vMerge w:val="restart"/>
                  <w:vAlign w:val="center"/>
                </w:tcPr>
                <w:p w14:paraId="62BDB859">
                  <w:pPr>
                    <w:jc w:val="center"/>
                    <w:rPr>
                      <w:b/>
                      <w:color w:val="auto"/>
                      <w:sz w:val="21"/>
                      <w:szCs w:val="21"/>
                    </w:rPr>
                  </w:pPr>
                  <w:r>
                    <w:rPr>
                      <w:b/>
                      <w:color w:val="auto"/>
                      <w:sz w:val="21"/>
                      <w:szCs w:val="21"/>
                    </w:rPr>
                    <w:t>污染物</w:t>
                  </w:r>
                </w:p>
              </w:tc>
              <w:tc>
                <w:tcPr>
                  <w:tcW w:w="348" w:type="pct"/>
                  <w:vMerge w:val="restart"/>
                  <w:vAlign w:val="center"/>
                </w:tcPr>
                <w:p w14:paraId="50190518">
                  <w:pPr>
                    <w:jc w:val="center"/>
                    <w:rPr>
                      <w:b/>
                      <w:color w:val="auto"/>
                      <w:sz w:val="21"/>
                      <w:szCs w:val="21"/>
                    </w:rPr>
                  </w:pPr>
                  <w:r>
                    <w:rPr>
                      <w:b/>
                      <w:color w:val="auto"/>
                      <w:sz w:val="21"/>
                      <w:szCs w:val="21"/>
                    </w:rPr>
                    <w:t>排气筒编号</w:t>
                  </w:r>
                </w:p>
              </w:tc>
              <w:tc>
                <w:tcPr>
                  <w:tcW w:w="469" w:type="pct"/>
                  <w:vMerge w:val="restart"/>
                  <w:vAlign w:val="center"/>
                </w:tcPr>
                <w:p w14:paraId="4EA4099E">
                  <w:pPr>
                    <w:jc w:val="center"/>
                    <w:rPr>
                      <w:b/>
                      <w:color w:val="auto"/>
                      <w:sz w:val="21"/>
                      <w:szCs w:val="21"/>
                    </w:rPr>
                  </w:pPr>
                  <w:r>
                    <w:rPr>
                      <w:b/>
                      <w:color w:val="auto"/>
                      <w:sz w:val="21"/>
                      <w:szCs w:val="21"/>
                    </w:rPr>
                    <w:t>废气量m</w:t>
                  </w:r>
                  <w:r>
                    <w:rPr>
                      <w:b/>
                      <w:color w:val="auto"/>
                      <w:sz w:val="21"/>
                      <w:szCs w:val="21"/>
                      <w:vertAlign w:val="superscript"/>
                    </w:rPr>
                    <w:t>3</w:t>
                  </w:r>
                  <w:r>
                    <w:rPr>
                      <w:b/>
                      <w:color w:val="auto"/>
                      <w:sz w:val="21"/>
                      <w:szCs w:val="21"/>
                    </w:rPr>
                    <w:t>/h</w:t>
                  </w:r>
                </w:p>
              </w:tc>
              <w:tc>
                <w:tcPr>
                  <w:tcW w:w="1448" w:type="pct"/>
                  <w:gridSpan w:val="3"/>
                  <w:vAlign w:val="center"/>
                </w:tcPr>
                <w:p w14:paraId="1CAB47AE">
                  <w:pPr>
                    <w:jc w:val="center"/>
                    <w:rPr>
                      <w:b/>
                      <w:color w:val="auto"/>
                      <w:sz w:val="21"/>
                      <w:szCs w:val="21"/>
                    </w:rPr>
                  </w:pPr>
                  <w:r>
                    <w:rPr>
                      <w:b/>
                      <w:color w:val="auto"/>
                      <w:sz w:val="21"/>
                      <w:szCs w:val="21"/>
                    </w:rPr>
                    <w:t>产生情况</w:t>
                  </w:r>
                </w:p>
              </w:tc>
              <w:tc>
                <w:tcPr>
                  <w:tcW w:w="1473" w:type="pct"/>
                  <w:gridSpan w:val="3"/>
                  <w:vAlign w:val="center"/>
                </w:tcPr>
                <w:p w14:paraId="3F1523E0">
                  <w:pPr>
                    <w:jc w:val="center"/>
                    <w:rPr>
                      <w:b/>
                      <w:color w:val="auto"/>
                      <w:sz w:val="21"/>
                      <w:szCs w:val="21"/>
                    </w:rPr>
                  </w:pPr>
                  <w:r>
                    <w:rPr>
                      <w:b/>
                      <w:color w:val="auto"/>
                      <w:sz w:val="21"/>
                      <w:szCs w:val="21"/>
                    </w:rPr>
                    <w:t>排放情况</w:t>
                  </w:r>
                </w:p>
              </w:tc>
            </w:tr>
            <w:tr w14:paraId="66D1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blHeader/>
                <w:jc w:val="center"/>
              </w:trPr>
              <w:tc>
                <w:tcPr>
                  <w:tcW w:w="846" w:type="pct"/>
                  <w:vMerge w:val="continue"/>
                  <w:vAlign w:val="center"/>
                </w:tcPr>
                <w:p w14:paraId="45221610">
                  <w:pPr>
                    <w:jc w:val="center"/>
                    <w:rPr>
                      <w:b/>
                      <w:color w:val="auto"/>
                      <w:sz w:val="21"/>
                      <w:szCs w:val="21"/>
                    </w:rPr>
                  </w:pPr>
                </w:p>
              </w:tc>
              <w:tc>
                <w:tcPr>
                  <w:tcW w:w="412" w:type="pct"/>
                  <w:vMerge w:val="continue"/>
                  <w:vAlign w:val="center"/>
                </w:tcPr>
                <w:p w14:paraId="6115540D">
                  <w:pPr>
                    <w:jc w:val="center"/>
                    <w:rPr>
                      <w:b/>
                      <w:color w:val="auto"/>
                      <w:sz w:val="21"/>
                      <w:szCs w:val="21"/>
                    </w:rPr>
                  </w:pPr>
                </w:p>
              </w:tc>
              <w:tc>
                <w:tcPr>
                  <w:tcW w:w="348" w:type="pct"/>
                  <w:vMerge w:val="continue"/>
                  <w:vAlign w:val="center"/>
                </w:tcPr>
                <w:p w14:paraId="28BC89F1">
                  <w:pPr>
                    <w:jc w:val="center"/>
                    <w:rPr>
                      <w:b/>
                      <w:color w:val="auto"/>
                      <w:sz w:val="21"/>
                      <w:szCs w:val="21"/>
                    </w:rPr>
                  </w:pPr>
                </w:p>
              </w:tc>
              <w:tc>
                <w:tcPr>
                  <w:tcW w:w="469" w:type="pct"/>
                  <w:vMerge w:val="continue"/>
                  <w:vAlign w:val="center"/>
                </w:tcPr>
                <w:p w14:paraId="7C253146">
                  <w:pPr>
                    <w:jc w:val="center"/>
                    <w:rPr>
                      <w:b/>
                      <w:color w:val="auto"/>
                      <w:sz w:val="21"/>
                      <w:szCs w:val="21"/>
                    </w:rPr>
                  </w:pPr>
                </w:p>
              </w:tc>
              <w:tc>
                <w:tcPr>
                  <w:tcW w:w="459" w:type="pct"/>
                  <w:vAlign w:val="center"/>
                </w:tcPr>
                <w:p w14:paraId="7B040733">
                  <w:pPr>
                    <w:jc w:val="center"/>
                    <w:rPr>
                      <w:b/>
                      <w:color w:val="auto"/>
                      <w:sz w:val="21"/>
                      <w:szCs w:val="21"/>
                    </w:rPr>
                  </w:pPr>
                  <w:r>
                    <w:rPr>
                      <w:b/>
                      <w:color w:val="auto"/>
                      <w:sz w:val="21"/>
                      <w:szCs w:val="21"/>
                    </w:rPr>
                    <w:t>产生量</w:t>
                  </w:r>
                  <w:r>
                    <w:rPr>
                      <w:rFonts w:hint="eastAsia"/>
                      <w:b/>
                      <w:color w:val="auto"/>
                      <w:sz w:val="21"/>
                      <w:szCs w:val="21"/>
                    </w:rPr>
                    <w:t>t</w:t>
                  </w:r>
                  <w:r>
                    <w:rPr>
                      <w:b/>
                      <w:color w:val="auto"/>
                      <w:sz w:val="21"/>
                      <w:szCs w:val="21"/>
                    </w:rPr>
                    <w:t>/a</w:t>
                  </w:r>
                </w:p>
              </w:tc>
              <w:tc>
                <w:tcPr>
                  <w:tcW w:w="443" w:type="pct"/>
                  <w:vAlign w:val="center"/>
                </w:tcPr>
                <w:p w14:paraId="78D115C6">
                  <w:pPr>
                    <w:jc w:val="center"/>
                    <w:rPr>
                      <w:b/>
                      <w:color w:val="auto"/>
                      <w:sz w:val="21"/>
                      <w:szCs w:val="21"/>
                    </w:rPr>
                  </w:pPr>
                  <w:r>
                    <w:rPr>
                      <w:b/>
                      <w:color w:val="auto"/>
                      <w:sz w:val="21"/>
                      <w:szCs w:val="21"/>
                    </w:rPr>
                    <w:t>速率kg/h</w:t>
                  </w:r>
                </w:p>
              </w:tc>
              <w:tc>
                <w:tcPr>
                  <w:tcW w:w="545" w:type="pct"/>
                  <w:vAlign w:val="center"/>
                </w:tcPr>
                <w:p w14:paraId="471D42B3">
                  <w:pPr>
                    <w:jc w:val="center"/>
                    <w:rPr>
                      <w:b/>
                      <w:color w:val="auto"/>
                      <w:sz w:val="21"/>
                      <w:szCs w:val="21"/>
                    </w:rPr>
                  </w:pPr>
                  <w:r>
                    <w:rPr>
                      <w:b/>
                      <w:color w:val="auto"/>
                      <w:sz w:val="21"/>
                      <w:szCs w:val="21"/>
                    </w:rPr>
                    <w:t>浓度mg/m</w:t>
                  </w:r>
                  <w:r>
                    <w:rPr>
                      <w:b/>
                      <w:color w:val="auto"/>
                      <w:sz w:val="21"/>
                      <w:szCs w:val="21"/>
                      <w:vertAlign w:val="superscript"/>
                    </w:rPr>
                    <w:t>3</w:t>
                  </w:r>
                </w:p>
              </w:tc>
              <w:tc>
                <w:tcPr>
                  <w:tcW w:w="522" w:type="pct"/>
                  <w:vAlign w:val="center"/>
                </w:tcPr>
                <w:p w14:paraId="6F155609">
                  <w:pPr>
                    <w:jc w:val="center"/>
                    <w:rPr>
                      <w:b/>
                      <w:color w:val="auto"/>
                      <w:sz w:val="21"/>
                      <w:szCs w:val="21"/>
                    </w:rPr>
                  </w:pPr>
                  <w:r>
                    <w:rPr>
                      <w:b/>
                      <w:color w:val="auto"/>
                      <w:sz w:val="21"/>
                      <w:szCs w:val="21"/>
                    </w:rPr>
                    <w:t>排放量</w:t>
                  </w:r>
                  <w:r>
                    <w:rPr>
                      <w:rFonts w:hint="eastAsia"/>
                      <w:b/>
                      <w:color w:val="auto"/>
                      <w:sz w:val="21"/>
                      <w:szCs w:val="21"/>
                    </w:rPr>
                    <w:t>t</w:t>
                  </w:r>
                  <w:r>
                    <w:rPr>
                      <w:b/>
                      <w:color w:val="auto"/>
                      <w:sz w:val="21"/>
                      <w:szCs w:val="21"/>
                    </w:rPr>
                    <w:t>/a</w:t>
                  </w:r>
                </w:p>
              </w:tc>
              <w:tc>
                <w:tcPr>
                  <w:tcW w:w="430" w:type="pct"/>
                  <w:vAlign w:val="center"/>
                </w:tcPr>
                <w:p w14:paraId="326F9653">
                  <w:pPr>
                    <w:jc w:val="center"/>
                    <w:rPr>
                      <w:b/>
                      <w:color w:val="auto"/>
                      <w:sz w:val="21"/>
                      <w:szCs w:val="21"/>
                    </w:rPr>
                  </w:pPr>
                  <w:r>
                    <w:rPr>
                      <w:b/>
                      <w:color w:val="auto"/>
                      <w:sz w:val="21"/>
                      <w:szCs w:val="21"/>
                    </w:rPr>
                    <w:t>速率kg/h</w:t>
                  </w:r>
                </w:p>
              </w:tc>
              <w:tc>
                <w:tcPr>
                  <w:tcW w:w="520" w:type="pct"/>
                  <w:vAlign w:val="center"/>
                </w:tcPr>
                <w:p w14:paraId="5D5E0603">
                  <w:pPr>
                    <w:jc w:val="center"/>
                    <w:rPr>
                      <w:b/>
                      <w:color w:val="auto"/>
                      <w:sz w:val="21"/>
                      <w:szCs w:val="21"/>
                    </w:rPr>
                  </w:pPr>
                  <w:r>
                    <w:rPr>
                      <w:b/>
                      <w:color w:val="auto"/>
                      <w:sz w:val="21"/>
                      <w:szCs w:val="21"/>
                    </w:rPr>
                    <w:t>浓度mg/m</w:t>
                  </w:r>
                  <w:r>
                    <w:rPr>
                      <w:b/>
                      <w:color w:val="auto"/>
                      <w:sz w:val="21"/>
                      <w:szCs w:val="21"/>
                      <w:vertAlign w:val="superscript"/>
                    </w:rPr>
                    <w:t>3</w:t>
                  </w:r>
                </w:p>
              </w:tc>
            </w:tr>
            <w:tr w14:paraId="3A1F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46" w:type="pct"/>
                  <w:vAlign w:val="center"/>
                </w:tcPr>
                <w:p w14:paraId="05330026">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下料、后处理（抛光/砂光）、投料</w:t>
                  </w:r>
                </w:p>
              </w:tc>
              <w:tc>
                <w:tcPr>
                  <w:tcW w:w="412" w:type="pct"/>
                  <w:vAlign w:val="center"/>
                </w:tcPr>
                <w:p w14:paraId="362E4D46">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颗粒物</w:t>
                  </w:r>
                </w:p>
              </w:tc>
              <w:tc>
                <w:tcPr>
                  <w:tcW w:w="348" w:type="pct"/>
                  <w:vAlign w:val="center"/>
                </w:tcPr>
                <w:p w14:paraId="0C0F0C16">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DA00</w:t>
                  </w:r>
                  <w:r>
                    <w:rPr>
                      <w:rFonts w:hint="eastAsia"/>
                      <w:color w:val="auto"/>
                      <w:sz w:val="21"/>
                      <w:szCs w:val="21"/>
                      <w:lang w:val="en-US" w:eastAsia="zh-CN"/>
                    </w:rPr>
                    <w:t>1</w:t>
                  </w:r>
                </w:p>
              </w:tc>
              <w:tc>
                <w:tcPr>
                  <w:tcW w:w="469" w:type="pct"/>
                  <w:vAlign w:val="center"/>
                </w:tcPr>
                <w:p w14:paraId="7F93244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15000</w:t>
                  </w:r>
                </w:p>
              </w:tc>
              <w:tc>
                <w:tcPr>
                  <w:tcW w:w="459" w:type="pct"/>
                  <w:vAlign w:val="center"/>
                </w:tcPr>
                <w:p w14:paraId="7E40AFC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33.21</w:t>
                  </w:r>
                </w:p>
              </w:tc>
              <w:tc>
                <w:tcPr>
                  <w:tcW w:w="443" w:type="pct"/>
                  <w:vAlign w:val="center"/>
                </w:tcPr>
                <w:p w14:paraId="4523361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13.838</w:t>
                  </w:r>
                </w:p>
              </w:tc>
              <w:tc>
                <w:tcPr>
                  <w:tcW w:w="545" w:type="pct"/>
                  <w:vAlign w:val="center"/>
                </w:tcPr>
                <w:p w14:paraId="1003FB76">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922.53</w:t>
                  </w:r>
                </w:p>
              </w:tc>
              <w:tc>
                <w:tcPr>
                  <w:tcW w:w="522" w:type="pct"/>
                  <w:vAlign w:val="center"/>
                </w:tcPr>
                <w:p w14:paraId="6168A40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0.3321</w:t>
                  </w:r>
                </w:p>
              </w:tc>
              <w:tc>
                <w:tcPr>
                  <w:tcW w:w="430" w:type="pct"/>
                  <w:vAlign w:val="center"/>
                </w:tcPr>
                <w:p w14:paraId="6AD2FED6">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0.138</w:t>
                  </w:r>
                </w:p>
              </w:tc>
              <w:tc>
                <w:tcPr>
                  <w:tcW w:w="520" w:type="pct"/>
                  <w:vAlign w:val="center"/>
                </w:tcPr>
                <w:p w14:paraId="54096174">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9.2</w:t>
                  </w:r>
                </w:p>
              </w:tc>
            </w:tr>
          </w:tbl>
          <w:p w14:paraId="08BDD73B">
            <w:pPr>
              <w:spacing w:before="120" w:beforeLines="50"/>
              <w:jc w:val="center"/>
              <w:rPr>
                <w:b/>
                <w:bCs/>
                <w:color w:val="auto"/>
              </w:rPr>
            </w:pPr>
            <w:r>
              <w:rPr>
                <w:b/>
                <w:bCs/>
                <w:color w:val="auto"/>
              </w:rPr>
              <w:t>表4-</w:t>
            </w:r>
            <w:r>
              <w:rPr>
                <w:rFonts w:hint="eastAsia"/>
                <w:b/>
                <w:bCs/>
                <w:color w:val="auto"/>
                <w:lang w:val="en-US" w:eastAsia="zh-CN"/>
              </w:rPr>
              <w:t>2</w:t>
            </w:r>
            <w:r>
              <w:rPr>
                <w:rFonts w:hint="eastAsia"/>
                <w:b/>
                <w:bCs/>
                <w:color w:val="auto"/>
              </w:rPr>
              <w:t xml:space="preserve">  项目</w:t>
            </w:r>
            <w:r>
              <w:rPr>
                <w:b/>
                <w:bCs/>
                <w:color w:val="auto"/>
              </w:rPr>
              <w:t>产排污环节、废气污染物对应排放口类型一览表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662"/>
              <w:gridCol w:w="769"/>
              <w:gridCol w:w="1024"/>
              <w:gridCol w:w="955"/>
              <w:gridCol w:w="859"/>
              <w:gridCol w:w="975"/>
              <w:gridCol w:w="918"/>
              <w:gridCol w:w="910"/>
            </w:tblGrid>
            <w:tr w14:paraId="6970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69" w:type="pct"/>
                  <w:vMerge w:val="restart"/>
                  <w:vAlign w:val="center"/>
                </w:tcPr>
                <w:p w14:paraId="0C3D66EA">
                  <w:pPr>
                    <w:jc w:val="center"/>
                    <w:rPr>
                      <w:b/>
                      <w:bCs/>
                      <w:color w:val="auto"/>
                      <w:sz w:val="21"/>
                      <w:szCs w:val="21"/>
                    </w:rPr>
                  </w:pPr>
                  <w:r>
                    <w:rPr>
                      <w:b/>
                      <w:bCs/>
                      <w:color w:val="auto"/>
                      <w:sz w:val="21"/>
                      <w:szCs w:val="21"/>
                    </w:rPr>
                    <w:t>产污环节</w:t>
                  </w:r>
                </w:p>
              </w:tc>
              <w:tc>
                <w:tcPr>
                  <w:tcW w:w="414" w:type="pct"/>
                  <w:vMerge w:val="restart"/>
                  <w:vAlign w:val="center"/>
                </w:tcPr>
                <w:p w14:paraId="277AAB48">
                  <w:pPr>
                    <w:jc w:val="center"/>
                    <w:rPr>
                      <w:b/>
                      <w:bCs/>
                      <w:color w:val="auto"/>
                      <w:sz w:val="21"/>
                      <w:szCs w:val="21"/>
                    </w:rPr>
                  </w:pPr>
                  <w:r>
                    <w:rPr>
                      <w:b/>
                      <w:bCs/>
                      <w:color w:val="auto"/>
                      <w:sz w:val="21"/>
                      <w:szCs w:val="21"/>
                    </w:rPr>
                    <w:t>污染物种类</w:t>
                  </w:r>
                </w:p>
              </w:tc>
              <w:tc>
                <w:tcPr>
                  <w:tcW w:w="481" w:type="pct"/>
                  <w:vMerge w:val="restart"/>
                  <w:vAlign w:val="center"/>
                </w:tcPr>
                <w:p w14:paraId="1C0DCD67">
                  <w:pPr>
                    <w:jc w:val="center"/>
                    <w:rPr>
                      <w:b/>
                      <w:bCs/>
                      <w:color w:val="auto"/>
                      <w:sz w:val="21"/>
                      <w:szCs w:val="21"/>
                    </w:rPr>
                  </w:pPr>
                  <w:r>
                    <w:rPr>
                      <w:b/>
                      <w:bCs/>
                      <w:color w:val="auto"/>
                      <w:sz w:val="21"/>
                      <w:szCs w:val="21"/>
                    </w:rPr>
                    <w:t>排放形式</w:t>
                  </w:r>
                </w:p>
              </w:tc>
              <w:tc>
                <w:tcPr>
                  <w:tcW w:w="2388" w:type="pct"/>
                  <w:gridSpan w:val="4"/>
                  <w:vAlign w:val="center"/>
                </w:tcPr>
                <w:p w14:paraId="7E2C0891">
                  <w:pPr>
                    <w:jc w:val="center"/>
                    <w:rPr>
                      <w:b/>
                      <w:bCs/>
                      <w:color w:val="auto"/>
                      <w:sz w:val="21"/>
                      <w:szCs w:val="21"/>
                    </w:rPr>
                  </w:pPr>
                  <w:r>
                    <w:rPr>
                      <w:b/>
                      <w:bCs/>
                      <w:color w:val="auto"/>
                      <w:sz w:val="21"/>
                      <w:szCs w:val="21"/>
                    </w:rPr>
                    <w:t>治理设施</w:t>
                  </w:r>
                </w:p>
              </w:tc>
              <w:tc>
                <w:tcPr>
                  <w:tcW w:w="575" w:type="pct"/>
                  <w:vMerge w:val="restart"/>
                  <w:vAlign w:val="center"/>
                </w:tcPr>
                <w:p w14:paraId="33A4A888">
                  <w:pPr>
                    <w:jc w:val="center"/>
                    <w:rPr>
                      <w:b/>
                      <w:bCs/>
                      <w:color w:val="auto"/>
                      <w:sz w:val="21"/>
                      <w:szCs w:val="21"/>
                    </w:rPr>
                  </w:pPr>
                  <w:r>
                    <w:rPr>
                      <w:b/>
                      <w:bCs/>
                      <w:color w:val="auto"/>
                      <w:sz w:val="21"/>
                      <w:szCs w:val="21"/>
                    </w:rPr>
                    <w:t>排放口编号</w:t>
                  </w:r>
                </w:p>
              </w:tc>
              <w:tc>
                <w:tcPr>
                  <w:tcW w:w="570" w:type="pct"/>
                  <w:vMerge w:val="restart"/>
                  <w:vAlign w:val="center"/>
                </w:tcPr>
                <w:p w14:paraId="61CDA450">
                  <w:pPr>
                    <w:jc w:val="center"/>
                    <w:rPr>
                      <w:b/>
                      <w:bCs/>
                      <w:color w:val="auto"/>
                      <w:sz w:val="21"/>
                      <w:szCs w:val="21"/>
                    </w:rPr>
                  </w:pPr>
                  <w:r>
                    <w:rPr>
                      <w:b/>
                      <w:bCs/>
                      <w:color w:val="auto"/>
                      <w:sz w:val="21"/>
                      <w:szCs w:val="21"/>
                    </w:rPr>
                    <w:t>排放口类型</w:t>
                  </w:r>
                </w:p>
              </w:tc>
            </w:tr>
            <w:tr w14:paraId="58CB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69" w:type="pct"/>
                  <w:vMerge w:val="continue"/>
                  <w:vAlign w:val="center"/>
                </w:tcPr>
                <w:p w14:paraId="6954DA4B">
                  <w:pPr>
                    <w:jc w:val="center"/>
                    <w:rPr>
                      <w:color w:val="auto"/>
                      <w:sz w:val="21"/>
                      <w:szCs w:val="21"/>
                    </w:rPr>
                  </w:pPr>
                </w:p>
              </w:tc>
              <w:tc>
                <w:tcPr>
                  <w:tcW w:w="414" w:type="pct"/>
                  <w:vMerge w:val="continue"/>
                  <w:vAlign w:val="center"/>
                </w:tcPr>
                <w:p w14:paraId="424F1BDA">
                  <w:pPr>
                    <w:jc w:val="center"/>
                    <w:rPr>
                      <w:color w:val="auto"/>
                      <w:sz w:val="21"/>
                      <w:szCs w:val="21"/>
                    </w:rPr>
                  </w:pPr>
                </w:p>
              </w:tc>
              <w:tc>
                <w:tcPr>
                  <w:tcW w:w="481" w:type="pct"/>
                  <w:vMerge w:val="continue"/>
                  <w:vAlign w:val="center"/>
                </w:tcPr>
                <w:p w14:paraId="5CF129D1">
                  <w:pPr>
                    <w:jc w:val="center"/>
                    <w:rPr>
                      <w:color w:val="auto"/>
                      <w:sz w:val="21"/>
                      <w:szCs w:val="21"/>
                    </w:rPr>
                  </w:pPr>
                </w:p>
              </w:tc>
              <w:tc>
                <w:tcPr>
                  <w:tcW w:w="641" w:type="pct"/>
                  <w:vAlign w:val="center"/>
                </w:tcPr>
                <w:p w14:paraId="49069874">
                  <w:pPr>
                    <w:jc w:val="center"/>
                    <w:rPr>
                      <w:b/>
                      <w:bCs/>
                      <w:color w:val="auto"/>
                      <w:sz w:val="21"/>
                      <w:szCs w:val="21"/>
                    </w:rPr>
                  </w:pPr>
                  <w:r>
                    <w:rPr>
                      <w:b/>
                      <w:bCs/>
                      <w:color w:val="auto"/>
                      <w:sz w:val="21"/>
                      <w:szCs w:val="21"/>
                    </w:rPr>
                    <w:t>治理工艺</w:t>
                  </w:r>
                </w:p>
              </w:tc>
              <w:tc>
                <w:tcPr>
                  <w:tcW w:w="598" w:type="pct"/>
                  <w:vAlign w:val="center"/>
                </w:tcPr>
                <w:p w14:paraId="4303633F">
                  <w:pPr>
                    <w:jc w:val="center"/>
                    <w:rPr>
                      <w:b/>
                      <w:bCs/>
                      <w:color w:val="auto"/>
                      <w:sz w:val="21"/>
                      <w:szCs w:val="21"/>
                    </w:rPr>
                  </w:pPr>
                  <w:r>
                    <w:rPr>
                      <w:b/>
                      <w:bCs/>
                      <w:color w:val="auto"/>
                      <w:sz w:val="21"/>
                      <w:szCs w:val="21"/>
                    </w:rPr>
                    <w:t>收集效率</w:t>
                  </w:r>
                </w:p>
              </w:tc>
              <w:tc>
                <w:tcPr>
                  <w:tcW w:w="538" w:type="pct"/>
                  <w:vAlign w:val="center"/>
                </w:tcPr>
                <w:p w14:paraId="22516BE9">
                  <w:pPr>
                    <w:jc w:val="center"/>
                    <w:rPr>
                      <w:b/>
                      <w:bCs/>
                      <w:color w:val="auto"/>
                      <w:sz w:val="21"/>
                      <w:szCs w:val="21"/>
                    </w:rPr>
                  </w:pPr>
                  <w:r>
                    <w:rPr>
                      <w:b/>
                      <w:bCs/>
                      <w:color w:val="auto"/>
                      <w:sz w:val="21"/>
                      <w:szCs w:val="21"/>
                    </w:rPr>
                    <w:t>处理效率</w:t>
                  </w:r>
                </w:p>
              </w:tc>
              <w:tc>
                <w:tcPr>
                  <w:tcW w:w="610" w:type="pct"/>
                  <w:vAlign w:val="center"/>
                </w:tcPr>
                <w:p w14:paraId="3EEDEE3C">
                  <w:pPr>
                    <w:jc w:val="center"/>
                    <w:rPr>
                      <w:b/>
                      <w:bCs/>
                      <w:color w:val="auto"/>
                      <w:sz w:val="21"/>
                      <w:szCs w:val="21"/>
                    </w:rPr>
                  </w:pPr>
                  <w:r>
                    <w:rPr>
                      <w:b/>
                      <w:bCs/>
                      <w:color w:val="auto"/>
                      <w:sz w:val="21"/>
                      <w:szCs w:val="21"/>
                    </w:rPr>
                    <w:t>是否可行</w:t>
                  </w:r>
                </w:p>
              </w:tc>
              <w:tc>
                <w:tcPr>
                  <w:tcW w:w="575" w:type="pct"/>
                  <w:vMerge w:val="continue"/>
                  <w:vAlign w:val="center"/>
                </w:tcPr>
                <w:p w14:paraId="74EF555C">
                  <w:pPr>
                    <w:jc w:val="center"/>
                    <w:rPr>
                      <w:color w:val="auto"/>
                      <w:sz w:val="21"/>
                      <w:szCs w:val="21"/>
                    </w:rPr>
                  </w:pPr>
                </w:p>
              </w:tc>
              <w:tc>
                <w:tcPr>
                  <w:tcW w:w="570" w:type="pct"/>
                  <w:vMerge w:val="continue"/>
                  <w:vAlign w:val="center"/>
                </w:tcPr>
                <w:p w14:paraId="6FE87858">
                  <w:pPr>
                    <w:jc w:val="center"/>
                    <w:rPr>
                      <w:color w:val="auto"/>
                      <w:sz w:val="21"/>
                      <w:szCs w:val="21"/>
                    </w:rPr>
                  </w:pPr>
                </w:p>
              </w:tc>
            </w:tr>
            <w:tr w14:paraId="283D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69" w:type="pct"/>
                  <w:shd w:val="clear" w:color="auto" w:fill="auto"/>
                  <w:vAlign w:val="center"/>
                </w:tcPr>
                <w:p w14:paraId="08227268">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下料、后处理（</w:t>
                  </w:r>
                  <w:r>
                    <w:rPr>
                      <w:rFonts w:hint="eastAsia" w:cs="Times New Roman"/>
                      <w:color w:val="auto"/>
                      <w:kern w:val="2"/>
                      <w:sz w:val="21"/>
                      <w:szCs w:val="21"/>
                      <w:lang w:val="en-US" w:eastAsia="zh-CN" w:bidi="ar-SA"/>
                    </w:rPr>
                    <w:t>刨</w:t>
                  </w:r>
                  <w:r>
                    <w:rPr>
                      <w:rFonts w:hint="eastAsia" w:ascii="Times New Roman" w:hAnsi="Times New Roman" w:eastAsia="宋体" w:cs="Times New Roman"/>
                      <w:color w:val="auto"/>
                      <w:kern w:val="2"/>
                      <w:sz w:val="21"/>
                      <w:szCs w:val="21"/>
                      <w:lang w:val="en-US" w:eastAsia="zh-CN" w:bidi="ar-SA"/>
                    </w:rPr>
                    <w:t>光/砂光）</w:t>
                  </w:r>
                </w:p>
              </w:tc>
              <w:tc>
                <w:tcPr>
                  <w:tcW w:w="414" w:type="pct"/>
                  <w:vAlign w:val="center"/>
                </w:tcPr>
                <w:p w14:paraId="19462BD1">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481" w:type="pct"/>
                  <w:vAlign w:val="center"/>
                </w:tcPr>
                <w:p w14:paraId="6DC966B6">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有组织</w:t>
                  </w:r>
                </w:p>
              </w:tc>
              <w:tc>
                <w:tcPr>
                  <w:tcW w:w="641" w:type="pct"/>
                  <w:vAlign w:val="center"/>
                </w:tcPr>
                <w:p w14:paraId="7953D475">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袋式除尘</w:t>
                  </w:r>
                </w:p>
              </w:tc>
              <w:tc>
                <w:tcPr>
                  <w:tcW w:w="598" w:type="pct"/>
                  <w:vAlign w:val="center"/>
                </w:tcPr>
                <w:p w14:paraId="515AED9B">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90</w:t>
                  </w:r>
                  <w:r>
                    <w:rPr>
                      <w:rFonts w:hint="eastAsia"/>
                      <w:color w:val="auto"/>
                      <w:sz w:val="21"/>
                      <w:szCs w:val="21"/>
                    </w:rPr>
                    <w:t>%</w:t>
                  </w:r>
                </w:p>
              </w:tc>
              <w:tc>
                <w:tcPr>
                  <w:tcW w:w="538" w:type="pct"/>
                  <w:vAlign w:val="center"/>
                </w:tcPr>
                <w:p w14:paraId="6205CC32">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9</w:t>
                  </w:r>
                  <w:r>
                    <w:rPr>
                      <w:rFonts w:hint="eastAsia"/>
                      <w:color w:val="auto"/>
                      <w:sz w:val="21"/>
                      <w:szCs w:val="21"/>
                      <w:lang w:val="en-US" w:eastAsia="zh-CN"/>
                    </w:rPr>
                    <w:t>9</w:t>
                  </w:r>
                  <w:r>
                    <w:rPr>
                      <w:rFonts w:hint="eastAsia"/>
                      <w:color w:val="auto"/>
                      <w:sz w:val="21"/>
                      <w:szCs w:val="21"/>
                    </w:rPr>
                    <w:t>%</w:t>
                  </w:r>
                </w:p>
              </w:tc>
              <w:tc>
                <w:tcPr>
                  <w:tcW w:w="610" w:type="pct"/>
                  <w:vAlign w:val="center"/>
                </w:tcPr>
                <w:p w14:paraId="1D1D7F99">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是</w:t>
                  </w:r>
                </w:p>
              </w:tc>
              <w:tc>
                <w:tcPr>
                  <w:tcW w:w="575" w:type="pct"/>
                  <w:vAlign w:val="center"/>
                </w:tcPr>
                <w:p w14:paraId="6EE2E884">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DA00</w:t>
                  </w:r>
                  <w:r>
                    <w:rPr>
                      <w:rFonts w:hint="eastAsia"/>
                      <w:color w:val="auto"/>
                      <w:sz w:val="21"/>
                      <w:szCs w:val="21"/>
                      <w:lang w:val="en-US" w:eastAsia="zh-CN"/>
                    </w:rPr>
                    <w:t>1</w:t>
                  </w:r>
                </w:p>
              </w:tc>
              <w:tc>
                <w:tcPr>
                  <w:tcW w:w="570" w:type="pct"/>
                  <w:vAlign w:val="center"/>
                </w:tcPr>
                <w:p w14:paraId="4DD37743">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一般排放口</w:t>
                  </w:r>
                </w:p>
              </w:tc>
            </w:tr>
          </w:tbl>
          <w:p w14:paraId="3A4039E3">
            <w:pPr>
              <w:adjustRightInd w:val="0"/>
              <w:snapToGrid w:val="0"/>
              <w:spacing w:before="120" w:beforeLines="50"/>
              <w:jc w:val="center"/>
              <w:rPr>
                <w:b/>
                <w:bCs/>
                <w:color w:val="auto"/>
              </w:rPr>
            </w:pPr>
            <w:r>
              <w:rPr>
                <w:b/>
                <w:bCs/>
                <w:color w:val="auto"/>
              </w:rPr>
              <w:t>表4</w:t>
            </w:r>
            <w:r>
              <w:rPr>
                <w:rFonts w:hint="eastAsia"/>
                <w:b/>
                <w:bCs/>
                <w:color w:val="auto"/>
              </w:rPr>
              <w:t>-</w:t>
            </w:r>
            <w:r>
              <w:rPr>
                <w:rFonts w:hint="eastAsia"/>
                <w:b/>
                <w:bCs/>
                <w:color w:val="auto"/>
                <w:lang w:val="en-US" w:eastAsia="zh-CN"/>
              </w:rPr>
              <w:t>3</w:t>
            </w:r>
            <w:r>
              <w:rPr>
                <w:rFonts w:hint="eastAsia"/>
                <w:b/>
                <w:bCs/>
                <w:color w:val="auto"/>
              </w:rPr>
              <w:t xml:space="preserve">  项目</w:t>
            </w:r>
            <w:r>
              <w:rPr>
                <w:b/>
                <w:bCs/>
                <w:color w:val="auto"/>
              </w:rPr>
              <w:t>排放口基本情况一览表</w:t>
            </w:r>
          </w:p>
          <w:tbl>
            <w:tblPr>
              <w:tblStyle w:val="30"/>
              <w:tblW w:w="5000"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055"/>
              <w:gridCol w:w="765"/>
              <w:gridCol w:w="1363"/>
              <w:gridCol w:w="1177"/>
              <w:gridCol w:w="2335"/>
            </w:tblGrid>
            <w:tr w14:paraId="5AC2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9" w:type="dxa"/>
                  <w:vMerge w:val="restart"/>
                  <w:vAlign w:val="center"/>
                </w:tcPr>
                <w:p w14:paraId="6415CD93">
                  <w:pPr>
                    <w:jc w:val="center"/>
                    <w:rPr>
                      <w:b/>
                      <w:bCs/>
                      <w:color w:val="auto"/>
                      <w:sz w:val="21"/>
                      <w:szCs w:val="21"/>
                    </w:rPr>
                  </w:pPr>
                  <w:r>
                    <w:rPr>
                      <w:b/>
                      <w:bCs/>
                      <w:color w:val="auto"/>
                      <w:sz w:val="21"/>
                      <w:szCs w:val="21"/>
                    </w:rPr>
                    <w:t>排放口编号</w:t>
                  </w:r>
                </w:p>
              </w:tc>
              <w:tc>
                <w:tcPr>
                  <w:tcW w:w="1055" w:type="dxa"/>
                  <w:vMerge w:val="restart"/>
                  <w:vAlign w:val="center"/>
                </w:tcPr>
                <w:p w14:paraId="71943F30">
                  <w:pPr>
                    <w:jc w:val="center"/>
                    <w:rPr>
                      <w:b/>
                      <w:bCs/>
                      <w:color w:val="auto"/>
                      <w:sz w:val="21"/>
                      <w:szCs w:val="21"/>
                    </w:rPr>
                  </w:pPr>
                  <w:r>
                    <w:rPr>
                      <w:b/>
                      <w:bCs/>
                      <w:color w:val="auto"/>
                      <w:sz w:val="21"/>
                      <w:szCs w:val="21"/>
                    </w:rPr>
                    <w:t>排气筒高度</w:t>
                  </w:r>
                </w:p>
              </w:tc>
              <w:tc>
                <w:tcPr>
                  <w:tcW w:w="765" w:type="dxa"/>
                  <w:vMerge w:val="restart"/>
                  <w:vAlign w:val="center"/>
                </w:tcPr>
                <w:p w14:paraId="13CD8B9C">
                  <w:pPr>
                    <w:jc w:val="center"/>
                    <w:rPr>
                      <w:b/>
                      <w:bCs/>
                      <w:color w:val="auto"/>
                      <w:sz w:val="21"/>
                      <w:szCs w:val="21"/>
                    </w:rPr>
                  </w:pPr>
                  <w:r>
                    <w:rPr>
                      <w:b/>
                      <w:bCs/>
                      <w:color w:val="auto"/>
                      <w:sz w:val="21"/>
                      <w:szCs w:val="21"/>
                    </w:rPr>
                    <w:t>内径</w:t>
                  </w:r>
                </w:p>
              </w:tc>
              <w:tc>
                <w:tcPr>
                  <w:tcW w:w="2540" w:type="dxa"/>
                  <w:gridSpan w:val="2"/>
                  <w:vAlign w:val="center"/>
                </w:tcPr>
                <w:p w14:paraId="2D76A643">
                  <w:pPr>
                    <w:jc w:val="center"/>
                    <w:rPr>
                      <w:b/>
                      <w:bCs/>
                      <w:color w:val="auto"/>
                      <w:sz w:val="21"/>
                      <w:szCs w:val="21"/>
                    </w:rPr>
                  </w:pPr>
                  <w:r>
                    <w:rPr>
                      <w:b/>
                      <w:bCs/>
                      <w:color w:val="auto"/>
                      <w:sz w:val="21"/>
                      <w:szCs w:val="21"/>
                    </w:rPr>
                    <w:t>坐标</w:t>
                  </w:r>
                </w:p>
              </w:tc>
              <w:tc>
                <w:tcPr>
                  <w:tcW w:w="2335" w:type="dxa"/>
                  <w:vMerge w:val="restart"/>
                  <w:vAlign w:val="center"/>
                </w:tcPr>
                <w:p w14:paraId="57C5F9BF">
                  <w:pPr>
                    <w:jc w:val="center"/>
                    <w:rPr>
                      <w:b/>
                      <w:bCs/>
                      <w:color w:val="auto"/>
                      <w:sz w:val="21"/>
                      <w:szCs w:val="21"/>
                    </w:rPr>
                  </w:pPr>
                  <w:r>
                    <w:rPr>
                      <w:b/>
                      <w:bCs/>
                      <w:color w:val="auto"/>
                      <w:sz w:val="21"/>
                      <w:szCs w:val="21"/>
                    </w:rPr>
                    <w:t>排放标准</w:t>
                  </w:r>
                </w:p>
              </w:tc>
            </w:tr>
            <w:tr w14:paraId="786C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9" w:type="dxa"/>
                  <w:vMerge w:val="continue"/>
                  <w:vAlign w:val="center"/>
                </w:tcPr>
                <w:p w14:paraId="2A61FB67">
                  <w:pPr>
                    <w:jc w:val="center"/>
                    <w:rPr>
                      <w:color w:val="auto"/>
                      <w:sz w:val="21"/>
                      <w:szCs w:val="21"/>
                    </w:rPr>
                  </w:pPr>
                </w:p>
              </w:tc>
              <w:tc>
                <w:tcPr>
                  <w:tcW w:w="1055" w:type="dxa"/>
                  <w:vMerge w:val="continue"/>
                  <w:vAlign w:val="center"/>
                </w:tcPr>
                <w:p w14:paraId="3FA468BB">
                  <w:pPr>
                    <w:jc w:val="center"/>
                    <w:rPr>
                      <w:color w:val="auto"/>
                      <w:sz w:val="21"/>
                      <w:szCs w:val="21"/>
                    </w:rPr>
                  </w:pPr>
                </w:p>
              </w:tc>
              <w:tc>
                <w:tcPr>
                  <w:tcW w:w="765" w:type="dxa"/>
                  <w:vMerge w:val="continue"/>
                  <w:vAlign w:val="center"/>
                </w:tcPr>
                <w:p w14:paraId="6BE6793B">
                  <w:pPr>
                    <w:jc w:val="center"/>
                    <w:rPr>
                      <w:color w:val="auto"/>
                      <w:sz w:val="21"/>
                      <w:szCs w:val="21"/>
                    </w:rPr>
                  </w:pPr>
                </w:p>
              </w:tc>
              <w:tc>
                <w:tcPr>
                  <w:tcW w:w="1363" w:type="dxa"/>
                  <w:vAlign w:val="center"/>
                </w:tcPr>
                <w:p w14:paraId="113879EC">
                  <w:pPr>
                    <w:jc w:val="center"/>
                    <w:rPr>
                      <w:b/>
                      <w:bCs/>
                      <w:color w:val="auto"/>
                      <w:sz w:val="21"/>
                      <w:szCs w:val="21"/>
                    </w:rPr>
                  </w:pPr>
                  <w:r>
                    <w:rPr>
                      <w:b/>
                      <w:bCs/>
                      <w:color w:val="auto"/>
                      <w:sz w:val="21"/>
                      <w:szCs w:val="21"/>
                    </w:rPr>
                    <w:t>经度</w:t>
                  </w:r>
                </w:p>
              </w:tc>
              <w:tc>
                <w:tcPr>
                  <w:tcW w:w="1177" w:type="dxa"/>
                  <w:vAlign w:val="center"/>
                </w:tcPr>
                <w:p w14:paraId="08F1F5DF">
                  <w:pPr>
                    <w:jc w:val="center"/>
                    <w:rPr>
                      <w:b/>
                      <w:bCs/>
                      <w:color w:val="auto"/>
                      <w:sz w:val="21"/>
                      <w:szCs w:val="21"/>
                    </w:rPr>
                  </w:pPr>
                  <w:r>
                    <w:rPr>
                      <w:b/>
                      <w:bCs/>
                      <w:color w:val="auto"/>
                      <w:sz w:val="21"/>
                      <w:szCs w:val="21"/>
                    </w:rPr>
                    <w:t>纬度</w:t>
                  </w:r>
                </w:p>
              </w:tc>
              <w:tc>
                <w:tcPr>
                  <w:tcW w:w="2335" w:type="dxa"/>
                  <w:vMerge w:val="continue"/>
                  <w:vAlign w:val="center"/>
                </w:tcPr>
                <w:p w14:paraId="256D838C">
                  <w:pPr>
                    <w:jc w:val="center"/>
                    <w:rPr>
                      <w:color w:val="auto"/>
                      <w:sz w:val="21"/>
                      <w:szCs w:val="21"/>
                    </w:rPr>
                  </w:pPr>
                </w:p>
              </w:tc>
            </w:tr>
            <w:tr w14:paraId="4759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9" w:type="dxa"/>
                  <w:vAlign w:val="center"/>
                </w:tcPr>
                <w:p w14:paraId="16B715C1">
                  <w:pPr>
                    <w:jc w:val="center"/>
                    <w:rPr>
                      <w:rFonts w:hint="eastAsia" w:eastAsia="宋体"/>
                      <w:color w:val="auto"/>
                      <w:sz w:val="21"/>
                      <w:szCs w:val="21"/>
                      <w:lang w:eastAsia="zh-CN"/>
                    </w:rPr>
                  </w:pPr>
                  <w:r>
                    <w:rPr>
                      <w:color w:val="auto"/>
                      <w:sz w:val="21"/>
                      <w:szCs w:val="21"/>
                    </w:rPr>
                    <w:t>DA00</w:t>
                  </w:r>
                  <w:r>
                    <w:rPr>
                      <w:rFonts w:hint="eastAsia"/>
                      <w:color w:val="auto"/>
                      <w:sz w:val="21"/>
                      <w:szCs w:val="21"/>
                      <w:lang w:val="en-US" w:eastAsia="zh-CN"/>
                    </w:rPr>
                    <w:t>1</w:t>
                  </w:r>
                </w:p>
              </w:tc>
              <w:tc>
                <w:tcPr>
                  <w:tcW w:w="1055" w:type="dxa"/>
                  <w:vAlign w:val="center"/>
                </w:tcPr>
                <w:p w14:paraId="24D8BCE2">
                  <w:pPr>
                    <w:jc w:val="center"/>
                    <w:rPr>
                      <w:color w:val="auto"/>
                      <w:sz w:val="21"/>
                      <w:szCs w:val="21"/>
                    </w:rPr>
                  </w:pPr>
                  <w:r>
                    <w:rPr>
                      <w:rFonts w:hint="eastAsia"/>
                      <w:color w:val="auto"/>
                      <w:sz w:val="21"/>
                      <w:szCs w:val="21"/>
                    </w:rPr>
                    <w:t>1</w:t>
                  </w:r>
                  <w:r>
                    <w:rPr>
                      <w:rFonts w:hint="eastAsia"/>
                      <w:color w:val="auto"/>
                      <w:sz w:val="21"/>
                      <w:szCs w:val="21"/>
                      <w:lang w:val="en-US" w:eastAsia="zh-CN"/>
                    </w:rPr>
                    <w:t>5</w:t>
                  </w:r>
                  <w:r>
                    <w:rPr>
                      <w:color w:val="auto"/>
                      <w:sz w:val="21"/>
                      <w:szCs w:val="21"/>
                    </w:rPr>
                    <w:t>m</w:t>
                  </w:r>
                </w:p>
              </w:tc>
              <w:tc>
                <w:tcPr>
                  <w:tcW w:w="765" w:type="dxa"/>
                  <w:vAlign w:val="center"/>
                </w:tcPr>
                <w:p w14:paraId="40D9B42B">
                  <w:pPr>
                    <w:jc w:val="center"/>
                    <w:rPr>
                      <w:color w:val="auto"/>
                      <w:sz w:val="21"/>
                      <w:szCs w:val="21"/>
                    </w:rPr>
                  </w:pPr>
                  <w:r>
                    <w:rPr>
                      <w:rFonts w:hint="eastAsia"/>
                      <w:color w:val="auto"/>
                      <w:sz w:val="21"/>
                      <w:szCs w:val="21"/>
                      <w:lang w:val="en-US" w:eastAsia="zh-CN"/>
                    </w:rPr>
                    <w:t>0.6</w:t>
                  </w:r>
                  <w:r>
                    <w:rPr>
                      <w:color w:val="auto"/>
                      <w:sz w:val="21"/>
                      <w:szCs w:val="21"/>
                    </w:rPr>
                    <w:t>m</w:t>
                  </w:r>
                </w:p>
              </w:tc>
              <w:tc>
                <w:tcPr>
                  <w:tcW w:w="1363" w:type="dxa"/>
                  <w:vAlign w:val="center"/>
                </w:tcPr>
                <w:p w14:paraId="0C875C54">
                  <w:pPr>
                    <w:jc w:val="center"/>
                    <w:rPr>
                      <w:rFonts w:hint="eastAsia" w:eastAsia="宋体"/>
                      <w:color w:val="auto"/>
                      <w:sz w:val="21"/>
                      <w:szCs w:val="21"/>
                      <w:lang w:val="en-US" w:eastAsia="zh-CN"/>
                    </w:rPr>
                  </w:pPr>
                  <w:r>
                    <w:rPr>
                      <w:rFonts w:hint="eastAsia" w:eastAsia="宋体"/>
                      <w:color w:val="auto"/>
                      <w:sz w:val="21"/>
                      <w:szCs w:val="21"/>
                      <w:lang w:val="en-US" w:eastAsia="zh-CN"/>
                    </w:rPr>
                    <w:t>117.91352</w:t>
                  </w:r>
                </w:p>
              </w:tc>
              <w:tc>
                <w:tcPr>
                  <w:tcW w:w="1177" w:type="dxa"/>
                  <w:vAlign w:val="center"/>
                </w:tcPr>
                <w:p w14:paraId="438D4A74">
                  <w:pPr>
                    <w:jc w:val="center"/>
                    <w:rPr>
                      <w:rFonts w:hint="eastAsia" w:eastAsia="宋体"/>
                      <w:color w:val="auto"/>
                      <w:sz w:val="21"/>
                      <w:szCs w:val="21"/>
                      <w:lang w:val="en-US" w:eastAsia="zh-CN"/>
                    </w:rPr>
                  </w:pPr>
                  <w:r>
                    <w:rPr>
                      <w:rFonts w:hint="eastAsia" w:eastAsia="宋体"/>
                      <w:color w:val="auto"/>
                      <w:sz w:val="21"/>
                      <w:szCs w:val="21"/>
                      <w:lang w:val="en-US" w:eastAsia="zh-CN"/>
                    </w:rPr>
                    <w:t>33.46650</w:t>
                  </w:r>
                </w:p>
              </w:tc>
              <w:tc>
                <w:tcPr>
                  <w:tcW w:w="2335" w:type="dxa"/>
                  <w:vAlign w:val="center"/>
                </w:tcPr>
                <w:p w14:paraId="2F3A12FF">
                  <w:pPr>
                    <w:jc w:val="center"/>
                    <w:rPr>
                      <w:color w:val="auto"/>
                      <w:sz w:val="21"/>
                      <w:szCs w:val="21"/>
                    </w:rPr>
                  </w:pPr>
                  <w:r>
                    <w:rPr>
                      <w:rFonts w:hint="eastAsia"/>
                      <w:color w:val="auto"/>
                      <w:sz w:val="21"/>
                      <w:szCs w:val="21"/>
                    </w:rPr>
                    <w:t>《木材加工行业大气污染物排放标准》（DB34/4810-2024）</w:t>
                  </w:r>
                </w:p>
              </w:tc>
            </w:tr>
          </w:tbl>
          <w:p w14:paraId="187D1188">
            <w:pPr>
              <w:adjustRightInd w:val="0"/>
              <w:snapToGrid w:val="0"/>
              <w:spacing w:before="120" w:beforeLines="50" w:line="360" w:lineRule="auto"/>
              <w:ind w:firstLine="480" w:firstLineChars="200"/>
              <w:rPr>
                <w:bCs/>
                <w:color w:val="auto"/>
              </w:rPr>
            </w:pPr>
            <w:r>
              <w:rPr>
                <w:rFonts w:hint="eastAsia"/>
                <w:bCs/>
                <w:color w:val="auto"/>
              </w:rPr>
              <w:t>（</w:t>
            </w:r>
            <w:r>
              <w:rPr>
                <w:bCs/>
                <w:color w:val="auto"/>
              </w:rPr>
              <w:t>4</w:t>
            </w:r>
            <w:r>
              <w:rPr>
                <w:rFonts w:hint="eastAsia"/>
                <w:bCs/>
                <w:color w:val="auto"/>
              </w:rPr>
              <w:t>）废气处理可行性分析：</w:t>
            </w:r>
          </w:p>
          <w:p w14:paraId="2BBFCC3E">
            <w:pPr>
              <w:spacing w:line="360" w:lineRule="auto"/>
              <w:ind w:firstLine="480" w:firstLineChars="200"/>
              <w:jc w:val="left"/>
              <w:rPr>
                <w:color w:val="auto"/>
                <w:kern w:val="0"/>
              </w:rPr>
            </w:pPr>
            <w:r>
              <w:rPr>
                <w:rFonts w:hint="eastAsia"/>
                <w:color w:val="auto"/>
                <w:kern w:val="0"/>
              </w:rPr>
              <w:t>①</w:t>
            </w:r>
            <w:r>
              <w:rPr>
                <w:color w:val="auto"/>
                <w:kern w:val="0"/>
              </w:rPr>
              <w:t>废气处理措施</w:t>
            </w:r>
          </w:p>
          <w:p w14:paraId="77484BA6">
            <w:pPr>
              <w:adjustRightInd w:val="0"/>
              <w:snapToGrid w:val="0"/>
              <w:spacing w:line="360" w:lineRule="auto"/>
              <w:ind w:firstLine="480" w:firstLineChars="200"/>
              <w:jc w:val="left"/>
              <w:rPr>
                <w:color w:val="auto"/>
                <w:kern w:val="0"/>
              </w:rPr>
            </w:pPr>
            <w:r>
              <w:rPr>
                <w:rFonts w:hint="eastAsia"/>
                <w:color w:val="auto"/>
              </w:rPr>
              <w:t>项目下料、后处理（刨光/砂光）会产生废气，经布袋除尘器处理后，通过</w:t>
            </w:r>
            <w:r>
              <w:rPr>
                <w:rFonts w:hint="eastAsia"/>
                <w:color w:val="auto"/>
                <w:lang w:val="en-US" w:eastAsia="zh-CN"/>
              </w:rPr>
              <w:t>15</w:t>
            </w:r>
            <w:r>
              <w:rPr>
                <w:rFonts w:hint="eastAsia"/>
                <w:color w:val="auto"/>
              </w:rPr>
              <w:t>米排气筒（DA00</w:t>
            </w:r>
            <w:r>
              <w:rPr>
                <w:rFonts w:hint="eastAsia"/>
                <w:color w:val="auto"/>
                <w:lang w:val="en-US" w:eastAsia="zh-CN"/>
              </w:rPr>
              <w:t>1</w:t>
            </w:r>
            <w:r>
              <w:rPr>
                <w:rFonts w:hint="eastAsia"/>
                <w:color w:val="auto"/>
              </w:rPr>
              <w:t>）达标排放</w:t>
            </w:r>
            <w:r>
              <w:rPr>
                <w:rFonts w:hint="eastAsia" w:eastAsia="F4"/>
                <w:color w:val="auto"/>
              </w:rPr>
              <w:t>。</w:t>
            </w:r>
            <w:r>
              <w:rPr>
                <w:bCs/>
                <w:color w:val="auto"/>
              </w:rPr>
              <w:t>颗粒物</w:t>
            </w:r>
            <w:r>
              <w:rPr>
                <w:color w:val="auto"/>
              </w:rPr>
              <w:t>排放执行</w:t>
            </w:r>
            <w:bookmarkStart w:id="4" w:name="_GoBack"/>
            <w:bookmarkEnd w:id="4"/>
            <w:r>
              <w:rPr>
                <w:rFonts w:hint="eastAsia"/>
                <w:color w:val="auto"/>
              </w:rPr>
              <w:t>《木材加工行业大气污染物排放标准》（DB34/4810-2024）中</w:t>
            </w:r>
            <w:r>
              <w:rPr>
                <w:color w:val="auto"/>
              </w:rPr>
              <w:t>标准要求。</w:t>
            </w:r>
          </w:p>
          <w:p w14:paraId="0D294842">
            <w:pPr>
              <w:adjustRightInd w:val="0"/>
              <w:snapToGrid w:val="0"/>
              <w:spacing w:line="360" w:lineRule="auto"/>
              <w:ind w:firstLine="480" w:firstLineChars="200"/>
              <w:jc w:val="left"/>
              <w:rPr>
                <w:color w:val="auto"/>
              </w:rPr>
            </w:pPr>
            <w:r>
              <w:rPr>
                <w:rFonts w:hint="eastAsia"/>
                <w:color w:val="auto"/>
              </w:rPr>
              <w:t>②可行性分析</w:t>
            </w:r>
          </w:p>
          <w:p w14:paraId="28EBC154">
            <w:pPr>
              <w:adjustRightInd w:val="0"/>
              <w:snapToGrid w:val="0"/>
              <w:spacing w:line="360" w:lineRule="auto"/>
              <w:ind w:firstLine="480" w:firstLineChars="200"/>
              <w:jc w:val="left"/>
              <w:rPr>
                <w:rFonts w:ascii="Times New Roman" w:hAnsi="Times New Roman" w:cs="Times New Roman"/>
                <w:color w:val="auto"/>
              </w:rPr>
            </w:pPr>
            <w:r>
              <w:rPr>
                <w:rFonts w:hint="eastAsia" w:cs="Times New Roman"/>
                <w:color w:val="auto"/>
                <w:lang w:val="en-US" w:eastAsia="zh-CN"/>
              </w:rPr>
              <w:t>参考《排放源统计调查产排污核算方法和系数手册》中“203木质制品制造行业系数手册”，“下料/砂光/打磨末端处理技术为袋式除尘。且参考</w:t>
            </w:r>
            <w:r>
              <w:rPr>
                <w:rFonts w:hint="eastAsia" w:ascii="Times New Roman" w:hAnsi="Times New Roman" w:cs="Times New Roman"/>
                <w:color w:val="auto"/>
              </w:rPr>
              <w:t>《排污许可证申请与核发技术规范 人造板工业》（HJ1032-2019）附录A中“表 A.1 废气污染防治可行技术参考表”，下料/砂光</w:t>
            </w:r>
            <w:r>
              <w:rPr>
                <w:rFonts w:hint="eastAsia" w:cs="Times New Roman"/>
                <w:color w:val="auto"/>
                <w:lang w:val="en-US" w:eastAsia="zh-CN"/>
              </w:rPr>
              <w:t>/刨光</w:t>
            </w:r>
            <w:r>
              <w:rPr>
                <w:rFonts w:hint="eastAsia" w:ascii="Times New Roman" w:hAnsi="Times New Roman" w:cs="Times New Roman"/>
                <w:color w:val="auto"/>
              </w:rPr>
              <w:t>产生的颗粒物的可行性技术有袋式除尘。因此，颗粒物采用布袋除尘器处理</w:t>
            </w:r>
            <w:r>
              <w:rPr>
                <w:rFonts w:hint="eastAsia" w:ascii="Times New Roman" w:hAnsi="Times New Roman" w:cs="Times New Roman"/>
                <w:color w:val="auto"/>
                <w:lang w:val="en-US" w:eastAsia="zh-CN"/>
              </w:rPr>
              <w:t>在技术上</w:t>
            </w:r>
            <w:r>
              <w:rPr>
                <w:rFonts w:hint="eastAsia" w:ascii="Times New Roman" w:hAnsi="Times New Roman" w:cs="Times New Roman"/>
                <w:color w:val="auto"/>
              </w:rPr>
              <w:t>是可行的。</w:t>
            </w:r>
          </w:p>
          <w:p w14:paraId="6E8A8B68">
            <w:pPr>
              <w:adjustRightInd w:val="0"/>
              <w:snapToGrid w:val="0"/>
              <w:spacing w:line="360" w:lineRule="auto"/>
              <w:ind w:firstLine="480" w:firstLineChars="200"/>
              <w:rPr>
                <w:color w:val="auto"/>
              </w:rPr>
            </w:pPr>
            <w:r>
              <w:rPr>
                <w:rFonts w:hint="eastAsia"/>
                <w:color w:val="auto"/>
              </w:rPr>
              <w:t>（5）</w:t>
            </w:r>
            <w:r>
              <w:rPr>
                <w:color w:val="auto"/>
              </w:rPr>
              <w:t>非正常工况</w:t>
            </w:r>
          </w:p>
          <w:p w14:paraId="0E3CA568">
            <w:pPr>
              <w:spacing w:line="360" w:lineRule="auto"/>
              <w:ind w:firstLine="480" w:firstLineChars="200"/>
              <w:rPr>
                <w:color w:val="auto"/>
              </w:rPr>
            </w:pPr>
            <w:r>
              <w:rPr>
                <w:color w:val="auto"/>
              </w:rPr>
              <w:t>非正常排放是指生产过程中开停车（工、炉）、设备检修、工艺设备运转异常等非正常工况下的污染物排放，以及污染物排放控制措施达不到应有效率等情况下的排放。项目废气非正常工况排放主要为</w:t>
            </w:r>
            <w:r>
              <w:rPr>
                <w:rFonts w:hint="eastAsia"/>
                <w:color w:val="auto"/>
                <w:lang w:val="en-US" w:eastAsia="zh-CN"/>
              </w:rPr>
              <w:t>布袋</w:t>
            </w:r>
            <w:r>
              <w:rPr>
                <w:color w:val="auto"/>
              </w:rPr>
              <w:t>除尘器发生故障时，废气处理效率仅为0%的状态进行估算，但废气收集系统可以正常运行，废气通过排气筒排放等情况，废气处理设施出现故障不能正常运行时，应立即停产进行维修，避免对周围环境造成污染。废气非正常工况源强情况见</w:t>
            </w:r>
            <w:r>
              <w:rPr>
                <w:rFonts w:hint="eastAsia"/>
                <w:color w:val="auto"/>
              </w:rPr>
              <w:t>下</w:t>
            </w:r>
            <w:r>
              <w:rPr>
                <w:color w:val="auto"/>
              </w:rPr>
              <w:t>表。</w:t>
            </w:r>
          </w:p>
          <w:p w14:paraId="673E5919">
            <w:pPr>
              <w:jc w:val="center"/>
              <w:rPr>
                <w:b/>
                <w:bCs/>
                <w:color w:val="auto"/>
              </w:rPr>
            </w:pPr>
            <w:r>
              <w:rPr>
                <w:b/>
                <w:bCs/>
                <w:color w:val="auto"/>
              </w:rPr>
              <w:t>表4</w:t>
            </w:r>
            <w:r>
              <w:rPr>
                <w:rFonts w:hint="eastAsia"/>
                <w:b/>
                <w:bCs/>
                <w:color w:val="auto"/>
              </w:rPr>
              <w:t>-</w:t>
            </w:r>
            <w:r>
              <w:rPr>
                <w:rFonts w:hint="eastAsia"/>
                <w:b/>
                <w:bCs/>
                <w:color w:val="auto"/>
                <w:lang w:val="en-US" w:eastAsia="zh-CN"/>
              </w:rPr>
              <w:t>4</w:t>
            </w:r>
            <w:r>
              <w:rPr>
                <w:rFonts w:hint="eastAsia"/>
                <w:b/>
                <w:bCs/>
                <w:color w:val="auto"/>
              </w:rPr>
              <w:t xml:space="preserve"> </w:t>
            </w:r>
            <w:r>
              <w:rPr>
                <w:b/>
                <w:bCs/>
                <w:color w:val="auto"/>
              </w:rPr>
              <w:t xml:space="preserve"> </w:t>
            </w:r>
            <w:r>
              <w:rPr>
                <w:rFonts w:hint="eastAsia"/>
                <w:b/>
                <w:bCs/>
                <w:color w:val="auto"/>
              </w:rPr>
              <w:t>项目</w:t>
            </w:r>
            <w:r>
              <w:rPr>
                <w:b/>
                <w:bCs/>
                <w:color w:val="auto"/>
              </w:rPr>
              <w:t>废气非正常工况排放量核算表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895"/>
              <w:gridCol w:w="843"/>
              <w:gridCol w:w="935"/>
              <w:gridCol w:w="1204"/>
              <w:gridCol w:w="1016"/>
              <w:gridCol w:w="743"/>
              <w:gridCol w:w="712"/>
              <w:gridCol w:w="1165"/>
            </w:tblGrid>
            <w:tr w14:paraId="6243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 w:type="dxa"/>
                  <w:vAlign w:val="center"/>
                </w:tcPr>
                <w:p w14:paraId="376A013A">
                  <w:pPr>
                    <w:jc w:val="center"/>
                    <w:rPr>
                      <w:b/>
                      <w:bCs/>
                      <w:color w:val="auto"/>
                      <w:sz w:val="21"/>
                      <w:szCs w:val="21"/>
                    </w:rPr>
                  </w:pPr>
                  <w:r>
                    <w:rPr>
                      <w:b/>
                      <w:bCs/>
                      <w:color w:val="auto"/>
                      <w:sz w:val="21"/>
                      <w:szCs w:val="21"/>
                    </w:rPr>
                    <w:t>序号</w:t>
                  </w:r>
                </w:p>
              </w:tc>
              <w:tc>
                <w:tcPr>
                  <w:tcW w:w="895" w:type="dxa"/>
                  <w:vAlign w:val="center"/>
                </w:tcPr>
                <w:p w14:paraId="03B702F0">
                  <w:pPr>
                    <w:jc w:val="center"/>
                    <w:rPr>
                      <w:b/>
                      <w:bCs/>
                      <w:color w:val="auto"/>
                      <w:sz w:val="21"/>
                      <w:szCs w:val="21"/>
                    </w:rPr>
                  </w:pPr>
                  <w:r>
                    <w:rPr>
                      <w:b/>
                      <w:bCs/>
                      <w:color w:val="auto"/>
                      <w:sz w:val="21"/>
                      <w:szCs w:val="21"/>
                    </w:rPr>
                    <w:t>污染源</w:t>
                  </w:r>
                </w:p>
              </w:tc>
              <w:tc>
                <w:tcPr>
                  <w:tcW w:w="843" w:type="dxa"/>
                  <w:vAlign w:val="center"/>
                </w:tcPr>
                <w:p w14:paraId="6D6672E1">
                  <w:pPr>
                    <w:jc w:val="center"/>
                    <w:rPr>
                      <w:b/>
                      <w:bCs/>
                      <w:color w:val="auto"/>
                      <w:sz w:val="21"/>
                      <w:szCs w:val="21"/>
                    </w:rPr>
                  </w:pPr>
                  <w:r>
                    <w:rPr>
                      <w:b/>
                      <w:bCs/>
                      <w:color w:val="auto"/>
                      <w:sz w:val="21"/>
                      <w:szCs w:val="21"/>
                    </w:rPr>
                    <w:t>非正常排放原因</w:t>
                  </w:r>
                </w:p>
              </w:tc>
              <w:tc>
                <w:tcPr>
                  <w:tcW w:w="935" w:type="dxa"/>
                  <w:vAlign w:val="center"/>
                </w:tcPr>
                <w:p w14:paraId="06ED1AE8">
                  <w:pPr>
                    <w:jc w:val="center"/>
                    <w:rPr>
                      <w:b/>
                      <w:bCs/>
                      <w:color w:val="auto"/>
                      <w:sz w:val="21"/>
                      <w:szCs w:val="21"/>
                    </w:rPr>
                  </w:pPr>
                  <w:r>
                    <w:rPr>
                      <w:b/>
                      <w:bCs/>
                      <w:color w:val="auto"/>
                      <w:sz w:val="21"/>
                      <w:szCs w:val="21"/>
                    </w:rPr>
                    <w:t>污染物</w:t>
                  </w:r>
                </w:p>
              </w:tc>
              <w:tc>
                <w:tcPr>
                  <w:tcW w:w="1204" w:type="dxa"/>
                  <w:shd w:val="clear" w:color="auto" w:fill="auto"/>
                  <w:vAlign w:val="center"/>
                </w:tcPr>
                <w:p w14:paraId="179AEFA7">
                  <w:pPr>
                    <w:jc w:val="center"/>
                    <w:rPr>
                      <w:rFonts w:ascii="Times New Roman" w:hAnsi="Times New Roman" w:eastAsia="宋体" w:cs="Times New Roman"/>
                      <w:b/>
                      <w:color w:val="auto"/>
                      <w:kern w:val="2"/>
                      <w:sz w:val="21"/>
                      <w:szCs w:val="21"/>
                      <w:lang w:val="en-US" w:eastAsia="zh-CN" w:bidi="ar-SA"/>
                    </w:rPr>
                  </w:pPr>
                  <w:r>
                    <w:rPr>
                      <w:rFonts w:hint="eastAsia"/>
                      <w:b/>
                      <w:color w:val="auto"/>
                      <w:sz w:val="21"/>
                      <w:szCs w:val="21"/>
                      <w:lang w:val="en-US" w:eastAsia="zh-CN"/>
                    </w:rPr>
                    <w:t>非正常排放</w:t>
                  </w:r>
                  <w:r>
                    <w:rPr>
                      <w:b/>
                      <w:color w:val="auto"/>
                      <w:sz w:val="21"/>
                      <w:szCs w:val="21"/>
                    </w:rPr>
                    <w:t>速率kg/h</w:t>
                  </w:r>
                </w:p>
              </w:tc>
              <w:tc>
                <w:tcPr>
                  <w:tcW w:w="1016" w:type="dxa"/>
                  <w:shd w:val="clear" w:color="auto" w:fill="auto"/>
                  <w:vAlign w:val="center"/>
                </w:tcPr>
                <w:p w14:paraId="095BB6A9">
                  <w:pPr>
                    <w:jc w:val="center"/>
                    <w:rPr>
                      <w:rFonts w:ascii="Times New Roman" w:hAnsi="Times New Roman" w:eastAsia="宋体" w:cs="Times New Roman"/>
                      <w:b/>
                      <w:color w:val="auto"/>
                      <w:kern w:val="2"/>
                      <w:sz w:val="21"/>
                      <w:szCs w:val="21"/>
                      <w:lang w:val="en-US" w:eastAsia="zh-CN" w:bidi="ar-SA"/>
                    </w:rPr>
                  </w:pPr>
                  <w:r>
                    <w:rPr>
                      <w:rFonts w:hint="eastAsia"/>
                      <w:b/>
                      <w:color w:val="auto"/>
                      <w:sz w:val="21"/>
                      <w:szCs w:val="21"/>
                      <w:lang w:val="en-US" w:eastAsia="zh-CN"/>
                    </w:rPr>
                    <w:t>排放</w:t>
                  </w:r>
                  <w:r>
                    <w:rPr>
                      <w:b/>
                      <w:color w:val="auto"/>
                      <w:sz w:val="21"/>
                      <w:szCs w:val="21"/>
                    </w:rPr>
                    <w:t>浓度mg/m</w:t>
                  </w:r>
                  <w:r>
                    <w:rPr>
                      <w:b/>
                      <w:color w:val="auto"/>
                      <w:sz w:val="21"/>
                      <w:szCs w:val="21"/>
                      <w:vertAlign w:val="superscript"/>
                    </w:rPr>
                    <w:t>3</w:t>
                  </w:r>
                </w:p>
              </w:tc>
              <w:tc>
                <w:tcPr>
                  <w:tcW w:w="743" w:type="dxa"/>
                  <w:vAlign w:val="center"/>
                </w:tcPr>
                <w:p w14:paraId="76F3745B">
                  <w:pPr>
                    <w:jc w:val="center"/>
                    <w:rPr>
                      <w:b/>
                      <w:bCs/>
                      <w:color w:val="auto"/>
                      <w:sz w:val="21"/>
                      <w:szCs w:val="21"/>
                    </w:rPr>
                  </w:pPr>
                  <w:r>
                    <w:rPr>
                      <w:b/>
                      <w:bCs/>
                      <w:color w:val="auto"/>
                      <w:sz w:val="21"/>
                      <w:szCs w:val="21"/>
                    </w:rPr>
                    <w:t>单次持续时间/h</w:t>
                  </w:r>
                </w:p>
              </w:tc>
              <w:tc>
                <w:tcPr>
                  <w:tcW w:w="712" w:type="dxa"/>
                  <w:vAlign w:val="center"/>
                </w:tcPr>
                <w:p w14:paraId="7D42BAA7">
                  <w:pPr>
                    <w:jc w:val="center"/>
                    <w:rPr>
                      <w:b/>
                      <w:bCs/>
                      <w:color w:val="auto"/>
                      <w:sz w:val="21"/>
                      <w:szCs w:val="21"/>
                    </w:rPr>
                  </w:pPr>
                  <w:r>
                    <w:rPr>
                      <w:b/>
                      <w:bCs/>
                      <w:color w:val="auto"/>
                      <w:sz w:val="21"/>
                      <w:szCs w:val="21"/>
                    </w:rPr>
                    <w:t>单次发生频次/次</w:t>
                  </w:r>
                </w:p>
              </w:tc>
              <w:tc>
                <w:tcPr>
                  <w:tcW w:w="1165" w:type="dxa"/>
                  <w:vAlign w:val="center"/>
                </w:tcPr>
                <w:p w14:paraId="7F01E478">
                  <w:pPr>
                    <w:jc w:val="center"/>
                    <w:rPr>
                      <w:b/>
                      <w:bCs/>
                      <w:color w:val="auto"/>
                      <w:sz w:val="21"/>
                      <w:szCs w:val="21"/>
                    </w:rPr>
                  </w:pPr>
                  <w:r>
                    <w:rPr>
                      <w:b/>
                      <w:bCs/>
                      <w:color w:val="auto"/>
                      <w:sz w:val="21"/>
                      <w:szCs w:val="21"/>
                    </w:rPr>
                    <w:t>应对措施</w:t>
                  </w:r>
                </w:p>
              </w:tc>
            </w:tr>
            <w:tr w14:paraId="1897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 w:type="dxa"/>
                  <w:vAlign w:val="center"/>
                </w:tcPr>
                <w:p w14:paraId="5308E417">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1</w:t>
                  </w:r>
                </w:p>
              </w:tc>
              <w:tc>
                <w:tcPr>
                  <w:tcW w:w="895" w:type="dxa"/>
                  <w:shd w:val="clear" w:color="auto" w:fill="auto"/>
                  <w:vAlign w:val="center"/>
                </w:tcPr>
                <w:p w14:paraId="7054BFC2">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下料、后处理（</w:t>
                  </w:r>
                  <w:r>
                    <w:rPr>
                      <w:rFonts w:hint="eastAsia" w:cs="Times New Roman"/>
                      <w:color w:val="auto"/>
                      <w:kern w:val="2"/>
                      <w:sz w:val="21"/>
                      <w:szCs w:val="21"/>
                      <w:lang w:val="en-US" w:eastAsia="zh-CN" w:bidi="ar-SA"/>
                    </w:rPr>
                    <w:t>刨</w:t>
                  </w:r>
                  <w:r>
                    <w:rPr>
                      <w:rFonts w:hint="eastAsia" w:ascii="Times New Roman" w:hAnsi="Times New Roman" w:eastAsia="宋体" w:cs="Times New Roman"/>
                      <w:color w:val="auto"/>
                      <w:kern w:val="2"/>
                      <w:sz w:val="21"/>
                      <w:szCs w:val="21"/>
                      <w:lang w:val="en-US" w:eastAsia="zh-CN" w:bidi="ar-SA"/>
                    </w:rPr>
                    <w:t>光/砂光）</w:t>
                  </w:r>
                </w:p>
              </w:tc>
              <w:tc>
                <w:tcPr>
                  <w:tcW w:w="843" w:type="dxa"/>
                  <w:vAlign w:val="center"/>
                </w:tcPr>
                <w:p w14:paraId="005B4B0B">
                  <w:pPr>
                    <w:jc w:val="center"/>
                    <w:rPr>
                      <w:color w:val="auto"/>
                      <w:sz w:val="21"/>
                      <w:szCs w:val="21"/>
                    </w:rPr>
                  </w:pPr>
                  <w:r>
                    <w:rPr>
                      <w:color w:val="auto"/>
                      <w:sz w:val="21"/>
                      <w:szCs w:val="21"/>
                    </w:rPr>
                    <w:t>废气处理设施故障，处理效率为0</w:t>
                  </w:r>
                  <w:r>
                    <w:rPr>
                      <w:rFonts w:hint="eastAsia"/>
                      <w:color w:val="auto"/>
                      <w:sz w:val="21"/>
                      <w:szCs w:val="21"/>
                    </w:rPr>
                    <w:t>%</w:t>
                  </w:r>
                </w:p>
              </w:tc>
              <w:tc>
                <w:tcPr>
                  <w:tcW w:w="935" w:type="dxa"/>
                  <w:vAlign w:val="center"/>
                </w:tcPr>
                <w:p w14:paraId="382CDEC0">
                  <w:pPr>
                    <w:jc w:val="center"/>
                    <w:rPr>
                      <w:rFonts w:hint="eastAsia"/>
                      <w:color w:val="auto"/>
                      <w:sz w:val="21"/>
                      <w:szCs w:val="21"/>
                    </w:rPr>
                  </w:pPr>
                  <w:r>
                    <w:rPr>
                      <w:rFonts w:hint="eastAsia"/>
                      <w:color w:val="auto"/>
                      <w:sz w:val="21"/>
                      <w:szCs w:val="21"/>
                    </w:rPr>
                    <w:t>颗粒物</w:t>
                  </w:r>
                </w:p>
              </w:tc>
              <w:tc>
                <w:tcPr>
                  <w:tcW w:w="1204" w:type="dxa"/>
                  <w:shd w:val="clear" w:color="auto" w:fill="auto"/>
                  <w:vAlign w:val="center"/>
                </w:tcPr>
                <w:p w14:paraId="5227BE54">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13.838</w:t>
                  </w:r>
                </w:p>
              </w:tc>
              <w:tc>
                <w:tcPr>
                  <w:tcW w:w="1016" w:type="dxa"/>
                  <w:shd w:val="clear" w:color="auto" w:fill="auto"/>
                  <w:vAlign w:val="center"/>
                </w:tcPr>
                <w:p w14:paraId="5C00059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922.53</w:t>
                  </w:r>
                </w:p>
              </w:tc>
              <w:tc>
                <w:tcPr>
                  <w:tcW w:w="743" w:type="dxa"/>
                  <w:vAlign w:val="center"/>
                </w:tcPr>
                <w:p w14:paraId="0C45220B">
                  <w:pPr>
                    <w:jc w:val="center"/>
                    <w:rPr>
                      <w:rFonts w:ascii="Times New Roman" w:hAnsi="Times New Roman" w:eastAsia="宋体" w:cs="Times New Roman"/>
                      <w:color w:val="auto"/>
                      <w:kern w:val="2"/>
                      <w:sz w:val="21"/>
                      <w:szCs w:val="21"/>
                      <w:lang w:val="en-US" w:eastAsia="zh-CN" w:bidi="ar-SA"/>
                    </w:rPr>
                  </w:pPr>
                  <w:r>
                    <w:rPr>
                      <w:color w:val="auto"/>
                      <w:sz w:val="21"/>
                      <w:szCs w:val="21"/>
                    </w:rPr>
                    <w:t>0.5</w:t>
                  </w:r>
                </w:p>
              </w:tc>
              <w:tc>
                <w:tcPr>
                  <w:tcW w:w="712" w:type="dxa"/>
                  <w:vAlign w:val="center"/>
                </w:tcPr>
                <w:p w14:paraId="0BFB5F03">
                  <w:pPr>
                    <w:jc w:val="center"/>
                    <w:rPr>
                      <w:rFonts w:ascii="Times New Roman" w:hAnsi="Times New Roman" w:eastAsia="宋体" w:cs="Times New Roman"/>
                      <w:color w:val="auto"/>
                      <w:kern w:val="2"/>
                      <w:sz w:val="21"/>
                      <w:szCs w:val="21"/>
                      <w:lang w:val="en-US" w:eastAsia="zh-CN" w:bidi="ar-SA"/>
                    </w:rPr>
                  </w:pPr>
                  <w:r>
                    <w:rPr>
                      <w:color w:val="auto"/>
                      <w:sz w:val="21"/>
                      <w:szCs w:val="21"/>
                    </w:rPr>
                    <w:t>1</w:t>
                  </w:r>
                </w:p>
              </w:tc>
              <w:tc>
                <w:tcPr>
                  <w:tcW w:w="1165" w:type="dxa"/>
                  <w:vAlign w:val="center"/>
                </w:tcPr>
                <w:p w14:paraId="4F7ADD2D">
                  <w:pPr>
                    <w:jc w:val="center"/>
                    <w:rPr>
                      <w:color w:val="auto"/>
                      <w:sz w:val="21"/>
                      <w:szCs w:val="21"/>
                    </w:rPr>
                  </w:pPr>
                  <w:r>
                    <w:rPr>
                      <w:color w:val="auto"/>
                      <w:sz w:val="21"/>
                      <w:szCs w:val="21"/>
                    </w:rPr>
                    <w:t>立即停止生产，关闭排放阀，及时维修</w:t>
                  </w:r>
                </w:p>
              </w:tc>
            </w:tr>
          </w:tbl>
          <w:p w14:paraId="3DCAA951">
            <w:pPr>
              <w:autoSpaceDE w:val="0"/>
              <w:autoSpaceDN w:val="0"/>
              <w:adjustRightInd w:val="0"/>
              <w:snapToGrid w:val="0"/>
              <w:spacing w:before="120" w:beforeLines="50" w:line="360" w:lineRule="auto"/>
              <w:ind w:firstLine="480" w:firstLineChars="200"/>
              <w:rPr>
                <w:color w:val="auto"/>
                <w:kern w:val="0"/>
                <w:lang w:bidi="ar"/>
              </w:rPr>
            </w:pPr>
            <w:r>
              <w:rPr>
                <w:rFonts w:hint="eastAsia"/>
                <w:color w:val="auto"/>
                <w:kern w:val="0"/>
                <w:lang w:bidi="ar"/>
              </w:rPr>
              <w:t>（6）监测计划</w:t>
            </w:r>
          </w:p>
          <w:p w14:paraId="0695338B">
            <w:pPr>
              <w:autoSpaceDE w:val="0"/>
              <w:autoSpaceDN w:val="0"/>
              <w:adjustRightInd w:val="0"/>
              <w:spacing w:line="360" w:lineRule="auto"/>
              <w:ind w:firstLine="480" w:firstLineChars="200"/>
              <w:rPr>
                <w:rFonts w:hint="eastAsia"/>
                <w:color w:val="auto"/>
                <w:kern w:val="0"/>
                <w:lang w:val="en-US" w:eastAsia="zh-CN" w:bidi="ar"/>
              </w:rPr>
            </w:pPr>
            <w:r>
              <w:rPr>
                <w:color w:val="auto"/>
                <w:kern w:val="0"/>
                <w:lang w:bidi="ar"/>
              </w:rPr>
              <w:t>根据《</w:t>
            </w:r>
            <w:r>
              <w:rPr>
                <w:rFonts w:hint="eastAsia"/>
                <w:color w:val="auto"/>
                <w:kern w:val="0"/>
                <w:lang w:bidi="ar"/>
              </w:rPr>
              <w:t>固定污染源排污许可分类管理名录</w:t>
            </w:r>
            <w:r>
              <w:rPr>
                <w:color w:val="auto"/>
                <w:kern w:val="0"/>
                <w:lang w:bidi="ar"/>
              </w:rPr>
              <w:t>（</w:t>
            </w:r>
            <w:r>
              <w:rPr>
                <w:rFonts w:hint="eastAsia"/>
                <w:color w:val="auto"/>
                <w:kern w:val="0"/>
                <w:lang w:bidi="ar"/>
              </w:rPr>
              <w:t>2019年版</w:t>
            </w:r>
            <w:r>
              <w:rPr>
                <w:color w:val="auto"/>
                <w:kern w:val="0"/>
                <w:lang w:bidi="ar"/>
              </w:rPr>
              <w:t>）》中</w:t>
            </w:r>
            <w:r>
              <w:rPr>
                <w:rFonts w:hint="eastAsia"/>
                <w:color w:val="auto"/>
                <w:kern w:val="0"/>
                <w:lang w:bidi="ar"/>
              </w:rPr>
              <w:t>“十五、木材加工和木、竹、藤、棕、草制品业20  其他﹡”</w:t>
            </w:r>
            <w:r>
              <w:rPr>
                <w:color w:val="auto"/>
                <w:kern w:val="0"/>
                <w:lang w:bidi="ar"/>
              </w:rPr>
              <w:t>，项目</w:t>
            </w:r>
            <w:r>
              <w:rPr>
                <w:rFonts w:hint="eastAsia"/>
                <w:color w:val="auto"/>
                <w:kern w:val="0"/>
                <w:lang w:bidi="ar"/>
              </w:rPr>
              <w:t>属于登记管理，</w:t>
            </w:r>
            <w:r>
              <w:rPr>
                <w:rFonts w:hint="eastAsia"/>
                <w:color w:val="auto"/>
                <w:kern w:val="0"/>
                <w:lang w:val="en-US" w:eastAsia="zh-CN" w:bidi="ar"/>
              </w:rPr>
              <w:t>项目根据</w:t>
            </w:r>
            <w:r>
              <w:rPr>
                <w:color w:val="auto"/>
                <w:sz w:val="24"/>
              </w:rPr>
              <w:t>《排污单位自行监测技术指南 总则》（HJ819-2017）</w:t>
            </w:r>
            <w:r>
              <w:rPr>
                <w:rFonts w:hint="eastAsia"/>
                <w:color w:val="auto"/>
                <w:kern w:val="0"/>
                <w:lang w:val="en-US" w:eastAsia="zh-CN" w:bidi="ar"/>
              </w:rPr>
              <w:t>，企业有组织废气监测频次最低为每年一次，无组织废气监测频次最低为每年一次。</w:t>
            </w:r>
          </w:p>
          <w:p w14:paraId="533947A3">
            <w:pPr>
              <w:jc w:val="center"/>
              <w:rPr>
                <w:rFonts w:ascii="Times New Roman" w:hAnsi="Times New Roman" w:eastAsia="宋体" w:cs="Times New Roman"/>
                <w:b/>
                <w:color w:val="auto"/>
              </w:rPr>
            </w:pPr>
            <w:r>
              <w:rPr>
                <w:rFonts w:ascii="Times New Roman" w:hAnsi="Times New Roman" w:eastAsia="宋体" w:cs="Times New Roman"/>
                <w:b/>
                <w:color w:val="auto"/>
              </w:rPr>
              <w:t>表</w:t>
            </w:r>
            <w:r>
              <w:rPr>
                <w:rFonts w:hint="eastAsia" w:ascii="Times New Roman" w:hAnsi="Times New Roman" w:eastAsia="宋体" w:cs="Times New Roman"/>
                <w:b/>
                <w:color w:val="auto"/>
              </w:rPr>
              <w:t>4-</w:t>
            </w:r>
            <w:r>
              <w:rPr>
                <w:rFonts w:hint="eastAsia" w:cs="Times New Roman"/>
                <w:b/>
                <w:color w:val="auto"/>
                <w:lang w:val="en-US" w:eastAsia="zh-CN"/>
              </w:rPr>
              <w:t>5</w:t>
            </w:r>
            <w:r>
              <w:rPr>
                <w:rFonts w:ascii="Times New Roman" w:hAnsi="Times New Roman" w:eastAsia="宋体" w:cs="Times New Roman"/>
                <w:b/>
                <w:color w:val="auto"/>
              </w:rPr>
              <w:t xml:space="preserve">  大气监测方案</w:t>
            </w:r>
          </w:p>
          <w:tbl>
            <w:tblPr>
              <w:tblStyle w:val="30"/>
              <w:tblW w:w="48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427"/>
              <w:gridCol w:w="1427"/>
              <w:gridCol w:w="1359"/>
              <w:gridCol w:w="2498"/>
            </w:tblGrid>
            <w:tr w14:paraId="2675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000" w:type="pct"/>
                  <w:gridSpan w:val="5"/>
                  <w:vAlign w:val="center"/>
                </w:tcPr>
                <w:p w14:paraId="12D6F435">
                  <w:pPr>
                    <w:spacing w:line="280" w:lineRule="exact"/>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有组织废气监测方案</w:t>
                  </w:r>
                </w:p>
              </w:tc>
            </w:tr>
            <w:tr w14:paraId="2B87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30" w:type="pct"/>
                  <w:vAlign w:val="center"/>
                </w:tcPr>
                <w:p w14:paraId="33539AF4">
                  <w:pPr>
                    <w:spacing w:line="280" w:lineRule="exact"/>
                    <w:jc w:val="center"/>
                    <w:rPr>
                      <w:rFonts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排污单位类型</w:t>
                  </w:r>
                </w:p>
              </w:tc>
              <w:tc>
                <w:tcPr>
                  <w:tcW w:w="929" w:type="pct"/>
                  <w:vAlign w:val="center"/>
                </w:tcPr>
                <w:p w14:paraId="2D7FE371">
                  <w:pPr>
                    <w:spacing w:line="280" w:lineRule="exact"/>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监测点位置</w:t>
                  </w:r>
                </w:p>
              </w:tc>
              <w:tc>
                <w:tcPr>
                  <w:tcW w:w="929" w:type="pct"/>
                  <w:vAlign w:val="center"/>
                </w:tcPr>
                <w:p w14:paraId="67C92B97">
                  <w:pPr>
                    <w:spacing w:line="280" w:lineRule="exact"/>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监测指标</w:t>
                  </w:r>
                </w:p>
              </w:tc>
              <w:tc>
                <w:tcPr>
                  <w:tcW w:w="884" w:type="pct"/>
                  <w:vAlign w:val="center"/>
                </w:tcPr>
                <w:p w14:paraId="04CA8000">
                  <w:pPr>
                    <w:spacing w:line="280" w:lineRule="exact"/>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监测频次</w:t>
                  </w:r>
                </w:p>
              </w:tc>
              <w:tc>
                <w:tcPr>
                  <w:tcW w:w="1626" w:type="pct"/>
                  <w:vAlign w:val="center"/>
                </w:tcPr>
                <w:p w14:paraId="7AD0666B">
                  <w:pPr>
                    <w:spacing w:line="280" w:lineRule="exact"/>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执行标准</w:t>
                  </w:r>
                </w:p>
              </w:tc>
            </w:tr>
            <w:tr w14:paraId="78C6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630" w:type="pct"/>
                  <w:vAlign w:val="center"/>
                </w:tcPr>
                <w:p w14:paraId="37F28A6E">
                  <w:pPr>
                    <w:spacing w:line="280" w:lineRule="exact"/>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有组织</w:t>
                  </w:r>
                </w:p>
              </w:tc>
              <w:tc>
                <w:tcPr>
                  <w:tcW w:w="929" w:type="pct"/>
                  <w:vAlign w:val="center"/>
                </w:tcPr>
                <w:p w14:paraId="3DC2C19E">
                  <w:pPr>
                    <w:spacing w:line="280" w:lineRule="exact"/>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rPr>
                    <w:t>DA00</w:t>
                  </w:r>
                  <w:r>
                    <w:rPr>
                      <w:rFonts w:hint="eastAsia" w:cs="Times New Roman"/>
                      <w:color w:val="auto"/>
                      <w:kern w:val="0"/>
                      <w:sz w:val="21"/>
                      <w:szCs w:val="21"/>
                      <w:lang w:val="en-US" w:eastAsia="zh-CN"/>
                    </w:rPr>
                    <w:t>1</w:t>
                  </w:r>
                </w:p>
              </w:tc>
              <w:tc>
                <w:tcPr>
                  <w:tcW w:w="929" w:type="pct"/>
                  <w:vAlign w:val="center"/>
                </w:tcPr>
                <w:p w14:paraId="2C217967">
                  <w:pPr>
                    <w:spacing w:line="280" w:lineRule="exact"/>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颗粒物</w:t>
                  </w:r>
                </w:p>
              </w:tc>
              <w:tc>
                <w:tcPr>
                  <w:tcW w:w="884" w:type="pct"/>
                  <w:vAlign w:val="center"/>
                </w:tcPr>
                <w:p w14:paraId="3E138D66">
                  <w:pPr>
                    <w:spacing w:line="280" w:lineRule="exact"/>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每年</w:t>
                  </w:r>
                  <w:r>
                    <w:rPr>
                      <w:rFonts w:ascii="Times New Roman" w:hAnsi="Times New Roman" w:eastAsia="宋体" w:cs="Times New Roman"/>
                      <w:color w:val="auto"/>
                      <w:kern w:val="0"/>
                      <w:sz w:val="21"/>
                      <w:szCs w:val="21"/>
                    </w:rPr>
                    <w:t>一次</w:t>
                  </w:r>
                </w:p>
              </w:tc>
              <w:tc>
                <w:tcPr>
                  <w:tcW w:w="1626" w:type="pct"/>
                  <w:vAlign w:val="center"/>
                </w:tcPr>
                <w:p w14:paraId="5FD145AA">
                  <w:pPr>
                    <w:spacing w:line="280" w:lineRule="exact"/>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《木材加工行业大气污染物排放标准》（DB34/4810-2024）</w:t>
                  </w:r>
                </w:p>
              </w:tc>
            </w:tr>
            <w:tr w14:paraId="621C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5000" w:type="pct"/>
                  <w:gridSpan w:val="5"/>
                  <w:vAlign w:val="center"/>
                </w:tcPr>
                <w:p w14:paraId="3481BA17">
                  <w:pPr>
                    <w:spacing w:line="280" w:lineRule="exact"/>
                    <w:jc w:val="center"/>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无组织废气监测计划表</w:t>
                  </w:r>
                </w:p>
              </w:tc>
            </w:tr>
            <w:tr w14:paraId="75DA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jc w:val="center"/>
              </w:trPr>
              <w:tc>
                <w:tcPr>
                  <w:tcW w:w="630" w:type="pct"/>
                  <w:vAlign w:val="center"/>
                </w:tcPr>
                <w:p w14:paraId="1BE1ACE7">
                  <w:pPr>
                    <w:spacing w:line="280" w:lineRule="exact"/>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无组织</w:t>
                  </w:r>
                </w:p>
              </w:tc>
              <w:tc>
                <w:tcPr>
                  <w:tcW w:w="929" w:type="pct"/>
                  <w:vAlign w:val="center"/>
                </w:tcPr>
                <w:p w14:paraId="4A89460B">
                  <w:pPr>
                    <w:spacing w:line="28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监测点位设置按照HJT55的规定执行</w:t>
                  </w:r>
                </w:p>
              </w:tc>
              <w:tc>
                <w:tcPr>
                  <w:tcW w:w="929" w:type="pct"/>
                  <w:vAlign w:val="center"/>
                </w:tcPr>
                <w:p w14:paraId="26E37506">
                  <w:pPr>
                    <w:spacing w:line="280" w:lineRule="exact"/>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颗粒物</w:t>
                  </w:r>
                </w:p>
              </w:tc>
              <w:tc>
                <w:tcPr>
                  <w:tcW w:w="884" w:type="pct"/>
                  <w:vAlign w:val="center"/>
                </w:tcPr>
                <w:p w14:paraId="190C2119">
                  <w:pPr>
                    <w:spacing w:line="280" w:lineRule="exact"/>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每年</w:t>
                  </w:r>
                  <w:r>
                    <w:rPr>
                      <w:rFonts w:ascii="Times New Roman" w:hAnsi="Times New Roman" w:eastAsia="宋体" w:cs="Times New Roman"/>
                      <w:color w:val="auto"/>
                      <w:kern w:val="0"/>
                      <w:sz w:val="21"/>
                      <w:szCs w:val="21"/>
                    </w:rPr>
                    <w:t>一次</w:t>
                  </w:r>
                </w:p>
              </w:tc>
              <w:tc>
                <w:tcPr>
                  <w:tcW w:w="1626" w:type="pct"/>
                  <w:vAlign w:val="center"/>
                </w:tcPr>
                <w:p w14:paraId="29B71D35">
                  <w:pPr>
                    <w:spacing w:line="280" w:lineRule="exact"/>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《木材加工行业大气污染物排放标准》（DB34/4810-2024）</w:t>
                  </w:r>
                </w:p>
              </w:tc>
            </w:tr>
          </w:tbl>
          <w:p w14:paraId="156FD256">
            <w:pPr>
              <w:adjustRightInd w:val="0"/>
              <w:snapToGrid w:val="0"/>
              <w:spacing w:before="120" w:beforeLines="50" w:line="360" w:lineRule="auto"/>
              <w:rPr>
                <w:color w:val="auto"/>
              </w:rPr>
            </w:pPr>
            <w:r>
              <w:rPr>
                <w:b/>
                <w:color w:val="auto"/>
              </w:rPr>
              <w:t>2、废水</w:t>
            </w:r>
          </w:p>
          <w:p w14:paraId="4D7FD26E">
            <w:pPr>
              <w:spacing w:line="360" w:lineRule="auto"/>
              <w:ind w:firstLine="480" w:firstLineChars="200"/>
              <w:rPr>
                <w:color w:val="auto"/>
              </w:rPr>
            </w:pPr>
            <w:r>
              <w:rPr>
                <w:rFonts w:hint="eastAsia"/>
                <w:color w:val="auto"/>
              </w:rPr>
              <w:t>该项目为</w:t>
            </w:r>
            <w:r>
              <w:rPr>
                <w:rFonts w:hint="eastAsia" w:ascii="Times New Roman" w:eastAsia="宋体"/>
                <w:color w:val="auto"/>
                <w:lang w:val="en-US" w:eastAsia="zh-CN"/>
              </w:rPr>
              <w:t>新建</w:t>
            </w:r>
            <w:r>
              <w:rPr>
                <w:color w:val="auto"/>
              </w:rPr>
              <w:t>项目</w:t>
            </w:r>
            <w:r>
              <w:rPr>
                <w:rFonts w:hint="eastAsia"/>
                <w:color w:val="auto"/>
              </w:rPr>
              <w:t>，</w:t>
            </w:r>
            <w:r>
              <w:rPr>
                <w:color w:val="auto"/>
              </w:rPr>
              <w:t>用水主要是职工生活</w:t>
            </w:r>
            <w:r>
              <w:rPr>
                <w:rFonts w:hint="eastAsia"/>
                <w:color w:val="auto"/>
              </w:rPr>
              <w:t>用水</w:t>
            </w:r>
            <w:r>
              <w:rPr>
                <w:rFonts w:hint="eastAsia" w:ascii="Times New Roman" w:eastAsia="宋体"/>
                <w:color w:val="auto"/>
                <w:lang w:val="en-US" w:eastAsia="zh-CN"/>
              </w:rPr>
              <w:t>和喷淋用水</w:t>
            </w:r>
            <w:r>
              <w:rPr>
                <w:rFonts w:hint="eastAsia"/>
                <w:color w:val="auto"/>
                <w:lang w:val="en-US" w:eastAsia="zh-CN"/>
              </w:rPr>
              <w:t>，产生废水为生活污水</w:t>
            </w:r>
            <w:r>
              <w:rPr>
                <w:rFonts w:hint="eastAsia"/>
                <w:color w:val="auto"/>
              </w:rPr>
              <w:t>。</w:t>
            </w:r>
          </w:p>
          <w:p w14:paraId="44AE5119">
            <w:pPr>
              <w:widowControl/>
              <w:spacing w:line="360" w:lineRule="auto"/>
              <w:ind w:firstLine="480" w:firstLineChars="200"/>
              <w:jc w:val="left"/>
              <w:rPr>
                <w:rFonts w:hint="eastAsia"/>
                <w:color w:val="auto"/>
                <w:kern w:val="0"/>
                <w:lang w:eastAsia="zh-CN"/>
              </w:rPr>
            </w:pPr>
            <w:r>
              <w:rPr>
                <w:rFonts w:hint="eastAsia" w:ascii="Times New Roman" w:eastAsia="宋体"/>
                <w:color w:val="auto"/>
                <w:kern w:val="0"/>
                <w:lang w:val="en-US" w:eastAsia="zh-CN"/>
              </w:rPr>
              <w:t>生活用水：</w:t>
            </w:r>
            <w:r>
              <w:rPr>
                <w:color w:val="auto"/>
                <w:kern w:val="0"/>
              </w:rPr>
              <w:t>项目</w:t>
            </w:r>
            <w:r>
              <w:rPr>
                <w:rFonts w:hint="eastAsia"/>
                <w:color w:val="auto"/>
                <w:kern w:val="0"/>
              </w:rPr>
              <w:t>新增</w:t>
            </w:r>
            <w:r>
              <w:rPr>
                <w:color w:val="auto"/>
                <w:kern w:val="0"/>
              </w:rPr>
              <w:t>劳动定员</w:t>
            </w:r>
            <w:r>
              <w:rPr>
                <w:rFonts w:hint="eastAsia" w:ascii="Times New Roman" w:eastAsia="宋体"/>
                <w:color w:val="auto"/>
                <w:kern w:val="0"/>
                <w:lang w:val="en-US" w:eastAsia="zh-CN"/>
              </w:rPr>
              <w:t>80</w:t>
            </w:r>
            <w:r>
              <w:rPr>
                <w:color w:val="auto"/>
                <w:kern w:val="0"/>
              </w:rPr>
              <w:t>人</w:t>
            </w:r>
            <w:r>
              <w:rPr>
                <w:rFonts w:hint="eastAsia"/>
                <w:color w:val="auto"/>
                <w:kern w:val="0"/>
              </w:rPr>
              <w:t>，</w:t>
            </w:r>
            <w:r>
              <w:rPr>
                <w:rFonts w:hint="eastAsia" w:ascii="Times New Roman" w:eastAsia="宋体"/>
                <w:color w:val="auto"/>
                <w:kern w:val="0"/>
                <w:lang w:val="en-US" w:eastAsia="zh-CN"/>
              </w:rPr>
              <w:t>1</w:t>
            </w:r>
            <w:r>
              <w:rPr>
                <w:rFonts w:hint="eastAsia"/>
                <w:color w:val="auto"/>
                <w:kern w:val="0"/>
              </w:rPr>
              <w:t>班制，每班8小时，</w:t>
            </w:r>
            <w:r>
              <w:rPr>
                <w:rFonts w:hint="eastAsia" w:ascii="Times New Roman" w:eastAsia="宋体"/>
                <w:color w:val="auto"/>
                <w:kern w:val="0"/>
                <w:lang w:val="en-US" w:eastAsia="zh-CN"/>
              </w:rPr>
              <w:t>不</w:t>
            </w:r>
            <w:r>
              <w:rPr>
                <w:rFonts w:hint="eastAsia"/>
                <w:color w:val="auto"/>
                <w:kern w:val="0"/>
              </w:rPr>
              <w:t>提供食宿，年工作天数</w:t>
            </w:r>
            <w:r>
              <w:rPr>
                <w:rFonts w:hint="eastAsia" w:ascii="Times New Roman" w:eastAsia="宋体"/>
                <w:color w:val="auto"/>
                <w:kern w:val="0"/>
                <w:lang w:val="en-US" w:eastAsia="zh-CN"/>
              </w:rPr>
              <w:t>300</w:t>
            </w:r>
            <w:r>
              <w:rPr>
                <w:rFonts w:hint="eastAsia"/>
                <w:color w:val="auto"/>
                <w:kern w:val="0"/>
              </w:rPr>
              <w:t>天，根据《</w:t>
            </w:r>
            <w:r>
              <w:rPr>
                <w:rFonts w:hint="eastAsia" w:ascii="Times New Roman" w:eastAsia="宋体"/>
                <w:color w:val="auto"/>
                <w:kern w:val="0"/>
                <w:lang w:val="en-US" w:eastAsia="zh-CN"/>
              </w:rPr>
              <w:t>宿州市城市</w:t>
            </w:r>
            <w:r>
              <w:rPr>
                <w:rFonts w:hint="eastAsia"/>
                <w:color w:val="auto"/>
                <w:kern w:val="0"/>
              </w:rPr>
              <w:t>行业用水定额》（DB34</w:t>
            </w:r>
            <w:r>
              <w:rPr>
                <w:rFonts w:hint="eastAsia" w:ascii="Times New Roman" w:eastAsia="宋体"/>
                <w:color w:val="auto"/>
                <w:kern w:val="0"/>
                <w:lang w:val="en-US" w:eastAsia="zh-CN"/>
              </w:rPr>
              <w:t>13</w:t>
            </w:r>
            <w:r>
              <w:rPr>
                <w:rFonts w:hint="eastAsia"/>
                <w:color w:val="auto"/>
                <w:kern w:val="0"/>
              </w:rPr>
              <w:t xml:space="preserve">/T </w:t>
            </w:r>
            <w:r>
              <w:rPr>
                <w:rFonts w:hint="eastAsia" w:ascii="Times New Roman" w:eastAsia="宋体"/>
                <w:color w:val="auto"/>
                <w:kern w:val="0"/>
                <w:lang w:val="en-US" w:eastAsia="zh-CN"/>
              </w:rPr>
              <w:t>0001</w:t>
            </w:r>
            <w:r>
              <w:rPr>
                <w:rFonts w:hint="eastAsia"/>
                <w:color w:val="auto"/>
                <w:kern w:val="0"/>
              </w:rPr>
              <w:t>-20</w:t>
            </w:r>
            <w:r>
              <w:rPr>
                <w:rFonts w:hint="eastAsia" w:ascii="Times New Roman" w:eastAsia="宋体"/>
                <w:color w:val="auto"/>
                <w:kern w:val="0"/>
                <w:lang w:val="en-US" w:eastAsia="zh-CN"/>
              </w:rPr>
              <w:t>20</w:t>
            </w:r>
            <w:r>
              <w:rPr>
                <w:rFonts w:hint="eastAsia"/>
                <w:color w:val="auto"/>
                <w:kern w:val="0"/>
              </w:rPr>
              <w:t>），项目人均用水量按</w:t>
            </w:r>
            <w:r>
              <w:rPr>
                <w:rFonts w:hint="eastAsia" w:ascii="Times New Roman" w:eastAsia="宋体"/>
                <w:color w:val="auto"/>
                <w:kern w:val="0"/>
                <w:lang w:val="en-US" w:eastAsia="zh-CN"/>
              </w:rPr>
              <w:t>70</w:t>
            </w:r>
            <w:r>
              <w:rPr>
                <w:rFonts w:hint="eastAsia"/>
                <w:color w:val="auto"/>
                <w:kern w:val="0"/>
              </w:rPr>
              <w:t>L/d计，则用水量为</w:t>
            </w:r>
            <w:r>
              <w:rPr>
                <w:rFonts w:hint="eastAsia" w:ascii="Times New Roman" w:eastAsia="宋体"/>
                <w:color w:val="auto"/>
                <w:kern w:val="0"/>
                <w:lang w:val="en-US" w:eastAsia="zh-CN"/>
              </w:rPr>
              <w:t>5.6</w:t>
            </w:r>
            <w:r>
              <w:rPr>
                <w:rFonts w:hint="eastAsia"/>
                <w:color w:val="auto"/>
                <w:kern w:val="0"/>
              </w:rPr>
              <w:t>t/d，</w:t>
            </w:r>
            <w:r>
              <w:rPr>
                <w:rFonts w:hint="eastAsia" w:ascii="Times New Roman" w:eastAsia="宋体"/>
                <w:color w:val="auto"/>
                <w:kern w:val="0"/>
                <w:lang w:val="en-US" w:eastAsia="zh-CN"/>
              </w:rPr>
              <w:t>1680</w:t>
            </w:r>
            <w:r>
              <w:rPr>
                <w:rFonts w:hint="eastAsia"/>
                <w:color w:val="auto"/>
                <w:kern w:val="0"/>
              </w:rPr>
              <w:t>t/a，废水产生系数取0.8，则废水产生量为</w:t>
            </w:r>
            <w:r>
              <w:rPr>
                <w:rFonts w:hint="eastAsia" w:ascii="Times New Roman" w:eastAsia="宋体"/>
                <w:color w:val="auto"/>
                <w:kern w:val="0"/>
                <w:lang w:val="en-US" w:eastAsia="zh-CN"/>
              </w:rPr>
              <w:t>4.48</w:t>
            </w:r>
            <w:r>
              <w:rPr>
                <w:rFonts w:hint="eastAsia"/>
                <w:color w:val="auto"/>
                <w:kern w:val="0"/>
              </w:rPr>
              <w:t>t/d，</w:t>
            </w:r>
            <w:r>
              <w:rPr>
                <w:rFonts w:hint="eastAsia" w:ascii="Times New Roman" w:eastAsia="宋体"/>
                <w:color w:val="auto"/>
                <w:kern w:val="0"/>
                <w:lang w:val="en-US" w:eastAsia="zh-CN"/>
              </w:rPr>
              <w:t>1344</w:t>
            </w:r>
            <w:r>
              <w:rPr>
                <w:rFonts w:hint="eastAsia"/>
                <w:color w:val="auto"/>
                <w:kern w:val="0"/>
              </w:rPr>
              <w:t>t/a</w:t>
            </w:r>
            <w:r>
              <w:rPr>
                <w:rFonts w:hint="eastAsia" w:eastAsia="宋体"/>
                <w:color w:val="auto"/>
                <w:kern w:val="0"/>
                <w:lang w:eastAsia="zh-CN"/>
              </w:rPr>
              <w:t>。</w:t>
            </w:r>
          </w:p>
          <w:p w14:paraId="4A91218D">
            <w:pPr>
              <w:widowControl/>
              <w:spacing w:line="360" w:lineRule="auto"/>
              <w:ind w:firstLine="480" w:firstLineChars="200"/>
              <w:jc w:val="left"/>
              <w:rPr>
                <w:color w:val="auto"/>
                <w:kern w:val="0"/>
              </w:rPr>
            </w:pPr>
            <w:r>
              <w:rPr>
                <w:rFonts w:hint="eastAsia" w:ascii="Times New Roman" w:eastAsia="宋体"/>
                <w:color w:val="auto"/>
                <w:kern w:val="0"/>
                <w:lang w:val="en-US" w:eastAsia="zh-CN"/>
              </w:rPr>
              <w:t>喷淋用水：项目刨光工序共有两道，分为一刨和二刨，项目进行一刨工序采用水喷淋湿法作业，消耗水量为0.1</w:t>
            </w:r>
            <w:r>
              <w:rPr>
                <w:rFonts w:hint="eastAsia"/>
                <w:color w:val="auto"/>
                <w:kern w:val="0"/>
              </w:rPr>
              <w:t>t/d，</w:t>
            </w:r>
            <w:r>
              <w:rPr>
                <w:rFonts w:hint="eastAsia" w:ascii="Times New Roman" w:eastAsia="宋体"/>
                <w:color w:val="auto"/>
                <w:kern w:val="0"/>
                <w:lang w:val="en-US" w:eastAsia="zh-CN"/>
              </w:rPr>
              <w:t>30</w:t>
            </w:r>
            <w:r>
              <w:rPr>
                <w:rFonts w:hint="eastAsia"/>
                <w:color w:val="auto"/>
                <w:kern w:val="0"/>
              </w:rPr>
              <w:t>t/a</w:t>
            </w:r>
            <w:r>
              <w:rPr>
                <w:rFonts w:hint="eastAsia" w:eastAsia="宋体"/>
                <w:color w:val="auto"/>
                <w:kern w:val="0"/>
                <w:lang w:eastAsia="zh-CN"/>
              </w:rPr>
              <w:t>，</w:t>
            </w:r>
            <w:r>
              <w:rPr>
                <w:rFonts w:hint="eastAsia" w:ascii="Times New Roman" w:eastAsia="宋体"/>
                <w:color w:val="auto"/>
                <w:kern w:val="0"/>
                <w:lang w:val="en-US" w:eastAsia="zh-CN"/>
              </w:rPr>
              <w:t>项目湿法作业时喷淋少量水，仅喷淋表面不会有废水产生</w:t>
            </w:r>
            <w:r>
              <w:rPr>
                <w:rFonts w:hint="eastAsia"/>
                <w:color w:val="auto"/>
                <w:kern w:val="0"/>
              </w:rPr>
              <w:t>。</w:t>
            </w:r>
            <w:r>
              <w:rPr>
                <w:rFonts w:hint="eastAsia" w:ascii="Times New Roman" w:hAnsi="Times New Roman"/>
                <w:sz w:val="24"/>
                <w:szCs w:val="24"/>
              </w:rPr>
              <w:t>（本项目</w:t>
            </w:r>
            <w:r>
              <w:rPr>
                <w:rFonts w:hint="eastAsia" w:ascii="Times New Roman" w:hAnsi="Times New Roman"/>
                <w:sz w:val="24"/>
                <w:szCs w:val="24"/>
                <w:lang w:val="en-US" w:eastAsia="zh-CN"/>
              </w:rPr>
              <w:t>喷淋</w:t>
            </w:r>
            <w:r>
              <w:rPr>
                <w:rFonts w:hint="eastAsia" w:ascii="Times New Roman" w:hAnsi="Times New Roman"/>
                <w:sz w:val="24"/>
                <w:szCs w:val="24"/>
              </w:rPr>
              <w:t>用水使用普通自来水即可）</w:t>
            </w:r>
          </w:p>
          <w:p w14:paraId="05B46909">
            <w:pPr>
              <w:spacing w:line="360" w:lineRule="auto"/>
              <w:jc w:val="center"/>
              <w:rPr>
                <w:color w:val="auto"/>
              </w:rPr>
            </w:pPr>
            <w:r>
              <w:drawing>
                <wp:inline distT="0" distB="0" distL="114300" distR="114300">
                  <wp:extent cx="5040630" cy="2018030"/>
                  <wp:effectExtent l="0" t="0" r="31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040630" cy="2018030"/>
                          </a:xfrm>
                          <a:prstGeom prst="rect">
                            <a:avLst/>
                          </a:prstGeom>
                          <a:noFill/>
                          <a:ln>
                            <a:noFill/>
                          </a:ln>
                        </pic:spPr>
                      </pic:pic>
                    </a:graphicData>
                  </a:graphic>
                </wp:inline>
              </w:drawing>
            </w:r>
          </w:p>
          <w:p w14:paraId="10FD4534">
            <w:pPr>
              <w:jc w:val="center"/>
              <w:rPr>
                <w:b/>
                <w:bCs/>
                <w:color w:val="auto"/>
              </w:rPr>
            </w:pPr>
            <w:r>
              <w:rPr>
                <w:rFonts w:hint="eastAsia"/>
                <w:b/>
                <w:bCs/>
                <w:color w:val="auto"/>
              </w:rPr>
              <w:t>图</w:t>
            </w:r>
            <w:r>
              <w:rPr>
                <w:rFonts w:hint="eastAsia"/>
                <w:b/>
                <w:bCs/>
                <w:color w:val="auto"/>
                <w:lang w:val="en-US" w:eastAsia="zh-CN"/>
              </w:rPr>
              <w:t>4</w:t>
            </w:r>
            <w:r>
              <w:rPr>
                <w:rFonts w:hint="eastAsia"/>
                <w:b/>
                <w:bCs/>
                <w:color w:val="auto"/>
              </w:rPr>
              <w:t xml:space="preserve">-1 项目水平衡图  </w:t>
            </w:r>
            <w:r>
              <w:rPr>
                <w:rFonts w:hint="eastAsia" w:ascii="Times New Roman" w:eastAsia="宋体"/>
                <w:b/>
                <w:bCs/>
                <w:color w:val="auto"/>
                <w:lang w:val="en-US" w:eastAsia="zh-CN"/>
              </w:rPr>
              <w:t>m</w:t>
            </w:r>
            <w:r>
              <w:rPr>
                <w:rFonts w:hint="eastAsia" w:ascii="Times New Roman" w:eastAsia="宋体"/>
                <w:b/>
                <w:bCs/>
                <w:color w:val="auto"/>
                <w:vertAlign w:val="superscript"/>
                <w:lang w:val="en-US" w:eastAsia="zh-CN"/>
              </w:rPr>
              <w:t>3</w:t>
            </w:r>
            <w:r>
              <w:rPr>
                <w:rFonts w:hint="eastAsia"/>
                <w:b/>
                <w:bCs/>
                <w:color w:val="auto"/>
              </w:rPr>
              <w:t>/d</w:t>
            </w:r>
          </w:p>
          <w:p w14:paraId="72C2B2DC">
            <w:pPr>
              <w:pStyle w:val="6"/>
              <w:numPr>
                <w:ilvl w:val="2"/>
                <w:numId w:val="0"/>
              </w:numPr>
              <w:adjustRightInd w:val="0"/>
              <w:snapToGrid w:val="0"/>
              <w:spacing w:before="0" w:after="0" w:line="360" w:lineRule="auto"/>
              <w:jc w:val="center"/>
              <w:rPr>
                <w:color w:val="auto"/>
                <w:sz w:val="24"/>
              </w:rPr>
            </w:pPr>
            <w:r>
              <w:rPr>
                <w:color w:val="auto"/>
                <w:sz w:val="24"/>
              </w:rPr>
              <w:t>表4</w:t>
            </w:r>
            <w:r>
              <w:rPr>
                <w:rFonts w:hint="eastAsia"/>
                <w:color w:val="auto"/>
                <w:sz w:val="24"/>
              </w:rPr>
              <w:t>-</w:t>
            </w:r>
            <w:r>
              <w:rPr>
                <w:rFonts w:hint="eastAsia"/>
                <w:color w:val="auto"/>
                <w:sz w:val="24"/>
                <w:lang w:val="en-US" w:eastAsia="zh-CN"/>
              </w:rPr>
              <w:t>6</w:t>
            </w:r>
            <w:r>
              <w:rPr>
                <w:color w:val="auto"/>
                <w:sz w:val="24"/>
              </w:rPr>
              <w:t xml:space="preserve"> </w:t>
            </w:r>
            <w:r>
              <w:rPr>
                <w:rFonts w:hint="eastAsia"/>
                <w:color w:val="auto"/>
                <w:sz w:val="24"/>
              </w:rPr>
              <w:t xml:space="preserve"> </w:t>
            </w:r>
            <w:r>
              <w:rPr>
                <w:color w:val="auto"/>
                <w:sz w:val="24"/>
              </w:rPr>
              <w:t>废水类别、污染物种类、排放方式及污染治理设施一览表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620"/>
              <w:gridCol w:w="975"/>
              <w:gridCol w:w="720"/>
              <w:gridCol w:w="945"/>
              <w:gridCol w:w="765"/>
              <w:gridCol w:w="883"/>
              <w:gridCol w:w="958"/>
            </w:tblGrid>
            <w:tr w14:paraId="539A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8" w:type="dxa"/>
                  <w:vMerge w:val="restart"/>
                  <w:vAlign w:val="center"/>
                </w:tcPr>
                <w:p w14:paraId="73DA2AF9">
                  <w:pPr>
                    <w:jc w:val="center"/>
                    <w:rPr>
                      <w:b/>
                      <w:bCs/>
                      <w:color w:val="auto"/>
                      <w:sz w:val="21"/>
                      <w:szCs w:val="21"/>
                    </w:rPr>
                  </w:pPr>
                  <w:r>
                    <w:rPr>
                      <w:b/>
                      <w:bCs/>
                      <w:color w:val="auto"/>
                      <w:sz w:val="21"/>
                      <w:szCs w:val="21"/>
                    </w:rPr>
                    <w:t>废水类别</w:t>
                  </w:r>
                </w:p>
              </w:tc>
              <w:tc>
                <w:tcPr>
                  <w:tcW w:w="1620" w:type="dxa"/>
                  <w:vMerge w:val="restart"/>
                  <w:vAlign w:val="center"/>
                </w:tcPr>
                <w:p w14:paraId="7A2E9B7D">
                  <w:pPr>
                    <w:jc w:val="center"/>
                    <w:rPr>
                      <w:b/>
                      <w:bCs/>
                      <w:color w:val="auto"/>
                      <w:sz w:val="21"/>
                      <w:szCs w:val="21"/>
                    </w:rPr>
                  </w:pPr>
                  <w:r>
                    <w:rPr>
                      <w:b/>
                      <w:bCs/>
                      <w:color w:val="auto"/>
                      <w:sz w:val="21"/>
                      <w:szCs w:val="21"/>
                    </w:rPr>
                    <w:t>污染物种类</w:t>
                  </w:r>
                </w:p>
              </w:tc>
              <w:tc>
                <w:tcPr>
                  <w:tcW w:w="1695" w:type="dxa"/>
                  <w:gridSpan w:val="2"/>
                  <w:vAlign w:val="center"/>
                </w:tcPr>
                <w:p w14:paraId="5ADC7BDA">
                  <w:pPr>
                    <w:jc w:val="center"/>
                    <w:rPr>
                      <w:b/>
                      <w:bCs/>
                      <w:color w:val="auto"/>
                      <w:sz w:val="21"/>
                      <w:szCs w:val="21"/>
                    </w:rPr>
                  </w:pPr>
                  <w:r>
                    <w:rPr>
                      <w:b/>
                      <w:bCs/>
                      <w:color w:val="auto"/>
                      <w:sz w:val="21"/>
                      <w:szCs w:val="21"/>
                    </w:rPr>
                    <w:t>污染治理设施</w:t>
                  </w:r>
                </w:p>
              </w:tc>
              <w:tc>
                <w:tcPr>
                  <w:tcW w:w="945" w:type="dxa"/>
                  <w:vMerge w:val="restart"/>
                  <w:vAlign w:val="center"/>
                </w:tcPr>
                <w:p w14:paraId="4CEE12BA">
                  <w:pPr>
                    <w:jc w:val="center"/>
                    <w:rPr>
                      <w:b/>
                      <w:bCs/>
                      <w:color w:val="auto"/>
                      <w:sz w:val="21"/>
                      <w:szCs w:val="21"/>
                    </w:rPr>
                  </w:pPr>
                  <w:r>
                    <w:rPr>
                      <w:b/>
                      <w:bCs/>
                      <w:color w:val="auto"/>
                      <w:sz w:val="21"/>
                      <w:szCs w:val="21"/>
                    </w:rPr>
                    <w:t>排放去向</w:t>
                  </w:r>
                </w:p>
              </w:tc>
              <w:tc>
                <w:tcPr>
                  <w:tcW w:w="765" w:type="dxa"/>
                  <w:vMerge w:val="restart"/>
                  <w:vAlign w:val="center"/>
                </w:tcPr>
                <w:p w14:paraId="2DB0F217">
                  <w:pPr>
                    <w:jc w:val="center"/>
                    <w:rPr>
                      <w:b/>
                      <w:bCs/>
                      <w:color w:val="auto"/>
                      <w:sz w:val="21"/>
                      <w:szCs w:val="21"/>
                    </w:rPr>
                  </w:pPr>
                  <w:r>
                    <w:rPr>
                      <w:b/>
                      <w:bCs/>
                      <w:color w:val="auto"/>
                      <w:sz w:val="21"/>
                      <w:szCs w:val="21"/>
                    </w:rPr>
                    <w:t>排放方式</w:t>
                  </w:r>
                </w:p>
              </w:tc>
              <w:tc>
                <w:tcPr>
                  <w:tcW w:w="883" w:type="dxa"/>
                  <w:vMerge w:val="restart"/>
                  <w:vAlign w:val="center"/>
                </w:tcPr>
                <w:p w14:paraId="3D503584">
                  <w:pPr>
                    <w:jc w:val="center"/>
                    <w:rPr>
                      <w:b/>
                      <w:bCs/>
                      <w:color w:val="auto"/>
                      <w:sz w:val="21"/>
                      <w:szCs w:val="21"/>
                    </w:rPr>
                  </w:pPr>
                  <w:r>
                    <w:rPr>
                      <w:b/>
                      <w:bCs/>
                      <w:color w:val="auto"/>
                      <w:sz w:val="21"/>
                      <w:szCs w:val="21"/>
                    </w:rPr>
                    <w:t>排放口编号</w:t>
                  </w:r>
                </w:p>
              </w:tc>
              <w:tc>
                <w:tcPr>
                  <w:tcW w:w="958" w:type="dxa"/>
                  <w:vMerge w:val="restart"/>
                  <w:vAlign w:val="center"/>
                </w:tcPr>
                <w:p w14:paraId="45457CF3">
                  <w:pPr>
                    <w:jc w:val="center"/>
                    <w:rPr>
                      <w:b/>
                      <w:bCs/>
                      <w:color w:val="auto"/>
                      <w:sz w:val="21"/>
                      <w:szCs w:val="21"/>
                    </w:rPr>
                  </w:pPr>
                  <w:r>
                    <w:rPr>
                      <w:b/>
                      <w:bCs/>
                      <w:color w:val="auto"/>
                      <w:sz w:val="21"/>
                      <w:szCs w:val="21"/>
                    </w:rPr>
                    <w:t>排放口类型</w:t>
                  </w:r>
                </w:p>
              </w:tc>
            </w:tr>
            <w:tr w14:paraId="0711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8" w:type="dxa"/>
                  <w:vMerge w:val="continue"/>
                  <w:vAlign w:val="center"/>
                </w:tcPr>
                <w:p w14:paraId="4CE9A83B">
                  <w:pPr>
                    <w:jc w:val="center"/>
                    <w:rPr>
                      <w:color w:val="auto"/>
                      <w:sz w:val="21"/>
                      <w:szCs w:val="21"/>
                    </w:rPr>
                  </w:pPr>
                </w:p>
              </w:tc>
              <w:tc>
                <w:tcPr>
                  <w:tcW w:w="1620" w:type="dxa"/>
                  <w:vMerge w:val="continue"/>
                  <w:vAlign w:val="center"/>
                </w:tcPr>
                <w:p w14:paraId="5E9687B3">
                  <w:pPr>
                    <w:jc w:val="center"/>
                    <w:rPr>
                      <w:color w:val="auto"/>
                      <w:sz w:val="21"/>
                      <w:szCs w:val="21"/>
                    </w:rPr>
                  </w:pPr>
                </w:p>
              </w:tc>
              <w:tc>
                <w:tcPr>
                  <w:tcW w:w="975" w:type="dxa"/>
                  <w:vAlign w:val="center"/>
                </w:tcPr>
                <w:p w14:paraId="18978642">
                  <w:pPr>
                    <w:jc w:val="center"/>
                    <w:rPr>
                      <w:b/>
                      <w:bCs/>
                      <w:color w:val="auto"/>
                      <w:sz w:val="21"/>
                      <w:szCs w:val="21"/>
                    </w:rPr>
                  </w:pPr>
                  <w:r>
                    <w:rPr>
                      <w:b/>
                      <w:bCs/>
                      <w:color w:val="auto"/>
                      <w:sz w:val="21"/>
                      <w:szCs w:val="21"/>
                    </w:rPr>
                    <w:t>治理工艺</w:t>
                  </w:r>
                </w:p>
              </w:tc>
              <w:tc>
                <w:tcPr>
                  <w:tcW w:w="720" w:type="dxa"/>
                  <w:vAlign w:val="center"/>
                </w:tcPr>
                <w:p w14:paraId="645A361D">
                  <w:pPr>
                    <w:jc w:val="center"/>
                    <w:rPr>
                      <w:b/>
                      <w:bCs/>
                      <w:color w:val="auto"/>
                      <w:sz w:val="21"/>
                      <w:szCs w:val="21"/>
                    </w:rPr>
                  </w:pPr>
                  <w:r>
                    <w:rPr>
                      <w:b/>
                      <w:bCs/>
                      <w:color w:val="auto"/>
                      <w:sz w:val="21"/>
                      <w:szCs w:val="21"/>
                    </w:rPr>
                    <w:t>是否可行</w:t>
                  </w:r>
                </w:p>
              </w:tc>
              <w:tc>
                <w:tcPr>
                  <w:tcW w:w="945" w:type="dxa"/>
                  <w:vMerge w:val="continue"/>
                  <w:vAlign w:val="center"/>
                </w:tcPr>
                <w:p w14:paraId="59351F0D">
                  <w:pPr>
                    <w:jc w:val="center"/>
                    <w:rPr>
                      <w:color w:val="auto"/>
                      <w:sz w:val="21"/>
                      <w:szCs w:val="21"/>
                    </w:rPr>
                  </w:pPr>
                </w:p>
              </w:tc>
              <w:tc>
                <w:tcPr>
                  <w:tcW w:w="765" w:type="dxa"/>
                  <w:vMerge w:val="continue"/>
                  <w:vAlign w:val="center"/>
                </w:tcPr>
                <w:p w14:paraId="1D22C351">
                  <w:pPr>
                    <w:jc w:val="center"/>
                    <w:rPr>
                      <w:color w:val="auto"/>
                      <w:sz w:val="21"/>
                      <w:szCs w:val="21"/>
                    </w:rPr>
                  </w:pPr>
                </w:p>
              </w:tc>
              <w:tc>
                <w:tcPr>
                  <w:tcW w:w="883" w:type="dxa"/>
                  <w:vMerge w:val="continue"/>
                  <w:vAlign w:val="center"/>
                </w:tcPr>
                <w:p w14:paraId="00EB4B2E">
                  <w:pPr>
                    <w:jc w:val="center"/>
                    <w:rPr>
                      <w:color w:val="auto"/>
                      <w:sz w:val="21"/>
                      <w:szCs w:val="21"/>
                    </w:rPr>
                  </w:pPr>
                </w:p>
              </w:tc>
              <w:tc>
                <w:tcPr>
                  <w:tcW w:w="958" w:type="dxa"/>
                  <w:vMerge w:val="continue"/>
                  <w:vAlign w:val="center"/>
                </w:tcPr>
                <w:p w14:paraId="25976137">
                  <w:pPr>
                    <w:jc w:val="center"/>
                    <w:rPr>
                      <w:color w:val="auto"/>
                      <w:sz w:val="21"/>
                      <w:szCs w:val="21"/>
                    </w:rPr>
                  </w:pPr>
                </w:p>
              </w:tc>
            </w:tr>
            <w:tr w14:paraId="1469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8" w:type="dxa"/>
                  <w:vAlign w:val="center"/>
                </w:tcPr>
                <w:p w14:paraId="748C3253">
                  <w:pPr>
                    <w:jc w:val="center"/>
                    <w:rPr>
                      <w:color w:val="auto"/>
                      <w:sz w:val="21"/>
                      <w:szCs w:val="21"/>
                    </w:rPr>
                  </w:pPr>
                  <w:r>
                    <w:rPr>
                      <w:color w:val="auto"/>
                      <w:sz w:val="21"/>
                      <w:szCs w:val="21"/>
                    </w:rPr>
                    <w:t>生活污水</w:t>
                  </w:r>
                </w:p>
              </w:tc>
              <w:tc>
                <w:tcPr>
                  <w:tcW w:w="1620" w:type="dxa"/>
                  <w:vAlign w:val="center"/>
                </w:tcPr>
                <w:p w14:paraId="2C0674CD">
                  <w:pPr>
                    <w:jc w:val="center"/>
                    <w:rPr>
                      <w:color w:val="auto"/>
                      <w:sz w:val="21"/>
                      <w:szCs w:val="21"/>
                    </w:rPr>
                  </w:pPr>
                  <w:r>
                    <w:rPr>
                      <w:color w:val="auto"/>
                      <w:sz w:val="21"/>
                      <w:szCs w:val="21"/>
                    </w:rPr>
                    <w:t>pH、COD、BOD</w:t>
                  </w:r>
                  <w:r>
                    <w:rPr>
                      <w:color w:val="auto"/>
                      <w:sz w:val="21"/>
                      <w:szCs w:val="21"/>
                      <w:vertAlign w:val="subscript"/>
                    </w:rPr>
                    <w:t>5</w:t>
                  </w:r>
                  <w:r>
                    <w:rPr>
                      <w:color w:val="auto"/>
                      <w:sz w:val="21"/>
                      <w:szCs w:val="21"/>
                    </w:rPr>
                    <w:t>、SS、</w:t>
                  </w:r>
                  <w:r>
                    <w:rPr>
                      <w:bCs/>
                      <w:snapToGrid w:val="0"/>
                      <w:color w:val="auto"/>
                      <w:kern w:val="0"/>
                      <w:sz w:val="21"/>
                      <w:szCs w:val="21"/>
                    </w:rPr>
                    <w:t>NH</w:t>
                  </w:r>
                  <w:r>
                    <w:rPr>
                      <w:bCs/>
                      <w:snapToGrid w:val="0"/>
                      <w:color w:val="auto"/>
                      <w:kern w:val="0"/>
                      <w:sz w:val="21"/>
                      <w:szCs w:val="21"/>
                      <w:vertAlign w:val="subscript"/>
                    </w:rPr>
                    <w:t>3</w:t>
                  </w:r>
                  <w:r>
                    <w:rPr>
                      <w:bCs/>
                      <w:snapToGrid w:val="0"/>
                      <w:color w:val="auto"/>
                      <w:kern w:val="0"/>
                      <w:sz w:val="21"/>
                      <w:szCs w:val="21"/>
                    </w:rPr>
                    <w:t>-N</w:t>
                  </w:r>
                </w:p>
              </w:tc>
              <w:tc>
                <w:tcPr>
                  <w:tcW w:w="975" w:type="dxa"/>
                  <w:vAlign w:val="center"/>
                </w:tcPr>
                <w:p w14:paraId="794F975E">
                  <w:pPr>
                    <w:jc w:val="center"/>
                    <w:rPr>
                      <w:color w:val="auto"/>
                      <w:sz w:val="21"/>
                      <w:szCs w:val="21"/>
                    </w:rPr>
                  </w:pPr>
                  <w:r>
                    <w:rPr>
                      <w:color w:val="auto"/>
                      <w:sz w:val="21"/>
                      <w:szCs w:val="21"/>
                    </w:rPr>
                    <w:t>化粪池</w:t>
                  </w:r>
                </w:p>
              </w:tc>
              <w:tc>
                <w:tcPr>
                  <w:tcW w:w="720" w:type="dxa"/>
                  <w:vAlign w:val="center"/>
                </w:tcPr>
                <w:p w14:paraId="1CD2BD11">
                  <w:pPr>
                    <w:jc w:val="center"/>
                    <w:rPr>
                      <w:color w:val="auto"/>
                      <w:sz w:val="21"/>
                      <w:szCs w:val="21"/>
                    </w:rPr>
                  </w:pPr>
                  <w:r>
                    <w:rPr>
                      <w:color w:val="auto"/>
                      <w:sz w:val="21"/>
                      <w:szCs w:val="21"/>
                    </w:rPr>
                    <w:t>是</w:t>
                  </w:r>
                </w:p>
              </w:tc>
              <w:tc>
                <w:tcPr>
                  <w:tcW w:w="945" w:type="dxa"/>
                  <w:vAlign w:val="center"/>
                </w:tcPr>
                <w:p w14:paraId="34C1C6D3">
                  <w:pPr>
                    <w:jc w:val="center"/>
                    <w:rPr>
                      <w:color w:val="auto"/>
                      <w:sz w:val="21"/>
                      <w:szCs w:val="21"/>
                    </w:rPr>
                  </w:pPr>
                  <w:r>
                    <w:rPr>
                      <w:rFonts w:hint="eastAsia"/>
                      <w:color w:val="auto"/>
                      <w:sz w:val="21"/>
                      <w:szCs w:val="21"/>
                      <w:lang w:val="en-US" w:eastAsia="zh-CN"/>
                    </w:rPr>
                    <w:t>泗县工业</w:t>
                  </w:r>
                  <w:r>
                    <w:rPr>
                      <w:rFonts w:hint="eastAsia"/>
                      <w:color w:val="auto"/>
                      <w:sz w:val="21"/>
                      <w:szCs w:val="21"/>
                    </w:rPr>
                    <w:t>污水处理厂</w:t>
                  </w:r>
                </w:p>
              </w:tc>
              <w:tc>
                <w:tcPr>
                  <w:tcW w:w="765" w:type="dxa"/>
                  <w:vAlign w:val="center"/>
                </w:tcPr>
                <w:p w14:paraId="2BA26914">
                  <w:pPr>
                    <w:jc w:val="center"/>
                    <w:rPr>
                      <w:color w:val="auto"/>
                      <w:sz w:val="21"/>
                      <w:szCs w:val="21"/>
                    </w:rPr>
                  </w:pPr>
                  <w:r>
                    <w:rPr>
                      <w:color w:val="auto"/>
                      <w:sz w:val="21"/>
                      <w:szCs w:val="21"/>
                    </w:rPr>
                    <w:t>间接排放</w:t>
                  </w:r>
                </w:p>
              </w:tc>
              <w:tc>
                <w:tcPr>
                  <w:tcW w:w="883" w:type="dxa"/>
                  <w:vAlign w:val="center"/>
                </w:tcPr>
                <w:p w14:paraId="6E60EF4D">
                  <w:pPr>
                    <w:jc w:val="center"/>
                    <w:rPr>
                      <w:color w:val="auto"/>
                      <w:sz w:val="21"/>
                      <w:szCs w:val="21"/>
                    </w:rPr>
                  </w:pPr>
                  <w:r>
                    <w:rPr>
                      <w:color w:val="auto"/>
                      <w:sz w:val="21"/>
                      <w:szCs w:val="21"/>
                    </w:rPr>
                    <w:t>DW001</w:t>
                  </w:r>
                </w:p>
              </w:tc>
              <w:tc>
                <w:tcPr>
                  <w:tcW w:w="958" w:type="dxa"/>
                  <w:vAlign w:val="center"/>
                </w:tcPr>
                <w:p w14:paraId="79E33548">
                  <w:pPr>
                    <w:jc w:val="center"/>
                    <w:rPr>
                      <w:color w:val="auto"/>
                      <w:sz w:val="21"/>
                      <w:szCs w:val="21"/>
                    </w:rPr>
                  </w:pPr>
                  <w:r>
                    <w:rPr>
                      <w:color w:val="auto"/>
                      <w:sz w:val="21"/>
                      <w:szCs w:val="21"/>
                    </w:rPr>
                    <w:t>一般排放口</w:t>
                  </w:r>
                </w:p>
              </w:tc>
            </w:tr>
          </w:tbl>
          <w:p w14:paraId="50762C99">
            <w:pPr>
              <w:pStyle w:val="6"/>
              <w:numPr>
                <w:ilvl w:val="2"/>
                <w:numId w:val="0"/>
              </w:numPr>
              <w:adjustRightInd w:val="0"/>
              <w:snapToGrid w:val="0"/>
              <w:spacing w:before="0" w:after="0" w:line="240" w:lineRule="auto"/>
              <w:jc w:val="center"/>
              <w:rPr>
                <w:rFonts w:hint="eastAsia"/>
                <w:color w:val="auto"/>
                <w:sz w:val="24"/>
              </w:rPr>
            </w:pPr>
            <w:r>
              <w:rPr>
                <w:rFonts w:hint="eastAsia"/>
                <w:color w:val="auto"/>
                <w:sz w:val="24"/>
              </w:rPr>
              <w:t>表4-</w:t>
            </w:r>
            <w:r>
              <w:rPr>
                <w:rFonts w:hint="eastAsia"/>
                <w:color w:val="auto"/>
                <w:sz w:val="24"/>
                <w:lang w:val="en-US" w:eastAsia="zh-CN"/>
              </w:rPr>
              <w:t>7</w:t>
            </w:r>
            <w:r>
              <w:rPr>
                <w:rFonts w:hint="eastAsia"/>
                <w:color w:val="auto"/>
                <w:sz w:val="24"/>
              </w:rPr>
              <w:t xml:space="preserve">  项目水污染物产生及排放情况一览表</w:t>
            </w:r>
          </w:p>
          <w:tbl>
            <w:tblPr>
              <w:tblStyle w:val="30"/>
              <w:tblpPr w:leftFromText="180" w:rightFromText="180" w:vertAnchor="text" w:horzAnchor="page" w:tblpXSpec="center" w:tblpY="192"/>
              <w:tblOverlap w:val="never"/>
              <w:tblW w:w="49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168"/>
              <w:gridCol w:w="1100"/>
              <w:gridCol w:w="922"/>
              <w:gridCol w:w="1339"/>
              <w:gridCol w:w="1055"/>
              <w:gridCol w:w="856"/>
              <w:gridCol w:w="901"/>
            </w:tblGrid>
            <w:tr w14:paraId="0418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063" w:type="pct"/>
                  <w:gridSpan w:val="2"/>
                  <w:vAlign w:val="center"/>
                </w:tcPr>
                <w:p w14:paraId="1155D4AC">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污染物项目</w:t>
                  </w:r>
                </w:p>
              </w:tc>
              <w:tc>
                <w:tcPr>
                  <w:tcW w:w="701" w:type="pct"/>
                  <w:vAlign w:val="center"/>
                </w:tcPr>
                <w:p w14:paraId="60188AA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废水量（t/a）</w:t>
                  </w:r>
                </w:p>
              </w:tc>
              <w:tc>
                <w:tcPr>
                  <w:tcW w:w="587" w:type="pct"/>
                  <w:vAlign w:val="center"/>
                </w:tcPr>
                <w:p w14:paraId="4E2DA6CA">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pH</w:t>
                  </w:r>
                </w:p>
              </w:tc>
              <w:tc>
                <w:tcPr>
                  <w:tcW w:w="853" w:type="pct"/>
                  <w:vAlign w:val="center"/>
                </w:tcPr>
                <w:p w14:paraId="4FB2999B">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COD</w:t>
                  </w:r>
                </w:p>
              </w:tc>
              <w:tc>
                <w:tcPr>
                  <w:tcW w:w="672" w:type="pct"/>
                  <w:vAlign w:val="center"/>
                </w:tcPr>
                <w:p w14:paraId="5AE942F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545" w:type="pct"/>
                  <w:vAlign w:val="center"/>
                </w:tcPr>
                <w:p w14:paraId="44AAE0A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SS</w:t>
                  </w:r>
                </w:p>
              </w:tc>
              <w:tc>
                <w:tcPr>
                  <w:tcW w:w="574" w:type="pct"/>
                  <w:vAlign w:val="center"/>
                </w:tcPr>
                <w:p w14:paraId="09335B9C">
                  <w:pPr>
                    <w:adjustRightInd w:val="0"/>
                    <w:snapToGrid w:val="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bCs/>
                      <w:color w:val="auto"/>
                      <w:sz w:val="21"/>
                      <w:szCs w:val="21"/>
                    </w:rPr>
                    <w:t>氨氮</w:t>
                  </w:r>
                </w:p>
              </w:tc>
            </w:tr>
            <w:tr w14:paraId="3332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18" w:type="pct"/>
                  <w:vMerge w:val="restart"/>
                  <w:vAlign w:val="center"/>
                </w:tcPr>
                <w:p w14:paraId="6274474B">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生活污水</w:t>
                  </w:r>
                </w:p>
              </w:tc>
              <w:tc>
                <w:tcPr>
                  <w:tcW w:w="744" w:type="pct"/>
                  <w:vAlign w:val="center"/>
                </w:tcPr>
                <w:p w14:paraId="1BB3A6F8">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产生浓度（mg/L）</w:t>
                  </w:r>
                </w:p>
              </w:tc>
              <w:tc>
                <w:tcPr>
                  <w:tcW w:w="701" w:type="pct"/>
                  <w:vMerge w:val="restart"/>
                  <w:vAlign w:val="center"/>
                </w:tcPr>
                <w:p w14:paraId="2D415F50">
                  <w:pPr>
                    <w:jc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1344</w:t>
                  </w:r>
                </w:p>
              </w:tc>
              <w:tc>
                <w:tcPr>
                  <w:tcW w:w="587" w:type="pct"/>
                  <w:vAlign w:val="center"/>
                </w:tcPr>
                <w:p w14:paraId="58C21CA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53" w:type="pct"/>
                  <w:vAlign w:val="center"/>
                </w:tcPr>
                <w:p w14:paraId="7D0C3E5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672" w:type="pct"/>
                  <w:vAlign w:val="center"/>
                </w:tcPr>
                <w:p w14:paraId="2260EB7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545" w:type="pct"/>
                  <w:vAlign w:val="center"/>
                </w:tcPr>
                <w:p w14:paraId="3D7782F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574" w:type="pct"/>
                  <w:vAlign w:val="center"/>
                </w:tcPr>
                <w:p w14:paraId="51181A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r>
            <w:tr w14:paraId="2C47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18" w:type="pct"/>
                  <w:vMerge w:val="continue"/>
                  <w:vAlign w:val="center"/>
                </w:tcPr>
                <w:p w14:paraId="4811B02B">
                  <w:pPr>
                    <w:jc w:val="center"/>
                    <w:rPr>
                      <w:rFonts w:hint="default" w:ascii="Times New Roman" w:hAnsi="Times New Roman" w:eastAsia="宋体" w:cs="Times New Roman"/>
                      <w:bCs/>
                      <w:color w:val="auto"/>
                      <w:sz w:val="21"/>
                      <w:szCs w:val="21"/>
                    </w:rPr>
                  </w:pPr>
                </w:p>
              </w:tc>
              <w:tc>
                <w:tcPr>
                  <w:tcW w:w="744" w:type="pct"/>
                  <w:vAlign w:val="center"/>
                </w:tcPr>
                <w:p w14:paraId="5223C2E7">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产生量（t/a）</w:t>
                  </w:r>
                </w:p>
              </w:tc>
              <w:tc>
                <w:tcPr>
                  <w:tcW w:w="701" w:type="pct"/>
                  <w:vMerge w:val="continue"/>
                  <w:vAlign w:val="center"/>
                </w:tcPr>
                <w:p w14:paraId="63C63F12">
                  <w:pPr>
                    <w:jc w:val="center"/>
                    <w:rPr>
                      <w:rFonts w:hint="default" w:ascii="Times New Roman" w:hAnsi="Times New Roman" w:eastAsia="宋体" w:cs="Times New Roman"/>
                      <w:bCs/>
                      <w:color w:val="auto"/>
                      <w:sz w:val="21"/>
                      <w:szCs w:val="21"/>
                    </w:rPr>
                  </w:pPr>
                </w:p>
              </w:tc>
              <w:tc>
                <w:tcPr>
                  <w:tcW w:w="587" w:type="pct"/>
                  <w:vAlign w:val="center"/>
                </w:tcPr>
                <w:p w14:paraId="384F13C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339" w:type="dxa"/>
                  <w:vAlign w:val="center"/>
                </w:tcPr>
                <w:p w14:paraId="36A0B19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0.3130</w:t>
                  </w:r>
                </w:p>
              </w:tc>
              <w:tc>
                <w:tcPr>
                  <w:tcW w:w="1055" w:type="dxa"/>
                  <w:vAlign w:val="center"/>
                </w:tcPr>
                <w:p w14:paraId="7308156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0.1565</w:t>
                  </w:r>
                </w:p>
              </w:tc>
              <w:tc>
                <w:tcPr>
                  <w:tcW w:w="856" w:type="dxa"/>
                  <w:vAlign w:val="center"/>
                </w:tcPr>
                <w:p w14:paraId="647474B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0.208</w:t>
                  </w:r>
                  <w:r>
                    <w:rPr>
                      <w:rFonts w:hint="eastAsia" w:cs="Times New Roman"/>
                      <w:i w:val="0"/>
                      <w:iCs w:val="0"/>
                      <w:color w:val="auto"/>
                      <w:kern w:val="0"/>
                      <w:sz w:val="21"/>
                      <w:szCs w:val="21"/>
                      <w:u w:val="none"/>
                      <w:lang w:val="en-US" w:eastAsia="zh-CN" w:bidi="ar"/>
                    </w:rPr>
                    <w:t>7</w:t>
                  </w:r>
                </w:p>
              </w:tc>
              <w:tc>
                <w:tcPr>
                  <w:tcW w:w="901" w:type="dxa"/>
                  <w:vAlign w:val="center"/>
                </w:tcPr>
                <w:p w14:paraId="4A47737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0.026</w:t>
                  </w:r>
                  <w:r>
                    <w:rPr>
                      <w:rFonts w:hint="eastAsia" w:cs="Times New Roman"/>
                      <w:i w:val="0"/>
                      <w:iCs w:val="0"/>
                      <w:color w:val="auto"/>
                      <w:kern w:val="0"/>
                      <w:sz w:val="21"/>
                      <w:szCs w:val="21"/>
                      <w:u w:val="none"/>
                      <w:lang w:val="en-US" w:eastAsia="zh-CN" w:bidi="ar"/>
                    </w:rPr>
                    <w:t>1</w:t>
                  </w:r>
                </w:p>
              </w:tc>
            </w:tr>
            <w:tr w14:paraId="4482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 w:type="pct"/>
                  <w:vMerge w:val="continue"/>
                  <w:vAlign w:val="center"/>
                </w:tcPr>
                <w:p w14:paraId="5C94C641">
                  <w:pPr>
                    <w:jc w:val="center"/>
                    <w:rPr>
                      <w:rFonts w:hint="default" w:ascii="Times New Roman" w:hAnsi="Times New Roman" w:eastAsia="宋体" w:cs="Times New Roman"/>
                      <w:bCs/>
                      <w:color w:val="auto"/>
                      <w:sz w:val="21"/>
                      <w:szCs w:val="21"/>
                    </w:rPr>
                  </w:pPr>
                </w:p>
              </w:tc>
              <w:tc>
                <w:tcPr>
                  <w:tcW w:w="744" w:type="pct"/>
                  <w:vAlign w:val="center"/>
                </w:tcPr>
                <w:p w14:paraId="52F94592">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化粪池处理后浓度（mg/L）</w:t>
                  </w:r>
                </w:p>
              </w:tc>
              <w:tc>
                <w:tcPr>
                  <w:tcW w:w="701" w:type="pct"/>
                  <w:vMerge w:val="continue"/>
                  <w:vAlign w:val="center"/>
                </w:tcPr>
                <w:p w14:paraId="0C196898">
                  <w:pPr>
                    <w:jc w:val="center"/>
                    <w:rPr>
                      <w:rFonts w:hint="default" w:ascii="Times New Roman" w:hAnsi="Times New Roman" w:eastAsia="宋体" w:cs="Times New Roman"/>
                      <w:bCs/>
                      <w:color w:val="auto"/>
                      <w:sz w:val="21"/>
                      <w:szCs w:val="21"/>
                    </w:rPr>
                  </w:pPr>
                </w:p>
              </w:tc>
              <w:tc>
                <w:tcPr>
                  <w:tcW w:w="587" w:type="pct"/>
                  <w:vAlign w:val="center"/>
                </w:tcPr>
                <w:p w14:paraId="69455F2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339" w:type="dxa"/>
                  <w:vAlign w:val="center"/>
                </w:tcPr>
                <w:p w14:paraId="23BE896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255</w:t>
                  </w:r>
                </w:p>
              </w:tc>
              <w:tc>
                <w:tcPr>
                  <w:tcW w:w="1055" w:type="dxa"/>
                  <w:vAlign w:val="center"/>
                </w:tcPr>
                <w:p w14:paraId="67D2111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856" w:type="dxa"/>
                  <w:vAlign w:val="center"/>
                </w:tcPr>
                <w:p w14:paraId="1891987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901" w:type="dxa"/>
                  <w:vAlign w:val="center"/>
                </w:tcPr>
                <w:p w14:paraId="5246788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23.75</w:t>
                  </w:r>
                </w:p>
              </w:tc>
            </w:tr>
            <w:tr w14:paraId="119D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18" w:type="pct"/>
                  <w:vMerge w:val="continue"/>
                  <w:vAlign w:val="center"/>
                </w:tcPr>
                <w:p w14:paraId="2F4614CE">
                  <w:pPr>
                    <w:jc w:val="center"/>
                    <w:rPr>
                      <w:rFonts w:hint="default" w:ascii="Times New Roman" w:hAnsi="Times New Roman" w:eastAsia="宋体" w:cs="Times New Roman"/>
                      <w:bCs/>
                      <w:color w:val="auto"/>
                      <w:sz w:val="21"/>
                      <w:szCs w:val="21"/>
                    </w:rPr>
                  </w:pPr>
                </w:p>
              </w:tc>
              <w:tc>
                <w:tcPr>
                  <w:tcW w:w="744" w:type="pct"/>
                  <w:vAlign w:val="center"/>
                </w:tcPr>
                <w:p w14:paraId="0C21AA83">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排放量（t/a）</w:t>
                  </w:r>
                </w:p>
              </w:tc>
              <w:tc>
                <w:tcPr>
                  <w:tcW w:w="701" w:type="pct"/>
                  <w:vMerge w:val="continue"/>
                  <w:vAlign w:val="center"/>
                </w:tcPr>
                <w:p w14:paraId="5EC92FDD">
                  <w:pPr>
                    <w:jc w:val="center"/>
                    <w:rPr>
                      <w:rFonts w:hint="default" w:ascii="Times New Roman" w:hAnsi="Times New Roman" w:eastAsia="宋体" w:cs="Times New Roman"/>
                      <w:color w:val="auto"/>
                      <w:sz w:val="21"/>
                      <w:szCs w:val="21"/>
                    </w:rPr>
                  </w:pPr>
                </w:p>
              </w:tc>
              <w:tc>
                <w:tcPr>
                  <w:tcW w:w="587" w:type="pct"/>
                  <w:vAlign w:val="center"/>
                </w:tcPr>
                <w:p w14:paraId="15609B8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339" w:type="dxa"/>
                  <w:vAlign w:val="center"/>
                </w:tcPr>
                <w:p w14:paraId="02A81CC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0.266</w:t>
                  </w:r>
                  <w:r>
                    <w:rPr>
                      <w:rFonts w:hint="eastAsia" w:cs="Times New Roman"/>
                      <w:i w:val="0"/>
                      <w:iCs w:val="0"/>
                      <w:color w:val="auto"/>
                      <w:kern w:val="0"/>
                      <w:sz w:val="21"/>
                      <w:szCs w:val="21"/>
                      <w:u w:val="none"/>
                      <w:lang w:val="en-US" w:eastAsia="zh-CN" w:bidi="ar"/>
                    </w:rPr>
                    <w:t>1</w:t>
                  </w:r>
                </w:p>
              </w:tc>
              <w:tc>
                <w:tcPr>
                  <w:tcW w:w="1055" w:type="dxa"/>
                  <w:vAlign w:val="center"/>
                </w:tcPr>
                <w:p w14:paraId="5448A91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0.140</w:t>
                  </w:r>
                  <w:r>
                    <w:rPr>
                      <w:rFonts w:hint="eastAsia" w:cs="Times New Roman"/>
                      <w:i w:val="0"/>
                      <w:iCs w:val="0"/>
                      <w:color w:val="auto"/>
                      <w:kern w:val="0"/>
                      <w:sz w:val="21"/>
                      <w:szCs w:val="21"/>
                      <w:u w:val="none"/>
                      <w:lang w:val="en-US" w:eastAsia="zh-CN" w:bidi="ar"/>
                    </w:rPr>
                    <w:t>9</w:t>
                  </w:r>
                </w:p>
              </w:tc>
              <w:tc>
                <w:tcPr>
                  <w:tcW w:w="856" w:type="dxa"/>
                  <w:vAlign w:val="center"/>
                </w:tcPr>
                <w:p w14:paraId="4F7BBBF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0.1252</w:t>
                  </w:r>
                </w:p>
              </w:tc>
              <w:tc>
                <w:tcPr>
                  <w:tcW w:w="901" w:type="dxa"/>
                  <w:vAlign w:val="center"/>
                </w:tcPr>
                <w:p w14:paraId="34CCC24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0.024</w:t>
                  </w:r>
                  <w:r>
                    <w:rPr>
                      <w:rFonts w:hint="eastAsia" w:cs="Times New Roman"/>
                      <w:i w:val="0"/>
                      <w:iCs w:val="0"/>
                      <w:color w:val="auto"/>
                      <w:kern w:val="0"/>
                      <w:sz w:val="21"/>
                      <w:szCs w:val="21"/>
                      <w:u w:val="none"/>
                      <w:lang w:val="en-US" w:eastAsia="zh-CN" w:bidi="ar"/>
                    </w:rPr>
                    <w:t>8</w:t>
                  </w:r>
                </w:p>
              </w:tc>
            </w:tr>
          </w:tbl>
          <w:p w14:paraId="412F838C">
            <w:pPr>
              <w:jc w:val="center"/>
              <w:rPr>
                <w:b/>
                <w:color w:val="auto"/>
              </w:rPr>
            </w:pPr>
            <w:r>
              <w:rPr>
                <w:rFonts w:hint="eastAsia"/>
                <w:b/>
                <w:color w:val="auto"/>
              </w:rPr>
              <w:t>表4-</w:t>
            </w:r>
            <w:r>
              <w:rPr>
                <w:rFonts w:hint="eastAsia"/>
                <w:b/>
                <w:color w:val="auto"/>
                <w:lang w:val="en-US" w:eastAsia="zh-CN"/>
              </w:rPr>
              <w:t>8</w:t>
            </w:r>
            <w:r>
              <w:rPr>
                <w:rFonts w:hint="eastAsia"/>
                <w:b/>
                <w:color w:val="auto"/>
              </w:rPr>
              <w:t xml:space="preserve">  排放口基本情况一览表</w:t>
            </w:r>
          </w:p>
          <w:tbl>
            <w:tblPr>
              <w:tblStyle w:val="30"/>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794"/>
              <w:gridCol w:w="1789"/>
              <w:gridCol w:w="2587"/>
            </w:tblGrid>
            <w:tr w14:paraId="5001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508" w:type="dxa"/>
                  <w:vMerge w:val="restart"/>
                  <w:vAlign w:val="center"/>
                </w:tcPr>
                <w:p w14:paraId="0F3CF8D3">
                  <w:pPr>
                    <w:jc w:val="center"/>
                    <w:rPr>
                      <w:b/>
                      <w:bCs/>
                      <w:color w:val="auto"/>
                      <w:sz w:val="21"/>
                      <w:szCs w:val="21"/>
                    </w:rPr>
                  </w:pPr>
                  <w:r>
                    <w:rPr>
                      <w:b/>
                      <w:bCs/>
                      <w:color w:val="auto"/>
                      <w:sz w:val="21"/>
                      <w:szCs w:val="21"/>
                    </w:rPr>
                    <w:t>排放口编号</w:t>
                  </w:r>
                </w:p>
              </w:tc>
              <w:tc>
                <w:tcPr>
                  <w:tcW w:w="3583" w:type="dxa"/>
                  <w:gridSpan w:val="2"/>
                  <w:vAlign w:val="center"/>
                </w:tcPr>
                <w:p w14:paraId="2FCCCEA0">
                  <w:pPr>
                    <w:jc w:val="center"/>
                    <w:rPr>
                      <w:b/>
                      <w:bCs/>
                      <w:color w:val="auto"/>
                      <w:sz w:val="21"/>
                      <w:szCs w:val="21"/>
                    </w:rPr>
                  </w:pPr>
                  <w:r>
                    <w:rPr>
                      <w:b/>
                      <w:bCs/>
                      <w:color w:val="auto"/>
                      <w:sz w:val="21"/>
                      <w:szCs w:val="21"/>
                    </w:rPr>
                    <w:t>坐标</w:t>
                  </w:r>
                </w:p>
              </w:tc>
              <w:tc>
                <w:tcPr>
                  <w:tcW w:w="2587" w:type="dxa"/>
                  <w:vMerge w:val="restart"/>
                  <w:vAlign w:val="center"/>
                </w:tcPr>
                <w:p w14:paraId="0AEC9CEA">
                  <w:pPr>
                    <w:jc w:val="center"/>
                    <w:rPr>
                      <w:b/>
                      <w:bCs/>
                      <w:color w:val="auto"/>
                      <w:sz w:val="21"/>
                      <w:szCs w:val="21"/>
                    </w:rPr>
                  </w:pPr>
                  <w:r>
                    <w:rPr>
                      <w:b/>
                      <w:bCs/>
                      <w:color w:val="auto"/>
                      <w:sz w:val="21"/>
                      <w:szCs w:val="21"/>
                    </w:rPr>
                    <w:t>排放标准</w:t>
                  </w:r>
                </w:p>
              </w:tc>
            </w:tr>
            <w:tr w14:paraId="6B3D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508" w:type="dxa"/>
                  <w:vMerge w:val="continue"/>
                  <w:vAlign w:val="center"/>
                </w:tcPr>
                <w:p w14:paraId="54F7690F">
                  <w:pPr>
                    <w:jc w:val="center"/>
                    <w:rPr>
                      <w:b/>
                      <w:bCs/>
                      <w:color w:val="auto"/>
                      <w:sz w:val="21"/>
                      <w:szCs w:val="21"/>
                    </w:rPr>
                  </w:pPr>
                </w:p>
              </w:tc>
              <w:tc>
                <w:tcPr>
                  <w:tcW w:w="1794" w:type="dxa"/>
                  <w:vAlign w:val="center"/>
                </w:tcPr>
                <w:p w14:paraId="6240D5BD">
                  <w:pPr>
                    <w:jc w:val="center"/>
                    <w:rPr>
                      <w:b/>
                      <w:bCs/>
                      <w:color w:val="auto"/>
                      <w:sz w:val="21"/>
                      <w:szCs w:val="21"/>
                    </w:rPr>
                  </w:pPr>
                  <w:r>
                    <w:rPr>
                      <w:b/>
                      <w:bCs/>
                      <w:color w:val="auto"/>
                      <w:sz w:val="21"/>
                      <w:szCs w:val="21"/>
                    </w:rPr>
                    <w:t>经度</w:t>
                  </w:r>
                </w:p>
              </w:tc>
              <w:tc>
                <w:tcPr>
                  <w:tcW w:w="1789" w:type="dxa"/>
                  <w:vAlign w:val="center"/>
                </w:tcPr>
                <w:p w14:paraId="1D49F569">
                  <w:pPr>
                    <w:jc w:val="center"/>
                    <w:rPr>
                      <w:b/>
                      <w:bCs/>
                      <w:color w:val="auto"/>
                      <w:sz w:val="21"/>
                      <w:szCs w:val="21"/>
                    </w:rPr>
                  </w:pPr>
                  <w:r>
                    <w:rPr>
                      <w:b/>
                      <w:bCs/>
                      <w:color w:val="auto"/>
                      <w:sz w:val="21"/>
                      <w:szCs w:val="21"/>
                    </w:rPr>
                    <w:t>纬度</w:t>
                  </w:r>
                </w:p>
              </w:tc>
              <w:tc>
                <w:tcPr>
                  <w:tcW w:w="2587" w:type="dxa"/>
                  <w:vMerge w:val="continue"/>
                  <w:vAlign w:val="center"/>
                </w:tcPr>
                <w:p w14:paraId="18863E73">
                  <w:pPr>
                    <w:jc w:val="center"/>
                    <w:rPr>
                      <w:b/>
                      <w:bCs/>
                      <w:color w:val="auto"/>
                      <w:sz w:val="21"/>
                      <w:szCs w:val="21"/>
                    </w:rPr>
                  </w:pPr>
                </w:p>
              </w:tc>
            </w:tr>
            <w:tr w14:paraId="2FE6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508" w:type="dxa"/>
                  <w:vAlign w:val="center"/>
                </w:tcPr>
                <w:p w14:paraId="6BE87EA5">
                  <w:pPr>
                    <w:jc w:val="center"/>
                    <w:rPr>
                      <w:color w:val="auto"/>
                      <w:sz w:val="21"/>
                      <w:szCs w:val="21"/>
                    </w:rPr>
                  </w:pPr>
                  <w:r>
                    <w:rPr>
                      <w:color w:val="auto"/>
                      <w:sz w:val="21"/>
                      <w:szCs w:val="21"/>
                    </w:rPr>
                    <w:t>DW001</w:t>
                  </w:r>
                </w:p>
              </w:tc>
              <w:tc>
                <w:tcPr>
                  <w:tcW w:w="1794" w:type="dxa"/>
                  <w:vAlign w:val="center"/>
                </w:tcPr>
                <w:p w14:paraId="546731B2">
                  <w:pPr>
                    <w:jc w:val="center"/>
                    <w:rPr>
                      <w:rFonts w:hint="eastAsia" w:eastAsia="宋体"/>
                      <w:color w:val="auto"/>
                      <w:sz w:val="21"/>
                      <w:szCs w:val="21"/>
                      <w:lang w:val="en-US" w:eastAsia="zh-CN"/>
                    </w:rPr>
                  </w:pPr>
                  <w:r>
                    <w:rPr>
                      <w:rFonts w:hint="eastAsia"/>
                      <w:color w:val="auto"/>
                      <w:sz w:val="21"/>
                      <w:szCs w:val="21"/>
                    </w:rPr>
                    <w:t>117.9135</w:t>
                  </w:r>
                  <w:r>
                    <w:rPr>
                      <w:rFonts w:hint="eastAsia"/>
                      <w:color w:val="auto"/>
                      <w:sz w:val="21"/>
                      <w:szCs w:val="21"/>
                      <w:lang w:val="en-US" w:eastAsia="zh-CN"/>
                    </w:rPr>
                    <w:t>9</w:t>
                  </w:r>
                </w:p>
              </w:tc>
              <w:tc>
                <w:tcPr>
                  <w:tcW w:w="1789" w:type="dxa"/>
                  <w:vAlign w:val="center"/>
                </w:tcPr>
                <w:p w14:paraId="52CFC6AF">
                  <w:pPr>
                    <w:jc w:val="center"/>
                    <w:rPr>
                      <w:color w:val="auto"/>
                      <w:sz w:val="21"/>
                      <w:szCs w:val="21"/>
                    </w:rPr>
                  </w:pPr>
                  <w:r>
                    <w:rPr>
                      <w:rFonts w:hint="eastAsia"/>
                      <w:color w:val="auto"/>
                      <w:sz w:val="21"/>
                      <w:szCs w:val="21"/>
                    </w:rPr>
                    <w:t>33.46599</w:t>
                  </w:r>
                </w:p>
              </w:tc>
              <w:tc>
                <w:tcPr>
                  <w:tcW w:w="2587" w:type="dxa"/>
                  <w:vAlign w:val="center"/>
                </w:tcPr>
                <w:p w14:paraId="210DBDBF">
                  <w:pPr>
                    <w:jc w:val="center"/>
                    <w:rPr>
                      <w:color w:val="auto"/>
                      <w:sz w:val="21"/>
                      <w:szCs w:val="21"/>
                    </w:rPr>
                  </w:pPr>
                  <w:r>
                    <w:rPr>
                      <w:rFonts w:hint="eastAsia"/>
                      <w:color w:val="auto"/>
                      <w:sz w:val="21"/>
                      <w:szCs w:val="21"/>
                    </w:rPr>
                    <w:t>《污水综合排放标准》（GB8978-1996）中三级标准并满足污水处理厂接管标准</w:t>
                  </w:r>
                </w:p>
              </w:tc>
            </w:tr>
          </w:tbl>
          <w:p w14:paraId="36D8AF44">
            <w:pPr>
              <w:adjustRightInd w:val="0"/>
              <w:snapToGrid w:val="0"/>
              <w:spacing w:line="360" w:lineRule="auto"/>
              <w:ind w:firstLine="482" w:firstLineChars="200"/>
              <w:rPr>
                <w:color w:val="auto"/>
              </w:rPr>
            </w:pPr>
            <w:r>
              <w:rPr>
                <w:rFonts w:hint="eastAsia"/>
                <w:b/>
                <w:bCs/>
                <w:color w:val="auto"/>
              </w:rPr>
              <w:t>监测计划</w:t>
            </w:r>
          </w:p>
          <w:p w14:paraId="304C9129">
            <w:pPr>
              <w:spacing w:line="360" w:lineRule="auto"/>
              <w:ind w:firstLine="480" w:firstLineChars="200"/>
              <w:jc w:val="left"/>
              <w:rPr>
                <w:rFonts w:hint="eastAsia"/>
                <w:color w:val="auto"/>
                <w:kern w:val="0"/>
                <w:lang w:val="en-US" w:eastAsia="zh-CN" w:bidi="ar"/>
              </w:rPr>
            </w:pPr>
            <w:r>
              <w:rPr>
                <w:color w:val="auto"/>
                <w:kern w:val="0"/>
                <w:lang w:bidi="ar"/>
              </w:rPr>
              <w:t>根据《</w:t>
            </w:r>
            <w:r>
              <w:rPr>
                <w:rFonts w:hint="eastAsia"/>
                <w:color w:val="auto"/>
                <w:kern w:val="0"/>
                <w:lang w:bidi="ar"/>
              </w:rPr>
              <w:t>固定污染源排污许可分类管理名录</w:t>
            </w:r>
            <w:r>
              <w:rPr>
                <w:color w:val="auto"/>
                <w:kern w:val="0"/>
                <w:lang w:bidi="ar"/>
              </w:rPr>
              <w:t>（</w:t>
            </w:r>
            <w:r>
              <w:rPr>
                <w:rFonts w:hint="eastAsia"/>
                <w:color w:val="auto"/>
                <w:kern w:val="0"/>
                <w:lang w:bidi="ar"/>
              </w:rPr>
              <w:t>2019年版</w:t>
            </w:r>
            <w:r>
              <w:rPr>
                <w:color w:val="auto"/>
                <w:kern w:val="0"/>
                <w:lang w:bidi="ar"/>
              </w:rPr>
              <w:t>）》中</w:t>
            </w:r>
            <w:r>
              <w:rPr>
                <w:rFonts w:hint="eastAsia"/>
                <w:color w:val="auto"/>
                <w:kern w:val="0"/>
                <w:lang w:bidi="ar"/>
              </w:rPr>
              <w:t>“十五、木材加工和木、竹、藤、棕、草制品业20  其他﹡”</w:t>
            </w:r>
            <w:r>
              <w:rPr>
                <w:color w:val="auto"/>
                <w:kern w:val="0"/>
                <w:lang w:bidi="ar"/>
              </w:rPr>
              <w:t>，项目</w:t>
            </w:r>
            <w:r>
              <w:rPr>
                <w:rFonts w:hint="eastAsia"/>
                <w:color w:val="auto"/>
                <w:kern w:val="0"/>
                <w:lang w:bidi="ar"/>
              </w:rPr>
              <w:t>属于登记管理，</w:t>
            </w:r>
            <w:r>
              <w:rPr>
                <w:rFonts w:hint="eastAsia"/>
                <w:color w:val="auto"/>
                <w:kern w:val="0"/>
                <w:lang w:val="en-US" w:eastAsia="zh-CN" w:bidi="ar"/>
              </w:rPr>
              <w:t>项目根据</w:t>
            </w:r>
            <w:r>
              <w:rPr>
                <w:color w:val="auto"/>
                <w:sz w:val="24"/>
              </w:rPr>
              <w:t>《排污单位自行监测技术指南 总则》（HJ819-2017）</w:t>
            </w:r>
            <w:r>
              <w:rPr>
                <w:rFonts w:hint="eastAsia"/>
                <w:color w:val="auto"/>
                <w:kern w:val="0"/>
                <w:lang w:val="en-US" w:eastAsia="zh-CN" w:bidi="ar"/>
              </w:rPr>
              <w:t>，企业废水监测频次最低为每年一次。</w:t>
            </w:r>
          </w:p>
          <w:p w14:paraId="612DA345">
            <w:pPr>
              <w:autoSpaceDE w:val="0"/>
              <w:autoSpaceDN w:val="0"/>
              <w:adjustRightInd w:val="0"/>
              <w:jc w:val="center"/>
              <w:rPr>
                <w:rFonts w:ascii="Times New Roman" w:hAnsi="Times New Roman" w:eastAsia="宋体" w:cs="Times New Roman"/>
                <w:b/>
                <w:color w:val="000000"/>
                <w:kern w:val="0"/>
              </w:rPr>
            </w:pPr>
            <w:r>
              <w:rPr>
                <w:rFonts w:ascii="Times New Roman" w:hAnsi="Times New Roman" w:eastAsia="宋体" w:cs="Times New Roman"/>
                <w:b/>
                <w:color w:val="000000"/>
                <w:kern w:val="0"/>
                <w:lang w:bidi="ar"/>
              </w:rPr>
              <w:t>表4-</w:t>
            </w:r>
            <w:r>
              <w:rPr>
                <w:rFonts w:hint="eastAsia" w:ascii="Times New Roman" w:hAnsi="Times New Roman" w:eastAsia="宋体" w:cs="Times New Roman"/>
                <w:b/>
                <w:color w:val="000000"/>
                <w:kern w:val="0"/>
                <w:lang w:val="en-US" w:eastAsia="zh-CN" w:bidi="ar"/>
              </w:rPr>
              <w:t xml:space="preserve">9 </w:t>
            </w:r>
            <w:r>
              <w:rPr>
                <w:rFonts w:ascii="Times New Roman" w:hAnsi="Times New Roman" w:eastAsia="宋体" w:cs="Times New Roman"/>
                <w:b/>
                <w:color w:val="000000"/>
                <w:kern w:val="0"/>
                <w:lang w:bidi="ar"/>
              </w:rPr>
              <w:t xml:space="preserve"> 废水监测一览表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226"/>
              <w:gridCol w:w="1360"/>
              <w:gridCol w:w="1266"/>
              <w:gridCol w:w="1804"/>
              <w:gridCol w:w="1419"/>
            </w:tblGrid>
            <w:tr w14:paraId="31D6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8" w:type="pct"/>
                  <w:vAlign w:val="center"/>
                </w:tcPr>
                <w:p w14:paraId="1F7ABE4A">
                  <w:pPr>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监测点位置</w:t>
                  </w:r>
                </w:p>
              </w:tc>
              <w:tc>
                <w:tcPr>
                  <w:tcW w:w="768" w:type="pct"/>
                  <w:vAlign w:val="center"/>
                </w:tcPr>
                <w:p w14:paraId="4B8DCB18">
                  <w:pPr>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监测内容</w:t>
                  </w:r>
                </w:p>
              </w:tc>
              <w:tc>
                <w:tcPr>
                  <w:tcW w:w="851" w:type="pct"/>
                  <w:vAlign w:val="center"/>
                </w:tcPr>
                <w:p w14:paraId="2CABA4EA">
                  <w:pPr>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监测指标</w:t>
                  </w:r>
                </w:p>
              </w:tc>
              <w:tc>
                <w:tcPr>
                  <w:tcW w:w="793" w:type="pct"/>
                  <w:vAlign w:val="center"/>
                </w:tcPr>
                <w:p w14:paraId="5FE36E63">
                  <w:pPr>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监测方式</w:t>
                  </w:r>
                </w:p>
              </w:tc>
              <w:tc>
                <w:tcPr>
                  <w:tcW w:w="1129" w:type="pct"/>
                  <w:vAlign w:val="center"/>
                </w:tcPr>
                <w:p w14:paraId="5B724DA1">
                  <w:pPr>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监测采样方法及个数</w:t>
                  </w:r>
                </w:p>
              </w:tc>
              <w:tc>
                <w:tcPr>
                  <w:tcW w:w="888" w:type="pct"/>
                  <w:vAlign w:val="center"/>
                </w:tcPr>
                <w:p w14:paraId="1898FED9">
                  <w:pPr>
                    <w:jc w:val="center"/>
                    <w:rPr>
                      <w:rFonts w:ascii="Times New Roman" w:hAnsi="Times New Roman" w:eastAsia="宋体" w:cs="Times New Roman"/>
                      <w:b/>
                      <w:bCs/>
                      <w:color w:val="000000"/>
                      <w:kern w:val="0"/>
                      <w:sz w:val="21"/>
                      <w:szCs w:val="21"/>
                    </w:rPr>
                  </w:pPr>
                  <w:r>
                    <w:rPr>
                      <w:rFonts w:ascii="Times New Roman" w:hAnsi="Times New Roman" w:eastAsia="宋体" w:cs="Times New Roman"/>
                      <w:b/>
                      <w:bCs/>
                      <w:color w:val="000000"/>
                      <w:kern w:val="0"/>
                      <w:sz w:val="21"/>
                      <w:szCs w:val="21"/>
                    </w:rPr>
                    <w:t>监测频次</w:t>
                  </w:r>
                </w:p>
              </w:tc>
            </w:tr>
            <w:tr w14:paraId="16A6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8" w:type="pct"/>
                  <w:vAlign w:val="center"/>
                </w:tcPr>
                <w:p w14:paraId="6ECBFE70">
                  <w:pPr>
                    <w:jc w:val="center"/>
                    <w:rPr>
                      <w:rFonts w:ascii="Times New Roman" w:hAnsi="Times New Roman" w:eastAsia="宋体" w:cs="Times New Roman"/>
                      <w:sz w:val="21"/>
                    </w:rPr>
                  </w:pPr>
                  <w:r>
                    <w:rPr>
                      <w:rFonts w:ascii="Times New Roman" w:hAnsi="Times New Roman" w:eastAsia="宋体" w:cs="Times New Roman"/>
                      <w:sz w:val="21"/>
                    </w:rPr>
                    <w:t>DW001</w:t>
                  </w:r>
                </w:p>
              </w:tc>
              <w:tc>
                <w:tcPr>
                  <w:tcW w:w="768" w:type="pct"/>
                  <w:vAlign w:val="center"/>
                </w:tcPr>
                <w:p w14:paraId="3EFD755E">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流量</w:t>
                  </w:r>
                </w:p>
              </w:tc>
              <w:tc>
                <w:tcPr>
                  <w:tcW w:w="851" w:type="pct"/>
                  <w:vAlign w:val="center"/>
                </w:tcPr>
                <w:p w14:paraId="3A5D483C">
                  <w:pPr>
                    <w:jc w:val="center"/>
                    <w:rPr>
                      <w:rFonts w:hint="eastAsia" w:ascii="Times New Roman" w:hAnsi="Times New Roman" w:eastAsia="宋体" w:cs="Times New Roman"/>
                      <w:kern w:val="0"/>
                      <w:sz w:val="21"/>
                      <w:szCs w:val="21"/>
                      <w:lang w:val="en-US" w:eastAsia="zh-CN"/>
                    </w:rPr>
                  </w:pPr>
                  <w:r>
                    <w:rPr>
                      <w:rFonts w:ascii="Times New Roman" w:hAnsi="Times New Roman" w:eastAsia="宋体" w:cs="Times New Roman"/>
                      <w:kern w:val="0"/>
                      <w:sz w:val="21"/>
                      <w:szCs w:val="21"/>
                    </w:rPr>
                    <w:t>pH、COD、</w:t>
                  </w:r>
                  <w:r>
                    <w:rPr>
                      <w:rFonts w:hint="eastAsia" w:ascii="Times New Roman" w:hAnsi="Times New Roman" w:eastAsia="宋体" w:cs="Times New Roman"/>
                      <w:kern w:val="0"/>
                      <w:sz w:val="21"/>
                      <w:szCs w:val="21"/>
                    </w:rPr>
                    <w:t>BOD</w:t>
                  </w:r>
                  <w:r>
                    <w:rPr>
                      <w:rFonts w:hint="eastAsia" w:ascii="Times New Roman" w:hAnsi="Times New Roman" w:eastAsia="宋体" w:cs="Times New Roman"/>
                      <w:kern w:val="0"/>
                      <w:sz w:val="21"/>
                      <w:szCs w:val="21"/>
                      <w:vertAlign w:val="subscript"/>
                    </w:rPr>
                    <w:t>5</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SS、氨氮</w:t>
                  </w:r>
                </w:p>
              </w:tc>
              <w:tc>
                <w:tcPr>
                  <w:tcW w:w="793" w:type="pct"/>
                  <w:vAlign w:val="center"/>
                </w:tcPr>
                <w:p w14:paraId="0DDD1E4E">
                  <w:pPr>
                    <w:jc w:val="center"/>
                    <w:rPr>
                      <w:rFonts w:ascii="Times New Roman" w:hAnsi="Times New Roman" w:eastAsia="宋体" w:cs="Times New Roman"/>
                      <w:sz w:val="21"/>
                    </w:rPr>
                  </w:pPr>
                  <w:r>
                    <w:rPr>
                      <w:rFonts w:ascii="Times New Roman" w:hAnsi="Times New Roman" w:eastAsia="宋体" w:cs="Times New Roman"/>
                      <w:sz w:val="21"/>
                    </w:rPr>
                    <w:t>手工监测</w:t>
                  </w:r>
                </w:p>
              </w:tc>
              <w:tc>
                <w:tcPr>
                  <w:tcW w:w="1129" w:type="pct"/>
                  <w:vAlign w:val="center"/>
                </w:tcPr>
                <w:p w14:paraId="34494CF7">
                  <w:pPr>
                    <w:jc w:val="center"/>
                    <w:rPr>
                      <w:rFonts w:ascii="Times New Roman" w:hAnsi="Times New Roman" w:eastAsia="宋体" w:cs="Times New Roman"/>
                      <w:sz w:val="21"/>
                    </w:rPr>
                  </w:pPr>
                  <w:r>
                    <w:rPr>
                      <w:rFonts w:ascii="Times New Roman" w:hAnsi="Times New Roman" w:eastAsia="宋体" w:cs="Times New Roman"/>
                      <w:sz w:val="21"/>
                      <w:szCs w:val="21"/>
                    </w:rPr>
                    <w:t>瞬时采样，多个瞬时样</w:t>
                  </w:r>
                </w:p>
              </w:tc>
              <w:tc>
                <w:tcPr>
                  <w:tcW w:w="888" w:type="pct"/>
                  <w:vAlign w:val="center"/>
                </w:tcPr>
                <w:p w14:paraId="5282E647">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每</w:t>
                  </w:r>
                  <w:r>
                    <w:rPr>
                      <w:rFonts w:hint="eastAsia" w:ascii="Times New Roman" w:hAnsi="Times New Roman" w:eastAsia="宋体" w:cs="Times New Roman"/>
                      <w:kern w:val="0"/>
                      <w:sz w:val="21"/>
                      <w:szCs w:val="21"/>
                    </w:rPr>
                    <w:t>年</w:t>
                  </w:r>
                  <w:r>
                    <w:rPr>
                      <w:rFonts w:ascii="Times New Roman" w:hAnsi="Times New Roman" w:eastAsia="宋体" w:cs="Times New Roman"/>
                      <w:kern w:val="0"/>
                      <w:sz w:val="21"/>
                      <w:szCs w:val="21"/>
                    </w:rPr>
                    <w:t>一次</w:t>
                  </w:r>
                </w:p>
              </w:tc>
            </w:tr>
          </w:tbl>
          <w:p w14:paraId="0D2A8363">
            <w:pPr>
              <w:spacing w:line="360" w:lineRule="auto"/>
              <w:ind w:firstLine="482" w:firstLineChars="200"/>
              <w:rPr>
                <w:b/>
                <w:color w:val="auto"/>
              </w:rPr>
            </w:pPr>
            <w:r>
              <w:rPr>
                <w:rFonts w:hint="eastAsia"/>
                <w:b/>
                <w:color w:val="auto"/>
              </w:rPr>
              <w:t>2.3废水处理设施可行性分析</w:t>
            </w:r>
          </w:p>
          <w:p w14:paraId="4E44819D">
            <w:pPr>
              <w:adjustRightInd w:val="0"/>
              <w:snapToGrid w:val="0"/>
              <w:spacing w:line="360" w:lineRule="auto"/>
              <w:ind w:firstLine="480" w:firstLineChars="200"/>
              <w:rPr>
                <w:color w:val="auto"/>
                <w:kern w:val="0"/>
                <w:lang w:bidi="ar"/>
              </w:rPr>
            </w:pPr>
            <w:r>
              <w:rPr>
                <w:rFonts w:hint="eastAsia" w:ascii="宋体" w:hAnsi="宋体" w:cs="宋体"/>
                <w:bCs/>
                <w:color w:val="auto"/>
                <w:spacing w:val="0"/>
              </w:rPr>
              <w:t>项目废水处理措施可行性分析：</w:t>
            </w:r>
            <w:r>
              <w:rPr>
                <w:rFonts w:hint="eastAsia" w:ascii="宋体" w:hAnsi="宋体" w:cs="宋体"/>
                <w:bCs/>
                <w:color w:val="auto"/>
                <w:spacing w:val="0"/>
                <w:lang w:val="en-US" w:eastAsia="zh-CN"/>
              </w:rPr>
              <w:t>本</w:t>
            </w:r>
            <w:r>
              <w:rPr>
                <w:color w:val="auto"/>
              </w:rPr>
              <w:t>项目营运期</w:t>
            </w:r>
            <w:r>
              <w:rPr>
                <w:rFonts w:hint="eastAsia"/>
                <w:color w:val="auto"/>
              </w:rPr>
              <w:t>废水</w:t>
            </w:r>
            <w:r>
              <w:rPr>
                <w:color w:val="auto"/>
              </w:rPr>
              <w:t>主要为</w:t>
            </w:r>
            <w:r>
              <w:rPr>
                <w:rFonts w:hint="eastAsia"/>
                <w:color w:val="auto"/>
              </w:rPr>
              <w:t>生活污水，</w:t>
            </w:r>
            <w:r>
              <w:rPr>
                <w:rFonts w:hint="eastAsia"/>
                <w:color w:val="auto"/>
                <w:lang w:val="en-US" w:eastAsia="zh-CN"/>
              </w:rPr>
              <w:t>运营期新增生活污水排放4.48</w:t>
            </w:r>
            <w:r>
              <w:rPr>
                <w:rFonts w:hint="eastAsia"/>
                <w:color w:val="auto"/>
              </w:rPr>
              <w:t>t/</w:t>
            </w:r>
            <w:r>
              <w:rPr>
                <w:color w:val="auto"/>
              </w:rPr>
              <w:t>d</w:t>
            </w:r>
            <w:r>
              <w:rPr>
                <w:rFonts w:hint="eastAsia"/>
                <w:color w:val="auto"/>
              </w:rPr>
              <w:t>。生活污水经化粪池处理</w:t>
            </w:r>
            <w:r>
              <w:rPr>
                <w:rFonts w:hint="eastAsia"/>
                <w:lang w:val="en-US" w:eastAsia="zh-CN"/>
              </w:rPr>
              <w:t>后</w:t>
            </w:r>
            <w:r>
              <w:rPr>
                <w:rFonts w:hint="eastAsia"/>
                <w:color w:val="auto"/>
                <w:lang w:val="en-US" w:eastAsia="zh-CN"/>
              </w:rPr>
              <w:t>，</w:t>
            </w:r>
            <w:r>
              <w:rPr>
                <w:rFonts w:hint="eastAsia"/>
                <w:color w:val="auto"/>
              </w:rPr>
              <w:t>废水排入污水管网进入</w:t>
            </w:r>
            <w:r>
              <w:rPr>
                <w:rFonts w:hint="eastAsia"/>
                <w:color w:val="auto"/>
                <w:lang w:val="en-US" w:eastAsia="zh-CN"/>
              </w:rPr>
              <w:t>泗县工业</w:t>
            </w:r>
            <w:r>
              <w:rPr>
                <w:rFonts w:hint="eastAsia"/>
                <w:color w:val="auto"/>
              </w:rPr>
              <w:t>污水处理厂</w:t>
            </w:r>
            <w:r>
              <w:rPr>
                <w:color w:val="auto"/>
              </w:rPr>
              <w:t>处理</w:t>
            </w:r>
            <w:r>
              <w:rPr>
                <w:rFonts w:hint="eastAsia"/>
                <w:color w:val="auto"/>
              </w:rPr>
              <w:t>，</w:t>
            </w:r>
            <w:r>
              <w:rPr>
                <w:color w:val="auto"/>
              </w:rPr>
              <w:t>最后排放至</w:t>
            </w:r>
            <w:r>
              <w:rPr>
                <w:rFonts w:hint="eastAsia"/>
                <w:color w:val="auto"/>
                <w:lang w:val="en-US" w:eastAsia="zh-CN"/>
              </w:rPr>
              <w:t>石梁河</w:t>
            </w:r>
            <w:r>
              <w:rPr>
                <w:bCs/>
                <w:color w:val="auto"/>
                <w:spacing w:val="0"/>
              </w:rPr>
              <w:t>。</w:t>
            </w:r>
          </w:p>
          <w:p w14:paraId="70DD09A4">
            <w:pPr>
              <w:spacing w:line="360" w:lineRule="auto"/>
              <w:ind w:firstLine="482" w:firstLineChars="200"/>
              <w:rPr>
                <w:b/>
                <w:color w:val="auto"/>
              </w:rPr>
            </w:pPr>
            <w:r>
              <w:rPr>
                <w:rFonts w:hint="eastAsia"/>
                <w:b/>
                <w:color w:val="auto"/>
              </w:rPr>
              <w:t>2.4废水接管可行性分析</w:t>
            </w:r>
          </w:p>
          <w:p w14:paraId="71C6DD5C">
            <w:pPr>
              <w:adjustRightInd w:val="0"/>
              <w:snapToGrid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①污水处理厂简介</w:t>
            </w:r>
          </w:p>
          <w:p w14:paraId="70C00F5D">
            <w:pPr>
              <w:adjustRightInd w:val="0"/>
              <w:snapToGrid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泗县工业污水处理厂一期设计规模为2.0×10</w:t>
            </w:r>
            <w:r>
              <w:rPr>
                <w:rFonts w:hint="eastAsia" w:ascii="Times New Roman" w:hAnsi="Times New Roman" w:eastAsia="宋体" w:cs="Times New Roman"/>
                <w:vertAlign w:val="superscript"/>
              </w:rPr>
              <w:t>4</w:t>
            </w:r>
            <w:r>
              <w:rPr>
                <w:rFonts w:ascii="Times New Roman" w:hAnsi="Times New Roman" w:eastAsia="宋体" w:cs="Times New Roman"/>
              </w:rPr>
              <w:t>m</w:t>
            </w:r>
            <w:r>
              <w:rPr>
                <w:rFonts w:hint="eastAsia" w:ascii="Times New Roman" w:hAnsi="Times New Roman" w:eastAsia="宋体" w:cs="Times New Roman"/>
                <w:vertAlign w:val="superscript"/>
              </w:rPr>
              <w:t>3</w:t>
            </w:r>
            <w:r>
              <w:rPr>
                <w:rFonts w:ascii="Times New Roman" w:hAnsi="Times New Roman" w:eastAsia="宋体" w:cs="Times New Roman"/>
              </w:rPr>
              <w:t>/d，共建设2条水处理线，处理规模均为1.0×10</w:t>
            </w:r>
            <w:r>
              <w:rPr>
                <w:rFonts w:hint="eastAsia" w:ascii="Times New Roman" w:hAnsi="Times New Roman" w:eastAsia="宋体" w:cs="Times New Roman"/>
                <w:vertAlign w:val="superscript"/>
              </w:rPr>
              <w:t>4</w:t>
            </w:r>
            <w:r>
              <w:rPr>
                <w:rFonts w:ascii="Times New Roman" w:hAnsi="Times New Roman" w:eastAsia="宋体" w:cs="Times New Roman"/>
              </w:rPr>
              <w:t>m</w:t>
            </w:r>
            <w:r>
              <w:rPr>
                <w:rFonts w:hint="eastAsia" w:ascii="Times New Roman" w:hAnsi="Times New Roman" w:eastAsia="宋体" w:cs="Times New Roman"/>
                <w:vertAlign w:val="superscript"/>
              </w:rPr>
              <w:t>3</w:t>
            </w:r>
            <w:r>
              <w:rPr>
                <w:rFonts w:ascii="Times New Roman" w:hAnsi="Times New Roman" w:eastAsia="宋体" w:cs="Times New Roman"/>
              </w:rPr>
              <w:t>/d，总占地面积为100亩，一期建设占地约31400m</w:t>
            </w:r>
            <w:r>
              <w:rPr>
                <w:rFonts w:hint="eastAsia" w:ascii="Times New Roman" w:hAnsi="Times New Roman" w:eastAsia="宋体" w:cs="Times New Roman"/>
                <w:vertAlign w:val="superscript"/>
              </w:rPr>
              <w:t>2</w:t>
            </w:r>
            <w:r>
              <w:rPr>
                <w:rFonts w:ascii="Times New Roman" w:hAnsi="Times New Roman" w:eastAsia="宋体" w:cs="Times New Roman"/>
              </w:rPr>
              <w:t>，主要为接管范围内工业及生活污水，主体工艺为</w:t>
            </w:r>
            <w:r>
              <w:rPr>
                <w:rFonts w:hint="eastAsia" w:ascii="Times New Roman" w:hAnsi="Times New Roman" w:eastAsia="宋体" w:cs="Times New Roman"/>
              </w:rPr>
              <w:t>“</w:t>
            </w:r>
            <w:r>
              <w:rPr>
                <w:rFonts w:ascii="Times New Roman" w:hAnsi="Times New Roman" w:eastAsia="宋体" w:cs="Times New Roman"/>
              </w:rPr>
              <w:t>曝气沉砂池+水解酸化池+AO生化池+沉淀池+反硝化滤池+纤维转盘滤池+接触消毒池</w:t>
            </w:r>
            <w:r>
              <w:rPr>
                <w:rFonts w:hint="eastAsia" w:ascii="Times New Roman" w:hAnsi="Times New Roman" w:eastAsia="宋体" w:cs="Times New Roman"/>
              </w:rPr>
              <w:t>”</w:t>
            </w:r>
            <w:r>
              <w:rPr>
                <w:rFonts w:ascii="Times New Roman" w:hAnsi="Times New Roman" w:eastAsia="宋体" w:cs="Times New Roman"/>
              </w:rPr>
              <w:t>，设计出水水质稳定达到《城镇污水处理厂污染物排放标准》（GB18918-2002）表1中一级标准的A标准，尾水排入石梁河。目前污水处理厂正常运行，处理达标可行。</w:t>
            </w:r>
          </w:p>
          <w:p w14:paraId="0EB028C5">
            <w:pPr>
              <w:adjustRightInd w:val="0"/>
              <w:snapToGrid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②水量分析、水质分析</w:t>
            </w:r>
          </w:p>
          <w:p w14:paraId="41F69A51">
            <w:pPr>
              <w:adjustRightInd w:val="0"/>
              <w:snapToGrid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泗县工业污水处理厂一期工程设计规模为2.0×10</w:t>
            </w:r>
            <w:r>
              <w:rPr>
                <w:rFonts w:hint="eastAsia" w:ascii="Times New Roman" w:hAnsi="Times New Roman" w:eastAsia="宋体" w:cs="Times New Roman"/>
                <w:vertAlign w:val="superscript"/>
              </w:rPr>
              <w:t>4</w:t>
            </w:r>
            <w:r>
              <w:rPr>
                <w:rFonts w:ascii="Times New Roman" w:hAnsi="Times New Roman" w:eastAsia="宋体" w:cs="Times New Roman"/>
              </w:rPr>
              <w:t>m</w:t>
            </w:r>
            <w:r>
              <w:rPr>
                <w:rFonts w:hint="eastAsia" w:ascii="Times New Roman" w:hAnsi="Times New Roman" w:eastAsia="宋体" w:cs="Times New Roman"/>
                <w:vertAlign w:val="superscript"/>
              </w:rPr>
              <w:t>3</w:t>
            </w:r>
            <w:r>
              <w:rPr>
                <w:rFonts w:ascii="Times New Roman" w:hAnsi="Times New Roman" w:eastAsia="宋体" w:cs="Times New Roman"/>
              </w:rPr>
              <w:t>/d。本项目</w:t>
            </w:r>
            <w:r>
              <w:rPr>
                <w:rFonts w:hint="eastAsia" w:cs="Times New Roman"/>
                <w:lang w:val="en-US" w:eastAsia="zh-CN"/>
              </w:rPr>
              <w:t>建成后全厂新增生活污水量为4.48t/d</w:t>
            </w:r>
            <w:r>
              <w:rPr>
                <w:rFonts w:ascii="Times New Roman" w:hAnsi="Times New Roman" w:eastAsia="宋体" w:cs="Times New Roman"/>
              </w:rPr>
              <w:t>。且目前污水处理厂收水量远远小于设计规模，项目污水为生活污水，水质较简单，污染物含量浓度较低，且废水中各污染因子浓度均满足泗县工业污水处理厂接管要求，因此本项目废水进入污水处理厂处理对污水处理厂不造成冲击。</w:t>
            </w:r>
          </w:p>
          <w:p w14:paraId="53E480C3">
            <w:pPr>
              <w:adjustRightInd w:val="0"/>
              <w:snapToGrid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③收水范围</w:t>
            </w:r>
          </w:p>
          <w:p w14:paraId="642BFA3A">
            <w:pPr>
              <w:adjustRightInd w:val="0"/>
              <w:snapToGrid w:val="0"/>
              <w:spacing w:line="360" w:lineRule="auto"/>
              <w:ind w:firstLine="480" w:firstLineChars="200"/>
              <w:rPr>
                <w:rFonts w:ascii="Times New Roman" w:hAnsi="Times New Roman" w:eastAsia="宋体" w:cs="Times New Roman"/>
              </w:rPr>
            </w:pPr>
            <w:r>
              <w:rPr>
                <w:rFonts w:ascii="Times New Roman" w:hAnsi="Times New Roman" w:eastAsia="宋体" w:cs="Times New Roman"/>
              </w:rPr>
              <w:t>泗县工业污水处理厂收水范围为泗县经济开发区规划区域，泗县县城南侧，东至东三环路；西至三环西路；南至新汴河；北至古汴河，服务面积38km</w:t>
            </w:r>
            <w:r>
              <w:rPr>
                <w:rFonts w:hint="eastAsia" w:ascii="Times New Roman" w:hAnsi="Times New Roman" w:eastAsia="宋体" w:cs="Times New Roman"/>
                <w:vertAlign w:val="superscript"/>
              </w:rPr>
              <w:t>2</w:t>
            </w:r>
            <w:r>
              <w:rPr>
                <w:rFonts w:ascii="Times New Roman" w:hAnsi="Times New Roman" w:eastAsia="宋体" w:cs="Times New Roman"/>
              </w:rPr>
              <w:t>。本项目位于</w:t>
            </w:r>
            <w:r>
              <w:rPr>
                <w:rFonts w:hint="eastAsia" w:ascii="Times New Roman" w:hAnsi="Times New Roman" w:eastAsia="宋体" w:cs="Times New Roman"/>
              </w:rPr>
              <w:t>安徽省泗县</w:t>
            </w:r>
            <w:r>
              <w:rPr>
                <w:rFonts w:hint="eastAsia" w:cs="Times New Roman"/>
                <w:lang w:val="en-US" w:eastAsia="zh-CN"/>
              </w:rPr>
              <w:t>经济开发区</w:t>
            </w:r>
            <w:r>
              <w:rPr>
                <w:rFonts w:ascii="Times New Roman" w:hAnsi="Times New Roman" w:eastAsia="宋体" w:cs="Times New Roman"/>
              </w:rPr>
              <w:t>，根据泗县工业污水处理厂</w:t>
            </w:r>
            <w:r>
              <w:rPr>
                <w:rFonts w:hint="eastAsia" w:cs="Times New Roman"/>
                <w:lang w:val="en-US" w:eastAsia="zh-CN"/>
              </w:rPr>
              <w:t>收水范围</w:t>
            </w:r>
            <w:r>
              <w:rPr>
                <w:rFonts w:ascii="Times New Roman" w:hAnsi="Times New Roman" w:eastAsia="宋体" w:cs="Times New Roman"/>
              </w:rPr>
              <w:t>图，本项目所在位置污水管网已经建成，且在泗县工业污水处理厂收水范围，废水通过污水管网进入泗县工业污水处理厂。综上分析，本项目废水进入泗县工业污水处理厂处理是可行的。</w:t>
            </w:r>
          </w:p>
          <w:p w14:paraId="443FDDC7">
            <w:pPr>
              <w:spacing w:line="360" w:lineRule="auto"/>
              <w:ind w:firstLine="480" w:firstLineChars="200"/>
              <w:rPr>
                <w:color w:val="auto"/>
              </w:rPr>
            </w:pPr>
            <w:r>
              <w:rPr>
                <w:rFonts w:ascii="Times New Roman" w:hAnsi="Times New Roman" w:eastAsia="宋体" w:cs="Times New Roman"/>
              </w:rPr>
              <w:t>综上所述，本项目对水环境影响较小</w:t>
            </w:r>
            <w:r>
              <w:rPr>
                <w:bCs/>
                <w:color w:val="auto"/>
                <w:kern w:val="0"/>
                <w:lang w:bidi="ar"/>
              </w:rPr>
              <w:t>。</w:t>
            </w:r>
          </w:p>
          <w:p w14:paraId="08A72BF5">
            <w:pPr>
              <w:adjustRightInd w:val="0"/>
              <w:snapToGrid w:val="0"/>
              <w:spacing w:line="360" w:lineRule="auto"/>
              <w:rPr>
                <w:b/>
                <w:bCs/>
                <w:color w:val="auto"/>
              </w:rPr>
            </w:pPr>
            <w:r>
              <w:rPr>
                <w:rFonts w:hint="eastAsia"/>
                <w:b/>
                <w:bCs/>
                <w:color w:val="auto"/>
              </w:rPr>
              <w:t>3、</w:t>
            </w:r>
            <w:r>
              <w:rPr>
                <w:b/>
                <w:bCs/>
                <w:color w:val="auto"/>
              </w:rPr>
              <w:t>噪声</w:t>
            </w:r>
          </w:p>
          <w:p w14:paraId="697EE9CC">
            <w:pPr>
              <w:pStyle w:val="81"/>
              <w:adjustRightInd w:val="0"/>
              <w:snapToGrid w:val="0"/>
              <w:spacing w:line="360" w:lineRule="auto"/>
              <w:jc w:val="left"/>
              <w:rPr>
                <w:rFonts w:ascii="Times New Roman" w:hAnsi="Times New Roman" w:eastAsia="宋体"/>
                <w:color w:val="auto"/>
              </w:rPr>
            </w:pPr>
            <w:r>
              <w:rPr>
                <w:rFonts w:ascii="Times New Roman" w:hAnsi="Times New Roman" w:eastAsia="宋体"/>
                <w:color w:val="auto"/>
              </w:rPr>
              <w:t>本项目营运期主要噪声来源于设备运行产生的噪声，噪声源强约为65~</w:t>
            </w:r>
            <w:r>
              <w:rPr>
                <w:rFonts w:hint="eastAsia" w:ascii="Times New Roman" w:hAnsi="Times New Roman" w:eastAsia="宋体"/>
                <w:color w:val="auto"/>
              </w:rPr>
              <w:t>90</w:t>
            </w:r>
            <w:r>
              <w:rPr>
                <w:rFonts w:ascii="Times New Roman" w:hAnsi="Times New Roman" w:eastAsia="宋体"/>
                <w:color w:val="auto"/>
              </w:rPr>
              <w:t>dB(A)之间，本项目对噪声较大的设备采取降噪减振措施，经过安装减振基座、厂房隔声；车辆减速慢行、禁鸣等降噪措施，噪声声级降低20dB（A），使厂界噪声达到《工业企业厂界环境噪声排放标准》GB12348-2008中</w:t>
            </w:r>
            <w:r>
              <w:rPr>
                <w:rFonts w:hint="eastAsia" w:ascii="Times New Roman" w:hAnsi="Times New Roman" w:eastAsia="宋体"/>
                <w:color w:val="auto"/>
              </w:rPr>
              <w:t>3</w:t>
            </w:r>
            <w:r>
              <w:rPr>
                <w:rFonts w:ascii="Times New Roman" w:hAnsi="Times New Roman" w:eastAsia="宋体"/>
                <w:color w:val="auto"/>
              </w:rPr>
              <w:t>类标准，噪声评价内容设备产生噪声、降噪损失声级、建筑外噪声，详见下表。</w:t>
            </w:r>
          </w:p>
          <w:p w14:paraId="76EC99C5">
            <w:pPr>
              <w:widowControl/>
              <w:adjustRightInd w:val="0"/>
              <w:snapToGrid w:val="0"/>
              <w:ind w:firstLine="482" w:firstLineChars="200"/>
              <w:jc w:val="center"/>
              <w:rPr>
                <w:b/>
                <w:color w:val="auto"/>
                <w:lang w:bidi="ar"/>
              </w:rPr>
            </w:pPr>
            <w:r>
              <w:rPr>
                <w:b/>
                <w:color w:val="auto"/>
                <w:lang w:bidi="ar"/>
              </w:rPr>
              <w:t>表</w:t>
            </w:r>
            <w:r>
              <w:rPr>
                <w:rFonts w:hint="eastAsia"/>
                <w:b/>
                <w:color w:val="auto"/>
                <w:lang w:bidi="ar"/>
              </w:rPr>
              <w:t>4-</w:t>
            </w:r>
            <w:r>
              <w:rPr>
                <w:rFonts w:hint="eastAsia"/>
                <w:b/>
                <w:color w:val="auto"/>
                <w:lang w:val="en-US" w:eastAsia="zh-CN" w:bidi="ar"/>
              </w:rPr>
              <w:t>10</w:t>
            </w:r>
            <w:r>
              <w:rPr>
                <w:rFonts w:hint="eastAsia"/>
                <w:b/>
                <w:color w:val="auto"/>
                <w:lang w:bidi="ar"/>
              </w:rPr>
              <w:t xml:space="preserve"> </w:t>
            </w:r>
            <w:r>
              <w:rPr>
                <w:b/>
                <w:color w:val="auto"/>
                <w:lang w:bidi="ar"/>
              </w:rPr>
              <w:t xml:space="preserve"> </w:t>
            </w:r>
            <w:r>
              <w:rPr>
                <w:rFonts w:hint="eastAsia"/>
                <w:b/>
                <w:color w:val="auto"/>
                <w:lang w:bidi="ar"/>
              </w:rPr>
              <w:t>工业企业噪声源强调查清单（室外声源）</w:t>
            </w:r>
          </w:p>
          <w:tbl>
            <w:tblPr>
              <w:tblStyle w:val="30"/>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8"/>
              <w:gridCol w:w="905"/>
              <w:gridCol w:w="888"/>
              <w:gridCol w:w="878"/>
              <w:gridCol w:w="694"/>
              <w:gridCol w:w="899"/>
              <w:gridCol w:w="1523"/>
              <w:gridCol w:w="909"/>
            </w:tblGrid>
            <w:tr w14:paraId="0C6D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726" w:type="pct"/>
                  <w:vMerge w:val="restart"/>
                  <w:tcMar>
                    <w:top w:w="12" w:type="dxa"/>
                    <w:left w:w="12" w:type="dxa"/>
                    <w:bottom w:w="0" w:type="dxa"/>
                    <w:right w:w="12" w:type="dxa"/>
                  </w:tcMar>
                  <w:vAlign w:val="center"/>
                </w:tcPr>
                <w:p w14:paraId="330B9EAE">
                  <w:pPr>
                    <w:adjustRightInd w:val="0"/>
                    <w:snapToGrid w:val="0"/>
                    <w:jc w:val="center"/>
                    <w:rPr>
                      <w:b/>
                      <w:color w:val="auto"/>
                      <w:sz w:val="21"/>
                      <w:szCs w:val="21"/>
                    </w:rPr>
                  </w:pPr>
                  <w:r>
                    <w:rPr>
                      <w:rFonts w:hint="eastAsia"/>
                      <w:b/>
                      <w:color w:val="auto"/>
                      <w:sz w:val="21"/>
                      <w:szCs w:val="21"/>
                    </w:rPr>
                    <w:t>声源名称</w:t>
                  </w:r>
                </w:p>
              </w:tc>
              <w:tc>
                <w:tcPr>
                  <w:tcW w:w="577" w:type="pct"/>
                  <w:vMerge w:val="restart"/>
                  <w:vAlign w:val="center"/>
                </w:tcPr>
                <w:p w14:paraId="5928AB02">
                  <w:pPr>
                    <w:adjustRightInd w:val="0"/>
                    <w:snapToGrid w:val="0"/>
                    <w:jc w:val="center"/>
                    <w:rPr>
                      <w:b/>
                      <w:color w:val="auto"/>
                      <w:sz w:val="21"/>
                      <w:szCs w:val="21"/>
                    </w:rPr>
                  </w:pPr>
                  <w:r>
                    <w:rPr>
                      <w:rFonts w:hint="eastAsia"/>
                      <w:b/>
                      <w:color w:val="auto"/>
                      <w:sz w:val="21"/>
                      <w:szCs w:val="21"/>
                    </w:rPr>
                    <w:t>型号</w:t>
                  </w:r>
                </w:p>
              </w:tc>
              <w:tc>
                <w:tcPr>
                  <w:tcW w:w="1570" w:type="pct"/>
                  <w:gridSpan w:val="3"/>
                  <w:vAlign w:val="center"/>
                </w:tcPr>
                <w:p w14:paraId="7BCF9DDB">
                  <w:pPr>
                    <w:adjustRightInd w:val="0"/>
                    <w:snapToGrid w:val="0"/>
                    <w:jc w:val="center"/>
                    <w:rPr>
                      <w:b/>
                      <w:color w:val="auto"/>
                      <w:sz w:val="21"/>
                      <w:szCs w:val="21"/>
                    </w:rPr>
                  </w:pPr>
                  <w:r>
                    <w:rPr>
                      <w:rFonts w:hint="eastAsia"/>
                      <w:b/>
                      <w:color w:val="auto"/>
                      <w:sz w:val="21"/>
                      <w:szCs w:val="21"/>
                    </w:rPr>
                    <w:t>空间相对位置</w:t>
                  </w:r>
                </w:p>
              </w:tc>
              <w:tc>
                <w:tcPr>
                  <w:tcW w:w="573" w:type="pct"/>
                  <w:vMerge w:val="restart"/>
                  <w:vAlign w:val="center"/>
                </w:tcPr>
                <w:p w14:paraId="189D5E51">
                  <w:pPr>
                    <w:adjustRightInd w:val="0"/>
                    <w:snapToGrid w:val="0"/>
                    <w:jc w:val="center"/>
                    <w:rPr>
                      <w:b/>
                      <w:color w:val="auto"/>
                      <w:sz w:val="21"/>
                      <w:szCs w:val="21"/>
                    </w:rPr>
                  </w:pPr>
                  <w:r>
                    <w:rPr>
                      <w:rFonts w:hint="eastAsia"/>
                      <w:b/>
                      <w:color w:val="auto"/>
                      <w:sz w:val="21"/>
                      <w:szCs w:val="21"/>
                    </w:rPr>
                    <w:t>声压级/dB（A）</w:t>
                  </w:r>
                </w:p>
              </w:tc>
              <w:tc>
                <w:tcPr>
                  <w:tcW w:w="972" w:type="pct"/>
                  <w:vMerge w:val="restart"/>
                  <w:vAlign w:val="center"/>
                </w:tcPr>
                <w:p w14:paraId="321E04B9">
                  <w:pPr>
                    <w:adjustRightInd w:val="0"/>
                    <w:snapToGrid w:val="0"/>
                    <w:jc w:val="center"/>
                    <w:rPr>
                      <w:b/>
                      <w:color w:val="auto"/>
                      <w:sz w:val="21"/>
                      <w:szCs w:val="21"/>
                    </w:rPr>
                  </w:pPr>
                  <w:r>
                    <w:rPr>
                      <w:rFonts w:hint="eastAsia"/>
                      <w:b/>
                      <w:color w:val="auto"/>
                      <w:sz w:val="21"/>
                      <w:szCs w:val="21"/>
                    </w:rPr>
                    <w:t>声源控制措施</w:t>
                  </w:r>
                </w:p>
              </w:tc>
              <w:tc>
                <w:tcPr>
                  <w:tcW w:w="580" w:type="pct"/>
                  <w:vMerge w:val="restart"/>
                  <w:vAlign w:val="center"/>
                </w:tcPr>
                <w:p w14:paraId="6C7AD774">
                  <w:pPr>
                    <w:adjustRightInd w:val="0"/>
                    <w:snapToGrid w:val="0"/>
                    <w:jc w:val="center"/>
                    <w:rPr>
                      <w:b/>
                      <w:color w:val="auto"/>
                      <w:sz w:val="21"/>
                      <w:szCs w:val="21"/>
                    </w:rPr>
                  </w:pPr>
                  <w:r>
                    <w:rPr>
                      <w:rFonts w:hint="eastAsia"/>
                      <w:b/>
                      <w:color w:val="auto"/>
                      <w:sz w:val="21"/>
                      <w:szCs w:val="21"/>
                    </w:rPr>
                    <w:t>运行时段（h/d）</w:t>
                  </w:r>
                </w:p>
              </w:tc>
            </w:tr>
            <w:tr w14:paraId="1ED3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726" w:type="pct"/>
                  <w:vMerge w:val="continue"/>
                  <w:tcMar>
                    <w:top w:w="12" w:type="dxa"/>
                    <w:left w:w="12" w:type="dxa"/>
                    <w:bottom w:w="0" w:type="dxa"/>
                    <w:right w:w="12" w:type="dxa"/>
                  </w:tcMar>
                  <w:vAlign w:val="center"/>
                </w:tcPr>
                <w:p w14:paraId="14EFF489">
                  <w:pPr>
                    <w:jc w:val="center"/>
                    <w:rPr>
                      <w:bCs/>
                      <w:color w:val="auto"/>
                      <w:sz w:val="21"/>
                      <w:szCs w:val="21"/>
                    </w:rPr>
                  </w:pPr>
                </w:p>
              </w:tc>
              <w:tc>
                <w:tcPr>
                  <w:tcW w:w="577" w:type="pct"/>
                  <w:vMerge w:val="continue"/>
                  <w:vAlign w:val="center"/>
                </w:tcPr>
                <w:p w14:paraId="4908D1E8">
                  <w:pPr>
                    <w:jc w:val="center"/>
                    <w:rPr>
                      <w:bCs/>
                      <w:color w:val="auto"/>
                      <w:sz w:val="21"/>
                      <w:szCs w:val="21"/>
                    </w:rPr>
                  </w:pPr>
                </w:p>
              </w:tc>
              <w:tc>
                <w:tcPr>
                  <w:tcW w:w="566" w:type="pct"/>
                  <w:vAlign w:val="center"/>
                </w:tcPr>
                <w:p w14:paraId="42F9CE5D">
                  <w:pPr>
                    <w:jc w:val="center"/>
                    <w:rPr>
                      <w:bCs/>
                      <w:color w:val="auto"/>
                      <w:sz w:val="21"/>
                      <w:szCs w:val="21"/>
                    </w:rPr>
                  </w:pPr>
                  <w:r>
                    <w:rPr>
                      <w:rFonts w:hint="eastAsia"/>
                      <w:bCs/>
                      <w:color w:val="auto"/>
                      <w:sz w:val="21"/>
                      <w:szCs w:val="21"/>
                    </w:rPr>
                    <w:t>X</w:t>
                  </w:r>
                </w:p>
              </w:tc>
              <w:tc>
                <w:tcPr>
                  <w:tcW w:w="560" w:type="pct"/>
                  <w:vAlign w:val="center"/>
                </w:tcPr>
                <w:p w14:paraId="3116D577">
                  <w:pPr>
                    <w:jc w:val="center"/>
                    <w:rPr>
                      <w:bCs/>
                      <w:color w:val="auto"/>
                      <w:sz w:val="21"/>
                      <w:szCs w:val="21"/>
                    </w:rPr>
                  </w:pPr>
                  <w:r>
                    <w:rPr>
                      <w:rFonts w:hint="eastAsia"/>
                      <w:bCs/>
                      <w:color w:val="auto"/>
                      <w:sz w:val="21"/>
                      <w:szCs w:val="21"/>
                    </w:rPr>
                    <w:t>Y</w:t>
                  </w:r>
                </w:p>
              </w:tc>
              <w:tc>
                <w:tcPr>
                  <w:tcW w:w="442" w:type="pct"/>
                  <w:vAlign w:val="center"/>
                </w:tcPr>
                <w:p w14:paraId="295B6788">
                  <w:pPr>
                    <w:jc w:val="center"/>
                    <w:rPr>
                      <w:bCs/>
                      <w:color w:val="auto"/>
                      <w:sz w:val="21"/>
                      <w:szCs w:val="21"/>
                    </w:rPr>
                  </w:pPr>
                  <w:r>
                    <w:rPr>
                      <w:rFonts w:hint="eastAsia"/>
                      <w:bCs/>
                      <w:color w:val="auto"/>
                      <w:sz w:val="21"/>
                      <w:szCs w:val="21"/>
                    </w:rPr>
                    <w:t>Z</w:t>
                  </w:r>
                </w:p>
              </w:tc>
              <w:tc>
                <w:tcPr>
                  <w:tcW w:w="573" w:type="pct"/>
                  <w:vMerge w:val="continue"/>
                  <w:vAlign w:val="center"/>
                </w:tcPr>
                <w:p w14:paraId="0F1D021D">
                  <w:pPr>
                    <w:jc w:val="center"/>
                    <w:rPr>
                      <w:bCs/>
                      <w:color w:val="auto"/>
                      <w:sz w:val="21"/>
                      <w:szCs w:val="21"/>
                    </w:rPr>
                  </w:pPr>
                </w:p>
              </w:tc>
              <w:tc>
                <w:tcPr>
                  <w:tcW w:w="972" w:type="pct"/>
                  <w:vMerge w:val="continue"/>
                  <w:vAlign w:val="center"/>
                </w:tcPr>
                <w:p w14:paraId="7A0723AE">
                  <w:pPr>
                    <w:jc w:val="center"/>
                    <w:rPr>
                      <w:bCs/>
                      <w:color w:val="auto"/>
                      <w:sz w:val="21"/>
                      <w:szCs w:val="21"/>
                    </w:rPr>
                  </w:pPr>
                </w:p>
              </w:tc>
              <w:tc>
                <w:tcPr>
                  <w:tcW w:w="580" w:type="pct"/>
                  <w:vMerge w:val="continue"/>
                  <w:vAlign w:val="center"/>
                </w:tcPr>
                <w:p w14:paraId="1A844FFB">
                  <w:pPr>
                    <w:jc w:val="center"/>
                    <w:rPr>
                      <w:bCs/>
                      <w:color w:val="auto"/>
                      <w:sz w:val="21"/>
                      <w:szCs w:val="21"/>
                    </w:rPr>
                  </w:pPr>
                </w:p>
              </w:tc>
            </w:tr>
            <w:tr w14:paraId="6131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726" w:type="pct"/>
                  <w:tcMar>
                    <w:top w:w="12" w:type="dxa"/>
                    <w:left w:w="12" w:type="dxa"/>
                    <w:bottom w:w="0" w:type="dxa"/>
                    <w:right w:w="12" w:type="dxa"/>
                  </w:tcMar>
                  <w:vAlign w:val="center"/>
                </w:tcPr>
                <w:p w14:paraId="355F9E1A">
                  <w:pPr>
                    <w:jc w:val="center"/>
                    <w:rPr>
                      <w:color w:val="auto"/>
                      <w:kern w:val="0"/>
                      <w:sz w:val="21"/>
                      <w:szCs w:val="21"/>
                    </w:rPr>
                  </w:pPr>
                  <w:r>
                    <w:rPr>
                      <w:rFonts w:hint="eastAsia"/>
                      <w:color w:val="auto"/>
                      <w:kern w:val="0"/>
                      <w:sz w:val="21"/>
                      <w:szCs w:val="21"/>
                    </w:rPr>
                    <w:t>空压机</w:t>
                  </w:r>
                </w:p>
              </w:tc>
              <w:tc>
                <w:tcPr>
                  <w:tcW w:w="577" w:type="pct"/>
                  <w:vAlign w:val="center"/>
                </w:tcPr>
                <w:p w14:paraId="5D524FA3">
                  <w:pPr>
                    <w:jc w:val="center"/>
                    <w:rPr>
                      <w:bCs/>
                      <w:color w:val="auto"/>
                      <w:sz w:val="21"/>
                      <w:szCs w:val="21"/>
                    </w:rPr>
                  </w:pPr>
                  <w:r>
                    <w:rPr>
                      <w:rFonts w:hint="eastAsia"/>
                      <w:bCs/>
                      <w:color w:val="auto"/>
                      <w:sz w:val="21"/>
                      <w:szCs w:val="21"/>
                    </w:rPr>
                    <w:t>定制</w:t>
                  </w:r>
                </w:p>
              </w:tc>
              <w:tc>
                <w:tcPr>
                  <w:tcW w:w="566" w:type="pct"/>
                  <w:vAlign w:val="center"/>
                </w:tcPr>
                <w:p w14:paraId="101477DA">
                  <w:pPr>
                    <w:jc w:val="center"/>
                    <w:rPr>
                      <w:bCs/>
                      <w:color w:val="auto"/>
                      <w:sz w:val="21"/>
                      <w:szCs w:val="21"/>
                    </w:rPr>
                  </w:pPr>
                  <w:r>
                    <w:rPr>
                      <w:rFonts w:hint="eastAsia"/>
                      <w:bCs/>
                      <w:color w:val="auto"/>
                      <w:sz w:val="21"/>
                      <w:szCs w:val="21"/>
                    </w:rPr>
                    <w:t>5</w:t>
                  </w:r>
                </w:p>
              </w:tc>
              <w:tc>
                <w:tcPr>
                  <w:tcW w:w="560" w:type="pct"/>
                  <w:vAlign w:val="center"/>
                </w:tcPr>
                <w:p w14:paraId="61CB19BD">
                  <w:pPr>
                    <w:jc w:val="center"/>
                    <w:rPr>
                      <w:bCs/>
                      <w:color w:val="auto"/>
                      <w:sz w:val="21"/>
                      <w:szCs w:val="21"/>
                    </w:rPr>
                  </w:pPr>
                  <w:r>
                    <w:rPr>
                      <w:rFonts w:hint="eastAsia"/>
                      <w:bCs/>
                      <w:color w:val="auto"/>
                      <w:sz w:val="21"/>
                      <w:szCs w:val="21"/>
                    </w:rPr>
                    <w:t>-12</w:t>
                  </w:r>
                </w:p>
              </w:tc>
              <w:tc>
                <w:tcPr>
                  <w:tcW w:w="442" w:type="pct"/>
                  <w:vAlign w:val="center"/>
                </w:tcPr>
                <w:p w14:paraId="5F000850">
                  <w:pPr>
                    <w:jc w:val="center"/>
                    <w:rPr>
                      <w:bCs/>
                      <w:color w:val="auto"/>
                      <w:sz w:val="21"/>
                      <w:szCs w:val="21"/>
                    </w:rPr>
                  </w:pPr>
                  <w:r>
                    <w:rPr>
                      <w:rFonts w:hint="eastAsia"/>
                      <w:bCs/>
                      <w:color w:val="auto"/>
                      <w:sz w:val="21"/>
                      <w:szCs w:val="21"/>
                    </w:rPr>
                    <w:t>0</w:t>
                  </w:r>
                </w:p>
              </w:tc>
              <w:tc>
                <w:tcPr>
                  <w:tcW w:w="573" w:type="pct"/>
                  <w:vAlign w:val="center"/>
                </w:tcPr>
                <w:p w14:paraId="0727DA5D">
                  <w:pPr>
                    <w:widowControl/>
                    <w:adjustRightInd w:val="0"/>
                    <w:snapToGrid w:val="0"/>
                    <w:jc w:val="center"/>
                    <w:rPr>
                      <w:bCs/>
                      <w:color w:val="auto"/>
                      <w:sz w:val="21"/>
                      <w:szCs w:val="21"/>
                    </w:rPr>
                  </w:pPr>
                  <w:r>
                    <w:rPr>
                      <w:rFonts w:hint="eastAsia"/>
                      <w:bCs/>
                      <w:color w:val="auto"/>
                      <w:sz w:val="21"/>
                      <w:szCs w:val="21"/>
                    </w:rPr>
                    <w:t>80</w:t>
                  </w:r>
                </w:p>
              </w:tc>
              <w:tc>
                <w:tcPr>
                  <w:tcW w:w="972" w:type="pct"/>
                  <w:vMerge w:val="restart"/>
                  <w:vAlign w:val="center"/>
                </w:tcPr>
                <w:p w14:paraId="68A9CAA1">
                  <w:pPr>
                    <w:jc w:val="center"/>
                    <w:rPr>
                      <w:bCs/>
                      <w:color w:val="auto"/>
                      <w:sz w:val="21"/>
                      <w:szCs w:val="21"/>
                    </w:rPr>
                  </w:pPr>
                  <w:r>
                    <w:rPr>
                      <w:color w:val="auto"/>
                      <w:sz w:val="21"/>
                      <w:szCs w:val="21"/>
                    </w:rPr>
                    <w:t>安装减振基座、厂房隔声</w:t>
                  </w:r>
                </w:p>
              </w:tc>
              <w:tc>
                <w:tcPr>
                  <w:tcW w:w="580" w:type="pct"/>
                  <w:vAlign w:val="center"/>
                </w:tcPr>
                <w:p w14:paraId="413D94A3">
                  <w:pPr>
                    <w:jc w:val="center"/>
                    <w:rPr>
                      <w:rFonts w:hint="eastAsia" w:eastAsia="宋体"/>
                      <w:bCs/>
                      <w:color w:val="auto"/>
                      <w:sz w:val="21"/>
                      <w:szCs w:val="21"/>
                      <w:lang w:val="en-US" w:eastAsia="zh-CN"/>
                    </w:rPr>
                  </w:pPr>
                  <w:r>
                    <w:rPr>
                      <w:rFonts w:hint="eastAsia"/>
                      <w:bCs/>
                      <w:color w:val="auto"/>
                      <w:sz w:val="21"/>
                      <w:szCs w:val="21"/>
                      <w:lang w:val="en-US" w:eastAsia="zh-CN"/>
                    </w:rPr>
                    <w:t>8</w:t>
                  </w:r>
                </w:p>
              </w:tc>
            </w:tr>
            <w:tr w14:paraId="2AD2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726" w:type="pct"/>
                  <w:tcMar>
                    <w:top w:w="12" w:type="dxa"/>
                    <w:left w:w="12" w:type="dxa"/>
                    <w:bottom w:w="0" w:type="dxa"/>
                    <w:right w:w="12" w:type="dxa"/>
                  </w:tcMar>
                  <w:vAlign w:val="center"/>
                </w:tcPr>
                <w:p w14:paraId="69E87C70">
                  <w:pPr>
                    <w:jc w:val="center"/>
                    <w:rPr>
                      <w:color w:val="auto"/>
                      <w:kern w:val="0"/>
                      <w:sz w:val="21"/>
                      <w:szCs w:val="21"/>
                    </w:rPr>
                  </w:pPr>
                  <w:r>
                    <w:rPr>
                      <w:rFonts w:hint="eastAsia"/>
                      <w:color w:val="auto"/>
                      <w:kern w:val="0"/>
                      <w:sz w:val="21"/>
                      <w:szCs w:val="21"/>
                    </w:rPr>
                    <w:t>风机</w:t>
                  </w:r>
                </w:p>
              </w:tc>
              <w:tc>
                <w:tcPr>
                  <w:tcW w:w="577" w:type="pct"/>
                  <w:vAlign w:val="center"/>
                </w:tcPr>
                <w:p w14:paraId="0B9C88D6">
                  <w:pPr>
                    <w:jc w:val="center"/>
                    <w:rPr>
                      <w:bCs/>
                      <w:color w:val="auto"/>
                      <w:sz w:val="21"/>
                      <w:szCs w:val="21"/>
                    </w:rPr>
                  </w:pPr>
                  <w:r>
                    <w:rPr>
                      <w:rFonts w:hint="eastAsia"/>
                      <w:bCs/>
                      <w:color w:val="auto"/>
                      <w:sz w:val="21"/>
                      <w:szCs w:val="21"/>
                    </w:rPr>
                    <w:t>定制</w:t>
                  </w:r>
                </w:p>
              </w:tc>
              <w:tc>
                <w:tcPr>
                  <w:tcW w:w="566" w:type="pct"/>
                  <w:vAlign w:val="center"/>
                </w:tcPr>
                <w:p w14:paraId="080FAA69">
                  <w:pPr>
                    <w:jc w:val="center"/>
                    <w:rPr>
                      <w:bCs/>
                      <w:color w:val="auto"/>
                      <w:sz w:val="21"/>
                      <w:szCs w:val="21"/>
                    </w:rPr>
                  </w:pPr>
                  <w:r>
                    <w:rPr>
                      <w:rFonts w:hint="eastAsia"/>
                      <w:bCs/>
                      <w:color w:val="auto"/>
                      <w:sz w:val="21"/>
                      <w:szCs w:val="21"/>
                    </w:rPr>
                    <w:t>4</w:t>
                  </w:r>
                </w:p>
              </w:tc>
              <w:tc>
                <w:tcPr>
                  <w:tcW w:w="560" w:type="pct"/>
                  <w:vAlign w:val="center"/>
                </w:tcPr>
                <w:p w14:paraId="32A9B55C">
                  <w:pPr>
                    <w:jc w:val="center"/>
                    <w:rPr>
                      <w:bCs/>
                      <w:color w:val="auto"/>
                      <w:sz w:val="21"/>
                      <w:szCs w:val="21"/>
                    </w:rPr>
                  </w:pPr>
                  <w:r>
                    <w:rPr>
                      <w:rFonts w:hint="eastAsia"/>
                      <w:bCs/>
                      <w:color w:val="auto"/>
                      <w:sz w:val="21"/>
                      <w:szCs w:val="21"/>
                    </w:rPr>
                    <w:t>-8</w:t>
                  </w:r>
                </w:p>
              </w:tc>
              <w:tc>
                <w:tcPr>
                  <w:tcW w:w="442" w:type="pct"/>
                  <w:vAlign w:val="center"/>
                </w:tcPr>
                <w:p w14:paraId="79CAF60A">
                  <w:pPr>
                    <w:jc w:val="center"/>
                    <w:rPr>
                      <w:bCs/>
                      <w:color w:val="auto"/>
                      <w:sz w:val="21"/>
                      <w:szCs w:val="21"/>
                    </w:rPr>
                  </w:pPr>
                  <w:r>
                    <w:rPr>
                      <w:rFonts w:hint="eastAsia"/>
                      <w:bCs/>
                      <w:color w:val="auto"/>
                      <w:sz w:val="21"/>
                      <w:szCs w:val="21"/>
                    </w:rPr>
                    <w:t>0</w:t>
                  </w:r>
                </w:p>
              </w:tc>
              <w:tc>
                <w:tcPr>
                  <w:tcW w:w="573" w:type="pct"/>
                  <w:vAlign w:val="center"/>
                </w:tcPr>
                <w:p w14:paraId="0AF76EF3">
                  <w:pPr>
                    <w:widowControl/>
                    <w:adjustRightInd w:val="0"/>
                    <w:snapToGrid w:val="0"/>
                    <w:jc w:val="center"/>
                    <w:rPr>
                      <w:bCs/>
                      <w:color w:val="auto"/>
                      <w:sz w:val="21"/>
                      <w:szCs w:val="21"/>
                    </w:rPr>
                  </w:pPr>
                  <w:r>
                    <w:rPr>
                      <w:rFonts w:hint="eastAsia"/>
                      <w:bCs/>
                      <w:color w:val="auto"/>
                      <w:sz w:val="21"/>
                      <w:szCs w:val="21"/>
                    </w:rPr>
                    <w:t>80</w:t>
                  </w:r>
                </w:p>
              </w:tc>
              <w:tc>
                <w:tcPr>
                  <w:tcW w:w="972" w:type="pct"/>
                  <w:vMerge w:val="continue"/>
                  <w:vAlign w:val="center"/>
                </w:tcPr>
                <w:p w14:paraId="19F2E8D2">
                  <w:pPr>
                    <w:jc w:val="center"/>
                    <w:rPr>
                      <w:bCs/>
                      <w:color w:val="auto"/>
                      <w:sz w:val="21"/>
                      <w:szCs w:val="21"/>
                    </w:rPr>
                  </w:pPr>
                </w:p>
              </w:tc>
              <w:tc>
                <w:tcPr>
                  <w:tcW w:w="580" w:type="pct"/>
                  <w:vAlign w:val="center"/>
                </w:tcPr>
                <w:p w14:paraId="50798A2C">
                  <w:pPr>
                    <w:jc w:val="center"/>
                    <w:rPr>
                      <w:bCs/>
                      <w:color w:val="auto"/>
                      <w:sz w:val="21"/>
                      <w:szCs w:val="21"/>
                    </w:rPr>
                  </w:pPr>
                  <w:r>
                    <w:rPr>
                      <w:rFonts w:hint="eastAsia"/>
                      <w:bCs/>
                      <w:color w:val="auto"/>
                      <w:sz w:val="21"/>
                      <w:szCs w:val="21"/>
                      <w:lang w:val="en-US" w:eastAsia="zh-CN"/>
                    </w:rPr>
                    <w:t>8</w:t>
                  </w:r>
                </w:p>
              </w:tc>
            </w:tr>
          </w:tbl>
          <w:p w14:paraId="614A8BE5">
            <w:pPr>
              <w:pStyle w:val="81"/>
              <w:adjustRightInd w:val="0"/>
              <w:snapToGrid w:val="0"/>
              <w:ind w:firstLine="0" w:firstLineChars="0"/>
              <w:jc w:val="left"/>
              <w:rPr>
                <w:rFonts w:ascii="Times New Roman" w:hAnsi="Times New Roman" w:eastAsia="宋体"/>
                <w:color w:val="auto"/>
                <w:sz w:val="21"/>
                <w:szCs w:val="21"/>
              </w:rPr>
            </w:pPr>
            <w:r>
              <w:rPr>
                <w:rFonts w:hint="eastAsia" w:ascii="Times New Roman" w:hAnsi="Times New Roman" w:eastAsia="宋体"/>
                <w:color w:val="auto"/>
                <w:sz w:val="21"/>
                <w:szCs w:val="21"/>
              </w:rPr>
              <w:t>注：项目以厂区中心点为坐标原点，正东为X轴，正北为Y轴，高度为Z轴</w:t>
            </w:r>
          </w:p>
          <w:p w14:paraId="0D27CFF5">
            <w:pPr>
              <w:pStyle w:val="81"/>
              <w:adjustRightInd w:val="0"/>
              <w:snapToGrid w:val="0"/>
              <w:ind w:firstLine="0" w:firstLineChars="0"/>
              <w:jc w:val="center"/>
              <w:rPr>
                <w:rFonts w:ascii="Times New Roman" w:hAnsi="Times New Roman" w:eastAsia="宋体"/>
                <w:color w:val="auto"/>
              </w:rPr>
            </w:pPr>
            <w:r>
              <w:rPr>
                <w:rFonts w:hint="eastAsia" w:ascii="Times New Roman" w:hAnsi="Times New Roman" w:eastAsia="宋体"/>
                <w:b/>
                <w:bCs/>
                <w:color w:val="auto"/>
              </w:rPr>
              <w:t>表4-1</w:t>
            </w:r>
            <w:r>
              <w:rPr>
                <w:rFonts w:hint="eastAsia" w:ascii="Times New Roman" w:hAnsi="Times New Roman" w:eastAsia="宋体"/>
                <w:b/>
                <w:bCs/>
                <w:color w:val="auto"/>
                <w:lang w:val="en-US" w:eastAsia="zh-CN"/>
              </w:rPr>
              <w:t>1</w:t>
            </w:r>
            <w:r>
              <w:rPr>
                <w:rFonts w:hint="eastAsia" w:ascii="Times New Roman" w:hAnsi="Times New Roman" w:eastAsia="宋体"/>
                <w:b/>
                <w:bCs/>
                <w:color w:val="auto"/>
              </w:rPr>
              <w:t xml:space="preserve">  项目主要设备噪声源强一览表 </w:t>
            </w:r>
            <w:r>
              <w:rPr>
                <w:rFonts w:ascii="Times New Roman" w:hAnsi="Times New Roman" w:eastAsia="宋体"/>
                <w:b/>
                <w:bCs/>
                <w:color w:val="auto"/>
              </w:rPr>
              <w:t>dB（A）</w:t>
            </w:r>
          </w:p>
          <w:tbl>
            <w:tblPr>
              <w:tblStyle w:val="30"/>
              <w:tblW w:w="47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9"/>
              <w:gridCol w:w="691"/>
              <w:gridCol w:w="761"/>
              <w:gridCol w:w="499"/>
              <w:gridCol w:w="373"/>
              <w:gridCol w:w="390"/>
              <w:gridCol w:w="333"/>
              <w:gridCol w:w="442"/>
              <w:gridCol w:w="681"/>
              <w:gridCol w:w="822"/>
              <w:gridCol w:w="672"/>
              <w:gridCol w:w="672"/>
              <w:gridCol w:w="589"/>
            </w:tblGrid>
            <w:tr w14:paraId="1AA3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452" w:type="pct"/>
                  <w:vMerge w:val="restart"/>
                  <w:tcMar>
                    <w:top w:w="12" w:type="dxa"/>
                    <w:left w:w="12" w:type="dxa"/>
                    <w:bottom w:w="0" w:type="dxa"/>
                    <w:right w:w="12" w:type="dxa"/>
                  </w:tcMar>
                  <w:vAlign w:val="center"/>
                </w:tcPr>
                <w:p w14:paraId="267E6BBC">
                  <w:pPr>
                    <w:jc w:val="center"/>
                    <w:rPr>
                      <w:b/>
                      <w:bCs/>
                      <w:color w:val="auto"/>
                      <w:kern w:val="0"/>
                      <w:sz w:val="21"/>
                      <w:szCs w:val="21"/>
                    </w:rPr>
                  </w:pPr>
                  <w:r>
                    <w:rPr>
                      <w:b/>
                      <w:bCs/>
                      <w:color w:val="auto"/>
                      <w:kern w:val="0"/>
                      <w:sz w:val="21"/>
                      <w:szCs w:val="21"/>
                    </w:rPr>
                    <w:t>建筑物名称</w:t>
                  </w:r>
                </w:p>
              </w:tc>
              <w:tc>
                <w:tcPr>
                  <w:tcW w:w="453" w:type="pct"/>
                  <w:vMerge w:val="restart"/>
                  <w:vAlign w:val="center"/>
                </w:tcPr>
                <w:p w14:paraId="1AF2BF1C">
                  <w:pPr>
                    <w:jc w:val="center"/>
                    <w:rPr>
                      <w:b/>
                      <w:bCs/>
                      <w:color w:val="auto"/>
                      <w:kern w:val="0"/>
                      <w:sz w:val="21"/>
                      <w:szCs w:val="21"/>
                    </w:rPr>
                  </w:pPr>
                  <w:r>
                    <w:rPr>
                      <w:b/>
                      <w:bCs/>
                      <w:color w:val="auto"/>
                      <w:kern w:val="0"/>
                      <w:sz w:val="21"/>
                      <w:szCs w:val="21"/>
                    </w:rPr>
                    <w:t>声源名称</w:t>
                  </w:r>
                </w:p>
              </w:tc>
              <w:tc>
                <w:tcPr>
                  <w:tcW w:w="499" w:type="pct"/>
                  <w:vMerge w:val="restart"/>
                  <w:vAlign w:val="center"/>
                </w:tcPr>
                <w:p w14:paraId="7F217FE8">
                  <w:pPr>
                    <w:jc w:val="center"/>
                    <w:rPr>
                      <w:b/>
                      <w:bCs/>
                      <w:color w:val="auto"/>
                      <w:kern w:val="0"/>
                      <w:sz w:val="21"/>
                      <w:szCs w:val="21"/>
                    </w:rPr>
                  </w:pPr>
                  <w:r>
                    <w:rPr>
                      <w:b/>
                      <w:bCs/>
                      <w:color w:val="auto"/>
                      <w:kern w:val="0"/>
                      <w:sz w:val="21"/>
                      <w:szCs w:val="21"/>
                    </w:rPr>
                    <w:t>声压级/dB（A）</w:t>
                  </w:r>
                </w:p>
              </w:tc>
              <w:tc>
                <w:tcPr>
                  <w:tcW w:w="327" w:type="pct"/>
                  <w:vMerge w:val="restart"/>
                  <w:vAlign w:val="center"/>
                </w:tcPr>
                <w:p w14:paraId="0130162E">
                  <w:pPr>
                    <w:jc w:val="center"/>
                    <w:rPr>
                      <w:rFonts w:ascii="Times New Roman" w:hAnsi="Times New Roman" w:eastAsia="宋体" w:cs="Times New Roman"/>
                      <w:color w:val="auto"/>
                      <w:kern w:val="0"/>
                      <w:sz w:val="21"/>
                      <w:szCs w:val="21"/>
                      <w:lang w:val="en-US" w:eastAsia="zh-CN" w:bidi="ar-SA"/>
                    </w:rPr>
                  </w:pPr>
                  <w:r>
                    <w:rPr>
                      <w:b/>
                      <w:bCs/>
                      <w:color w:val="auto"/>
                      <w:kern w:val="0"/>
                      <w:sz w:val="21"/>
                      <w:szCs w:val="21"/>
                    </w:rPr>
                    <w:t>声源控制措施</w:t>
                  </w:r>
                </w:p>
                <w:p w14:paraId="6A27D004">
                  <w:pPr>
                    <w:jc w:val="center"/>
                    <w:rPr>
                      <w:rFonts w:ascii="Times New Roman" w:hAnsi="Times New Roman" w:eastAsia="宋体" w:cs="Times New Roman"/>
                      <w:color w:val="auto"/>
                      <w:kern w:val="0"/>
                      <w:sz w:val="21"/>
                      <w:szCs w:val="21"/>
                      <w:lang w:val="en-US" w:eastAsia="zh-CN" w:bidi="ar-SA"/>
                    </w:rPr>
                  </w:pPr>
                </w:p>
                <w:p w14:paraId="7F2E84BA">
                  <w:pPr>
                    <w:jc w:val="center"/>
                    <w:rPr>
                      <w:b/>
                      <w:bCs/>
                      <w:color w:val="auto"/>
                      <w:kern w:val="0"/>
                      <w:sz w:val="21"/>
                      <w:szCs w:val="21"/>
                    </w:rPr>
                  </w:pPr>
                </w:p>
              </w:tc>
              <w:tc>
                <w:tcPr>
                  <w:tcW w:w="719" w:type="pct"/>
                  <w:gridSpan w:val="3"/>
                  <w:vAlign w:val="center"/>
                </w:tcPr>
                <w:p w14:paraId="3C15667A">
                  <w:pPr>
                    <w:jc w:val="center"/>
                    <w:rPr>
                      <w:b/>
                      <w:bCs/>
                      <w:color w:val="auto"/>
                      <w:kern w:val="0"/>
                      <w:sz w:val="21"/>
                      <w:szCs w:val="21"/>
                    </w:rPr>
                  </w:pPr>
                  <w:r>
                    <w:rPr>
                      <w:b/>
                      <w:bCs/>
                      <w:color w:val="auto"/>
                      <w:kern w:val="0"/>
                      <w:sz w:val="21"/>
                      <w:szCs w:val="21"/>
                    </w:rPr>
                    <w:t>空间相对位置</w:t>
                  </w:r>
                </w:p>
              </w:tc>
              <w:tc>
                <w:tcPr>
                  <w:tcW w:w="290" w:type="pct"/>
                  <w:vMerge w:val="restart"/>
                  <w:vAlign w:val="center"/>
                </w:tcPr>
                <w:p w14:paraId="712E4678">
                  <w:pPr>
                    <w:jc w:val="center"/>
                    <w:rPr>
                      <w:b/>
                      <w:bCs/>
                      <w:color w:val="auto"/>
                      <w:kern w:val="0"/>
                      <w:sz w:val="21"/>
                      <w:szCs w:val="21"/>
                    </w:rPr>
                  </w:pPr>
                  <w:r>
                    <w:rPr>
                      <w:b/>
                      <w:bCs/>
                      <w:color w:val="auto"/>
                      <w:kern w:val="0"/>
                      <w:sz w:val="21"/>
                      <w:szCs w:val="21"/>
                    </w:rPr>
                    <w:t>距离室内边界距离/m</w:t>
                  </w:r>
                </w:p>
              </w:tc>
              <w:tc>
                <w:tcPr>
                  <w:tcW w:w="447" w:type="pct"/>
                  <w:vMerge w:val="restart"/>
                  <w:vAlign w:val="center"/>
                </w:tcPr>
                <w:p w14:paraId="45E1722E">
                  <w:pPr>
                    <w:jc w:val="center"/>
                    <w:rPr>
                      <w:b/>
                      <w:bCs/>
                      <w:color w:val="auto"/>
                      <w:kern w:val="0"/>
                      <w:sz w:val="21"/>
                      <w:szCs w:val="21"/>
                    </w:rPr>
                  </w:pPr>
                  <w:r>
                    <w:rPr>
                      <w:b/>
                      <w:bCs/>
                      <w:color w:val="auto"/>
                      <w:kern w:val="0"/>
                      <w:sz w:val="21"/>
                      <w:szCs w:val="21"/>
                    </w:rPr>
                    <w:t>室内边界声级/dB（A）</w:t>
                  </w:r>
                </w:p>
              </w:tc>
              <w:tc>
                <w:tcPr>
                  <w:tcW w:w="539" w:type="pct"/>
                  <w:vMerge w:val="restart"/>
                  <w:vAlign w:val="center"/>
                </w:tcPr>
                <w:p w14:paraId="08380231">
                  <w:pPr>
                    <w:jc w:val="center"/>
                    <w:rPr>
                      <w:b/>
                      <w:bCs/>
                      <w:color w:val="auto"/>
                      <w:kern w:val="0"/>
                      <w:sz w:val="21"/>
                      <w:szCs w:val="21"/>
                    </w:rPr>
                  </w:pPr>
                  <w:r>
                    <w:rPr>
                      <w:b/>
                      <w:bCs/>
                      <w:color w:val="auto"/>
                      <w:kern w:val="0"/>
                      <w:sz w:val="21"/>
                      <w:szCs w:val="21"/>
                    </w:rPr>
                    <w:t>运行时段（h/d）</w:t>
                  </w:r>
                </w:p>
              </w:tc>
              <w:tc>
                <w:tcPr>
                  <w:tcW w:w="441" w:type="pct"/>
                  <w:vMerge w:val="restart"/>
                  <w:vAlign w:val="center"/>
                </w:tcPr>
                <w:p w14:paraId="07A31E6C">
                  <w:pPr>
                    <w:jc w:val="center"/>
                    <w:rPr>
                      <w:b/>
                      <w:bCs/>
                      <w:color w:val="auto"/>
                      <w:kern w:val="0"/>
                      <w:sz w:val="21"/>
                      <w:szCs w:val="21"/>
                    </w:rPr>
                  </w:pPr>
                  <w:r>
                    <w:rPr>
                      <w:b/>
                      <w:bCs/>
                      <w:color w:val="auto"/>
                      <w:kern w:val="0"/>
                      <w:sz w:val="21"/>
                      <w:szCs w:val="21"/>
                    </w:rPr>
                    <w:t>建筑物插入损失/dB（A）</w:t>
                  </w:r>
                </w:p>
              </w:tc>
              <w:tc>
                <w:tcPr>
                  <w:tcW w:w="828" w:type="pct"/>
                  <w:gridSpan w:val="2"/>
                  <w:vAlign w:val="center"/>
                </w:tcPr>
                <w:p w14:paraId="2D5DEEF0">
                  <w:pPr>
                    <w:jc w:val="center"/>
                    <w:rPr>
                      <w:b/>
                      <w:bCs/>
                      <w:color w:val="auto"/>
                      <w:kern w:val="0"/>
                      <w:sz w:val="21"/>
                      <w:szCs w:val="21"/>
                    </w:rPr>
                  </w:pPr>
                  <w:r>
                    <w:rPr>
                      <w:b/>
                      <w:bCs/>
                      <w:color w:val="auto"/>
                      <w:kern w:val="0"/>
                      <w:sz w:val="21"/>
                      <w:szCs w:val="21"/>
                    </w:rPr>
                    <w:t>建筑物外噪声</w:t>
                  </w:r>
                </w:p>
              </w:tc>
            </w:tr>
            <w:tr w14:paraId="3954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0" w:hRule="atLeast"/>
                <w:jc w:val="center"/>
              </w:trPr>
              <w:tc>
                <w:tcPr>
                  <w:tcW w:w="452" w:type="pct"/>
                  <w:vMerge w:val="continue"/>
                  <w:tcMar>
                    <w:top w:w="12" w:type="dxa"/>
                    <w:left w:w="12" w:type="dxa"/>
                    <w:bottom w:w="0" w:type="dxa"/>
                    <w:right w:w="12" w:type="dxa"/>
                  </w:tcMar>
                  <w:vAlign w:val="center"/>
                </w:tcPr>
                <w:p w14:paraId="29C0A35B">
                  <w:pPr>
                    <w:jc w:val="center"/>
                    <w:rPr>
                      <w:b/>
                      <w:bCs/>
                      <w:color w:val="auto"/>
                      <w:kern w:val="0"/>
                      <w:sz w:val="21"/>
                      <w:szCs w:val="21"/>
                    </w:rPr>
                  </w:pPr>
                </w:p>
              </w:tc>
              <w:tc>
                <w:tcPr>
                  <w:tcW w:w="453" w:type="pct"/>
                  <w:vMerge w:val="continue"/>
                  <w:vAlign w:val="center"/>
                </w:tcPr>
                <w:p w14:paraId="230EA024">
                  <w:pPr>
                    <w:jc w:val="center"/>
                    <w:rPr>
                      <w:b/>
                      <w:bCs/>
                      <w:color w:val="auto"/>
                      <w:kern w:val="0"/>
                      <w:sz w:val="21"/>
                      <w:szCs w:val="21"/>
                    </w:rPr>
                  </w:pPr>
                </w:p>
              </w:tc>
              <w:tc>
                <w:tcPr>
                  <w:tcW w:w="499" w:type="pct"/>
                  <w:vMerge w:val="continue"/>
                  <w:vAlign w:val="center"/>
                </w:tcPr>
                <w:p w14:paraId="4D05D029">
                  <w:pPr>
                    <w:jc w:val="center"/>
                    <w:rPr>
                      <w:b/>
                      <w:bCs/>
                      <w:color w:val="auto"/>
                      <w:kern w:val="0"/>
                      <w:sz w:val="21"/>
                      <w:szCs w:val="21"/>
                    </w:rPr>
                  </w:pPr>
                </w:p>
              </w:tc>
              <w:tc>
                <w:tcPr>
                  <w:tcW w:w="327" w:type="pct"/>
                  <w:vMerge w:val="continue"/>
                  <w:vAlign w:val="center"/>
                </w:tcPr>
                <w:p w14:paraId="4D437C43">
                  <w:pPr>
                    <w:jc w:val="center"/>
                    <w:rPr>
                      <w:b/>
                      <w:bCs/>
                      <w:color w:val="auto"/>
                      <w:kern w:val="0"/>
                      <w:sz w:val="21"/>
                      <w:szCs w:val="21"/>
                    </w:rPr>
                  </w:pPr>
                </w:p>
              </w:tc>
              <w:tc>
                <w:tcPr>
                  <w:tcW w:w="244" w:type="pct"/>
                  <w:vAlign w:val="center"/>
                </w:tcPr>
                <w:p w14:paraId="06BA5C3E">
                  <w:pPr>
                    <w:jc w:val="center"/>
                    <w:rPr>
                      <w:b/>
                      <w:bCs/>
                      <w:color w:val="auto"/>
                      <w:kern w:val="0"/>
                      <w:sz w:val="21"/>
                      <w:szCs w:val="21"/>
                    </w:rPr>
                  </w:pPr>
                  <w:r>
                    <w:rPr>
                      <w:b/>
                      <w:bCs/>
                      <w:color w:val="auto"/>
                      <w:kern w:val="0"/>
                      <w:sz w:val="21"/>
                      <w:szCs w:val="21"/>
                    </w:rPr>
                    <w:t>X</w:t>
                  </w:r>
                </w:p>
              </w:tc>
              <w:tc>
                <w:tcPr>
                  <w:tcW w:w="256" w:type="pct"/>
                  <w:vAlign w:val="center"/>
                </w:tcPr>
                <w:p w14:paraId="76E0188E">
                  <w:pPr>
                    <w:jc w:val="center"/>
                    <w:rPr>
                      <w:b/>
                      <w:bCs/>
                      <w:color w:val="auto"/>
                      <w:kern w:val="0"/>
                      <w:sz w:val="21"/>
                      <w:szCs w:val="21"/>
                    </w:rPr>
                  </w:pPr>
                  <w:r>
                    <w:rPr>
                      <w:b/>
                      <w:bCs/>
                      <w:color w:val="auto"/>
                      <w:kern w:val="0"/>
                      <w:sz w:val="21"/>
                      <w:szCs w:val="21"/>
                    </w:rPr>
                    <w:t>Y</w:t>
                  </w:r>
                </w:p>
              </w:tc>
              <w:tc>
                <w:tcPr>
                  <w:tcW w:w="218" w:type="pct"/>
                  <w:vAlign w:val="center"/>
                </w:tcPr>
                <w:p w14:paraId="5CF13120">
                  <w:pPr>
                    <w:jc w:val="center"/>
                    <w:rPr>
                      <w:b/>
                      <w:bCs/>
                      <w:color w:val="auto"/>
                      <w:kern w:val="0"/>
                      <w:sz w:val="21"/>
                      <w:szCs w:val="21"/>
                    </w:rPr>
                  </w:pPr>
                  <w:r>
                    <w:rPr>
                      <w:b/>
                      <w:bCs/>
                      <w:color w:val="auto"/>
                      <w:kern w:val="0"/>
                      <w:sz w:val="21"/>
                      <w:szCs w:val="21"/>
                    </w:rPr>
                    <w:t>Z</w:t>
                  </w:r>
                </w:p>
              </w:tc>
              <w:tc>
                <w:tcPr>
                  <w:tcW w:w="290" w:type="pct"/>
                  <w:vMerge w:val="continue"/>
                  <w:vAlign w:val="center"/>
                </w:tcPr>
                <w:p w14:paraId="059B0F6F">
                  <w:pPr>
                    <w:jc w:val="center"/>
                    <w:rPr>
                      <w:b/>
                      <w:bCs/>
                      <w:color w:val="auto"/>
                      <w:kern w:val="0"/>
                      <w:sz w:val="21"/>
                      <w:szCs w:val="21"/>
                    </w:rPr>
                  </w:pPr>
                </w:p>
              </w:tc>
              <w:tc>
                <w:tcPr>
                  <w:tcW w:w="447" w:type="pct"/>
                  <w:vMerge w:val="continue"/>
                  <w:vAlign w:val="center"/>
                </w:tcPr>
                <w:p w14:paraId="2ABF29B2">
                  <w:pPr>
                    <w:jc w:val="center"/>
                    <w:rPr>
                      <w:b/>
                      <w:bCs/>
                      <w:color w:val="auto"/>
                      <w:kern w:val="0"/>
                      <w:sz w:val="21"/>
                      <w:szCs w:val="21"/>
                    </w:rPr>
                  </w:pPr>
                </w:p>
              </w:tc>
              <w:tc>
                <w:tcPr>
                  <w:tcW w:w="539" w:type="pct"/>
                  <w:vMerge w:val="continue"/>
                  <w:vAlign w:val="center"/>
                </w:tcPr>
                <w:p w14:paraId="398D2CE8">
                  <w:pPr>
                    <w:jc w:val="center"/>
                    <w:rPr>
                      <w:b/>
                      <w:bCs/>
                      <w:color w:val="auto"/>
                      <w:kern w:val="0"/>
                      <w:sz w:val="21"/>
                      <w:szCs w:val="21"/>
                    </w:rPr>
                  </w:pPr>
                </w:p>
              </w:tc>
              <w:tc>
                <w:tcPr>
                  <w:tcW w:w="441" w:type="pct"/>
                  <w:vMerge w:val="continue"/>
                  <w:vAlign w:val="center"/>
                </w:tcPr>
                <w:p w14:paraId="097E0A12">
                  <w:pPr>
                    <w:jc w:val="center"/>
                    <w:rPr>
                      <w:b/>
                      <w:bCs/>
                      <w:color w:val="auto"/>
                      <w:kern w:val="0"/>
                      <w:sz w:val="21"/>
                      <w:szCs w:val="21"/>
                    </w:rPr>
                  </w:pPr>
                </w:p>
              </w:tc>
              <w:tc>
                <w:tcPr>
                  <w:tcW w:w="441" w:type="pct"/>
                  <w:vAlign w:val="center"/>
                </w:tcPr>
                <w:p w14:paraId="28A020CA">
                  <w:pPr>
                    <w:jc w:val="center"/>
                    <w:rPr>
                      <w:b/>
                      <w:bCs/>
                      <w:color w:val="auto"/>
                      <w:kern w:val="0"/>
                      <w:sz w:val="21"/>
                      <w:szCs w:val="21"/>
                    </w:rPr>
                  </w:pPr>
                  <w:r>
                    <w:rPr>
                      <w:b/>
                      <w:bCs/>
                      <w:color w:val="auto"/>
                      <w:kern w:val="0"/>
                      <w:sz w:val="21"/>
                      <w:szCs w:val="21"/>
                    </w:rPr>
                    <w:t>声压级/dB（A）</w:t>
                  </w:r>
                </w:p>
              </w:tc>
              <w:tc>
                <w:tcPr>
                  <w:tcW w:w="386" w:type="pct"/>
                  <w:vAlign w:val="center"/>
                </w:tcPr>
                <w:p w14:paraId="20BE1CD0">
                  <w:pPr>
                    <w:jc w:val="center"/>
                    <w:rPr>
                      <w:b/>
                      <w:bCs/>
                      <w:color w:val="auto"/>
                      <w:kern w:val="0"/>
                      <w:sz w:val="21"/>
                      <w:szCs w:val="21"/>
                    </w:rPr>
                  </w:pPr>
                  <w:r>
                    <w:rPr>
                      <w:b/>
                      <w:bCs/>
                      <w:color w:val="auto"/>
                      <w:kern w:val="0"/>
                      <w:sz w:val="21"/>
                      <w:szCs w:val="21"/>
                    </w:rPr>
                    <w:t>建筑物外距离</w:t>
                  </w:r>
                </w:p>
              </w:tc>
            </w:tr>
            <w:tr w14:paraId="4C12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452" w:type="pct"/>
                  <w:vMerge w:val="restart"/>
                  <w:tcMar>
                    <w:top w:w="12" w:type="dxa"/>
                    <w:left w:w="12" w:type="dxa"/>
                    <w:bottom w:w="0" w:type="dxa"/>
                    <w:right w:w="12" w:type="dxa"/>
                  </w:tcMar>
                  <w:vAlign w:val="center"/>
                </w:tcPr>
                <w:p w14:paraId="7ED2D31F">
                  <w:pPr>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生产厂房</w:t>
                  </w:r>
                </w:p>
              </w:tc>
              <w:tc>
                <w:tcPr>
                  <w:tcW w:w="453" w:type="pct"/>
                  <w:shd w:val="clear" w:color="auto" w:fill="auto"/>
                  <w:vAlign w:val="center"/>
                </w:tcPr>
                <w:p w14:paraId="1BEC5A2A">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切头锯</w:t>
                  </w:r>
                </w:p>
              </w:tc>
              <w:tc>
                <w:tcPr>
                  <w:tcW w:w="499" w:type="pct"/>
                  <w:shd w:val="clear" w:color="auto" w:fill="auto"/>
                  <w:vAlign w:val="center"/>
                </w:tcPr>
                <w:p w14:paraId="721045CD">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80</w:t>
                  </w:r>
                </w:p>
              </w:tc>
              <w:tc>
                <w:tcPr>
                  <w:tcW w:w="327" w:type="pct"/>
                  <w:vMerge w:val="restart"/>
                  <w:shd w:val="clear" w:color="auto" w:fill="auto"/>
                  <w:vAlign w:val="center"/>
                </w:tcPr>
                <w:p w14:paraId="5E0719EE">
                  <w:pPr>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安装减振基座、厂房隔声</w:t>
                  </w:r>
                </w:p>
              </w:tc>
              <w:tc>
                <w:tcPr>
                  <w:tcW w:w="244" w:type="pct"/>
                  <w:shd w:val="clear" w:color="auto" w:fill="auto"/>
                  <w:vAlign w:val="center"/>
                </w:tcPr>
                <w:p w14:paraId="49C8ABA0">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8</w:t>
                  </w:r>
                </w:p>
              </w:tc>
              <w:tc>
                <w:tcPr>
                  <w:tcW w:w="256" w:type="pct"/>
                  <w:shd w:val="clear" w:color="auto" w:fill="auto"/>
                  <w:vAlign w:val="center"/>
                </w:tcPr>
                <w:p w14:paraId="7B0E3320">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218" w:type="pct"/>
                  <w:shd w:val="clear" w:color="auto" w:fill="auto"/>
                  <w:vAlign w:val="center"/>
                </w:tcPr>
                <w:p w14:paraId="008FE1F3">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1.5</w:t>
                  </w:r>
                </w:p>
              </w:tc>
              <w:tc>
                <w:tcPr>
                  <w:tcW w:w="290" w:type="pct"/>
                  <w:shd w:val="clear" w:color="auto" w:fill="auto"/>
                  <w:vAlign w:val="center"/>
                </w:tcPr>
                <w:p w14:paraId="476E3F35">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2</w:t>
                  </w:r>
                </w:p>
              </w:tc>
              <w:tc>
                <w:tcPr>
                  <w:tcW w:w="447" w:type="pct"/>
                  <w:shd w:val="clear" w:color="auto" w:fill="auto"/>
                  <w:vAlign w:val="center"/>
                </w:tcPr>
                <w:p w14:paraId="22D56F77">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73.98</w:t>
                  </w:r>
                </w:p>
              </w:tc>
              <w:tc>
                <w:tcPr>
                  <w:tcW w:w="539" w:type="pct"/>
                  <w:shd w:val="clear" w:color="auto" w:fill="auto"/>
                  <w:vAlign w:val="center"/>
                </w:tcPr>
                <w:p w14:paraId="6C8BBEFB">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8</w:t>
                  </w:r>
                </w:p>
              </w:tc>
              <w:tc>
                <w:tcPr>
                  <w:tcW w:w="441" w:type="pct"/>
                  <w:shd w:val="clear" w:color="auto" w:fill="auto"/>
                  <w:vAlign w:val="center"/>
                </w:tcPr>
                <w:p w14:paraId="2C4D3520">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441" w:type="pct"/>
                  <w:shd w:val="clear" w:color="auto" w:fill="auto"/>
                  <w:vAlign w:val="center"/>
                </w:tcPr>
                <w:p w14:paraId="73B33AFF">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53.98</w:t>
                  </w:r>
                </w:p>
              </w:tc>
              <w:tc>
                <w:tcPr>
                  <w:tcW w:w="386" w:type="pct"/>
                  <w:shd w:val="clear" w:color="auto" w:fill="auto"/>
                  <w:vAlign w:val="center"/>
                </w:tcPr>
                <w:p w14:paraId="50272BC8">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r w14:paraId="05EC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452" w:type="pct"/>
                  <w:vMerge w:val="continue"/>
                  <w:tcMar>
                    <w:top w:w="12" w:type="dxa"/>
                    <w:left w:w="12" w:type="dxa"/>
                    <w:bottom w:w="0" w:type="dxa"/>
                    <w:right w:w="12" w:type="dxa"/>
                  </w:tcMar>
                  <w:vAlign w:val="center"/>
                </w:tcPr>
                <w:p w14:paraId="4C57BDA6">
                  <w:pPr>
                    <w:jc w:val="center"/>
                    <w:rPr>
                      <w:color w:val="auto"/>
                      <w:kern w:val="0"/>
                      <w:sz w:val="21"/>
                      <w:szCs w:val="21"/>
                    </w:rPr>
                  </w:pPr>
                </w:p>
              </w:tc>
              <w:tc>
                <w:tcPr>
                  <w:tcW w:w="453" w:type="pct"/>
                  <w:shd w:val="clear" w:color="auto" w:fill="auto"/>
                  <w:vAlign w:val="center"/>
                </w:tcPr>
                <w:p w14:paraId="6BEFB3D0">
                  <w:pPr>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平头锯</w:t>
                  </w:r>
                </w:p>
              </w:tc>
              <w:tc>
                <w:tcPr>
                  <w:tcW w:w="499" w:type="pct"/>
                  <w:vAlign w:val="center"/>
                </w:tcPr>
                <w:p w14:paraId="0A8B14F3">
                  <w:pPr>
                    <w:jc w:val="center"/>
                    <w:rPr>
                      <w:color w:val="auto"/>
                      <w:kern w:val="0"/>
                      <w:sz w:val="21"/>
                      <w:szCs w:val="21"/>
                    </w:rPr>
                  </w:pPr>
                  <w:r>
                    <w:rPr>
                      <w:rFonts w:hint="eastAsia"/>
                      <w:color w:val="auto"/>
                      <w:kern w:val="0"/>
                      <w:sz w:val="21"/>
                      <w:szCs w:val="21"/>
                    </w:rPr>
                    <w:t>80</w:t>
                  </w:r>
                </w:p>
              </w:tc>
              <w:tc>
                <w:tcPr>
                  <w:tcW w:w="327" w:type="pct"/>
                  <w:vMerge w:val="continue"/>
                  <w:vAlign w:val="center"/>
                </w:tcPr>
                <w:p w14:paraId="31CDB83A">
                  <w:pPr>
                    <w:jc w:val="center"/>
                    <w:rPr>
                      <w:color w:val="auto"/>
                      <w:kern w:val="0"/>
                      <w:sz w:val="21"/>
                      <w:szCs w:val="21"/>
                    </w:rPr>
                  </w:pPr>
                </w:p>
              </w:tc>
              <w:tc>
                <w:tcPr>
                  <w:tcW w:w="244" w:type="pct"/>
                  <w:vAlign w:val="center"/>
                </w:tcPr>
                <w:p w14:paraId="20F0918D">
                  <w:pPr>
                    <w:jc w:val="center"/>
                    <w:rPr>
                      <w:color w:val="auto"/>
                      <w:kern w:val="0"/>
                      <w:sz w:val="21"/>
                      <w:szCs w:val="21"/>
                    </w:rPr>
                  </w:pPr>
                  <w:r>
                    <w:rPr>
                      <w:color w:val="auto"/>
                      <w:kern w:val="0"/>
                      <w:sz w:val="21"/>
                      <w:szCs w:val="21"/>
                    </w:rPr>
                    <w:t>8</w:t>
                  </w:r>
                </w:p>
              </w:tc>
              <w:tc>
                <w:tcPr>
                  <w:tcW w:w="256" w:type="pct"/>
                  <w:vAlign w:val="center"/>
                </w:tcPr>
                <w:p w14:paraId="1EB71144">
                  <w:pPr>
                    <w:jc w:val="center"/>
                    <w:rPr>
                      <w:color w:val="auto"/>
                      <w:kern w:val="0"/>
                      <w:sz w:val="21"/>
                      <w:szCs w:val="21"/>
                    </w:rPr>
                  </w:pPr>
                  <w:r>
                    <w:rPr>
                      <w:color w:val="auto"/>
                      <w:kern w:val="0"/>
                      <w:sz w:val="21"/>
                      <w:szCs w:val="21"/>
                    </w:rPr>
                    <w:t>-2</w:t>
                  </w:r>
                </w:p>
              </w:tc>
              <w:tc>
                <w:tcPr>
                  <w:tcW w:w="218" w:type="pct"/>
                  <w:vAlign w:val="center"/>
                </w:tcPr>
                <w:p w14:paraId="02BA41EB">
                  <w:pPr>
                    <w:jc w:val="center"/>
                    <w:rPr>
                      <w:color w:val="auto"/>
                      <w:kern w:val="0"/>
                      <w:sz w:val="21"/>
                      <w:szCs w:val="21"/>
                    </w:rPr>
                  </w:pPr>
                  <w:r>
                    <w:rPr>
                      <w:color w:val="auto"/>
                      <w:kern w:val="0"/>
                      <w:sz w:val="21"/>
                      <w:szCs w:val="21"/>
                    </w:rPr>
                    <w:t>1.5</w:t>
                  </w:r>
                </w:p>
              </w:tc>
              <w:tc>
                <w:tcPr>
                  <w:tcW w:w="290" w:type="pct"/>
                  <w:vAlign w:val="center"/>
                </w:tcPr>
                <w:p w14:paraId="1BDAA1EB">
                  <w:pPr>
                    <w:jc w:val="center"/>
                    <w:rPr>
                      <w:color w:val="auto"/>
                      <w:kern w:val="0"/>
                      <w:sz w:val="21"/>
                      <w:szCs w:val="21"/>
                    </w:rPr>
                  </w:pPr>
                  <w:r>
                    <w:rPr>
                      <w:rFonts w:hint="eastAsia"/>
                      <w:color w:val="auto"/>
                      <w:kern w:val="0"/>
                      <w:sz w:val="21"/>
                      <w:szCs w:val="21"/>
                    </w:rPr>
                    <w:t>2</w:t>
                  </w:r>
                </w:p>
              </w:tc>
              <w:tc>
                <w:tcPr>
                  <w:tcW w:w="447" w:type="pct"/>
                  <w:vAlign w:val="center"/>
                </w:tcPr>
                <w:p w14:paraId="461FA7E5">
                  <w:pPr>
                    <w:jc w:val="center"/>
                    <w:rPr>
                      <w:color w:val="auto"/>
                      <w:kern w:val="0"/>
                      <w:sz w:val="21"/>
                      <w:szCs w:val="21"/>
                    </w:rPr>
                  </w:pPr>
                  <w:r>
                    <w:rPr>
                      <w:rFonts w:hint="eastAsia"/>
                      <w:color w:val="auto"/>
                      <w:kern w:val="0"/>
                      <w:sz w:val="21"/>
                      <w:szCs w:val="21"/>
                    </w:rPr>
                    <w:t>73.98</w:t>
                  </w:r>
                </w:p>
              </w:tc>
              <w:tc>
                <w:tcPr>
                  <w:tcW w:w="539" w:type="pct"/>
                  <w:vAlign w:val="center"/>
                </w:tcPr>
                <w:p w14:paraId="4F79CF80">
                  <w:pPr>
                    <w:jc w:val="center"/>
                    <w:rPr>
                      <w:rFonts w:hint="eastAsia" w:eastAsia="宋体"/>
                      <w:bCs/>
                      <w:color w:val="auto"/>
                      <w:sz w:val="21"/>
                      <w:szCs w:val="21"/>
                      <w:lang w:eastAsia="zh-CN"/>
                    </w:rPr>
                  </w:pPr>
                  <w:r>
                    <w:rPr>
                      <w:rFonts w:hint="eastAsia"/>
                      <w:bCs/>
                      <w:color w:val="auto"/>
                      <w:sz w:val="21"/>
                      <w:szCs w:val="21"/>
                      <w:lang w:val="en-US" w:eastAsia="zh-CN"/>
                    </w:rPr>
                    <w:t>8</w:t>
                  </w:r>
                </w:p>
              </w:tc>
              <w:tc>
                <w:tcPr>
                  <w:tcW w:w="441" w:type="pct"/>
                  <w:vAlign w:val="center"/>
                </w:tcPr>
                <w:p w14:paraId="7F2B32EC">
                  <w:pPr>
                    <w:jc w:val="center"/>
                    <w:rPr>
                      <w:color w:val="auto"/>
                      <w:kern w:val="0"/>
                      <w:sz w:val="21"/>
                      <w:szCs w:val="21"/>
                    </w:rPr>
                  </w:pPr>
                  <w:r>
                    <w:rPr>
                      <w:color w:val="auto"/>
                      <w:kern w:val="0"/>
                      <w:sz w:val="21"/>
                      <w:szCs w:val="21"/>
                    </w:rPr>
                    <w:t>20</w:t>
                  </w:r>
                </w:p>
              </w:tc>
              <w:tc>
                <w:tcPr>
                  <w:tcW w:w="441" w:type="pct"/>
                  <w:vAlign w:val="center"/>
                </w:tcPr>
                <w:p w14:paraId="435A984E">
                  <w:pPr>
                    <w:jc w:val="center"/>
                    <w:rPr>
                      <w:color w:val="auto"/>
                      <w:kern w:val="0"/>
                      <w:sz w:val="21"/>
                      <w:szCs w:val="21"/>
                    </w:rPr>
                  </w:pPr>
                  <w:r>
                    <w:rPr>
                      <w:rFonts w:hint="eastAsia"/>
                      <w:color w:val="auto"/>
                      <w:kern w:val="0"/>
                      <w:sz w:val="21"/>
                      <w:szCs w:val="21"/>
                    </w:rPr>
                    <w:t>53.98</w:t>
                  </w:r>
                </w:p>
              </w:tc>
              <w:tc>
                <w:tcPr>
                  <w:tcW w:w="386" w:type="pct"/>
                  <w:vAlign w:val="center"/>
                </w:tcPr>
                <w:p w14:paraId="3832BD65">
                  <w:pPr>
                    <w:jc w:val="center"/>
                    <w:rPr>
                      <w:color w:val="auto"/>
                      <w:kern w:val="0"/>
                      <w:sz w:val="21"/>
                      <w:szCs w:val="21"/>
                    </w:rPr>
                  </w:pPr>
                  <w:r>
                    <w:rPr>
                      <w:rFonts w:hint="eastAsia"/>
                      <w:color w:val="auto"/>
                      <w:kern w:val="0"/>
                      <w:sz w:val="21"/>
                      <w:szCs w:val="21"/>
                      <w:lang w:val="en-US" w:eastAsia="zh-CN"/>
                    </w:rPr>
                    <w:t>1</w:t>
                  </w:r>
                  <w:r>
                    <w:rPr>
                      <w:color w:val="auto"/>
                      <w:kern w:val="0"/>
                      <w:sz w:val="21"/>
                      <w:szCs w:val="21"/>
                    </w:rPr>
                    <w:t>m</w:t>
                  </w:r>
                </w:p>
              </w:tc>
            </w:tr>
            <w:tr w14:paraId="60AF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452" w:type="pct"/>
                  <w:vMerge w:val="continue"/>
                  <w:shd w:val="clear" w:color="auto" w:fill="auto"/>
                  <w:tcMar>
                    <w:top w:w="12" w:type="dxa"/>
                    <w:left w:w="12" w:type="dxa"/>
                    <w:bottom w:w="0" w:type="dxa"/>
                    <w:right w:w="12" w:type="dxa"/>
                  </w:tcMar>
                  <w:vAlign w:val="center"/>
                </w:tcPr>
                <w:p w14:paraId="43E5B4EC">
                  <w:pPr>
                    <w:jc w:val="center"/>
                    <w:rPr>
                      <w:rFonts w:ascii="Times New Roman" w:hAnsi="Times New Roman" w:eastAsia="宋体" w:cs="Times New Roman"/>
                      <w:color w:val="auto"/>
                      <w:kern w:val="0"/>
                      <w:sz w:val="21"/>
                      <w:szCs w:val="21"/>
                      <w:lang w:val="en-US" w:eastAsia="zh-CN" w:bidi="ar-SA"/>
                    </w:rPr>
                  </w:pPr>
                </w:p>
              </w:tc>
              <w:tc>
                <w:tcPr>
                  <w:tcW w:w="453" w:type="pct"/>
                  <w:shd w:val="clear" w:color="auto" w:fill="auto"/>
                  <w:vAlign w:val="center"/>
                </w:tcPr>
                <w:p w14:paraId="68F40FED">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截断锯</w:t>
                  </w:r>
                </w:p>
              </w:tc>
              <w:tc>
                <w:tcPr>
                  <w:tcW w:w="499" w:type="pct"/>
                  <w:shd w:val="clear" w:color="auto" w:fill="auto"/>
                  <w:vAlign w:val="center"/>
                </w:tcPr>
                <w:p w14:paraId="6A2253DD">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80</w:t>
                  </w:r>
                </w:p>
              </w:tc>
              <w:tc>
                <w:tcPr>
                  <w:tcW w:w="327" w:type="pct"/>
                  <w:vMerge w:val="continue"/>
                  <w:shd w:val="clear" w:color="auto" w:fill="auto"/>
                  <w:vAlign w:val="center"/>
                </w:tcPr>
                <w:p w14:paraId="085CC484">
                  <w:pPr>
                    <w:jc w:val="center"/>
                    <w:rPr>
                      <w:rFonts w:ascii="Times New Roman" w:hAnsi="Times New Roman" w:eastAsia="宋体" w:cs="Times New Roman"/>
                      <w:color w:val="auto"/>
                      <w:kern w:val="0"/>
                      <w:sz w:val="21"/>
                      <w:szCs w:val="21"/>
                      <w:lang w:val="en-US" w:eastAsia="zh-CN" w:bidi="ar-SA"/>
                    </w:rPr>
                  </w:pPr>
                </w:p>
              </w:tc>
              <w:tc>
                <w:tcPr>
                  <w:tcW w:w="244" w:type="pct"/>
                  <w:shd w:val="clear" w:color="auto" w:fill="auto"/>
                  <w:vAlign w:val="center"/>
                </w:tcPr>
                <w:p w14:paraId="13C7D575">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7</w:t>
                  </w:r>
                </w:p>
              </w:tc>
              <w:tc>
                <w:tcPr>
                  <w:tcW w:w="256" w:type="pct"/>
                  <w:shd w:val="clear" w:color="auto" w:fill="auto"/>
                  <w:vAlign w:val="center"/>
                </w:tcPr>
                <w:p w14:paraId="4D9B5873">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3</w:t>
                  </w:r>
                </w:p>
              </w:tc>
              <w:tc>
                <w:tcPr>
                  <w:tcW w:w="218" w:type="pct"/>
                  <w:shd w:val="clear" w:color="auto" w:fill="auto"/>
                  <w:vAlign w:val="center"/>
                </w:tcPr>
                <w:p w14:paraId="39F865A4">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1.5</w:t>
                  </w:r>
                </w:p>
              </w:tc>
              <w:tc>
                <w:tcPr>
                  <w:tcW w:w="290" w:type="pct"/>
                  <w:shd w:val="clear" w:color="auto" w:fill="auto"/>
                  <w:vAlign w:val="center"/>
                </w:tcPr>
                <w:p w14:paraId="75F6597A">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447" w:type="pct"/>
                  <w:shd w:val="clear" w:color="auto" w:fill="auto"/>
                  <w:vAlign w:val="center"/>
                </w:tcPr>
                <w:p w14:paraId="0CD600B7">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73.98</w:t>
                  </w:r>
                </w:p>
              </w:tc>
              <w:tc>
                <w:tcPr>
                  <w:tcW w:w="539" w:type="pct"/>
                  <w:shd w:val="clear" w:color="auto" w:fill="auto"/>
                  <w:vAlign w:val="center"/>
                </w:tcPr>
                <w:p w14:paraId="270B63B1">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8</w:t>
                  </w:r>
                </w:p>
              </w:tc>
              <w:tc>
                <w:tcPr>
                  <w:tcW w:w="441" w:type="pct"/>
                  <w:shd w:val="clear" w:color="auto" w:fill="auto"/>
                  <w:vAlign w:val="center"/>
                </w:tcPr>
                <w:p w14:paraId="286C69BE">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441" w:type="pct"/>
                  <w:shd w:val="clear" w:color="auto" w:fill="auto"/>
                  <w:vAlign w:val="center"/>
                </w:tcPr>
                <w:p w14:paraId="60B0711D">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53.98</w:t>
                  </w:r>
                </w:p>
              </w:tc>
              <w:tc>
                <w:tcPr>
                  <w:tcW w:w="386" w:type="pct"/>
                  <w:shd w:val="clear" w:color="auto" w:fill="auto"/>
                  <w:vAlign w:val="center"/>
                </w:tcPr>
                <w:p w14:paraId="1A6FAD71">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r w14:paraId="1463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452" w:type="pct"/>
                  <w:vMerge w:val="continue"/>
                  <w:shd w:val="clear" w:color="auto" w:fill="auto"/>
                  <w:vAlign w:val="center"/>
                </w:tcPr>
                <w:p w14:paraId="6CBA15DD">
                  <w:pPr>
                    <w:jc w:val="center"/>
                    <w:rPr>
                      <w:rFonts w:ascii="Times New Roman" w:hAnsi="Times New Roman" w:eastAsia="宋体" w:cs="Times New Roman"/>
                      <w:color w:val="auto"/>
                      <w:kern w:val="0"/>
                      <w:sz w:val="21"/>
                      <w:szCs w:val="21"/>
                      <w:lang w:val="en-US" w:eastAsia="zh-CN" w:bidi="ar-SA"/>
                    </w:rPr>
                  </w:pPr>
                </w:p>
              </w:tc>
              <w:tc>
                <w:tcPr>
                  <w:tcW w:w="453" w:type="pct"/>
                  <w:shd w:val="clear" w:color="auto" w:fill="auto"/>
                  <w:vAlign w:val="center"/>
                </w:tcPr>
                <w:p w14:paraId="0548A061">
                  <w:pPr>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圆木多片锯</w:t>
                  </w:r>
                </w:p>
              </w:tc>
              <w:tc>
                <w:tcPr>
                  <w:tcW w:w="499" w:type="pct"/>
                  <w:shd w:val="clear" w:color="auto" w:fill="auto"/>
                  <w:vAlign w:val="center"/>
                </w:tcPr>
                <w:p w14:paraId="2CE3CA99">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80</w:t>
                  </w:r>
                </w:p>
              </w:tc>
              <w:tc>
                <w:tcPr>
                  <w:tcW w:w="327" w:type="pct"/>
                  <w:vMerge w:val="continue"/>
                  <w:shd w:val="clear" w:color="auto" w:fill="auto"/>
                  <w:vAlign w:val="center"/>
                </w:tcPr>
                <w:p w14:paraId="2415C32A">
                  <w:pPr>
                    <w:jc w:val="center"/>
                    <w:rPr>
                      <w:rFonts w:ascii="Times New Roman" w:hAnsi="Times New Roman" w:eastAsia="宋体" w:cs="Times New Roman"/>
                      <w:color w:val="auto"/>
                      <w:kern w:val="0"/>
                      <w:sz w:val="21"/>
                      <w:szCs w:val="21"/>
                      <w:lang w:val="en-US" w:eastAsia="zh-CN" w:bidi="ar-SA"/>
                    </w:rPr>
                  </w:pPr>
                </w:p>
              </w:tc>
              <w:tc>
                <w:tcPr>
                  <w:tcW w:w="244" w:type="pct"/>
                  <w:shd w:val="clear" w:color="auto" w:fill="auto"/>
                  <w:vAlign w:val="center"/>
                </w:tcPr>
                <w:p w14:paraId="19BDC363">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7</w:t>
                  </w:r>
                </w:p>
              </w:tc>
              <w:tc>
                <w:tcPr>
                  <w:tcW w:w="256" w:type="pct"/>
                  <w:shd w:val="clear" w:color="auto" w:fill="auto"/>
                  <w:vAlign w:val="center"/>
                </w:tcPr>
                <w:p w14:paraId="35CE3C2F">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3</w:t>
                  </w:r>
                </w:p>
              </w:tc>
              <w:tc>
                <w:tcPr>
                  <w:tcW w:w="218" w:type="pct"/>
                  <w:shd w:val="clear" w:color="auto" w:fill="auto"/>
                  <w:vAlign w:val="center"/>
                </w:tcPr>
                <w:p w14:paraId="109409B1">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1.5</w:t>
                  </w:r>
                </w:p>
              </w:tc>
              <w:tc>
                <w:tcPr>
                  <w:tcW w:w="290" w:type="pct"/>
                  <w:shd w:val="clear" w:color="auto" w:fill="auto"/>
                  <w:vAlign w:val="center"/>
                </w:tcPr>
                <w:p w14:paraId="59FB240A">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447" w:type="pct"/>
                  <w:shd w:val="clear" w:color="auto" w:fill="auto"/>
                  <w:vAlign w:val="center"/>
                </w:tcPr>
                <w:p w14:paraId="20D54A66">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73.98</w:t>
                  </w:r>
                </w:p>
              </w:tc>
              <w:tc>
                <w:tcPr>
                  <w:tcW w:w="539" w:type="pct"/>
                  <w:shd w:val="clear" w:color="auto" w:fill="auto"/>
                  <w:vAlign w:val="center"/>
                </w:tcPr>
                <w:p w14:paraId="42C477BF">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8</w:t>
                  </w:r>
                </w:p>
              </w:tc>
              <w:tc>
                <w:tcPr>
                  <w:tcW w:w="441" w:type="pct"/>
                  <w:shd w:val="clear" w:color="auto" w:fill="auto"/>
                  <w:vAlign w:val="center"/>
                </w:tcPr>
                <w:p w14:paraId="542D8171">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441" w:type="pct"/>
                  <w:shd w:val="clear" w:color="auto" w:fill="auto"/>
                  <w:vAlign w:val="center"/>
                </w:tcPr>
                <w:p w14:paraId="76FC34B4">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53.98</w:t>
                  </w:r>
                </w:p>
              </w:tc>
              <w:tc>
                <w:tcPr>
                  <w:tcW w:w="386" w:type="pct"/>
                  <w:shd w:val="clear" w:color="auto" w:fill="auto"/>
                  <w:vAlign w:val="center"/>
                </w:tcPr>
                <w:p w14:paraId="040E82E3">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r w14:paraId="4687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452" w:type="pct"/>
                  <w:vMerge w:val="continue"/>
                  <w:vAlign w:val="center"/>
                </w:tcPr>
                <w:p w14:paraId="3C76EA12">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08B8EC69">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圆木分片锯</w:t>
                  </w:r>
                </w:p>
              </w:tc>
              <w:tc>
                <w:tcPr>
                  <w:tcW w:w="0" w:type="auto"/>
                  <w:shd w:val="clear" w:color="auto" w:fill="auto"/>
                  <w:vAlign w:val="center"/>
                </w:tcPr>
                <w:p w14:paraId="127C489E">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80</w:t>
                  </w:r>
                </w:p>
              </w:tc>
              <w:tc>
                <w:tcPr>
                  <w:tcW w:w="327" w:type="pct"/>
                  <w:vMerge w:val="continue"/>
                  <w:shd w:val="clear" w:color="auto" w:fill="auto"/>
                  <w:vAlign w:val="center"/>
                </w:tcPr>
                <w:p w14:paraId="24D68AEA">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2DAA877E">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7</w:t>
                  </w:r>
                </w:p>
              </w:tc>
              <w:tc>
                <w:tcPr>
                  <w:tcW w:w="0" w:type="auto"/>
                  <w:shd w:val="clear" w:color="auto" w:fill="auto"/>
                  <w:vAlign w:val="center"/>
                </w:tcPr>
                <w:p w14:paraId="1ECF8EC6">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3</w:t>
                  </w:r>
                </w:p>
              </w:tc>
              <w:tc>
                <w:tcPr>
                  <w:tcW w:w="0" w:type="auto"/>
                  <w:shd w:val="clear" w:color="auto" w:fill="auto"/>
                  <w:vAlign w:val="center"/>
                </w:tcPr>
                <w:p w14:paraId="73FAE0D5">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1.5</w:t>
                  </w:r>
                </w:p>
              </w:tc>
              <w:tc>
                <w:tcPr>
                  <w:tcW w:w="0" w:type="auto"/>
                  <w:shd w:val="clear" w:color="auto" w:fill="auto"/>
                  <w:vAlign w:val="center"/>
                </w:tcPr>
                <w:p w14:paraId="5C3519D6">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0" w:type="auto"/>
                  <w:shd w:val="clear" w:color="auto" w:fill="auto"/>
                  <w:vAlign w:val="center"/>
                </w:tcPr>
                <w:p w14:paraId="6370A31E">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73.98</w:t>
                  </w:r>
                </w:p>
              </w:tc>
              <w:tc>
                <w:tcPr>
                  <w:tcW w:w="0" w:type="auto"/>
                  <w:shd w:val="clear" w:color="auto" w:fill="auto"/>
                  <w:vAlign w:val="center"/>
                </w:tcPr>
                <w:p w14:paraId="63099AEC">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8</w:t>
                  </w:r>
                </w:p>
              </w:tc>
              <w:tc>
                <w:tcPr>
                  <w:tcW w:w="0" w:type="auto"/>
                  <w:shd w:val="clear" w:color="auto" w:fill="auto"/>
                  <w:vAlign w:val="center"/>
                </w:tcPr>
                <w:p w14:paraId="2D4E231E">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0" w:type="auto"/>
                  <w:shd w:val="clear" w:color="auto" w:fill="auto"/>
                  <w:vAlign w:val="center"/>
                </w:tcPr>
                <w:p w14:paraId="17CAB640">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53.98</w:t>
                  </w:r>
                </w:p>
              </w:tc>
              <w:tc>
                <w:tcPr>
                  <w:tcW w:w="0" w:type="auto"/>
                  <w:shd w:val="clear" w:color="auto" w:fill="auto"/>
                  <w:vAlign w:val="center"/>
                </w:tcPr>
                <w:p w14:paraId="24608343">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r w14:paraId="025C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452" w:type="pct"/>
                  <w:vMerge w:val="continue"/>
                  <w:vAlign w:val="center"/>
                </w:tcPr>
                <w:p w14:paraId="321D38D1">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305F9159">
                  <w:pPr>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锯板机</w:t>
                  </w:r>
                </w:p>
              </w:tc>
              <w:tc>
                <w:tcPr>
                  <w:tcW w:w="0" w:type="auto"/>
                  <w:shd w:val="clear" w:color="auto" w:fill="auto"/>
                  <w:vAlign w:val="center"/>
                </w:tcPr>
                <w:p w14:paraId="3386BB7D">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80</w:t>
                  </w:r>
                </w:p>
              </w:tc>
              <w:tc>
                <w:tcPr>
                  <w:tcW w:w="327" w:type="pct"/>
                  <w:vMerge w:val="continue"/>
                  <w:shd w:val="clear" w:color="auto" w:fill="auto"/>
                  <w:vAlign w:val="center"/>
                </w:tcPr>
                <w:p w14:paraId="1F8CC903">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419BD3CC">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8</w:t>
                  </w:r>
                </w:p>
              </w:tc>
              <w:tc>
                <w:tcPr>
                  <w:tcW w:w="0" w:type="auto"/>
                  <w:shd w:val="clear" w:color="auto" w:fill="auto"/>
                  <w:vAlign w:val="center"/>
                </w:tcPr>
                <w:p w14:paraId="5A76BD15">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6</w:t>
                  </w:r>
                </w:p>
              </w:tc>
              <w:tc>
                <w:tcPr>
                  <w:tcW w:w="0" w:type="auto"/>
                  <w:shd w:val="clear" w:color="auto" w:fill="auto"/>
                  <w:vAlign w:val="center"/>
                </w:tcPr>
                <w:p w14:paraId="5B602DDB">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1.5</w:t>
                  </w:r>
                </w:p>
              </w:tc>
              <w:tc>
                <w:tcPr>
                  <w:tcW w:w="0" w:type="auto"/>
                  <w:shd w:val="clear" w:color="auto" w:fill="auto"/>
                  <w:vAlign w:val="center"/>
                </w:tcPr>
                <w:p w14:paraId="2B7D918A">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0" w:type="auto"/>
                  <w:shd w:val="clear" w:color="auto" w:fill="auto"/>
                  <w:vAlign w:val="center"/>
                </w:tcPr>
                <w:p w14:paraId="6702D56F">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73.98</w:t>
                  </w:r>
                </w:p>
              </w:tc>
              <w:tc>
                <w:tcPr>
                  <w:tcW w:w="0" w:type="auto"/>
                  <w:shd w:val="clear" w:color="auto" w:fill="auto"/>
                  <w:vAlign w:val="center"/>
                </w:tcPr>
                <w:p w14:paraId="70282B33">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8</w:t>
                  </w:r>
                </w:p>
              </w:tc>
              <w:tc>
                <w:tcPr>
                  <w:tcW w:w="0" w:type="auto"/>
                  <w:shd w:val="clear" w:color="auto" w:fill="auto"/>
                  <w:vAlign w:val="center"/>
                </w:tcPr>
                <w:p w14:paraId="5AA48BAA">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0" w:type="auto"/>
                  <w:shd w:val="clear" w:color="auto" w:fill="auto"/>
                  <w:vAlign w:val="center"/>
                </w:tcPr>
                <w:p w14:paraId="4CD6A026">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53.98</w:t>
                  </w:r>
                </w:p>
              </w:tc>
              <w:tc>
                <w:tcPr>
                  <w:tcW w:w="0" w:type="auto"/>
                  <w:shd w:val="clear" w:color="auto" w:fill="auto"/>
                  <w:vAlign w:val="center"/>
                </w:tcPr>
                <w:p w14:paraId="2EB177A1">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r w14:paraId="1DE9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452" w:type="pct"/>
                  <w:vMerge w:val="continue"/>
                  <w:vAlign w:val="center"/>
                </w:tcPr>
                <w:p w14:paraId="28D231EA">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0612EC40">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挖孔机</w:t>
                  </w:r>
                </w:p>
              </w:tc>
              <w:tc>
                <w:tcPr>
                  <w:tcW w:w="0" w:type="auto"/>
                  <w:shd w:val="clear" w:color="auto" w:fill="auto"/>
                  <w:vAlign w:val="center"/>
                </w:tcPr>
                <w:p w14:paraId="399CC13E">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75</w:t>
                  </w:r>
                </w:p>
              </w:tc>
              <w:tc>
                <w:tcPr>
                  <w:tcW w:w="327" w:type="pct"/>
                  <w:vMerge w:val="continue"/>
                  <w:shd w:val="clear" w:color="auto" w:fill="auto"/>
                  <w:vAlign w:val="center"/>
                </w:tcPr>
                <w:p w14:paraId="013DD998">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50533E26">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6</w:t>
                  </w:r>
                </w:p>
              </w:tc>
              <w:tc>
                <w:tcPr>
                  <w:tcW w:w="0" w:type="auto"/>
                  <w:shd w:val="clear" w:color="auto" w:fill="auto"/>
                  <w:vAlign w:val="center"/>
                </w:tcPr>
                <w:p w14:paraId="6B799ADF">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0" w:type="auto"/>
                  <w:shd w:val="clear" w:color="auto" w:fill="auto"/>
                  <w:vAlign w:val="center"/>
                </w:tcPr>
                <w:p w14:paraId="050475E6">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1.5</w:t>
                  </w:r>
                </w:p>
              </w:tc>
              <w:tc>
                <w:tcPr>
                  <w:tcW w:w="0" w:type="auto"/>
                  <w:shd w:val="clear" w:color="auto" w:fill="auto"/>
                  <w:vAlign w:val="center"/>
                </w:tcPr>
                <w:p w14:paraId="49031A8E">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3</w:t>
                  </w:r>
                </w:p>
              </w:tc>
              <w:tc>
                <w:tcPr>
                  <w:tcW w:w="0" w:type="auto"/>
                  <w:shd w:val="clear" w:color="auto" w:fill="auto"/>
                  <w:vAlign w:val="center"/>
                </w:tcPr>
                <w:p w14:paraId="42ABEFFE">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65.46</w:t>
                  </w:r>
                </w:p>
              </w:tc>
              <w:tc>
                <w:tcPr>
                  <w:tcW w:w="0" w:type="auto"/>
                  <w:shd w:val="clear" w:color="auto" w:fill="auto"/>
                  <w:vAlign w:val="center"/>
                </w:tcPr>
                <w:p w14:paraId="3926549C">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8</w:t>
                  </w:r>
                </w:p>
              </w:tc>
              <w:tc>
                <w:tcPr>
                  <w:tcW w:w="0" w:type="auto"/>
                  <w:shd w:val="clear" w:color="auto" w:fill="auto"/>
                  <w:vAlign w:val="center"/>
                </w:tcPr>
                <w:p w14:paraId="50B69A61">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0" w:type="auto"/>
                  <w:shd w:val="clear" w:color="auto" w:fill="auto"/>
                  <w:vAlign w:val="center"/>
                </w:tcPr>
                <w:p w14:paraId="010F8773">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45.46</w:t>
                  </w:r>
                </w:p>
              </w:tc>
              <w:tc>
                <w:tcPr>
                  <w:tcW w:w="0" w:type="auto"/>
                  <w:shd w:val="clear" w:color="auto" w:fill="auto"/>
                  <w:vAlign w:val="center"/>
                </w:tcPr>
                <w:p w14:paraId="20FD3E1A">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r w14:paraId="0567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452" w:type="pct"/>
                  <w:vMerge w:val="continue"/>
                  <w:vAlign w:val="center"/>
                </w:tcPr>
                <w:p w14:paraId="245658F9">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3FB5FD0D">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砂光机</w:t>
                  </w:r>
                </w:p>
              </w:tc>
              <w:tc>
                <w:tcPr>
                  <w:tcW w:w="0" w:type="auto"/>
                  <w:shd w:val="clear" w:color="auto" w:fill="auto"/>
                  <w:vAlign w:val="center"/>
                </w:tcPr>
                <w:p w14:paraId="20C429E7">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75</w:t>
                  </w:r>
                </w:p>
              </w:tc>
              <w:tc>
                <w:tcPr>
                  <w:tcW w:w="327" w:type="pct"/>
                  <w:vMerge w:val="continue"/>
                  <w:shd w:val="clear" w:color="auto" w:fill="auto"/>
                  <w:vAlign w:val="center"/>
                </w:tcPr>
                <w:p w14:paraId="76CC8FBF">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750DE5D7">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6</w:t>
                  </w:r>
                </w:p>
              </w:tc>
              <w:tc>
                <w:tcPr>
                  <w:tcW w:w="0" w:type="auto"/>
                  <w:shd w:val="clear" w:color="auto" w:fill="auto"/>
                  <w:vAlign w:val="center"/>
                </w:tcPr>
                <w:p w14:paraId="6B3C4861">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8</w:t>
                  </w:r>
                </w:p>
              </w:tc>
              <w:tc>
                <w:tcPr>
                  <w:tcW w:w="0" w:type="auto"/>
                  <w:shd w:val="clear" w:color="auto" w:fill="auto"/>
                  <w:vAlign w:val="center"/>
                </w:tcPr>
                <w:p w14:paraId="58AC8C45">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1.5</w:t>
                  </w:r>
                </w:p>
              </w:tc>
              <w:tc>
                <w:tcPr>
                  <w:tcW w:w="0" w:type="auto"/>
                  <w:shd w:val="clear" w:color="auto" w:fill="auto"/>
                  <w:vAlign w:val="center"/>
                </w:tcPr>
                <w:p w14:paraId="35528DA3">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0" w:type="auto"/>
                  <w:shd w:val="clear" w:color="auto" w:fill="auto"/>
                  <w:vAlign w:val="center"/>
                </w:tcPr>
                <w:p w14:paraId="3028168E">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68.98</w:t>
                  </w:r>
                </w:p>
              </w:tc>
              <w:tc>
                <w:tcPr>
                  <w:tcW w:w="0" w:type="auto"/>
                  <w:shd w:val="clear" w:color="auto" w:fill="auto"/>
                  <w:vAlign w:val="center"/>
                </w:tcPr>
                <w:p w14:paraId="5C917232">
                  <w:pPr>
                    <w:jc w:val="center"/>
                    <w:rPr>
                      <w:rFonts w:hint="eastAsia" w:ascii="Times New Roman" w:hAnsi="Times New Roman" w:eastAsia="宋体" w:cs="Times New Roman"/>
                      <w:color w:val="auto"/>
                      <w:kern w:val="0"/>
                      <w:sz w:val="21"/>
                      <w:szCs w:val="21"/>
                      <w:lang w:val="en-US" w:eastAsia="zh-CN" w:bidi="ar-SA"/>
                    </w:rPr>
                  </w:pPr>
                  <w:r>
                    <w:rPr>
                      <w:rFonts w:hint="eastAsia"/>
                      <w:bCs/>
                      <w:color w:val="auto"/>
                      <w:sz w:val="21"/>
                      <w:szCs w:val="21"/>
                      <w:lang w:val="en-US" w:eastAsia="zh-CN"/>
                    </w:rPr>
                    <w:t>8</w:t>
                  </w:r>
                </w:p>
              </w:tc>
              <w:tc>
                <w:tcPr>
                  <w:tcW w:w="0" w:type="auto"/>
                  <w:shd w:val="clear" w:color="auto" w:fill="auto"/>
                  <w:vAlign w:val="center"/>
                </w:tcPr>
                <w:p w14:paraId="577CFAF8">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0" w:type="auto"/>
                  <w:shd w:val="clear" w:color="auto" w:fill="auto"/>
                  <w:vAlign w:val="center"/>
                </w:tcPr>
                <w:p w14:paraId="25FD5AD9">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48.98</w:t>
                  </w:r>
                </w:p>
              </w:tc>
              <w:tc>
                <w:tcPr>
                  <w:tcW w:w="386" w:type="pct"/>
                  <w:shd w:val="clear" w:color="auto" w:fill="auto"/>
                  <w:vAlign w:val="center"/>
                </w:tcPr>
                <w:p w14:paraId="50ED45CC">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r w14:paraId="76DE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452" w:type="pct"/>
                  <w:vMerge w:val="continue"/>
                  <w:vAlign w:val="center"/>
                </w:tcPr>
                <w:p w14:paraId="7F4A854D">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4A7C26FF">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单面刨</w:t>
                  </w:r>
                </w:p>
              </w:tc>
              <w:tc>
                <w:tcPr>
                  <w:tcW w:w="0" w:type="auto"/>
                  <w:shd w:val="clear" w:color="auto" w:fill="auto"/>
                  <w:vAlign w:val="center"/>
                </w:tcPr>
                <w:p w14:paraId="2D2F2865">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80</w:t>
                  </w:r>
                </w:p>
              </w:tc>
              <w:tc>
                <w:tcPr>
                  <w:tcW w:w="327" w:type="pct"/>
                  <w:vMerge w:val="continue"/>
                  <w:shd w:val="clear" w:color="auto" w:fill="auto"/>
                  <w:vAlign w:val="center"/>
                </w:tcPr>
                <w:p w14:paraId="37DBF873">
                  <w:pPr>
                    <w:jc w:val="center"/>
                    <w:rPr>
                      <w:color w:val="auto"/>
                      <w:kern w:val="0"/>
                      <w:sz w:val="21"/>
                      <w:szCs w:val="21"/>
                    </w:rPr>
                  </w:pPr>
                </w:p>
              </w:tc>
              <w:tc>
                <w:tcPr>
                  <w:tcW w:w="0" w:type="auto"/>
                  <w:shd w:val="clear" w:color="auto" w:fill="auto"/>
                  <w:vAlign w:val="center"/>
                </w:tcPr>
                <w:p w14:paraId="36E052E2">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7</w:t>
                  </w:r>
                </w:p>
              </w:tc>
              <w:tc>
                <w:tcPr>
                  <w:tcW w:w="0" w:type="auto"/>
                  <w:shd w:val="clear" w:color="auto" w:fill="auto"/>
                  <w:vAlign w:val="center"/>
                </w:tcPr>
                <w:p w14:paraId="224A0A59">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3</w:t>
                  </w:r>
                </w:p>
              </w:tc>
              <w:tc>
                <w:tcPr>
                  <w:tcW w:w="0" w:type="auto"/>
                  <w:shd w:val="clear" w:color="auto" w:fill="auto"/>
                  <w:vAlign w:val="center"/>
                </w:tcPr>
                <w:p w14:paraId="2787B6E2">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1.5</w:t>
                  </w:r>
                </w:p>
              </w:tc>
              <w:tc>
                <w:tcPr>
                  <w:tcW w:w="0" w:type="auto"/>
                  <w:shd w:val="clear" w:color="auto" w:fill="auto"/>
                  <w:vAlign w:val="center"/>
                </w:tcPr>
                <w:p w14:paraId="50543CFB">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0" w:type="auto"/>
                  <w:shd w:val="clear" w:color="auto" w:fill="auto"/>
                  <w:vAlign w:val="center"/>
                </w:tcPr>
                <w:p w14:paraId="33CFE069">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73.98</w:t>
                  </w:r>
                </w:p>
              </w:tc>
              <w:tc>
                <w:tcPr>
                  <w:tcW w:w="0" w:type="auto"/>
                  <w:shd w:val="clear" w:color="auto" w:fill="auto"/>
                  <w:vAlign w:val="center"/>
                </w:tcPr>
                <w:p w14:paraId="0B2BD32B">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8</w:t>
                  </w:r>
                </w:p>
              </w:tc>
              <w:tc>
                <w:tcPr>
                  <w:tcW w:w="0" w:type="auto"/>
                  <w:shd w:val="clear" w:color="auto" w:fill="auto"/>
                  <w:vAlign w:val="center"/>
                </w:tcPr>
                <w:p w14:paraId="546F11E7">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0" w:type="auto"/>
                  <w:shd w:val="clear" w:color="auto" w:fill="auto"/>
                  <w:vAlign w:val="center"/>
                </w:tcPr>
                <w:p w14:paraId="4B567AB3">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53.98</w:t>
                  </w:r>
                </w:p>
              </w:tc>
              <w:tc>
                <w:tcPr>
                  <w:tcW w:w="386" w:type="pct"/>
                  <w:shd w:val="clear" w:color="auto" w:fill="auto"/>
                  <w:vAlign w:val="center"/>
                </w:tcPr>
                <w:p w14:paraId="4BF7958B">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r w14:paraId="3823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452" w:type="pct"/>
                  <w:vMerge w:val="continue"/>
                  <w:vAlign w:val="center"/>
                </w:tcPr>
                <w:p w14:paraId="02F89750">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3188858C">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四面刨</w:t>
                  </w:r>
                </w:p>
              </w:tc>
              <w:tc>
                <w:tcPr>
                  <w:tcW w:w="0" w:type="auto"/>
                  <w:shd w:val="clear" w:color="auto" w:fill="auto"/>
                  <w:vAlign w:val="center"/>
                </w:tcPr>
                <w:p w14:paraId="0A8FADC5">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80</w:t>
                  </w:r>
                </w:p>
              </w:tc>
              <w:tc>
                <w:tcPr>
                  <w:tcW w:w="327" w:type="pct"/>
                  <w:vMerge w:val="continue"/>
                  <w:vAlign w:val="center"/>
                </w:tcPr>
                <w:p w14:paraId="34C9CCA3">
                  <w:pPr>
                    <w:jc w:val="center"/>
                    <w:rPr>
                      <w:color w:val="auto"/>
                      <w:kern w:val="0"/>
                      <w:sz w:val="21"/>
                      <w:szCs w:val="21"/>
                    </w:rPr>
                  </w:pPr>
                </w:p>
              </w:tc>
              <w:tc>
                <w:tcPr>
                  <w:tcW w:w="0" w:type="auto"/>
                  <w:shd w:val="clear" w:color="auto" w:fill="auto"/>
                  <w:vAlign w:val="center"/>
                </w:tcPr>
                <w:p w14:paraId="47993B69">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8</w:t>
                  </w:r>
                </w:p>
              </w:tc>
              <w:tc>
                <w:tcPr>
                  <w:tcW w:w="0" w:type="auto"/>
                  <w:shd w:val="clear" w:color="auto" w:fill="auto"/>
                  <w:vAlign w:val="center"/>
                </w:tcPr>
                <w:p w14:paraId="7ED74F7D">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0" w:type="auto"/>
                  <w:shd w:val="clear" w:color="auto" w:fill="auto"/>
                  <w:vAlign w:val="center"/>
                </w:tcPr>
                <w:p w14:paraId="2ECFAC2C">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1.5</w:t>
                  </w:r>
                </w:p>
              </w:tc>
              <w:tc>
                <w:tcPr>
                  <w:tcW w:w="0" w:type="auto"/>
                  <w:shd w:val="clear" w:color="auto" w:fill="auto"/>
                  <w:vAlign w:val="center"/>
                </w:tcPr>
                <w:p w14:paraId="14F75F74">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2</w:t>
                  </w:r>
                </w:p>
              </w:tc>
              <w:tc>
                <w:tcPr>
                  <w:tcW w:w="0" w:type="auto"/>
                  <w:shd w:val="clear" w:color="auto" w:fill="auto"/>
                  <w:vAlign w:val="center"/>
                </w:tcPr>
                <w:p w14:paraId="21A6E279">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73.98</w:t>
                  </w:r>
                </w:p>
              </w:tc>
              <w:tc>
                <w:tcPr>
                  <w:tcW w:w="0" w:type="auto"/>
                  <w:shd w:val="clear" w:color="auto" w:fill="auto"/>
                  <w:vAlign w:val="center"/>
                </w:tcPr>
                <w:p w14:paraId="00379638">
                  <w:pPr>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8</w:t>
                  </w:r>
                </w:p>
              </w:tc>
              <w:tc>
                <w:tcPr>
                  <w:tcW w:w="0" w:type="auto"/>
                  <w:shd w:val="clear" w:color="auto" w:fill="auto"/>
                  <w:vAlign w:val="center"/>
                </w:tcPr>
                <w:p w14:paraId="0AB05552">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0" w:type="auto"/>
                  <w:shd w:val="clear" w:color="auto" w:fill="auto"/>
                  <w:vAlign w:val="center"/>
                </w:tcPr>
                <w:p w14:paraId="2ECBAE90">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rPr>
                    <w:t>53.98</w:t>
                  </w:r>
                </w:p>
              </w:tc>
              <w:tc>
                <w:tcPr>
                  <w:tcW w:w="386" w:type="pct"/>
                  <w:shd w:val="clear" w:color="auto" w:fill="auto"/>
                  <w:vAlign w:val="center"/>
                </w:tcPr>
                <w:p w14:paraId="5322D9DC">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r w14:paraId="1DED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452" w:type="pct"/>
                  <w:vMerge w:val="continue"/>
                  <w:vAlign w:val="center"/>
                </w:tcPr>
                <w:p w14:paraId="7772DF47">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75F6EBD1">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钉托盘机</w:t>
                  </w:r>
                </w:p>
              </w:tc>
              <w:tc>
                <w:tcPr>
                  <w:tcW w:w="0" w:type="auto"/>
                  <w:shd w:val="clear" w:color="auto" w:fill="auto"/>
                  <w:vAlign w:val="center"/>
                </w:tcPr>
                <w:p w14:paraId="51BE5B2E">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75</w:t>
                  </w:r>
                </w:p>
              </w:tc>
              <w:tc>
                <w:tcPr>
                  <w:tcW w:w="327" w:type="pct"/>
                  <w:vMerge w:val="continue"/>
                  <w:shd w:val="clear" w:color="auto" w:fill="auto"/>
                  <w:vAlign w:val="center"/>
                </w:tcPr>
                <w:p w14:paraId="191F5AAF">
                  <w:pPr>
                    <w:jc w:val="center"/>
                    <w:rPr>
                      <w:rFonts w:ascii="Times New Roman" w:hAnsi="Times New Roman" w:eastAsia="宋体" w:cs="Times New Roman"/>
                      <w:color w:val="auto"/>
                      <w:kern w:val="0"/>
                      <w:sz w:val="21"/>
                      <w:szCs w:val="21"/>
                      <w:lang w:val="en-US" w:eastAsia="zh-CN" w:bidi="ar-SA"/>
                    </w:rPr>
                  </w:pPr>
                </w:p>
              </w:tc>
              <w:tc>
                <w:tcPr>
                  <w:tcW w:w="0" w:type="auto"/>
                  <w:shd w:val="clear" w:color="auto" w:fill="auto"/>
                  <w:vAlign w:val="center"/>
                </w:tcPr>
                <w:p w14:paraId="1826998E">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6</w:t>
                  </w:r>
                </w:p>
              </w:tc>
              <w:tc>
                <w:tcPr>
                  <w:tcW w:w="0" w:type="auto"/>
                  <w:shd w:val="clear" w:color="auto" w:fill="auto"/>
                  <w:vAlign w:val="center"/>
                </w:tcPr>
                <w:p w14:paraId="4589D07A">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8</w:t>
                  </w:r>
                </w:p>
              </w:tc>
              <w:tc>
                <w:tcPr>
                  <w:tcW w:w="0" w:type="auto"/>
                  <w:shd w:val="clear" w:color="auto" w:fill="auto"/>
                  <w:vAlign w:val="center"/>
                </w:tcPr>
                <w:p w14:paraId="40D0DBD9">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w:t>
                  </w:r>
                  <w:r>
                    <w:rPr>
                      <w:color w:val="auto"/>
                      <w:kern w:val="0"/>
                      <w:sz w:val="21"/>
                      <w:szCs w:val="21"/>
                    </w:rPr>
                    <w:t>.5</w:t>
                  </w:r>
                </w:p>
              </w:tc>
              <w:tc>
                <w:tcPr>
                  <w:tcW w:w="0" w:type="auto"/>
                  <w:shd w:val="clear" w:color="auto" w:fill="auto"/>
                  <w:vAlign w:val="center"/>
                </w:tcPr>
                <w:p w14:paraId="3D620EBE">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w:t>
                  </w:r>
                </w:p>
              </w:tc>
              <w:tc>
                <w:tcPr>
                  <w:tcW w:w="0" w:type="auto"/>
                  <w:shd w:val="clear" w:color="auto" w:fill="auto"/>
                  <w:vAlign w:val="center"/>
                </w:tcPr>
                <w:p w14:paraId="3C64BD52">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68.98</w:t>
                  </w:r>
                </w:p>
              </w:tc>
              <w:tc>
                <w:tcPr>
                  <w:tcW w:w="0" w:type="auto"/>
                  <w:shd w:val="clear" w:color="auto" w:fill="auto"/>
                  <w:vAlign w:val="center"/>
                </w:tcPr>
                <w:p w14:paraId="13CC4231">
                  <w:pPr>
                    <w:jc w:val="center"/>
                    <w:rPr>
                      <w:rFonts w:hint="eastAsia" w:ascii="Times New Roman" w:hAnsi="Times New Roman" w:eastAsia="宋体" w:cs="Times New Roman"/>
                      <w:color w:val="auto"/>
                      <w:kern w:val="0"/>
                      <w:sz w:val="21"/>
                      <w:szCs w:val="21"/>
                      <w:lang w:val="en-US" w:eastAsia="zh-CN" w:bidi="ar-SA"/>
                    </w:rPr>
                  </w:pPr>
                  <w:r>
                    <w:rPr>
                      <w:rFonts w:hint="eastAsia"/>
                      <w:bCs/>
                      <w:color w:val="auto"/>
                      <w:sz w:val="21"/>
                      <w:szCs w:val="21"/>
                      <w:lang w:val="en-US" w:eastAsia="zh-CN"/>
                    </w:rPr>
                    <w:t>8</w:t>
                  </w:r>
                </w:p>
              </w:tc>
              <w:tc>
                <w:tcPr>
                  <w:tcW w:w="0" w:type="auto"/>
                  <w:shd w:val="clear" w:color="auto" w:fill="auto"/>
                  <w:vAlign w:val="center"/>
                </w:tcPr>
                <w:p w14:paraId="51E4A225">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20</w:t>
                  </w:r>
                </w:p>
              </w:tc>
              <w:tc>
                <w:tcPr>
                  <w:tcW w:w="0" w:type="auto"/>
                  <w:shd w:val="clear" w:color="auto" w:fill="auto"/>
                  <w:vAlign w:val="center"/>
                </w:tcPr>
                <w:p w14:paraId="4CAF7B8D">
                  <w:pPr>
                    <w:jc w:val="center"/>
                    <w:rPr>
                      <w:rFonts w:ascii="Times New Roman" w:hAnsi="Times New Roman" w:eastAsia="宋体" w:cs="Times New Roman"/>
                      <w:color w:val="auto"/>
                      <w:kern w:val="0"/>
                      <w:sz w:val="21"/>
                      <w:szCs w:val="21"/>
                      <w:lang w:val="en-US" w:eastAsia="zh-CN" w:bidi="ar-SA"/>
                    </w:rPr>
                  </w:pPr>
                  <w:r>
                    <w:rPr>
                      <w:color w:val="auto"/>
                      <w:kern w:val="0"/>
                      <w:sz w:val="21"/>
                      <w:szCs w:val="21"/>
                    </w:rPr>
                    <w:t>48.98</w:t>
                  </w:r>
                </w:p>
              </w:tc>
              <w:tc>
                <w:tcPr>
                  <w:tcW w:w="386" w:type="pct"/>
                  <w:shd w:val="clear" w:color="auto" w:fill="auto"/>
                  <w:vAlign w:val="center"/>
                </w:tcPr>
                <w:p w14:paraId="3228CDA8">
                  <w:pPr>
                    <w:jc w:val="center"/>
                    <w:rPr>
                      <w:rFonts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r>
                    <w:rPr>
                      <w:color w:val="auto"/>
                      <w:kern w:val="0"/>
                      <w:sz w:val="21"/>
                      <w:szCs w:val="21"/>
                    </w:rPr>
                    <w:t>m</w:t>
                  </w:r>
                </w:p>
              </w:tc>
            </w:tr>
          </w:tbl>
          <w:p w14:paraId="20DF49D2">
            <w:pPr>
              <w:adjustRightInd w:val="0"/>
              <w:snapToGrid w:val="0"/>
              <w:spacing w:before="120" w:beforeLines="50" w:line="360" w:lineRule="auto"/>
              <w:ind w:firstLine="482" w:firstLineChars="200"/>
              <w:rPr>
                <w:b/>
                <w:bCs/>
                <w:color w:val="auto"/>
              </w:rPr>
            </w:pPr>
            <w:r>
              <w:rPr>
                <w:rFonts w:hint="eastAsia"/>
                <w:b/>
                <w:bCs/>
                <w:color w:val="auto"/>
              </w:rPr>
              <w:t>厂界和环境保护目标达标情况分析</w:t>
            </w:r>
          </w:p>
          <w:p w14:paraId="7778D3B6">
            <w:pPr>
              <w:adjustRightInd w:val="0"/>
              <w:snapToGrid w:val="0"/>
              <w:spacing w:line="360" w:lineRule="auto"/>
              <w:ind w:firstLine="480" w:firstLineChars="200"/>
              <w:rPr>
                <w:bCs/>
                <w:color w:val="auto"/>
              </w:rPr>
            </w:pPr>
            <w:r>
              <w:rPr>
                <w:bCs/>
                <w:color w:val="auto"/>
              </w:rPr>
              <w:t>根据项目的噪声排放特点，结合《环境影响评价技术导则</w:t>
            </w:r>
            <w:r>
              <w:rPr>
                <w:rFonts w:hint="eastAsia"/>
                <w:bCs/>
                <w:color w:val="auto"/>
              </w:rPr>
              <w:t xml:space="preserve"> </w:t>
            </w:r>
            <w:r>
              <w:rPr>
                <w:bCs/>
                <w:color w:val="auto"/>
              </w:rPr>
              <w:t>声环境》（HJ2.4-20</w:t>
            </w:r>
            <w:r>
              <w:rPr>
                <w:rFonts w:hint="eastAsia"/>
                <w:bCs/>
                <w:color w:val="auto"/>
              </w:rPr>
              <w:t>21</w:t>
            </w:r>
            <w:r>
              <w:rPr>
                <w:bCs/>
                <w:color w:val="auto"/>
              </w:rPr>
              <w:t>）的要求，</w:t>
            </w:r>
            <w:r>
              <w:rPr>
                <w:rFonts w:hint="eastAsia"/>
                <w:bCs/>
                <w:color w:val="auto"/>
              </w:rPr>
              <w:t>室内声源</w:t>
            </w:r>
            <w:r>
              <w:rPr>
                <w:bCs/>
                <w:color w:val="auto"/>
              </w:rPr>
              <w:t>预测模式采用“</w:t>
            </w:r>
            <w:r>
              <w:rPr>
                <w:rFonts w:hint="eastAsia"/>
                <w:bCs/>
                <w:color w:val="auto"/>
              </w:rPr>
              <w:t>附录B.1</w:t>
            </w:r>
            <w:r>
              <w:rPr>
                <w:bCs/>
                <w:color w:val="auto"/>
              </w:rPr>
              <w:t xml:space="preserve"> 工业噪声预测</w:t>
            </w:r>
            <w:r>
              <w:rPr>
                <w:rFonts w:hint="eastAsia"/>
                <w:bCs/>
                <w:color w:val="auto"/>
              </w:rPr>
              <w:t>计算模型</w:t>
            </w:r>
            <w:r>
              <w:rPr>
                <w:bCs/>
                <w:color w:val="auto"/>
              </w:rPr>
              <w:t>”计算模式</w:t>
            </w:r>
            <w:r>
              <w:rPr>
                <w:rFonts w:hint="eastAsia"/>
                <w:bCs/>
                <w:color w:val="auto"/>
              </w:rPr>
              <w:t>，室外声源</w:t>
            </w:r>
            <w:r>
              <w:rPr>
                <w:bCs/>
                <w:color w:val="auto"/>
              </w:rPr>
              <w:t>预测模式采用“</w:t>
            </w:r>
            <w:r>
              <w:rPr>
                <w:rFonts w:hint="eastAsia"/>
                <w:bCs/>
                <w:color w:val="auto"/>
              </w:rPr>
              <w:t>附录A</w:t>
            </w:r>
            <w:r>
              <w:rPr>
                <w:bCs/>
                <w:color w:val="auto"/>
              </w:rPr>
              <w:t xml:space="preserve"> </w:t>
            </w:r>
            <w:r>
              <w:rPr>
                <w:rFonts w:hint="eastAsia"/>
                <w:bCs/>
                <w:color w:val="auto"/>
              </w:rPr>
              <w:t>户外声传播的衰减</w:t>
            </w:r>
            <w:r>
              <w:rPr>
                <w:bCs/>
                <w:color w:val="auto"/>
              </w:rPr>
              <w:t>”</w:t>
            </w:r>
            <w:r>
              <w:rPr>
                <w:rFonts w:hint="eastAsia"/>
                <w:bCs/>
                <w:color w:val="auto"/>
              </w:rPr>
              <w:t>户外声传播衰减的工程法</w:t>
            </w:r>
            <w:r>
              <w:rPr>
                <w:bCs/>
                <w:color w:val="auto"/>
              </w:rPr>
              <w:t>。根据项目噪声源的特征，主要噪声源到接受点的距</w:t>
            </w:r>
            <w:r>
              <w:rPr>
                <w:rFonts w:hint="eastAsia"/>
                <w:bCs/>
                <w:color w:val="auto"/>
              </w:rPr>
              <w:t>、</w:t>
            </w:r>
            <w:r>
              <w:rPr>
                <w:bCs/>
                <w:color w:val="auto"/>
              </w:rPr>
              <w:t>超过噪声源最大几何尺寸的2倍，各噪声源可近似作为点声源处理。</w:t>
            </w:r>
          </w:p>
          <w:p w14:paraId="13114275">
            <w:pPr>
              <w:spacing w:line="360" w:lineRule="auto"/>
              <w:ind w:firstLine="480" w:firstLineChars="200"/>
              <w:rPr>
                <w:color w:val="auto"/>
                <w:kern w:val="0"/>
                <w:lang w:bidi="ar"/>
              </w:rPr>
            </w:pPr>
            <w:r>
              <w:rPr>
                <w:color w:val="auto"/>
                <w:kern w:val="0"/>
                <w:lang w:bidi="ar"/>
              </w:rPr>
              <w:t>（1）室外声源</w:t>
            </w:r>
          </w:p>
          <w:p w14:paraId="39936723">
            <w:pPr>
              <w:widowControl/>
              <w:spacing w:line="360" w:lineRule="auto"/>
              <w:ind w:firstLine="480" w:firstLineChars="200"/>
              <w:jc w:val="left"/>
              <w:rPr>
                <w:color w:val="auto"/>
                <w:kern w:val="0"/>
                <w:lang w:bidi="ar"/>
              </w:rPr>
            </w:pPr>
            <w:r>
              <w:rPr>
                <w:color w:val="auto"/>
                <w:kern w:val="0"/>
                <w:lang w:bidi="ar"/>
              </w:rPr>
              <w:t>已知靠近声源某一参考位置处的声级时，单个室外的点声源在预测点产生的声级贡献值计算基本公式为：</w:t>
            </w:r>
          </w:p>
          <w:p w14:paraId="31554FF7">
            <w:pPr>
              <w:widowControl/>
              <w:spacing w:line="360" w:lineRule="auto"/>
              <w:jc w:val="center"/>
              <w:rPr>
                <w:color w:val="auto"/>
              </w:rPr>
            </w:pPr>
            <w:r>
              <w:rPr>
                <w:i/>
                <w:iCs/>
                <w:color w:val="auto"/>
                <w:kern w:val="0"/>
                <w:lang w:bidi="ar"/>
              </w:rPr>
              <w:t>Lp</w:t>
            </w:r>
            <w:r>
              <w:rPr>
                <w:color w:val="auto"/>
                <w:kern w:val="0"/>
                <w:lang w:bidi="ar"/>
              </w:rPr>
              <w:t>(</w:t>
            </w:r>
            <w:r>
              <w:rPr>
                <w:i/>
                <w:iCs/>
                <w:color w:val="auto"/>
                <w:kern w:val="0"/>
                <w:lang w:bidi="ar"/>
              </w:rPr>
              <w:t>r</w:t>
            </w:r>
            <w:r>
              <w:rPr>
                <w:color w:val="auto"/>
                <w:kern w:val="0"/>
                <w:lang w:bidi="ar"/>
              </w:rPr>
              <w:t>)＝</w:t>
            </w:r>
            <w:r>
              <w:rPr>
                <w:i/>
                <w:iCs/>
                <w:color w:val="auto"/>
                <w:kern w:val="0"/>
                <w:lang w:bidi="ar"/>
              </w:rPr>
              <w:t>Lw</w:t>
            </w:r>
            <w:r>
              <w:rPr>
                <w:color w:val="auto"/>
                <w:kern w:val="0"/>
                <w:lang w:bidi="ar"/>
              </w:rPr>
              <w:t>+</w:t>
            </w:r>
            <w:r>
              <w:rPr>
                <w:i/>
                <w:iCs/>
                <w:color w:val="auto"/>
                <w:kern w:val="0"/>
                <w:lang w:bidi="ar"/>
              </w:rPr>
              <w:t>D</w:t>
            </w:r>
            <w:r>
              <w:rPr>
                <w:color w:val="auto"/>
                <w:kern w:val="0"/>
                <w:vertAlign w:val="subscript"/>
                <w:lang w:bidi="ar"/>
              </w:rPr>
              <w:t>C</w:t>
            </w:r>
            <w:r>
              <w:rPr>
                <w:color w:val="auto"/>
                <w:kern w:val="0"/>
                <w:lang w:bidi="ar"/>
              </w:rPr>
              <w:t>－(</w:t>
            </w:r>
            <w:r>
              <w:rPr>
                <w:i/>
                <w:iCs/>
                <w:color w:val="auto"/>
                <w:kern w:val="0"/>
                <w:lang w:bidi="ar"/>
              </w:rPr>
              <w:t>A</w:t>
            </w:r>
            <w:r>
              <w:rPr>
                <w:color w:val="auto"/>
                <w:kern w:val="0"/>
                <w:lang w:bidi="ar"/>
              </w:rPr>
              <w:t>div＋</w:t>
            </w:r>
            <w:r>
              <w:rPr>
                <w:i/>
                <w:iCs/>
                <w:color w:val="auto"/>
                <w:kern w:val="0"/>
                <w:lang w:bidi="ar"/>
              </w:rPr>
              <w:t>A</w:t>
            </w:r>
            <w:r>
              <w:rPr>
                <w:color w:val="auto"/>
                <w:kern w:val="0"/>
                <w:lang w:bidi="ar"/>
              </w:rPr>
              <w:t>atm＋</w:t>
            </w:r>
            <w:r>
              <w:rPr>
                <w:i/>
                <w:iCs/>
                <w:color w:val="auto"/>
                <w:kern w:val="0"/>
                <w:lang w:bidi="ar"/>
              </w:rPr>
              <w:t>A</w:t>
            </w:r>
            <w:r>
              <w:rPr>
                <w:color w:val="auto"/>
                <w:kern w:val="0"/>
                <w:lang w:bidi="ar"/>
              </w:rPr>
              <w:t>gr＋</w:t>
            </w:r>
            <w:r>
              <w:rPr>
                <w:i/>
                <w:iCs/>
                <w:color w:val="auto"/>
                <w:kern w:val="0"/>
                <w:lang w:bidi="ar"/>
              </w:rPr>
              <w:t>A</w:t>
            </w:r>
            <w:r>
              <w:rPr>
                <w:color w:val="auto"/>
                <w:kern w:val="0"/>
                <w:lang w:bidi="ar"/>
              </w:rPr>
              <w:t>bar＋</w:t>
            </w:r>
            <w:r>
              <w:rPr>
                <w:i/>
                <w:iCs/>
                <w:color w:val="auto"/>
                <w:kern w:val="0"/>
                <w:lang w:bidi="ar"/>
              </w:rPr>
              <w:t>A</w:t>
            </w:r>
            <w:r>
              <w:rPr>
                <w:color w:val="auto"/>
                <w:kern w:val="0"/>
                <w:lang w:bidi="ar"/>
              </w:rPr>
              <w:t>misc)</w:t>
            </w:r>
          </w:p>
          <w:p w14:paraId="00458D89">
            <w:pPr>
              <w:widowControl/>
              <w:spacing w:line="360" w:lineRule="auto"/>
              <w:ind w:firstLine="480" w:firstLineChars="200"/>
              <w:jc w:val="left"/>
              <w:rPr>
                <w:color w:val="auto"/>
              </w:rPr>
            </w:pPr>
            <w:r>
              <w:rPr>
                <w:color w:val="auto"/>
                <w:kern w:val="0"/>
                <w:lang w:bidi="ar"/>
              </w:rPr>
              <w:t>式中：</w:t>
            </w:r>
            <w:r>
              <w:rPr>
                <w:i/>
                <w:iCs/>
                <w:color w:val="auto"/>
                <w:kern w:val="0"/>
                <w:lang w:bidi="ar"/>
              </w:rPr>
              <w:t>Lp</w:t>
            </w:r>
            <w:r>
              <w:rPr>
                <w:color w:val="auto"/>
                <w:kern w:val="0"/>
                <w:lang w:bidi="ar"/>
              </w:rPr>
              <w:t>(</w:t>
            </w:r>
            <w:r>
              <w:rPr>
                <w:i/>
                <w:iCs/>
                <w:color w:val="auto"/>
                <w:kern w:val="0"/>
                <w:lang w:bidi="ar"/>
              </w:rPr>
              <w:t>r</w:t>
            </w:r>
            <w:r>
              <w:rPr>
                <w:color w:val="auto"/>
                <w:kern w:val="0"/>
                <w:lang w:bidi="ar"/>
              </w:rPr>
              <w:t xml:space="preserve">) ——预测点处声压级，dB； </w:t>
            </w:r>
          </w:p>
          <w:p w14:paraId="15815000">
            <w:pPr>
              <w:widowControl/>
              <w:spacing w:line="360" w:lineRule="auto"/>
              <w:ind w:firstLine="1200" w:firstLineChars="500"/>
              <w:jc w:val="left"/>
              <w:rPr>
                <w:color w:val="auto"/>
              </w:rPr>
            </w:pPr>
            <w:r>
              <w:rPr>
                <w:i/>
                <w:iCs/>
                <w:color w:val="auto"/>
                <w:kern w:val="0"/>
                <w:lang w:bidi="ar"/>
              </w:rPr>
              <w:t xml:space="preserve">Lw </w:t>
            </w:r>
            <w:r>
              <w:rPr>
                <w:color w:val="auto"/>
                <w:kern w:val="0"/>
                <w:lang w:bidi="ar"/>
              </w:rPr>
              <w:t xml:space="preserve">——由点声源产生的声功率级（A计权或倍频带），dB； </w:t>
            </w:r>
          </w:p>
          <w:p w14:paraId="2D273D1B">
            <w:pPr>
              <w:widowControl/>
              <w:spacing w:line="360" w:lineRule="auto"/>
              <w:ind w:firstLine="1200" w:firstLineChars="500"/>
              <w:jc w:val="left"/>
              <w:rPr>
                <w:color w:val="auto"/>
              </w:rPr>
            </w:pPr>
            <w:r>
              <w:rPr>
                <w:i/>
                <w:iCs/>
                <w:color w:val="auto"/>
                <w:kern w:val="0"/>
                <w:lang w:bidi="ar"/>
              </w:rPr>
              <w:t>D</w:t>
            </w:r>
            <w:r>
              <w:rPr>
                <w:color w:val="auto"/>
                <w:kern w:val="0"/>
                <w:vertAlign w:val="subscript"/>
                <w:lang w:bidi="ar"/>
              </w:rPr>
              <w:t>C</w:t>
            </w:r>
            <w:r>
              <w:rPr>
                <w:color w:val="auto"/>
                <w:kern w:val="0"/>
                <w:lang w:bidi="ar"/>
              </w:rPr>
              <w:t xml:space="preserve"> ——指向性校正，它描述点声源的等效连续声压级与产生声功率级</w:t>
            </w:r>
            <w:r>
              <w:rPr>
                <w:i/>
                <w:iCs/>
                <w:color w:val="auto"/>
                <w:kern w:val="0"/>
                <w:lang w:bidi="ar"/>
              </w:rPr>
              <w:t>Lw</w:t>
            </w:r>
            <w:r>
              <w:rPr>
                <w:color w:val="auto"/>
                <w:kern w:val="0"/>
                <w:lang w:bidi="ar"/>
              </w:rPr>
              <w:t xml:space="preserve">的全向点声源在规定方向的声级的偏差程度，dB； </w:t>
            </w:r>
          </w:p>
          <w:p w14:paraId="675F4A93">
            <w:pPr>
              <w:widowControl/>
              <w:spacing w:line="360" w:lineRule="auto"/>
              <w:ind w:firstLine="1200" w:firstLineChars="500"/>
              <w:jc w:val="left"/>
              <w:rPr>
                <w:color w:val="auto"/>
              </w:rPr>
            </w:pPr>
            <w:r>
              <w:rPr>
                <w:i/>
                <w:iCs/>
                <w:color w:val="auto"/>
                <w:kern w:val="0"/>
                <w:lang w:bidi="ar"/>
              </w:rPr>
              <w:t>A</w:t>
            </w:r>
            <w:r>
              <w:rPr>
                <w:color w:val="auto"/>
                <w:kern w:val="0"/>
                <w:lang w:bidi="ar"/>
              </w:rPr>
              <w:t xml:space="preserve">div ——几何发散引起的衰减，dB； </w:t>
            </w:r>
          </w:p>
          <w:p w14:paraId="5030059E">
            <w:pPr>
              <w:widowControl/>
              <w:spacing w:line="360" w:lineRule="auto"/>
              <w:ind w:firstLine="1200" w:firstLineChars="500"/>
              <w:jc w:val="left"/>
              <w:rPr>
                <w:color w:val="auto"/>
              </w:rPr>
            </w:pPr>
            <w:r>
              <w:rPr>
                <w:i/>
                <w:iCs/>
                <w:color w:val="auto"/>
                <w:kern w:val="0"/>
                <w:lang w:bidi="ar"/>
              </w:rPr>
              <w:t>A</w:t>
            </w:r>
            <w:r>
              <w:rPr>
                <w:color w:val="auto"/>
                <w:kern w:val="0"/>
                <w:lang w:bidi="ar"/>
              </w:rPr>
              <w:t xml:space="preserve">atm ——大气吸收引起的衰减，dB； </w:t>
            </w:r>
          </w:p>
          <w:p w14:paraId="1F337E96">
            <w:pPr>
              <w:widowControl/>
              <w:spacing w:line="360" w:lineRule="auto"/>
              <w:ind w:firstLine="1200" w:firstLineChars="500"/>
              <w:jc w:val="left"/>
              <w:rPr>
                <w:color w:val="auto"/>
              </w:rPr>
            </w:pPr>
            <w:r>
              <w:rPr>
                <w:i/>
                <w:iCs/>
                <w:color w:val="auto"/>
                <w:kern w:val="0"/>
                <w:lang w:bidi="ar"/>
              </w:rPr>
              <w:t>A</w:t>
            </w:r>
            <w:r>
              <w:rPr>
                <w:color w:val="auto"/>
                <w:kern w:val="0"/>
                <w:lang w:bidi="ar"/>
              </w:rPr>
              <w:t xml:space="preserve">gr ——地面效应引起的衰减，dB； </w:t>
            </w:r>
          </w:p>
          <w:p w14:paraId="2471674C">
            <w:pPr>
              <w:widowControl/>
              <w:spacing w:line="360" w:lineRule="auto"/>
              <w:ind w:firstLine="1200" w:firstLineChars="500"/>
              <w:jc w:val="left"/>
              <w:rPr>
                <w:color w:val="auto"/>
              </w:rPr>
            </w:pPr>
            <w:r>
              <w:rPr>
                <w:i/>
                <w:iCs/>
                <w:color w:val="auto"/>
                <w:kern w:val="0"/>
                <w:lang w:bidi="ar"/>
              </w:rPr>
              <w:t>A</w:t>
            </w:r>
            <w:r>
              <w:rPr>
                <w:color w:val="auto"/>
                <w:kern w:val="0"/>
                <w:lang w:bidi="ar"/>
              </w:rPr>
              <w:t xml:space="preserve">bar ——障碍物屏蔽引起的衰减，dB； </w:t>
            </w:r>
          </w:p>
          <w:p w14:paraId="772B51DD">
            <w:pPr>
              <w:widowControl/>
              <w:spacing w:line="360" w:lineRule="auto"/>
              <w:ind w:firstLine="1200" w:firstLineChars="500"/>
              <w:jc w:val="left"/>
              <w:rPr>
                <w:bCs/>
                <w:color w:val="auto"/>
              </w:rPr>
            </w:pPr>
            <w:r>
              <w:rPr>
                <w:i/>
                <w:iCs/>
                <w:color w:val="auto"/>
                <w:kern w:val="0"/>
                <w:lang w:bidi="ar"/>
              </w:rPr>
              <w:t>A</w:t>
            </w:r>
            <w:r>
              <w:rPr>
                <w:color w:val="auto"/>
                <w:kern w:val="0"/>
                <w:lang w:bidi="ar"/>
              </w:rPr>
              <w:t>misc ——其他多方面效应引起的衰减，dB</w:t>
            </w:r>
            <w:r>
              <w:rPr>
                <w:bCs/>
                <w:color w:val="auto"/>
              </w:rPr>
              <w:t>。</w:t>
            </w:r>
          </w:p>
          <w:p w14:paraId="6A65DAD7">
            <w:pPr>
              <w:adjustRightInd w:val="0"/>
              <w:snapToGrid w:val="0"/>
              <w:spacing w:line="360" w:lineRule="auto"/>
              <w:ind w:firstLine="480" w:firstLineChars="200"/>
              <w:rPr>
                <w:bCs/>
                <w:color w:val="auto"/>
              </w:rPr>
            </w:pPr>
            <w:r>
              <w:rPr>
                <w:bCs/>
                <w:color w:val="auto"/>
              </w:rPr>
              <w:t>为保守起见，本次预测仅考虑声波几何发散衰减，公式简化如下：</w:t>
            </w:r>
          </w:p>
          <w:p w14:paraId="61D12C9F">
            <w:pPr>
              <w:adjustRightInd w:val="0"/>
              <w:snapToGrid w:val="0"/>
              <w:spacing w:line="360" w:lineRule="auto"/>
              <w:ind w:firstLine="480" w:firstLineChars="200"/>
              <w:jc w:val="center"/>
              <w:rPr>
                <w:bCs/>
                <w:color w:val="auto"/>
              </w:rPr>
            </w:pPr>
            <w:r>
              <w:rPr>
                <w:color w:val="auto"/>
              </w:rPr>
              <w:drawing>
                <wp:inline distT="0" distB="0" distL="114300" distR="114300">
                  <wp:extent cx="1961515" cy="539750"/>
                  <wp:effectExtent l="0" t="0" r="3175" b="508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8"/>
                          <a:stretch>
                            <a:fillRect/>
                          </a:stretch>
                        </pic:blipFill>
                        <pic:spPr>
                          <a:xfrm>
                            <a:off x="0" y="0"/>
                            <a:ext cx="1961515" cy="539750"/>
                          </a:xfrm>
                          <a:prstGeom prst="rect">
                            <a:avLst/>
                          </a:prstGeom>
                          <a:noFill/>
                          <a:ln>
                            <a:noFill/>
                          </a:ln>
                        </pic:spPr>
                      </pic:pic>
                    </a:graphicData>
                  </a:graphic>
                </wp:inline>
              </w:drawing>
            </w:r>
          </w:p>
          <w:p w14:paraId="25702645">
            <w:pPr>
              <w:adjustRightInd w:val="0"/>
              <w:snapToGrid w:val="0"/>
              <w:spacing w:line="360" w:lineRule="auto"/>
              <w:ind w:firstLine="480" w:firstLineChars="200"/>
              <w:rPr>
                <w:bCs/>
                <w:color w:val="auto"/>
              </w:rPr>
            </w:pPr>
            <w:r>
              <w:rPr>
                <w:bCs/>
                <w:color w:val="auto"/>
              </w:rPr>
              <w:t>（2）室内声源</w:t>
            </w:r>
          </w:p>
          <w:p w14:paraId="66E87D76">
            <w:pPr>
              <w:adjustRightInd w:val="0"/>
              <w:snapToGrid w:val="0"/>
              <w:spacing w:line="360" w:lineRule="auto"/>
              <w:ind w:firstLine="480" w:firstLineChars="200"/>
              <w:rPr>
                <w:bCs/>
                <w:color w:val="auto"/>
              </w:rPr>
            </w:pPr>
            <w:r>
              <w:rPr>
                <w:bCs/>
                <w:color w:val="auto"/>
              </w:rPr>
              <w:t>对室内噪声源采用等效室外声源声功率级法进行计算。设靠近开口处（或窗户）室内、室外某倍频带的声压级分别为Lp1和Lp2。若声源所在室内声场为近似扩散声场，则室外的倍频带声压级可按下式近似求出：</w:t>
            </w:r>
          </w:p>
          <w:p w14:paraId="4112A97A">
            <w:pPr>
              <w:adjustRightInd w:val="0"/>
              <w:snapToGrid w:val="0"/>
              <w:spacing w:line="360" w:lineRule="auto"/>
              <w:ind w:firstLine="480" w:firstLineChars="200"/>
              <w:jc w:val="center"/>
              <w:rPr>
                <w:bCs/>
                <w:color w:val="auto"/>
              </w:rPr>
            </w:pPr>
            <w:r>
              <w:rPr>
                <w:color w:val="auto"/>
              </w:rPr>
              <w:drawing>
                <wp:inline distT="0" distB="0" distL="114300" distR="114300">
                  <wp:extent cx="1653540" cy="328930"/>
                  <wp:effectExtent l="0" t="0" r="5715" b="127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9"/>
                          <a:stretch>
                            <a:fillRect/>
                          </a:stretch>
                        </pic:blipFill>
                        <pic:spPr>
                          <a:xfrm>
                            <a:off x="0" y="0"/>
                            <a:ext cx="1653540" cy="328930"/>
                          </a:xfrm>
                          <a:prstGeom prst="rect">
                            <a:avLst/>
                          </a:prstGeom>
                          <a:noFill/>
                          <a:ln>
                            <a:noFill/>
                          </a:ln>
                        </pic:spPr>
                      </pic:pic>
                    </a:graphicData>
                  </a:graphic>
                </wp:inline>
              </w:drawing>
            </w:r>
          </w:p>
          <w:p w14:paraId="3EA69CC4">
            <w:pPr>
              <w:adjustRightInd w:val="0"/>
              <w:snapToGrid w:val="0"/>
              <w:spacing w:line="360" w:lineRule="auto"/>
              <w:ind w:firstLine="480" w:firstLineChars="200"/>
              <w:rPr>
                <w:bCs/>
                <w:color w:val="auto"/>
              </w:rPr>
            </w:pPr>
            <w:r>
              <w:rPr>
                <w:bCs/>
                <w:color w:val="auto"/>
              </w:rPr>
              <w:t>式中：TL—隔墙（或窗户）倍频带的隔声量，dB(A)。</w:t>
            </w:r>
          </w:p>
          <w:p w14:paraId="53358F24">
            <w:pPr>
              <w:adjustRightInd w:val="0"/>
              <w:snapToGrid w:val="0"/>
              <w:spacing w:line="360" w:lineRule="auto"/>
              <w:ind w:firstLine="480" w:firstLineChars="200"/>
              <w:jc w:val="center"/>
              <w:rPr>
                <w:bCs/>
                <w:color w:val="auto"/>
              </w:rPr>
            </w:pPr>
            <w:r>
              <w:rPr>
                <w:color w:val="auto"/>
              </w:rPr>
              <w:drawing>
                <wp:inline distT="0" distB="0" distL="114300" distR="114300">
                  <wp:extent cx="3131820" cy="1565910"/>
                  <wp:effectExtent l="0" t="0" r="5080" b="254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20"/>
                          <a:stretch>
                            <a:fillRect/>
                          </a:stretch>
                        </pic:blipFill>
                        <pic:spPr>
                          <a:xfrm>
                            <a:off x="0" y="0"/>
                            <a:ext cx="3131820" cy="1565910"/>
                          </a:xfrm>
                          <a:prstGeom prst="rect">
                            <a:avLst/>
                          </a:prstGeom>
                          <a:noFill/>
                          <a:ln>
                            <a:noFill/>
                          </a:ln>
                        </pic:spPr>
                      </pic:pic>
                    </a:graphicData>
                  </a:graphic>
                </wp:inline>
              </w:drawing>
            </w:r>
          </w:p>
          <w:p w14:paraId="42BEDEF5">
            <w:pPr>
              <w:adjustRightInd w:val="0"/>
              <w:snapToGrid w:val="0"/>
              <w:spacing w:line="360" w:lineRule="auto"/>
              <w:ind w:firstLine="480" w:firstLineChars="200"/>
              <w:rPr>
                <w:bCs/>
                <w:color w:val="auto"/>
              </w:rPr>
            </w:pPr>
            <w:r>
              <w:rPr>
                <w:bCs/>
                <w:color w:val="auto"/>
              </w:rPr>
              <w:t>也可按照下式计算某一室内声源靠近围护结构处产生的倍频带声压级：</w:t>
            </w:r>
          </w:p>
          <w:p w14:paraId="6C989CC4">
            <w:pPr>
              <w:adjustRightInd w:val="0"/>
              <w:snapToGrid w:val="0"/>
              <w:spacing w:line="360" w:lineRule="auto"/>
              <w:ind w:firstLine="480" w:firstLineChars="200"/>
              <w:jc w:val="center"/>
              <w:rPr>
                <w:bCs/>
                <w:color w:val="auto"/>
              </w:rPr>
            </w:pPr>
            <w:r>
              <w:rPr>
                <w:color w:val="auto"/>
              </w:rPr>
              <w:drawing>
                <wp:inline distT="0" distB="0" distL="114300" distR="114300">
                  <wp:extent cx="1934845" cy="495300"/>
                  <wp:effectExtent l="0" t="0" r="5080"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21"/>
                          <a:stretch>
                            <a:fillRect/>
                          </a:stretch>
                        </pic:blipFill>
                        <pic:spPr>
                          <a:xfrm>
                            <a:off x="0" y="0"/>
                            <a:ext cx="1934845" cy="495300"/>
                          </a:xfrm>
                          <a:prstGeom prst="rect">
                            <a:avLst/>
                          </a:prstGeom>
                          <a:noFill/>
                          <a:ln>
                            <a:noFill/>
                          </a:ln>
                        </pic:spPr>
                      </pic:pic>
                    </a:graphicData>
                  </a:graphic>
                </wp:inline>
              </w:drawing>
            </w:r>
          </w:p>
          <w:p w14:paraId="424A2876">
            <w:pPr>
              <w:adjustRightInd w:val="0"/>
              <w:snapToGrid w:val="0"/>
              <w:spacing w:line="360" w:lineRule="auto"/>
              <w:ind w:firstLine="480" w:firstLineChars="200"/>
              <w:rPr>
                <w:bCs/>
                <w:color w:val="auto"/>
              </w:rPr>
            </w:pPr>
            <w:r>
              <w:rPr>
                <w:bCs/>
                <w:color w:val="auto"/>
              </w:rPr>
              <w:t>式中：Q——指向性因数；通常对无指向性声源，当声源放在房间中心时，Q=1；当入在一面墙的中心时，Q=2；当放在两面墙夹角处时，Q=4；当放在三面墙夹角处时，Q=8；</w:t>
            </w:r>
          </w:p>
          <w:p w14:paraId="3FAD6628">
            <w:pPr>
              <w:adjustRightInd w:val="0"/>
              <w:snapToGrid w:val="0"/>
              <w:spacing w:line="360" w:lineRule="auto"/>
              <w:ind w:firstLine="1200" w:firstLineChars="500"/>
              <w:rPr>
                <w:bCs/>
                <w:color w:val="auto"/>
              </w:rPr>
            </w:pPr>
            <w:r>
              <w:rPr>
                <w:bCs/>
                <w:color w:val="auto"/>
              </w:rPr>
              <w:t>R——房间常数；R=Sα/(1−α)，S为房间内表面面积，m</w:t>
            </w:r>
            <w:r>
              <w:rPr>
                <w:bCs/>
                <w:color w:val="auto"/>
                <w:vertAlign w:val="superscript"/>
              </w:rPr>
              <w:t>2</w:t>
            </w:r>
            <w:r>
              <w:rPr>
                <w:bCs/>
                <w:color w:val="auto"/>
              </w:rPr>
              <w:t>；α为平均吸声系数；</w:t>
            </w:r>
          </w:p>
          <w:p w14:paraId="3092C079">
            <w:pPr>
              <w:adjustRightInd w:val="0"/>
              <w:snapToGrid w:val="0"/>
              <w:spacing w:line="360" w:lineRule="auto"/>
              <w:ind w:firstLine="1200" w:firstLineChars="500"/>
              <w:rPr>
                <w:bCs/>
                <w:color w:val="auto"/>
              </w:rPr>
            </w:pPr>
            <w:r>
              <w:rPr>
                <w:bCs/>
                <w:color w:val="auto"/>
              </w:rPr>
              <w:t>r——声源到靠近围护结构某点处的距离，m。</w:t>
            </w:r>
          </w:p>
          <w:p w14:paraId="371436A5">
            <w:pPr>
              <w:adjustRightInd w:val="0"/>
              <w:snapToGrid w:val="0"/>
              <w:spacing w:line="360" w:lineRule="auto"/>
              <w:ind w:firstLine="480" w:firstLineChars="200"/>
              <w:rPr>
                <w:bCs/>
                <w:color w:val="auto"/>
              </w:rPr>
            </w:pPr>
            <w:r>
              <w:rPr>
                <w:bCs/>
                <w:color w:val="auto"/>
              </w:rPr>
              <w:t>所有室内声源在围护结构处产生的i倍频带叠加声压级的计算：</w:t>
            </w:r>
          </w:p>
          <w:p w14:paraId="07BC0FAB">
            <w:pPr>
              <w:adjustRightInd w:val="0"/>
              <w:snapToGrid w:val="0"/>
              <w:spacing w:line="360" w:lineRule="auto"/>
              <w:ind w:firstLine="480" w:firstLineChars="200"/>
              <w:jc w:val="center"/>
              <w:rPr>
                <w:bCs/>
                <w:color w:val="auto"/>
              </w:rPr>
            </w:pPr>
            <w:r>
              <w:rPr>
                <w:color w:val="auto"/>
              </w:rPr>
              <w:drawing>
                <wp:inline distT="0" distB="0" distL="114300" distR="114300">
                  <wp:extent cx="1835785" cy="518160"/>
                  <wp:effectExtent l="0" t="0" r="5080" b="190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22"/>
                          <a:stretch>
                            <a:fillRect/>
                          </a:stretch>
                        </pic:blipFill>
                        <pic:spPr>
                          <a:xfrm>
                            <a:off x="0" y="0"/>
                            <a:ext cx="1835785" cy="518160"/>
                          </a:xfrm>
                          <a:prstGeom prst="rect">
                            <a:avLst/>
                          </a:prstGeom>
                          <a:noFill/>
                          <a:ln>
                            <a:noFill/>
                          </a:ln>
                        </pic:spPr>
                      </pic:pic>
                    </a:graphicData>
                  </a:graphic>
                </wp:inline>
              </w:drawing>
            </w:r>
          </w:p>
          <w:p w14:paraId="6022E72A">
            <w:pPr>
              <w:adjustRightInd w:val="0"/>
              <w:snapToGrid w:val="0"/>
              <w:spacing w:line="360" w:lineRule="auto"/>
              <w:ind w:firstLine="480" w:firstLineChars="200"/>
              <w:rPr>
                <w:bCs/>
                <w:color w:val="auto"/>
              </w:rPr>
            </w:pPr>
            <w:r>
              <w:rPr>
                <w:bCs/>
                <w:color w:val="auto"/>
              </w:rPr>
              <w:t>式中：LP1,i（T）——靠近围护结构处室内N个声源i倍频带的叠加声压级，dB；</w:t>
            </w:r>
          </w:p>
          <w:p w14:paraId="21975B8B">
            <w:pPr>
              <w:adjustRightInd w:val="0"/>
              <w:snapToGrid w:val="0"/>
              <w:spacing w:line="360" w:lineRule="auto"/>
              <w:ind w:firstLine="1200" w:firstLineChars="500"/>
              <w:rPr>
                <w:bCs/>
                <w:color w:val="auto"/>
              </w:rPr>
            </w:pPr>
            <w:r>
              <w:rPr>
                <w:bCs/>
                <w:color w:val="auto"/>
              </w:rPr>
              <w:t>LP1,j——室内j声源i倍频带的声压级，dB；</w:t>
            </w:r>
          </w:p>
          <w:p w14:paraId="45254833">
            <w:pPr>
              <w:adjustRightInd w:val="0"/>
              <w:snapToGrid w:val="0"/>
              <w:spacing w:line="360" w:lineRule="auto"/>
              <w:ind w:firstLine="1200" w:firstLineChars="500"/>
              <w:rPr>
                <w:bCs/>
                <w:color w:val="auto"/>
              </w:rPr>
            </w:pPr>
            <w:r>
              <w:rPr>
                <w:bCs/>
                <w:color w:val="auto"/>
              </w:rPr>
              <w:t>N——室内声源总数；</w:t>
            </w:r>
          </w:p>
          <w:p w14:paraId="2F9CEF31">
            <w:pPr>
              <w:adjustRightInd w:val="0"/>
              <w:snapToGrid w:val="0"/>
              <w:spacing w:line="360" w:lineRule="auto"/>
              <w:ind w:firstLine="480" w:firstLineChars="200"/>
              <w:rPr>
                <w:bCs/>
                <w:color w:val="auto"/>
              </w:rPr>
            </w:pPr>
            <w:r>
              <w:rPr>
                <w:bCs/>
                <w:color w:val="auto"/>
              </w:rPr>
              <w:t>在室内近似为扩散声场时，按下式计算出靠近室外围护结构处的声压级：</w:t>
            </w:r>
          </w:p>
          <w:p w14:paraId="3ECB082B">
            <w:pPr>
              <w:adjustRightInd w:val="0"/>
              <w:snapToGrid w:val="0"/>
              <w:spacing w:line="360" w:lineRule="auto"/>
              <w:ind w:firstLine="480" w:firstLineChars="200"/>
              <w:jc w:val="center"/>
              <w:rPr>
                <w:bCs/>
                <w:color w:val="auto"/>
              </w:rPr>
            </w:pPr>
            <w:r>
              <w:rPr>
                <w:color w:val="auto"/>
              </w:rPr>
              <w:drawing>
                <wp:inline distT="0" distB="0" distL="114300" distR="114300">
                  <wp:extent cx="2029460" cy="321310"/>
                  <wp:effectExtent l="0" t="0" r="1270" b="63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23"/>
                          <a:stretch>
                            <a:fillRect/>
                          </a:stretch>
                        </pic:blipFill>
                        <pic:spPr>
                          <a:xfrm>
                            <a:off x="0" y="0"/>
                            <a:ext cx="2029460" cy="321310"/>
                          </a:xfrm>
                          <a:prstGeom prst="rect">
                            <a:avLst/>
                          </a:prstGeom>
                          <a:noFill/>
                          <a:ln>
                            <a:noFill/>
                          </a:ln>
                        </pic:spPr>
                      </pic:pic>
                    </a:graphicData>
                  </a:graphic>
                </wp:inline>
              </w:drawing>
            </w:r>
          </w:p>
          <w:p w14:paraId="28C535F8">
            <w:pPr>
              <w:adjustRightInd w:val="0"/>
              <w:snapToGrid w:val="0"/>
              <w:spacing w:line="360" w:lineRule="auto"/>
              <w:ind w:firstLine="480" w:firstLineChars="200"/>
              <w:rPr>
                <w:bCs/>
                <w:color w:val="auto"/>
              </w:rPr>
            </w:pPr>
            <w:r>
              <w:rPr>
                <w:bCs/>
                <w:color w:val="auto"/>
              </w:rPr>
              <w:t>式中：LP2,i（T）——靠近围护结构处室外N个声源i倍频带的叠加声压级，dB；</w:t>
            </w:r>
          </w:p>
          <w:p w14:paraId="043ED073">
            <w:pPr>
              <w:adjustRightInd w:val="0"/>
              <w:snapToGrid w:val="0"/>
              <w:spacing w:line="360" w:lineRule="auto"/>
              <w:ind w:firstLine="1200" w:firstLineChars="500"/>
              <w:rPr>
                <w:bCs/>
                <w:color w:val="auto"/>
              </w:rPr>
            </w:pPr>
            <w:r>
              <w:rPr>
                <w:bCs/>
                <w:color w:val="auto"/>
              </w:rPr>
              <w:t>TLi——围护结构i倍频带的隔声量，dB；</w:t>
            </w:r>
          </w:p>
          <w:p w14:paraId="45C9D1C2">
            <w:pPr>
              <w:adjustRightInd w:val="0"/>
              <w:snapToGrid w:val="0"/>
              <w:spacing w:line="360" w:lineRule="auto"/>
              <w:ind w:firstLine="480" w:firstLineChars="200"/>
              <w:rPr>
                <w:bCs/>
                <w:color w:val="auto"/>
              </w:rPr>
            </w:pPr>
            <w:r>
              <w:rPr>
                <w:bCs/>
                <w:color w:val="auto"/>
              </w:rPr>
              <w:t>将室外声源的声压级和透过面积换算成等效的室外声源，计算出中心位置于透声面积（S）处的等效声源的倍频带声功率级，见下式：</w:t>
            </w:r>
          </w:p>
          <w:p w14:paraId="049FB917">
            <w:pPr>
              <w:adjustRightInd w:val="0"/>
              <w:snapToGrid w:val="0"/>
              <w:spacing w:line="360" w:lineRule="auto"/>
              <w:ind w:firstLine="480" w:firstLineChars="200"/>
              <w:jc w:val="center"/>
              <w:rPr>
                <w:bCs/>
                <w:color w:val="auto"/>
              </w:rPr>
            </w:pPr>
            <w:r>
              <w:rPr>
                <w:color w:val="auto"/>
              </w:rPr>
              <w:drawing>
                <wp:inline distT="0" distB="0" distL="114300" distR="114300">
                  <wp:extent cx="1623695" cy="257175"/>
                  <wp:effectExtent l="0" t="0" r="2540" b="698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24"/>
                          <a:stretch>
                            <a:fillRect/>
                          </a:stretch>
                        </pic:blipFill>
                        <pic:spPr>
                          <a:xfrm>
                            <a:off x="0" y="0"/>
                            <a:ext cx="1623695" cy="257175"/>
                          </a:xfrm>
                          <a:prstGeom prst="rect">
                            <a:avLst/>
                          </a:prstGeom>
                          <a:noFill/>
                          <a:ln>
                            <a:noFill/>
                          </a:ln>
                        </pic:spPr>
                      </pic:pic>
                    </a:graphicData>
                  </a:graphic>
                </wp:inline>
              </w:drawing>
            </w:r>
          </w:p>
          <w:p w14:paraId="4AA22F6C">
            <w:pPr>
              <w:adjustRightInd w:val="0"/>
              <w:snapToGrid w:val="0"/>
              <w:spacing w:line="360" w:lineRule="auto"/>
              <w:ind w:firstLine="480" w:firstLineChars="200"/>
              <w:rPr>
                <w:bCs/>
                <w:color w:val="auto"/>
              </w:rPr>
            </w:pPr>
            <w:r>
              <w:rPr>
                <w:bCs/>
                <w:color w:val="auto"/>
              </w:rPr>
              <w:t>然后按室外声源预测方法计算预测点处的A声级。</w:t>
            </w:r>
          </w:p>
          <w:p w14:paraId="02E546AA">
            <w:pPr>
              <w:adjustRightInd w:val="0"/>
              <w:snapToGrid w:val="0"/>
              <w:spacing w:line="360" w:lineRule="auto"/>
              <w:ind w:firstLine="480" w:firstLineChars="200"/>
              <w:rPr>
                <w:bCs/>
                <w:color w:val="auto"/>
              </w:rPr>
            </w:pPr>
            <w:r>
              <w:rPr>
                <w:bCs/>
                <w:color w:val="auto"/>
              </w:rPr>
              <w:t>（3）计算总声压级</w:t>
            </w:r>
          </w:p>
          <w:p w14:paraId="39ADC652">
            <w:pPr>
              <w:adjustRightInd w:val="0"/>
              <w:snapToGrid w:val="0"/>
              <w:spacing w:line="360" w:lineRule="auto"/>
              <w:ind w:firstLine="480" w:firstLineChars="200"/>
              <w:rPr>
                <w:bCs/>
                <w:color w:val="auto"/>
              </w:rPr>
            </w:pPr>
            <w:r>
              <w:rPr>
                <w:bCs/>
                <w:color w:val="auto"/>
              </w:rPr>
              <w:t>①多声源声压级的叠加</w:t>
            </w:r>
          </w:p>
          <w:p w14:paraId="08AD18AE">
            <w:pPr>
              <w:adjustRightInd w:val="0"/>
              <w:snapToGrid w:val="0"/>
              <w:spacing w:line="360" w:lineRule="auto"/>
              <w:ind w:firstLine="480" w:firstLineChars="200"/>
              <w:rPr>
                <w:bCs/>
                <w:color w:val="auto"/>
              </w:rPr>
            </w:pPr>
            <w:r>
              <w:rPr>
                <w:bCs/>
                <w:color w:val="auto"/>
              </w:rPr>
              <w:t>对两个以上多个声源同时存在时，多点源叠加计算总源强，采用如下公式：</w:t>
            </w:r>
          </w:p>
          <w:p w14:paraId="10E8B813">
            <w:pPr>
              <w:adjustRightInd w:val="0"/>
              <w:snapToGrid w:val="0"/>
              <w:spacing w:line="360" w:lineRule="auto"/>
              <w:ind w:firstLine="480" w:firstLineChars="200"/>
              <w:jc w:val="center"/>
              <w:rPr>
                <w:bCs/>
                <w:color w:val="auto"/>
              </w:rPr>
            </w:pPr>
            <w:r>
              <w:rPr>
                <w:color w:val="auto"/>
              </w:rPr>
              <w:drawing>
                <wp:inline distT="0" distB="0" distL="114300" distR="114300">
                  <wp:extent cx="2465705" cy="454660"/>
                  <wp:effectExtent l="0" t="0" r="2540" b="762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25"/>
                          <a:stretch>
                            <a:fillRect/>
                          </a:stretch>
                        </pic:blipFill>
                        <pic:spPr>
                          <a:xfrm>
                            <a:off x="0" y="0"/>
                            <a:ext cx="2465705" cy="454660"/>
                          </a:xfrm>
                          <a:prstGeom prst="rect">
                            <a:avLst/>
                          </a:prstGeom>
                          <a:noFill/>
                          <a:ln>
                            <a:noFill/>
                          </a:ln>
                        </pic:spPr>
                      </pic:pic>
                    </a:graphicData>
                  </a:graphic>
                </wp:inline>
              </w:drawing>
            </w:r>
          </w:p>
          <w:p w14:paraId="4C733B8A">
            <w:pPr>
              <w:adjustRightInd w:val="0"/>
              <w:snapToGrid w:val="0"/>
              <w:spacing w:line="360" w:lineRule="auto"/>
              <w:ind w:firstLine="480" w:firstLineChars="200"/>
              <w:rPr>
                <w:bCs/>
                <w:color w:val="auto"/>
              </w:rPr>
            </w:pPr>
            <w:r>
              <w:rPr>
                <w:bCs/>
                <w:color w:val="auto"/>
              </w:rPr>
              <w:t>式中：Leqg——建设项目声源在预测点的等效声级贡献值，dB(A)；</w:t>
            </w:r>
          </w:p>
          <w:p w14:paraId="664573AF">
            <w:pPr>
              <w:adjustRightInd w:val="0"/>
              <w:snapToGrid w:val="0"/>
              <w:spacing w:line="360" w:lineRule="auto"/>
              <w:ind w:firstLine="1200" w:firstLineChars="500"/>
              <w:rPr>
                <w:bCs/>
                <w:color w:val="auto"/>
              </w:rPr>
            </w:pPr>
            <w:r>
              <w:rPr>
                <w:bCs/>
                <w:color w:val="auto"/>
              </w:rPr>
              <w:t>LAi——第i个室外声源在预测点产生的A声级，dB(A)；</w:t>
            </w:r>
          </w:p>
          <w:p w14:paraId="043978C1">
            <w:pPr>
              <w:adjustRightInd w:val="0"/>
              <w:snapToGrid w:val="0"/>
              <w:spacing w:line="360" w:lineRule="auto"/>
              <w:ind w:firstLine="1200" w:firstLineChars="500"/>
              <w:rPr>
                <w:bCs/>
                <w:color w:val="auto"/>
              </w:rPr>
            </w:pPr>
            <w:r>
              <w:rPr>
                <w:bCs/>
                <w:color w:val="auto"/>
              </w:rPr>
              <w:t>LAj——第j个等效室外声源在预测点产生的A声级，dB(A)；</w:t>
            </w:r>
          </w:p>
          <w:p w14:paraId="479D6A10">
            <w:pPr>
              <w:adjustRightInd w:val="0"/>
              <w:snapToGrid w:val="0"/>
              <w:spacing w:line="360" w:lineRule="auto"/>
              <w:ind w:firstLine="1200" w:firstLineChars="500"/>
              <w:rPr>
                <w:bCs/>
                <w:color w:val="auto"/>
              </w:rPr>
            </w:pPr>
            <w:r>
              <w:rPr>
                <w:bCs/>
                <w:color w:val="auto"/>
              </w:rPr>
              <w:t>tj——在T时间内j声源工作时间，S；</w:t>
            </w:r>
          </w:p>
          <w:p w14:paraId="2BBFE4C4">
            <w:pPr>
              <w:adjustRightInd w:val="0"/>
              <w:snapToGrid w:val="0"/>
              <w:spacing w:line="360" w:lineRule="auto"/>
              <w:ind w:firstLine="1200" w:firstLineChars="500"/>
              <w:rPr>
                <w:bCs/>
                <w:color w:val="auto"/>
              </w:rPr>
            </w:pPr>
            <w:r>
              <w:rPr>
                <w:bCs/>
                <w:color w:val="auto"/>
              </w:rPr>
              <w:t>ti——在T时间内i声源工作时间，S；</w:t>
            </w:r>
          </w:p>
          <w:p w14:paraId="5F29FE9B">
            <w:pPr>
              <w:adjustRightInd w:val="0"/>
              <w:snapToGrid w:val="0"/>
              <w:spacing w:line="360" w:lineRule="auto"/>
              <w:ind w:firstLine="1320" w:firstLineChars="600"/>
              <w:rPr>
                <w:bCs/>
                <w:color w:val="auto"/>
                <w:spacing w:val="-10"/>
              </w:rPr>
            </w:pPr>
            <w:r>
              <w:rPr>
                <w:bCs/>
                <w:color w:val="auto"/>
                <w:spacing w:val="-10"/>
              </w:rPr>
              <w:t>T——用于计算等效声级的时间，S；</w:t>
            </w:r>
          </w:p>
          <w:p w14:paraId="4419504A">
            <w:pPr>
              <w:adjustRightInd w:val="0"/>
              <w:snapToGrid w:val="0"/>
              <w:spacing w:line="360" w:lineRule="auto"/>
              <w:ind w:firstLine="1320" w:firstLineChars="600"/>
              <w:rPr>
                <w:bCs/>
                <w:color w:val="auto"/>
                <w:spacing w:val="-10"/>
              </w:rPr>
            </w:pPr>
            <w:r>
              <w:rPr>
                <w:bCs/>
                <w:color w:val="auto"/>
                <w:spacing w:val="-10"/>
              </w:rPr>
              <w:t>N——室外声源个数；</w:t>
            </w:r>
          </w:p>
          <w:p w14:paraId="2275AD86">
            <w:pPr>
              <w:adjustRightInd w:val="0"/>
              <w:snapToGrid w:val="0"/>
              <w:spacing w:line="360" w:lineRule="auto"/>
              <w:ind w:firstLine="1320" w:firstLineChars="600"/>
              <w:rPr>
                <w:bCs/>
                <w:color w:val="auto"/>
                <w:spacing w:val="-10"/>
              </w:rPr>
            </w:pPr>
            <w:r>
              <w:rPr>
                <w:bCs/>
                <w:color w:val="auto"/>
                <w:spacing w:val="-10"/>
              </w:rPr>
              <w:t>M——等效室外声源个数。</w:t>
            </w:r>
          </w:p>
          <w:p w14:paraId="649C2120">
            <w:pPr>
              <w:adjustRightInd w:val="0"/>
              <w:snapToGrid w:val="0"/>
              <w:spacing w:line="360" w:lineRule="auto"/>
              <w:ind w:firstLine="480" w:firstLineChars="200"/>
              <w:rPr>
                <w:bCs/>
                <w:color w:val="auto"/>
              </w:rPr>
            </w:pPr>
            <w:r>
              <w:rPr>
                <w:bCs/>
                <w:color w:val="auto"/>
              </w:rPr>
              <w:t>②预测点的噪声预测值</w:t>
            </w:r>
          </w:p>
          <w:p w14:paraId="055238F8">
            <w:pPr>
              <w:adjustRightInd w:val="0"/>
              <w:snapToGrid w:val="0"/>
              <w:spacing w:line="360" w:lineRule="auto"/>
              <w:ind w:firstLine="480" w:firstLineChars="200"/>
              <w:rPr>
                <w:bCs/>
                <w:color w:val="auto"/>
              </w:rPr>
            </w:pPr>
            <w:r>
              <w:rPr>
                <w:bCs/>
                <w:color w:val="auto"/>
              </w:rPr>
              <w:t>为预测项目噪声源对周围声环境的影响情况，首先预测噪声源随距离的衰减，然后将噪声源产生的噪声值与区域噪声背景值叠加，即可以预测不同距离的噪声值。叠加公式为：</w:t>
            </w:r>
          </w:p>
          <w:p w14:paraId="6F512E04">
            <w:pPr>
              <w:adjustRightInd w:val="0"/>
              <w:snapToGrid w:val="0"/>
              <w:spacing w:line="360" w:lineRule="auto"/>
              <w:ind w:firstLine="480" w:firstLineChars="200"/>
              <w:jc w:val="center"/>
              <w:rPr>
                <w:bCs/>
                <w:color w:val="auto"/>
                <w:spacing w:val="-10"/>
              </w:rPr>
            </w:pPr>
            <w:r>
              <w:rPr>
                <w:color w:val="auto"/>
              </w:rPr>
              <w:drawing>
                <wp:inline distT="0" distB="0" distL="114300" distR="114300">
                  <wp:extent cx="2040890" cy="364490"/>
                  <wp:effectExtent l="0" t="0" r="6350" b="698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26"/>
                          <a:stretch>
                            <a:fillRect/>
                          </a:stretch>
                        </pic:blipFill>
                        <pic:spPr>
                          <a:xfrm>
                            <a:off x="0" y="0"/>
                            <a:ext cx="2040890" cy="364490"/>
                          </a:xfrm>
                          <a:prstGeom prst="rect">
                            <a:avLst/>
                          </a:prstGeom>
                          <a:noFill/>
                          <a:ln>
                            <a:noFill/>
                          </a:ln>
                        </pic:spPr>
                      </pic:pic>
                    </a:graphicData>
                  </a:graphic>
                </wp:inline>
              </w:drawing>
            </w:r>
          </w:p>
          <w:p w14:paraId="7AF5E50F">
            <w:pPr>
              <w:adjustRightInd w:val="0"/>
              <w:snapToGrid w:val="0"/>
              <w:spacing w:line="360" w:lineRule="auto"/>
              <w:ind w:firstLine="480" w:firstLineChars="200"/>
              <w:rPr>
                <w:bCs/>
                <w:color w:val="auto"/>
              </w:rPr>
            </w:pPr>
            <w:r>
              <w:rPr>
                <w:bCs/>
                <w:color w:val="auto"/>
              </w:rPr>
              <w:t>式中：Leq——预测等效声级，dB(A)；</w:t>
            </w:r>
          </w:p>
          <w:p w14:paraId="1D4D5D6B">
            <w:pPr>
              <w:adjustRightInd w:val="0"/>
              <w:snapToGrid w:val="0"/>
              <w:spacing w:line="360" w:lineRule="auto"/>
              <w:ind w:firstLine="1200" w:firstLineChars="500"/>
              <w:rPr>
                <w:bCs/>
                <w:color w:val="auto"/>
              </w:rPr>
            </w:pPr>
            <w:r>
              <w:rPr>
                <w:bCs/>
                <w:color w:val="auto"/>
              </w:rPr>
              <w:t>Leqg——建设项目声源在预测点的等效声级贡献值，dB(A)；</w:t>
            </w:r>
          </w:p>
          <w:p w14:paraId="73065F71">
            <w:pPr>
              <w:adjustRightInd w:val="0"/>
              <w:snapToGrid w:val="0"/>
              <w:spacing w:line="360" w:lineRule="auto"/>
              <w:ind w:firstLine="1200" w:firstLineChars="500"/>
              <w:rPr>
                <w:bCs/>
                <w:color w:val="auto"/>
              </w:rPr>
            </w:pPr>
            <w:r>
              <w:rPr>
                <w:bCs/>
                <w:color w:val="auto"/>
              </w:rPr>
              <w:t>Leqb——预测点的背景值，dB(A)。</w:t>
            </w:r>
          </w:p>
          <w:p w14:paraId="36610D61">
            <w:pPr>
              <w:adjustRightInd w:val="0"/>
              <w:snapToGrid w:val="0"/>
              <w:spacing w:line="360" w:lineRule="auto"/>
              <w:ind w:firstLine="480" w:firstLineChars="200"/>
              <w:rPr>
                <w:bCs/>
                <w:color w:val="auto"/>
              </w:rPr>
            </w:pPr>
            <w:r>
              <w:rPr>
                <w:bCs/>
                <w:color w:val="auto"/>
              </w:rPr>
              <w:t>（4）预测结果</w:t>
            </w:r>
          </w:p>
          <w:p w14:paraId="313DDC67">
            <w:pPr>
              <w:adjustRightInd w:val="0"/>
              <w:snapToGrid w:val="0"/>
              <w:spacing w:line="360" w:lineRule="auto"/>
              <w:ind w:firstLine="480" w:firstLineChars="200"/>
              <w:rPr>
                <w:bCs/>
                <w:color w:val="auto"/>
              </w:rPr>
            </w:pPr>
            <w:r>
              <w:rPr>
                <w:bCs/>
                <w:color w:val="auto"/>
              </w:rPr>
              <w:t>项目噪声预测结果见</w:t>
            </w:r>
            <w:r>
              <w:rPr>
                <w:rFonts w:hint="eastAsia"/>
                <w:bCs/>
                <w:color w:val="auto"/>
              </w:rPr>
              <w:t>下表</w:t>
            </w:r>
            <w:r>
              <w:rPr>
                <w:bCs/>
                <w:color w:val="auto"/>
              </w:rPr>
              <w:t>。</w:t>
            </w:r>
          </w:p>
          <w:p w14:paraId="183F3BE2">
            <w:pPr>
              <w:adjustRightInd w:val="0"/>
              <w:snapToGrid w:val="0"/>
              <w:jc w:val="center"/>
              <w:rPr>
                <w:b/>
                <w:bCs/>
                <w:color w:val="auto"/>
              </w:rPr>
            </w:pPr>
            <w:r>
              <w:rPr>
                <w:rFonts w:hint="eastAsia"/>
                <w:b/>
                <w:bCs/>
                <w:color w:val="auto"/>
              </w:rPr>
              <w:t>表4-1</w:t>
            </w:r>
            <w:r>
              <w:rPr>
                <w:rFonts w:hint="eastAsia"/>
                <w:b/>
                <w:bCs/>
                <w:color w:val="auto"/>
                <w:lang w:val="en-US" w:eastAsia="zh-CN"/>
              </w:rPr>
              <w:t>1</w:t>
            </w:r>
            <w:r>
              <w:rPr>
                <w:rFonts w:hint="eastAsia"/>
                <w:b/>
                <w:bCs/>
                <w:color w:val="auto"/>
              </w:rPr>
              <w:t xml:space="preserve">  厂界噪声预测结果一览表  单位dB（A）</w:t>
            </w:r>
          </w:p>
          <w:tbl>
            <w:tblPr>
              <w:tblStyle w:val="30"/>
              <w:tblW w:w="7658"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158"/>
              <w:gridCol w:w="1311"/>
              <w:gridCol w:w="1044"/>
              <w:gridCol w:w="1311"/>
              <w:gridCol w:w="1866"/>
            </w:tblGrid>
            <w:tr w14:paraId="70B2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968" w:type="dxa"/>
                  <w:vMerge w:val="restart"/>
                  <w:vAlign w:val="center"/>
                </w:tcPr>
                <w:p w14:paraId="752770FA">
                  <w:pPr>
                    <w:jc w:val="center"/>
                    <w:rPr>
                      <w:color w:val="auto"/>
                      <w:sz w:val="21"/>
                      <w:szCs w:val="21"/>
                    </w:rPr>
                  </w:pPr>
                  <w:r>
                    <w:rPr>
                      <w:b/>
                      <w:bCs/>
                      <w:color w:val="auto"/>
                      <w:kern w:val="0"/>
                      <w:sz w:val="21"/>
                      <w:szCs w:val="21"/>
                      <w:lang w:bidi="ar"/>
                    </w:rPr>
                    <w:t>预测点</w:t>
                  </w:r>
                </w:p>
              </w:tc>
              <w:tc>
                <w:tcPr>
                  <w:tcW w:w="2469" w:type="dxa"/>
                  <w:gridSpan w:val="2"/>
                  <w:vAlign w:val="center"/>
                </w:tcPr>
                <w:p w14:paraId="60A8F1DC">
                  <w:pPr>
                    <w:pStyle w:val="11"/>
                    <w:jc w:val="center"/>
                    <w:rPr>
                      <w:b/>
                      <w:bCs/>
                      <w:color w:val="auto"/>
                      <w:sz w:val="21"/>
                      <w:szCs w:val="21"/>
                      <w:lang w:bidi="ar"/>
                    </w:rPr>
                  </w:pPr>
                  <w:r>
                    <w:rPr>
                      <w:rFonts w:hint="eastAsia"/>
                      <w:b/>
                      <w:bCs/>
                      <w:color w:val="auto"/>
                      <w:sz w:val="21"/>
                      <w:szCs w:val="21"/>
                      <w:lang w:bidi="ar"/>
                    </w:rPr>
                    <w:t>预测值</w:t>
                  </w:r>
                </w:p>
              </w:tc>
              <w:tc>
                <w:tcPr>
                  <w:tcW w:w="2355" w:type="dxa"/>
                  <w:gridSpan w:val="2"/>
                  <w:vAlign w:val="center"/>
                </w:tcPr>
                <w:p w14:paraId="1376D6AA">
                  <w:pPr>
                    <w:jc w:val="center"/>
                    <w:rPr>
                      <w:b/>
                      <w:bCs/>
                      <w:color w:val="auto"/>
                      <w:kern w:val="0"/>
                      <w:sz w:val="21"/>
                      <w:szCs w:val="21"/>
                      <w:lang w:bidi="ar"/>
                    </w:rPr>
                  </w:pPr>
                  <w:r>
                    <w:rPr>
                      <w:b/>
                      <w:bCs/>
                      <w:color w:val="auto"/>
                      <w:kern w:val="0"/>
                      <w:sz w:val="21"/>
                      <w:szCs w:val="21"/>
                      <w:lang w:bidi="ar"/>
                    </w:rPr>
                    <w:t>标准值</w:t>
                  </w:r>
                </w:p>
              </w:tc>
              <w:tc>
                <w:tcPr>
                  <w:tcW w:w="1866" w:type="dxa"/>
                  <w:vMerge w:val="restart"/>
                  <w:vAlign w:val="center"/>
                </w:tcPr>
                <w:p w14:paraId="3DD7F7D6">
                  <w:pPr>
                    <w:jc w:val="center"/>
                    <w:rPr>
                      <w:b/>
                      <w:bCs/>
                      <w:color w:val="auto"/>
                      <w:kern w:val="0"/>
                      <w:sz w:val="21"/>
                      <w:szCs w:val="21"/>
                      <w:lang w:bidi="ar"/>
                    </w:rPr>
                  </w:pPr>
                  <w:r>
                    <w:rPr>
                      <w:b/>
                      <w:bCs/>
                      <w:color w:val="auto"/>
                      <w:kern w:val="0"/>
                      <w:sz w:val="21"/>
                      <w:szCs w:val="21"/>
                      <w:lang w:bidi="ar"/>
                    </w:rPr>
                    <w:t>达标情况</w:t>
                  </w:r>
                </w:p>
              </w:tc>
            </w:tr>
            <w:tr w14:paraId="63E3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968" w:type="dxa"/>
                  <w:vMerge w:val="continue"/>
                  <w:vAlign w:val="center"/>
                </w:tcPr>
                <w:p w14:paraId="5FCC9B1C">
                  <w:pPr>
                    <w:jc w:val="center"/>
                    <w:rPr>
                      <w:color w:val="auto"/>
                      <w:sz w:val="21"/>
                      <w:szCs w:val="21"/>
                    </w:rPr>
                  </w:pPr>
                </w:p>
              </w:tc>
              <w:tc>
                <w:tcPr>
                  <w:tcW w:w="1158" w:type="dxa"/>
                  <w:vAlign w:val="center"/>
                </w:tcPr>
                <w:p w14:paraId="3BD5DA37">
                  <w:pPr>
                    <w:jc w:val="center"/>
                    <w:rPr>
                      <w:color w:val="auto"/>
                      <w:sz w:val="21"/>
                      <w:szCs w:val="21"/>
                    </w:rPr>
                  </w:pPr>
                  <w:r>
                    <w:rPr>
                      <w:b/>
                      <w:bCs/>
                      <w:color w:val="auto"/>
                      <w:kern w:val="0"/>
                      <w:sz w:val="21"/>
                      <w:szCs w:val="21"/>
                      <w:lang w:bidi="ar"/>
                    </w:rPr>
                    <w:t>昼间</w:t>
                  </w:r>
                </w:p>
              </w:tc>
              <w:tc>
                <w:tcPr>
                  <w:tcW w:w="1311" w:type="dxa"/>
                  <w:vAlign w:val="center"/>
                </w:tcPr>
                <w:p w14:paraId="1900A05E">
                  <w:pPr>
                    <w:jc w:val="center"/>
                    <w:rPr>
                      <w:color w:val="auto"/>
                      <w:sz w:val="21"/>
                      <w:szCs w:val="21"/>
                    </w:rPr>
                  </w:pPr>
                  <w:r>
                    <w:rPr>
                      <w:b/>
                      <w:bCs/>
                      <w:color w:val="auto"/>
                      <w:kern w:val="0"/>
                      <w:sz w:val="21"/>
                      <w:szCs w:val="21"/>
                      <w:lang w:bidi="ar"/>
                    </w:rPr>
                    <w:t>夜间</w:t>
                  </w:r>
                </w:p>
              </w:tc>
              <w:tc>
                <w:tcPr>
                  <w:tcW w:w="1044" w:type="dxa"/>
                  <w:vAlign w:val="center"/>
                </w:tcPr>
                <w:p w14:paraId="3E561B3A">
                  <w:pPr>
                    <w:jc w:val="center"/>
                    <w:rPr>
                      <w:color w:val="auto"/>
                      <w:sz w:val="21"/>
                      <w:szCs w:val="21"/>
                    </w:rPr>
                  </w:pPr>
                  <w:r>
                    <w:rPr>
                      <w:b/>
                      <w:bCs/>
                      <w:color w:val="auto"/>
                      <w:kern w:val="0"/>
                      <w:sz w:val="21"/>
                      <w:szCs w:val="21"/>
                      <w:lang w:bidi="ar"/>
                    </w:rPr>
                    <w:t>昼间</w:t>
                  </w:r>
                </w:p>
              </w:tc>
              <w:tc>
                <w:tcPr>
                  <w:tcW w:w="1311" w:type="dxa"/>
                  <w:vAlign w:val="center"/>
                </w:tcPr>
                <w:p w14:paraId="6F5CC14B">
                  <w:pPr>
                    <w:jc w:val="center"/>
                    <w:rPr>
                      <w:color w:val="auto"/>
                      <w:sz w:val="21"/>
                      <w:szCs w:val="21"/>
                    </w:rPr>
                  </w:pPr>
                  <w:r>
                    <w:rPr>
                      <w:b/>
                      <w:bCs/>
                      <w:color w:val="auto"/>
                      <w:kern w:val="0"/>
                      <w:sz w:val="21"/>
                      <w:szCs w:val="21"/>
                      <w:lang w:bidi="ar"/>
                    </w:rPr>
                    <w:t>夜间</w:t>
                  </w:r>
                </w:p>
              </w:tc>
              <w:tc>
                <w:tcPr>
                  <w:tcW w:w="1866" w:type="dxa"/>
                  <w:vMerge w:val="continue"/>
                  <w:vAlign w:val="center"/>
                </w:tcPr>
                <w:p w14:paraId="6A2B6DC7">
                  <w:pPr>
                    <w:jc w:val="center"/>
                    <w:rPr>
                      <w:color w:val="auto"/>
                      <w:sz w:val="21"/>
                      <w:szCs w:val="21"/>
                    </w:rPr>
                  </w:pPr>
                </w:p>
              </w:tc>
            </w:tr>
            <w:tr w14:paraId="31AE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968" w:type="dxa"/>
                  <w:vAlign w:val="center"/>
                </w:tcPr>
                <w:p w14:paraId="194C7E6D">
                  <w:pPr>
                    <w:jc w:val="center"/>
                    <w:rPr>
                      <w:color w:val="auto"/>
                      <w:sz w:val="21"/>
                      <w:szCs w:val="21"/>
                    </w:rPr>
                  </w:pPr>
                  <w:r>
                    <w:rPr>
                      <w:color w:val="auto"/>
                      <w:kern w:val="0"/>
                      <w:sz w:val="21"/>
                      <w:szCs w:val="21"/>
                      <w:lang w:bidi="ar"/>
                    </w:rPr>
                    <w:t>东厂界</w:t>
                  </w:r>
                </w:p>
              </w:tc>
              <w:tc>
                <w:tcPr>
                  <w:tcW w:w="1158" w:type="dxa"/>
                  <w:vAlign w:val="center"/>
                </w:tcPr>
                <w:p w14:paraId="4CB16CEB">
                  <w:pPr>
                    <w:jc w:val="center"/>
                    <w:rPr>
                      <w:color w:val="auto"/>
                      <w:sz w:val="21"/>
                      <w:szCs w:val="21"/>
                      <w:lang w:bidi="ar"/>
                    </w:rPr>
                  </w:pPr>
                  <w:r>
                    <w:rPr>
                      <w:rFonts w:hint="eastAsia"/>
                      <w:color w:val="auto"/>
                      <w:sz w:val="21"/>
                      <w:szCs w:val="21"/>
                      <w:lang w:val="en-US" w:eastAsia="zh-CN" w:bidi="ar"/>
                    </w:rPr>
                    <w:t>57</w:t>
                  </w:r>
                  <w:r>
                    <w:rPr>
                      <w:color w:val="auto"/>
                      <w:sz w:val="21"/>
                      <w:szCs w:val="21"/>
                      <w:lang w:bidi="ar"/>
                    </w:rPr>
                    <w:t>.</w:t>
                  </w:r>
                  <w:r>
                    <w:rPr>
                      <w:rFonts w:hint="eastAsia"/>
                      <w:color w:val="auto"/>
                      <w:sz w:val="21"/>
                      <w:szCs w:val="21"/>
                      <w:lang w:bidi="ar"/>
                    </w:rPr>
                    <w:t>6</w:t>
                  </w:r>
                </w:p>
              </w:tc>
              <w:tc>
                <w:tcPr>
                  <w:tcW w:w="1311" w:type="dxa"/>
                  <w:vAlign w:val="center"/>
                </w:tcPr>
                <w:p w14:paraId="012189CB">
                  <w:pPr>
                    <w:jc w:val="center"/>
                    <w:rPr>
                      <w:color w:val="auto"/>
                      <w:sz w:val="21"/>
                      <w:szCs w:val="21"/>
                      <w:lang w:bidi="ar"/>
                    </w:rPr>
                  </w:pPr>
                  <w:r>
                    <w:rPr>
                      <w:rFonts w:hint="eastAsia"/>
                      <w:color w:val="auto"/>
                      <w:sz w:val="21"/>
                      <w:szCs w:val="21"/>
                      <w:lang w:bidi="ar"/>
                    </w:rPr>
                    <w:t>/</w:t>
                  </w:r>
                </w:p>
              </w:tc>
              <w:tc>
                <w:tcPr>
                  <w:tcW w:w="1044" w:type="dxa"/>
                  <w:vAlign w:val="center"/>
                </w:tcPr>
                <w:p w14:paraId="0E7645AF">
                  <w:pPr>
                    <w:jc w:val="center"/>
                    <w:rPr>
                      <w:color w:val="auto"/>
                      <w:sz w:val="21"/>
                      <w:szCs w:val="21"/>
                    </w:rPr>
                  </w:pPr>
                  <w:r>
                    <w:rPr>
                      <w:color w:val="auto"/>
                      <w:kern w:val="0"/>
                      <w:sz w:val="21"/>
                      <w:szCs w:val="21"/>
                      <w:lang w:bidi="ar"/>
                    </w:rPr>
                    <w:t>65</w:t>
                  </w:r>
                </w:p>
              </w:tc>
              <w:tc>
                <w:tcPr>
                  <w:tcW w:w="1311" w:type="dxa"/>
                  <w:vAlign w:val="center"/>
                </w:tcPr>
                <w:p w14:paraId="6A75C706">
                  <w:pPr>
                    <w:jc w:val="center"/>
                    <w:rPr>
                      <w:color w:val="auto"/>
                      <w:sz w:val="21"/>
                      <w:szCs w:val="21"/>
                    </w:rPr>
                  </w:pPr>
                  <w:r>
                    <w:rPr>
                      <w:rFonts w:hint="eastAsia"/>
                      <w:color w:val="auto"/>
                      <w:sz w:val="21"/>
                      <w:szCs w:val="21"/>
                      <w:lang w:bidi="ar"/>
                    </w:rPr>
                    <w:t>/</w:t>
                  </w:r>
                </w:p>
              </w:tc>
              <w:tc>
                <w:tcPr>
                  <w:tcW w:w="1866" w:type="dxa"/>
                  <w:vAlign w:val="center"/>
                </w:tcPr>
                <w:p w14:paraId="49380116">
                  <w:pPr>
                    <w:jc w:val="center"/>
                    <w:rPr>
                      <w:color w:val="auto"/>
                      <w:kern w:val="0"/>
                      <w:sz w:val="21"/>
                      <w:szCs w:val="21"/>
                      <w:lang w:bidi="ar"/>
                    </w:rPr>
                  </w:pPr>
                  <w:r>
                    <w:rPr>
                      <w:color w:val="auto"/>
                      <w:kern w:val="0"/>
                      <w:sz w:val="21"/>
                      <w:szCs w:val="21"/>
                      <w:lang w:bidi="ar"/>
                    </w:rPr>
                    <w:t>达标</w:t>
                  </w:r>
                </w:p>
              </w:tc>
            </w:tr>
            <w:tr w14:paraId="0AF9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968" w:type="dxa"/>
                  <w:vAlign w:val="center"/>
                </w:tcPr>
                <w:p w14:paraId="267F7B29">
                  <w:pPr>
                    <w:jc w:val="center"/>
                    <w:rPr>
                      <w:color w:val="auto"/>
                      <w:sz w:val="21"/>
                      <w:szCs w:val="21"/>
                    </w:rPr>
                  </w:pPr>
                  <w:r>
                    <w:rPr>
                      <w:color w:val="auto"/>
                      <w:kern w:val="0"/>
                      <w:sz w:val="21"/>
                      <w:szCs w:val="21"/>
                      <w:lang w:bidi="ar"/>
                    </w:rPr>
                    <w:t>南厂界</w:t>
                  </w:r>
                </w:p>
              </w:tc>
              <w:tc>
                <w:tcPr>
                  <w:tcW w:w="1158" w:type="dxa"/>
                  <w:vAlign w:val="center"/>
                </w:tcPr>
                <w:p w14:paraId="1C345D49">
                  <w:pPr>
                    <w:jc w:val="center"/>
                    <w:rPr>
                      <w:color w:val="auto"/>
                      <w:kern w:val="0"/>
                      <w:sz w:val="21"/>
                      <w:szCs w:val="21"/>
                      <w:lang w:bidi="ar"/>
                    </w:rPr>
                  </w:pPr>
                  <w:r>
                    <w:rPr>
                      <w:rFonts w:hint="eastAsia"/>
                      <w:color w:val="auto"/>
                      <w:kern w:val="0"/>
                      <w:sz w:val="21"/>
                      <w:szCs w:val="21"/>
                      <w:lang w:val="en-US" w:eastAsia="zh-CN" w:bidi="ar"/>
                    </w:rPr>
                    <w:t>55</w:t>
                  </w:r>
                  <w:r>
                    <w:rPr>
                      <w:color w:val="auto"/>
                      <w:kern w:val="0"/>
                      <w:sz w:val="21"/>
                      <w:szCs w:val="21"/>
                      <w:lang w:bidi="ar"/>
                    </w:rPr>
                    <w:t>.3</w:t>
                  </w:r>
                </w:p>
              </w:tc>
              <w:tc>
                <w:tcPr>
                  <w:tcW w:w="1311" w:type="dxa"/>
                  <w:vAlign w:val="center"/>
                </w:tcPr>
                <w:p w14:paraId="52156B13">
                  <w:pPr>
                    <w:jc w:val="center"/>
                    <w:rPr>
                      <w:color w:val="auto"/>
                      <w:kern w:val="0"/>
                      <w:sz w:val="21"/>
                      <w:szCs w:val="21"/>
                      <w:lang w:bidi="ar"/>
                    </w:rPr>
                  </w:pPr>
                  <w:r>
                    <w:rPr>
                      <w:rFonts w:hint="eastAsia"/>
                      <w:color w:val="auto"/>
                      <w:kern w:val="0"/>
                      <w:sz w:val="21"/>
                      <w:szCs w:val="21"/>
                      <w:lang w:bidi="ar"/>
                    </w:rPr>
                    <w:t>/</w:t>
                  </w:r>
                </w:p>
              </w:tc>
              <w:tc>
                <w:tcPr>
                  <w:tcW w:w="1044" w:type="dxa"/>
                  <w:vAlign w:val="center"/>
                </w:tcPr>
                <w:p w14:paraId="0440B8DE">
                  <w:pPr>
                    <w:jc w:val="center"/>
                    <w:rPr>
                      <w:color w:val="auto"/>
                      <w:sz w:val="21"/>
                      <w:szCs w:val="21"/>
                    </w:rPr>
                  </w:pPr>
                  <w:r>
                    <w:rPr>
                      <w:color w:val="auto"/>
                      <w:kern w:val="0"/>
                      <w:sz w:val="21"/>
                      <w:szCs w:val="21"/>
                      <w:lang w:bidi="ar"/>
                    </w:rPr>
                    <w:t>65</w:t>
                  </w:r>
                </w:p>
              </w:tc>
              <w:tc>
                <w:tcPr>
                  <w:tcW w:w="1311" w:type="dxa"/>
                  <w:vAlign w:val="center"/>
                </w:tcPr>
                <w:p w14:paraId="4B80268A">
                  <w:pPr>
                    <w:jc w:val="center"/>
                    <w:rPr>
                      <w:color w:val="auto"/>
                      <w:sz w:val="21"/>
                      <w:szCs w:val="21"/>
                    </w:rPr>
                  </w:pPr>
                  <w:r>
                    <w:rPr>
                      <w:rFonts w:hint="eastAsia"/>
                      <w:color w:val="auto"/>
                      <w:kern w:val="0"/>
                      <w:sz w:val="21"/>
                      <w:szCs w:val="21"/>
                      <w:lang w:bidi="ar"/>
                    </w:rPr>
                    <w:t>/</w:t>
                  </w:r>
                </w:p>
              </w:tc>
              <w:tc>
                <w:tcPr>
                  <w:tcW w:w="1866" w:type="dxa"/>
                  <w:vAlign w:val="center"/>
                </w:tcPr>
                <w:p w14:paraId="499CA041">
                  <w:pPr>
                    <w:jc w:val="center"/>
                    <w:rPr>
                      <w:color w:val="auto"/>
                      <w:kern w:val="0"/>
                      <w:sz w:val="21"/>
                      <w:szCs w:val="21"/>
                      <w:lang w:bidi="ar"/>
                    </w:rPr>
                  </w:pPr>
                  <w:r>
                    <w:rPr>
                      <w:color w:val="auto"/>
                      <w:kern w:val="0"/>
                      <w:sz w:val="21"/>
                      <w:szCs w:val="21"/>
                      <w:lang w:bidi="ar"/>
                    </w:rPr>
                    <w:t>达标</w:t>
                  </w:r>
                </w:p>
              </w:tc>
            </w:tr>
            <w:tr w14:paraId="201A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968" w:type="dxa"/>
                  <w:vAlign w:val="center"/>
                </w:tcPr>
                <w:p w14:paraId="2E253BB2">
                  <w:pPr>
                    <w:jc w:val="center"/>
                    <w:rPr>
                      <w:color w:val="auto"/>
                      <w:sz w:val="21"/>
                      <w:szCs w:val="21"/>
                    </w:rPr>
                  </w:pPr>
                  <w:r>
                    <w:rPr>
                      <w:color w:val="auto"/>
                      <w:kern w:val="0"/>
                      <w:sz w:val="21"/>
                      <w:szCs w:val="21"/>
                      <w:lang w:bidi="ar"/>
                    </w:rPr>
                    <w:t>西厂界</w:t>
                  </w:r>
                </w:p>
              </w:tc>
              <w:tc>
                <w:tcPr>
                  <w:tcW w:w="1158" w:type="dxa"/>
                  <w:vAlign w:val="center"/>
                </w:tcPr>
                <w:p w14:paraId="737647C4">
                  <w:pPr>
                    <w:jc w:val="center"/>
                    <w:rPr>
                      <w:color w:val="auto"/>
                      <w:kern w:val="0"/>
                      <w:sz w:val="21"/>
                      <w:szCs w:val="21"/>
                      <w:lang w:bidi="ar"/>
                    </w:rPr>
                  </w:pPr>
                  <w:r>
                    <w:rPr>
                      <w:rFonts w:hint="eastAsia"/>
                      <w:color w:val="auto"/>
                      <w:kern w:val="0"/>
                      <w:sz w:val="21"/>
                      <w:szCs w:val="21"/>
                      <w:lang w:val="en-US" w:eastAsia="zh-CN" w:bidi="ar"/>
                    </w:rPr>
                    <w:t>58</w:t>
                  </w:r>
                  <w:r>
                    <w:rPr>
                      <w:rFonts w:hint="eastAsia"/>
                      <w:color w:val="auto"/>
                      <w:kern w:val="0"/>
                      <w:sz w:val="21"/>
                      <w:szCs w:val="21"/>
                      <w:lang w:bidi="ar"/>
                    </w:rPr>
                    <w:t>.4</w:t>
                  </w:r>
                </w:p>
              </w:tc>
              <w:tc>
                <w:tcPr>
                  <w:tcW w:w="1311" w:type="dxa"/>
                  <w:vAlign w:val="center"/>
                </w:tcPr>
                <w:p w14:paraId="18038E2E">
                  <w:pPr>
                    <w:jc w:val="center"/>
                    <w:rPr>
                      <w:color w:val="auto"/>
                      <w:kern w:val="0"/>
                      <w:sz w:val="21"/>
                      <w:szCs w:val="21"/>
                      <w:lang w:bidi="ar"/>
                    </w:rPr>
                  </w:pPr>
                  <w:r>
                    <w:rPr>
                      <w:rFonts w:hint="eastAsia"/>
                      <w:color w:val="auto"/>
                      <w:kern w:val="0"/>
                      <w:sz w:val="21"/>
                      <w:szCs w:val="21"/>
                      <w:lang w:bidi="ar"/>
                    </w:rPr>
                    <w:t>/</w:t>
                  </w:r>
                </w:p>
              </w:tc>
              <w:tc>
                <w:tcPr>
                  <w:tcW w:w="1044" w:type="dxa"/>
                  <w:vAlign w:val="center"/>
                </w:tcPr>
                <w:p w14:paraId="3EC1E3C6">
                  <w:pPr>
                    <w:jc w:val="center"/>
                    <w:rPr>
                      <w:color w:val="auto"/>
                      <w:sz w:val="21"/>
                      <w:szCs w:val="21"/>
                    </w:rPr>
                  </w:pPr>
                  <w:r>
                    <w:rPr>
                      <w:color w:val="auto"/>
                      <w:kern w:val="0"/>
                      <w:sz w:val="21"/>
                      <w:szCs w:val="21"/>
                      <w:lang w:bidi="ar"/>
                    </w:rPr>
                    <w:t>65</w:t>
                  </w:r>
                </w:p>
              </w:tc>
              <w:tc>
                <w:tcPr>
                  <w:tcW w:w="1311" w:type="dxa"/>
                  <w:vAlign w:val="center"/>
                </w:tcPr>
                <w:p w14:paraId="490BF305">
                  <w:pPr>
                    <w:jc w:val="center"/>
                    <w:rPr>
                      <w:color w:val="auto"/>
                      <w:sz w:val="21"/>
                      <w:szCs w:val="21"/>
                    </w:rPr>
                  </w:pPr>
                  <w:r>
                    <w:rPr>
                      <w:rFonts w:hint="eastAsia"/>
                      <w:color w:val="auto"/>
                      <w:kern w:val="0"/>
                      <w:sz w:val="21"/>
                      <w:szCs w:val="21"/>
                      <w:lang w:bidi="ar"/>
                    </w:rPr>
                    <w:t>/</w:t>
                  </w:r>
                </w:p>
              </w:tc>
              <w:tc>
                <w:tcPr>
                  <w:tcW w:w="1866" w:type="dxa"/>
                  <w:vAlign w:val="center"/>
                </w:tcPr>
                <w:p w14:paraId="10D81E0A">
                  <w:pPr>
                    <w:jc w:val="center"/>
                    <w:rPr>
                      <w:color w:val="auto"/>
                      <w:kern w:val="0"/>
                      <w:sz w:val="21"/>
                      <w:szCs w:val="21"/>
                      <w:lang w:bidi="ar"/>
                    </w:rPr>
                  </w:pPr>
                  <w:r>
                    <w:rPr>
                      <w:color w:val="auto"/>
                      <w:kern w:val="0"/>
                      <w:sz w:val="21"/>
                      <w:szCs w:val="21"/>
                      <w:lang w:bidi="ar"/>
                    </w:rPr>
                    <w:t>达标</w:t>
                  </w:r>
                </w:p>
              </w:tc>
            </w:tr>
            <w:tr w14:paraId="763A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968" w:type="dxa"/>
                  <w:vAlign w:val="center"/>
                </w:tcPr>
                <w:p w14:paraId="6BE5348F">
                  <w:pPr>
                    <w:jc w:val="center"/>
                    <w:rPr>
                      <w:color w:val="auto"/>
                      <w:sz w:val="21"/>
                      <w:szCs w:val="21"/>
                    </w:rPr>
                  </w:pPr>
                  <w:r>
                    <w:rPr>
                      <w:color w:val="auto"/>
                      <w:kern w:val="0"/>
                      <w:sz w:val="21"/>
                      <w:szCs w:val="21"/>
                      <w:lang w:bidi="ar"/>
                    </w:rPr>
                    <w:t>北厂界</w:t>
                  </w:r>
                </w:p>
              </w:tc>
              <w:tc>
                <w:tcPr>
                  <w:tcW w:w="1158" w:type="dxa"/>
                  <w:vAlign w:val="center"/>
                </w:tcPr>
                <w:p w14:paraId="1A1BB088">
                  <w:pPr>
                    <w:jc w:val="center"/>
                    <w:rPr>
                      <w:color w:val="auto"/>
                      <w:sz w:val="21"/>
                      <w:szCs w:val="21"/>
                      <w:lang w:bidi="ar"/>
                    </w:rPr>
                  </w:pPr>
                  <w:r>
                    <w:rPr>
                      <w:rFonts w:hint="eastAsia"/>
                      <w:color w:val="auto"/>
                      <w:sz w:val="21"/>
                      <w:szCs w:val="21"/>
                      <w:lang w:val="en-US" w:eastAsia="zh-CN" w:bidi="ar"/>
                    </w:rPr>
                    <w:t>60</w:t>
                  </w:r>
                  <w:r>
                    <w:rPr>
                      <w:rFonts w:hint="eastAsia"/>
                      <w:color w:val="auto"/>
                      <w:sz w:val="21"/>
                      <w:szCs w:val="21"/>
                      <w:lang w:bidi="ar"/>
                    </w:rPr>
                    <w:t>.8</w:t>
                  </w:r>
                </w:p>
              </w:tc>
              <w:tc>
                <w:tcPr>
                  <w:tcW w:w="1311" w:type="dxa"/>
                  <w:vAlign w:val="center"/>
                </w:tcPr>
                <w:p w14:paraId="209A190D">
                  <w:pPr>
                    <w:jc w:val="center"/>
                    <w:rPr>
                      <w:color w:val="auto"/>
                      <w:sz w:val="21"/>
                      <w:szCs w:val="21"/>
                      <w:lang w:bidi="ar"/>
                    </w:rPr>
                  </w:pPr>
                  <w:r>
                    <w:rPr>
                      <w:rFonts w:hint="eastAsia"/>
                      <w:color w:val="auto"/>
                      <w:sz w:val="21"/>
                      <w:szCs w:val="21"/>
                      <w:lang w:bidi="ar"/>
                    </w:rPr>
                    <w:t>/</w:t>
                  </w:r>
                </w:p>
              </w:tc>
              <w:tc>
                <w:tcPr>
                  <w:tcW w:w="1044" w:type="dxa"/>
                  <w:vAlign w:val="center"/>
                </w:tcPr>
                <w:p w14:paraId="3C12D26F">
                  <w:pPr>
                    <w:jc w:val="center"/>
                    <w:rPr>
                      <w:color w:val="auto"/>
                      <w:sz w:val="21"/>
                      <w:szCs w:val="21"/>
                    </w:rPr>
                  </w:pPr>
                  <w:r>
                    <w:rPr>
                      <w:color w:val="auto"/>
                      <w:kern w:val="0"/>
                      <w:sz w:val="21"/>
                      <w:szCs w:val="21"/>
                      <w:lang w:bidi="ar"/>
                    </w:rPr>
                    <w:t>65</w:t>
                  </w:r>
                </w:p>
              </w:tc>
              <w:tc>
                <w:tcPr>
                  <w:tcW w:w="1311" w:type="dxa"/>
                  <w:vAlign w:val="center"/>
                </w:tcPr>
                <w:p w14:paraId="7766A8B8">
                  <w:pPr>
                    <w:jc w:val="center"/>
                    <w:rPr>
                      <w:color w:val="auto"/>
                      <w:sz w:val="21"/>
                      <w:szCs w:val="21"/>
                    </w:rPr>
                  </w:pPr>
                  <w:r>
                    <w:rPr>
                      <w:rFonts w:hint="eastAsia"/>
                      <w:color w:val="auto"/>
                      <w:sz w:val="21"/>
                      <w:szCs w:val="21"/>
                      <w:lang w:bidi="ar"/>
                    </w:rPr>
                    <w:t>/</w:t>
                  </w:r>
                </w:p>
              </w:tc>
              <w:tc>
                <w:tcPr>
                  <w:tcW w:w="1866" w:type="dxa"/>
                  <w:vAlign w:val="center"/>
                </w:tcPr>
                <w:p w14:paraId="1A18228C">
                  <w:pPr>
                    <w:jc w:val="center"/>
                    <w:rPr>
                      <w:color w:val="auto"/>
                      <w:kern w:val="0"/>
                      <w:sz w:val="21"/>
                      <w:szCs w:val="21"/>
                      <w:lang w:bidi="ar"/>
                    </w:rPr>
                  </w:pPr>
                  <w:r>
                    <w:rPr>
                      <w:color w:val="auto"/>
                      <w:kern w:val="0"/>
                      <w:sz w:val="21"/>
                      <w:szCs w:val="21"/>
                      <w:lang w:bidi="ar"/>
                    </w:rPr>
                    <w:t>达标</w:t>
                  </w:r>
                </w:p>
              </w:tc>
            </w:tr>
          </w:tbl>
          <w:p w14:paraId="46139285">
            <w:pPr>
              <w:adjustRightInd w:val="0"/>
              <w:snapToGrid w:val="0"/>
              <w:spacing w:line="360" w:lineRule="auto"/>
              <w:ind w:firstLine="480" w:firstLineChars="200"/>
              <w:jc w:val="left"/>
              <w:rPr>
                <w:color w:val="auto"/>
              </w:rPr>
            </w:pPr>
            <w:r>
              <w:rPr>
                <w:color w:val="auto"/>
              </w:rPr>
              <w:t>由上表可见，厂界噪声排放达到《工业企业厂界环境噪声排放标准》（GB12348-2008）中</w:t>
            </w:r>
            <w:r>
              <w:rPr>
                <w:rFonts w:hint="eastAsia"/>
                <w:color w:val="auto"/>
              </w:rPr>
              <w:t>3</w:t>
            </w:r>
            <w:r>
              <w:rPr>
                <w:color w:val="auto"/>
              </w:rPr>
              <w:t>类标准要求（昼间：</w:t>
            </w:r>
            <w:r>
              <w:rPr>
                <w:rFonts w:hint="eastAsia"/>
                <w:color w:val="auto"/>
              </w:rPr>
              <w:t>65</w:t>
            </w:r>
            <w:r>
              <w:rPr>
                <w:color w:val="auto"/>
              </w:rPr>
              <w:t>dB（A）</w:t>
            </w:r>
            <w:r>
              <w:rPr>
                <w:rFonts w:hint="eastAsia"/>
                <w:color w:val="auto"/>
              </w:rPr>
              <w:t>）</w:t>
            </w:r>
            <w:r>
              <w:rPr>
                <w:color w:val="auto"/>
              </w:rPr>
              <w:t>。</w:t>
            </w:r>
          </w:p>
          <w:p w14:paraId="59E59F8C">
            <w:pPr>
              <w:adjustRightInd w:val="0"/>
              <w:snapToGrid w:val="0"/>
              <w:spacing w:line="360" w:lineRule="auto"/>
              <w:ind w:firstLine="482" w:firstLineChars="200"/>
              <w:rPr>
                <w:b/>
                <w:color w:val="auto"/>
              </w:rPr>
            </w:pPr>
            <w:r>
              <w:rPr>
                <w:b/>
                <w:color w:val="auto"/>
              </w:rPr>
              <w:t>噪声降噪具体措施</w:t>
            </w:r>
          </w:p>
          <w:p w14:paraId="34F6917A">
            <w:pPr>
              <w:adjustRightInd w:val="0"/>
              <w:snapToGrid w:val="0"/>
              <w:spacing w:line="360" w:lineRule="auto"/>
              <w:ind w:firstLine="480" w:firstLineChars="200"/>
              <w:rPr>
                <w:bCs/>
                <w:color w:val="auto"/>
              </w:rPr>
            </w:pPr>
            <w:r>
              <w:rPr>
                <w:bCs/>
                <w:color w:val="auto"/>
              </w:rPr>
              <w:t>本项目生产设备在运行期间均会产生噪声，建设单位采取以下措施来减轻生产设备运行噪声的环境影响。</w:t>
            </w:r>
          </w:p>
          <w:p w14:paraId="308D42D5">
            <w:pPr>
              <w:adjustRightInd w:val="0"/>
              <w:snapToGrid w:val="0"/>
              <w:spacing w:line="360" w:lineRule="auto"/>
              <w:ind w:firstLine="480" w:firstLineChars="200"/>
              <w:rPr>
                <w:bCs/>
                <w:color w:val="auto"/>
              </w:rPr>
            </w:pPr>
            <w:r>
              <w:rPr>
                <w:bCs/>
                <w:color w:val="auto"/>
              </w:rPr>
              <w:t>（1）选用低噪声设备或带隔声、消声的设备，从源头减少噪声的产生。</w:t>
            </w:r>
          </w:p>
          <w:p w14:paraId="59F1375A">
            <w:pPr>
              <w:adjustRightInd w:val="0"/>
              <w:snapToGrid w:val="0"/>
              <w:spacing w:line="360" w:lineRule="auto"/>
              <w:ind w:firstLine="480" w:firstLineChars="200"/>
              <w:rPr>
                <w:bCs/>
                <w:color w:val="auto"/>
              </w:rPr>
            </w:pPr>
            <w:r>
              <w:rPr>
                <w:bCs/>
                <w:color w:val="auto"/>
              </w:rPr>
              <w:t>（2）合理布局设备位置，使高强度的噪声设备远离项目边界及环境敏感点。</w:t>
            </w:r>
          </w:p>
          <w:p w14:paraId="218C9193">
            <w:pPr>
              <w:adjustRightInd w:val="0"/>
              <w:snapToGrid w:val="0"/>
              <w:spacing w:line="360" w:lineRule="auto"/>
              <w:ind w:firstLine="480" w:firstLineChars="200"/>
              <w:rPr>
                <w:bCs/>
                <w:color w:val="auto"/>
              </w:rPr>
            </w:pPr>
            <w:r>
              <w:rPr>
                <w:bCs/>
                <w:color w:val="auto"/>
              </w:rPr>
              <w:t>（3）设置较为隔声的生产车间。</w:t>
            </w:r>
          </w:p>
          <w:p w14:paraId="65D222DA">
            <w:pPr>
              <w:adjustRightInd w:val="0"/>
              <w:snapToGrid w:val="0"/>
              <w:spacing w:line="360" w:lineRule="auto"/>
              <w:ind w:firstLine="480" w:firstLineChars="200"/>
              <w:rPr>
                <w:bCs/>
                <w:color w:val="auto"/>
              </w:rPr>
            </w:pPr>
            <w:r>
              <w:rPr>
                <w:bCs/>
                <w:color w:val="auto"/>
              </w:rPr>
              <w:t>（4）对噪声值高的设备采取减振、消声、隔声等措施降低噪声值。</w:t>
            </w:r>
          </w:p>
          <w:p w14:paraId="215BF6D5">
            <w:pPr>
              <w:adjustRightInd w:val="0"/>
              <w:snapToGrid w:val="0"/>
              <w:spacing w:line="360" w:lineRule="auto"/>
              <w:ind w:firstLine="480" w:firstLineChars="200"/>
              <w:rPr>
                <w:bCs/>
                <w:color w:val="auto"/>
              </w:rPr>
            </w:pPr>
            <w:r>
              <w:rPr>
                <w:bCs/>
                <w:color w:val="auto"/>
              </w:rPr>
              <w:t>（5）定期对生产设备进行保养维修，保证生产设备维持的良好使用状态，并严格遵守生产设备的操作规范。</w:t>
            </w:r>
          </w:p>
          <w:p w14:paraId="2AFA590C">
            <w:pPr>
              <w:adjustRightInd w:val="0"/>
              <w:snapToGrid w:val="0"/>
              <w:spacing w:line="360" w:lineRule="auto"/>
              <w:ind w:firstLine="482" w:firstLineChars="200"/>
              <w:rPr>
                <w:b/>
                <w:bCs/>
                <w:color w:val="auto"/>
              </w:rPr>
            </w:pPr>
            <w:r>
              <w:rPr>
                <w:rFonts w:hint="eastAsia"/>
                <w:b/>
                <w:bCs/>
                <w:color w:val="auto"/>
              </w:rPr>
              <w:t>监测计划</w:t>
            </w:r>
          </w:p>
          <w:p w14:paraId="440986E7">
            <w:pPr>
              <w:spacing w:line="360" w:lineRule="auto"/>
              <w:ind w:firstLine="480" w:firstLineChars="200"/>
              <w:jc w:val="left"/>
              <w:rPr>
                <w:rFonts w:hint="eastAsia"/>
                <w:color w:val="auto"/>
                <w:kern w:val="0"/>
                <w:lang w:eastAsia="zh-CN" w:bidi="ar"/>
              </w:rPr>
            </w:pPr>
            <w:r>
              <w:rPr>
                <w:rFonts w:hint="eastAsia"/>
                <w:color w:val="auto"/>
                <w:kern w:val="0"/>
                <w:lang w:bidi="ar"/>
              </w:rPr>
              <w:t>根据《固定污染源排污许可分类管理名录（2019年版）》中“十五、木材加工和木、竹、藤、棕、草制品业20  其他﹡”，项目属于登记管理，项目根据《排污单位自行监测技术指南 总则》（HJ819-2017），企业</w:t>
            </w:r>
            <w:r>
              <w:rPr>
                <w:rFonts w:hint="eastAsia"/>
                <w:color w:val="auto"/>
                <w:kern w:val="0"/>
                <w:lang w:val="en-US" w:eastAsia="zh-CN" w:bidi="ar"/>
              </w:rPr>
              <w:t>噪声</w:t>
            </w:r>
            <w:r>
              <w:rPr>
                <w:rFonts w:hint="eastAsia"/>
                <w:color w:val="auto"/>
                <w:kern w:val="0"/>
                <w:lang w:bidi="ar"/>
              </w:rPr>
              <w:t>监测频次最低为每</w:t>
            </w:r>
            <w:r>
              <w:rPr>
                <w:rFonts w:hint="eastAsia"/>
                <w:color w:val="auto"/>
                <w:kern w:val="0"/>
                <w:lang w:val="en-US" w:eastAsia="zh-CN" w:bidi="ar"/>
              </w:rPr>
              <w:t>季度</w:t>
            </w:r>
            <w:r>
              <w:rPr>
                <w:rFonts w:hint="eastAsia"/>
                <w:color w:val="auto"/>
                <w:kern w:val="0"/>
                <w:lang w:bidi="ar"/>
              </w:rPr>
              <w:t>一次</w:t>
            </w:r>
            <w:r>
              <w:rPr>
                <w:rFonts w:hint="eastAsia"/>
                <w:color w:val="auto"/>
                <w:kern w:val="0"/>
                <w:lang w:eastAsia="zh-CN" w:bidi="ar"/>
              </w:rPr>
              <w:t>。</w:t>
            </w:r>
          </w:p>
          <w:p w14:paraId="6B41C2E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lang w:bidi="ar"/>
              </w:rPr>
              <w:t>表4-</w:t>
            </w:r>
            <w:r>
              <w:rPr>
                <w:rFonts w:hint="eastAsia" w:ascii="Times New Roman" w:hAnsi="Times New Roman" w:eastAsia="宋体" w:cs="Times New Roman"/>
                <w:b/>
                <w:bCs/>
                <w:kern w:val="0"/>
                <w:lang w:val="en-US" w:eastAsia="zh-CN" w:bidi="ar"/>
              </w:rPr>
              <w:t>12</w:t>
            </w:r>
            <w:r>
              <w:rPr>
                <w:rFonts w:hint="default" w:ascii="Times New Roman" w:hAnsi="Times New Roman" w:eastAsia="宋体" w:cs="Times New Roman"/>
                <w:b/>
                <w:bCs/>
                <w:kern w:val="0"/>
                <w:lang w:bidi="ar"/>
              </w:rPr>
              <w:t xml:space="preserve">  噪声监测计划表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98"/>
              <w:gridCol w:w="1210"/>
              <w:gridCol w:w="3756"/>
            </w:tblGrid>
            <w:tr w14:paraId="78EE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2" w:type="dxa"/>
                  <w:noWrap w:val="0"/>
                  <w:vAlign w:val="center"/>
                </w:tcPr>
                <w:p w14:paraId="2967513E">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监测点位置</w:t>
                  </w:r>
                </w:p>
              </w:tc>
              <w:tc>
                <w:tcPr>
                  <w:tcW w:w="1598" w:type="dxa"/>
                  <w:noWrap w:val="0"/>
                  <w:vAlign w:val="center"/>
                </w:tcPr>
                <w:p w14:paraId="668C040F">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监测指标</w:t>
                  </w:r>
                </w:p>
              </w:tc>
              <w:tc>
                <w:tcPr>
                  <w:tcW w:w="1210" w:type="dxa"/>
                  <w:noWrap w:val="0"/>
                  <w:vAlign w:val="center"/>
                </w:tcPr>
                <w:p w14:paraId="105F1AD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监测频次</w:t>
                  </w:r>
                </w:p>
              </w:tc>
              <w:tc>
                <w:tcPr>
                  <w:tcW w:w="3756" w:type="dxa"/>
                  <w:noWrap w:val="0"/>
                  <w:vAlign w:val="center"/>
                </w:tcPr>
                <w:p w14:paraId="65F661C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执行标准</w:t>
                  </w:r>
                </w:p>
              </w:tc>
            </w:tr>
            <w:tr w14:paraId="6457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2" w:type="dxa"/>
                  <w:noWrap w:val="0"/>
                  <w:vAlign w:val="center"/>
                </w:tcPr>
                <w:p w14:paraId="34E8F9EF">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厂界四周各布设一个噪声监测点</w:t>
                  </w:r>
                </w:p>
              </w:tc>
              <w:tc>
                <w:tcPr>
                  <w:tcW w:w="1598" w:type="dxa"/>
                  <w:noWrap w:val="0"/>
                  <w:vAlign w:val="center"/>
                </w:tcPr>
                <w:p w14:paraId="4A8CCF5A">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连续等效A声级</w:t>
                  </w:r>
                </w:p>
              </w:tc>
              <w:tc>
                <w:tcPr>
                  <w:tcW w:w="1210" w:type="dxa"/>
                  <w:noWrap w:val="0"/>
                  <w:vAlign w:val="center"/>
                </w:tcPr>
                <w:p w14:paraId="4D89843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每季一次</w:t>
                  </w:r>
                </w:p>
              </w:tc>
              <w:tc>
                <w:tcPr>
                  <w:tcW w:w="3756" w:type="dxa"/>
                  <w:noWrap w:val="0"/>
                  <w:vAlign w:val="center"/>
                </w:tcPr>
                <w:p w14:paraId="6BBD67B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《工业企业厂界环境噪声排放标准》（GB12348-2008）</w:t>
                  </w:r>
                  <w:r>
                    <w:rPr>
                      <w:rFonts w:hint="eastAsia" w:ascii="Times New Roman" w:hAnsi="Times New Roman" w:eastAsia="宋体" w:cs="Times New Roman"/>
                      <w:color w:val="000000"/>
                      <w:kern w:val="0"/>
                      <w:sz w:val="21"/>
                      <w:szCs w:val="21"/>
                      <w:lang w:val="en-US" w:eastAsia="zh-CN" w:bidi="ar-SA"/>
                    </w:rPr>
                    <w:t>中的</w:t>
                  </w:r>
                  <w:r>
                    <w:rPr>
                      <w:rFonts w:hint="default" w:ascii="Times New Roman" w:hAnsi="Times New Roman" w:eastAsia="宋体" w:cs="Times New Roman"/>
                      <w:color w:val="000000"/>
                      <w:kern w:val="0"/>
                      <w:sz w:val="21"/>
                      <w:szCs w:val="21"/>
                      <w:lang w:val="en-US" w:eastAsia="zh-CN" w:bidi="ar-SA"/>
                    </w:rPr>
                    <w:t>3类标准</w:t>
                  </w:r>
                </w:p>
              </w:tc>
            </w:tr>
          </w:tbl>
          <w:p w14:paraId="3E0C54BF">
            <w:pPr>
              <w:adjustRightInd w:val="0"/>
              <w:snapToGrid w:val="0"/>
              <w:spacing w:before="120" w:beforeLines="50" w:line="360" w:lineRule="auto"/>
              <w:rPr>
                <w:color w:val="auto"/>
              </w:rPr>
            </w:pPr>
            <w:r>
              <w:rPr>
                <w:rFonts w:hint="eastAsia"/>
                <w:b/>
                <w:bCs/>
                <w:color w:val="auto"/>
              </w:rPr>
              <w:t>4、</w:t>
            </w:r>
            <w:r>
              <w:rPr>
                <w:b/>
                <w:bCs/>
                <w:color w:val="auto"/>
              </w:rPr>
              <w:t>固体废物</w:t>
            </w:r>
          </w:p>
          <w:p w14:paraId="2FB92B09">
            <w:pPr>
              <w:adjustRightInd w:val="0"/>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本项目运营期间的固体废物主要包括一般</w:t>
            </w:r>
            <w:r>
              <w:rPr>
                <w:rFonts w:hint="eastAsia" w:ascii="Times New Roman" w:hAnsi="Times New Roman" w:cs="Times New Roman"/>
                <w:color w:val="auto"/>
              </w:rPr>
              <w:t>工业</w:t>
            </w:r>
            <w:r>
              <w:rPr>
                <w:rFonts w:ascii="Times New Roman" w:hAnsi="Times New Roman" w:cs="Times New Roman"/>
                <w:color w:val="auto"/>
              </w:rPr>
              <w:t>固废和生活垃圾等。</w:t>
            </w:r>
          </w:p>
          <w:p w14:paraId="4DACB152">
            <w:pPr>
              <w:adjustRightInd w:val="0"/>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一般</w:t>
            </w:r>
            <w:r>
              <w:rPr>
                <w:rFonts w:hint="eastAsia" w:ascii="Times New Roman" w:hAnsi="Times New Roman" w:cs="Times New Roman"/>
                <w:color w:val="auto"/>
              </w:rPr>
              <w:t>工业</w:t>
            </w:r>
            <w:r>
              <w:rPr>
                <w:rFonts w:ascii="Times New Roman" w:hAnsi="Times New Roman" w:cs="Times New Roman"/>
                <w:color w:val="auto"/>
              </w:rPr>
              <w:t>固废</w:t>
            </w:r>
          </w:p>
          <w:p w14:paraId="078115C1">
            <w:pPr>
              <w:spacing w:line="360" w:lineRule="auto"/>
              <w:ind w:firstLine="480" w:firstLineChars="200"/>
              <w:jc w:val="left"/>
              <w:rPr>
                <w:rFonts w:ascii="Times New Roman" w:hAnsi="Times New Roman" w:cs="Times New Roman"/>
                <w:color w:val="auto"/>
                <w:kern w:val="0"/>
              </w:rPr>
            </w:pPr>
            <w:r>
              <w:rPr>
                <w:rFonts w:ascii="Times New Roman" w:hAnsi="Times New Roman" w:cs="Times New Roman"/>
                <w:color w:val="auto"/>
              </w:rPr>
              <w:fldChar w:fldCharType="begin"/>
            </w:r>
            <w:r>
              <w:rPr>
                <w:rFonts w:ascii="Times New Roman" w:hAnsi="Times New Roman" w:cs="Times New Roman"/>
                <w:color w:val="auto"/>
              </w:rPr>
              <w:instrText xml:space="preserve"> = 1 \* GB3 \* MERGEFORMAT </w:instrText>
            </w:r>
            <w:r>
              <w:rPr>
                <w:rFonts w:ascii="Times New Roman" w:hAnsi="Times New Roman" w:cs="Times New Roman"/>
                <w:color w:val="auto"/>
              </w:rPr>
              <w:fldChar w:fldCharType="separate"/>
            </w:r>
            <w:r>
              <w:rPr>
                <w:rFonts w:ascii="Times New Roman" w:hAnsi="Times New Roman" w:cs="Times New Roman"/>
                <w:color w:val="auto"/>
              </w:rPr>
              <w:t>①</w:t>
            </w:r>
            <w:r>
              <w:rPr>
                <w:rFonts w:ascii="Times New Roman" w:hAnsi="Times New Roman" w:cs="Times New Roman"/>
                <w:color w:val="auto"/>
              </w:rPr>
              <w:fldChar w:fldCharType="end"/>
            </w:r>
            <w:r>
              <w:rPr>
                <w:rFonts w:hint="eastAsia" w:ascii="Times New Roman" w:hAnsi="Times New Roman" w:cs="Times New Roman"/>
                <w:color w:val="auto"/>
              </w:rPr>
              <w:t>废边角料：</w:t>
            </w:r>
            <w:r>
              <w:rPr>
                <w:rFonts w:hint="eastAsia" w:ascii="Times New Roman" w:hAnsi="Times New Roman" w:cs="Times New Roman"/>
                <w:color w:val="auto"/>
                <w:kern w:val="0"/>
              </w:rPr>
              <w:t>项目生产过程中</w:t>
            </w:r>
            <w:r>
              <w:rPr>
                <w:rFonts w:ascii="Times New Roman" w:hAnsi="Times New Roman" w:cs="Times New Roman"/>
                <w:color w:val="auto"/>
                <w:kern w:val="0"/>
              </w:rPr>
              <w:t>会产生一定量的边角料，为一般工业固体废弃物，本</w:t>
            </w:r>
            <w:r>
              <w:rPr>
                <w:rFonts w:hint="eastAsia" w:ascii="Times New Roman" w:hAnsi="Times New Roman" w:cs="Times New Roman"/>
                <w:color w:val="auto"/>
                <w:kern w:val="0"/>
              </w:rPr>
              <w:t>次</w:t>
            </w:r>
            <w:r>
              <w:rPr>
                <w:rFonts w:ascii="Times New Roman" w:hAnsi="Times New Roman" w:cs="Times New Roman"/>
                <w:color w:val="auto"/>
                <w:kern w:val="0"/>
              </w:rPr>
              <w:t>项目废边角料产生量为</w:t>
            </w:r>
            <w:r>
              <w:rPr>
                <w:rFonts w:hint="eastAsia" w:ascii="Times New Roman" w:hAnsi="Times New Roman" w:cs="Times New Roman"/>
                <w:color w:val="auto"/>
                <w:kern w:val="0"/>
              </w:rPr>
              <w:t>3.4</w:t>
            </w:r>
            <w:r>
              <w:rPr>
                <w:rFonts w:ascii="Times New Roman" w:hAnsi="Times New Roman" w:cs="Times New Roman"/>
                <w:color w:val="auto"/>
                <w:kern w:val="0"/>
              </w:rPr>
              <w:t>t/a。收集后暂存于一般固废暂存区，</w:t>
            </w:r>
            <w:r>
              <w:rPr>
                <w:rFonts w:hint="eastAsia" w:ascii="Times New Roman" w:hAnsi="Times New Roman" w:cs="Times New Roman"/>
                <w:color w:val="auto"/>
                <w:kern w:val="0"/>
              </w:rPr>
              <w:t>处理后回用于生产</w:t>
            </w:r>
            <w:r>
              <w:rPr>
                <w:rFonts w:ascii="Times New Roman" w:hAnsi="Times New Roman" w:cs="Times New Roman"/>
                <w:color w:val="auto"/>
                <w:kern w:val="0"/>
              </w:rPr>
              <w:t>。</w:t>
            </w:r>
            <w:r>
              <w:rPr>
                <w:rFonts w:hint="eastAsia" w:cs="宋体"/>
                <w:kern w:val="0"/>
                <w:sz w:val="24"/>
              </w:rPr>
              <w:t>根据</w:t>
            </w:r>
            <w:r>
              <w:rPr>
                <w:rFonts w:hint="eastAsia" w:cs="宋体"/>
                <w:color w:val="auto"/>
                <w:kern w:val="0"/>
                <w:sz w:val="24"/>
                <w:lang w:val="en-US" w:eastAsia="zh-CN"/>
              </w:rPr>
              <w:t>《固体废物分类与代码目录》（生态环境部办公厅2024年1月22日印发）</w:t>
            </w:r>
            <w:r>
              <w:rPr>
                <w:rFonts w:hint="eastAsia" w:cs="宋体"/>
                <w:kern w:val="0"/>
                <w:sz w:val="24"/>
              </w:rPr>
              <w:t>，</w:t>
            </w:r>
            <w:r>
              <w:rPr>
                <w:rFonts w:hint="eastAsia" w:cs="宋体"/>
                <w:kern w:val="0"/>
                <w:sz w:val="24"/>
                <w:lang w:val="en-US" w:eastAsia="zh-CN"/>
              </w:rPr>
              <w:t>废边角料</w:t>
            </w:r>
            <w:r>
              <w:rPr>
                <w:rFonts w:hint="eastAsia" w:cs="宋体"/>
                <w:kern w:val="0"/>
                <w:sz w:val="24"/>
              </w:rPr>
              <w:t>产品</w:t>
            </w:r>
            <w:r>
              <w:rPr>
                <w:rFonts w:hint="eastAsia" w:cs="宋体"/>
                <w:color w:val="auto"/>
                <w:kern w:val="0"/>
                <w:sz w:val="24"/>
                <w:lang w:val="en-US" w:eastAsia="zh-CN"/>
              </w:rPr>
              <w:t>固废类别为SW17，</w:t>
            </w:r>
            <w:r>
              <w:rPr>
                <w:rFonts w:hint="eastAsia" w:cs="宋体"/>
                <w:color w:val="auto"/>
                <w:kern w:val="0"/>
                <w:sz w:val="24"/>
              </w:rPr>
              <w:t>固废代码为</w:t>
            </w:r>
            <w:r>
              <w:rPr>
                <w:rFonts w:hint="eastAsia" w:cs="宋体"/>
                <w:color w:val="auto"/>
                <w:kern w:val="0"/>
                <w:sz w:val="24"/>
                <w:lang w:val="en-US" w:eastAsia="zh-CN"/>
              </w:rPr>
              <w:t>900-009-S17</w:t>
            </w:r>
            <w:r>
              <w:rPr>
                <w:rFonts w:hint="eastAsia" w:cs="宋体"/>
                <w:color w:val="FF0000"/>
                <w:kern w:val="0"/>
                <w:sz w:val="24"/>
                <w:lang w:val="en-US" w:eastAsia="zh-CN"/>
              </w:rPr>
              <w:t xml:space="preserve"> </w:t>
            </w:r>
            <w:r>
              <w:rPr>
                <w:rFonts w:hint="eastAsia" w:cs="宋体"/>
                <w:color w:val="auto"/>
                <w:kern w:val="0"/>
                <w:sz w:val="24"/>
              </w:rPr>
              <w:t>，</w:t>
            </w:r>
            <w:r>
              <w:rPr>
                <w:rFonts w:hint="eastAsia" w:cs="宋体"/>
                <w:kern w:val="0"/>
                <w:sz w:val="24"/>
              </w:rPr>
              <w:t>废边角料经收集后暂存于一般固废暂存处，外售至物资回收部门</w:t>
            </w:r>
            <w:r>
              <w:rPr>
                <w:rFonts w:ascii="Times New Roman" w:hAnsi="Times New Roman" w:cs="Times New Roman"/>
                <w:color w:val="auto"/>
                <w:kern w:val="0"/>
              </w:rPr>
              <w:t>。</w:t>
            </w:r>
          </w:p>
          <w:p w14:paraId="10ED6C05">
            <w:pPr>
              <w:spacing w:line="360" w:lineRule="auto"/>
              <w:ind w:firstLine="480" w:firstLineChars="200"/>
              <w:jc w:val="left"/>
              <w:rPr>
                <w:rFonts w:ascii="Times New Roman" w:hAnsi="Times New Roman" w:cs="Times New Roman"/>
                <w:color w:val="auto"/>
                <w:lang w:bidi="ar"/>
              </w:rPr>
            </w:pPr>
            <w:r>
              <w:rPr>
                <w:rFonts w:ascii="Times New Roman" w:hAnsi="Times New Roman" w:cs="Times New Roman"/>
                <w:color w:val="auto"/>
                <w:lang w:bidi="ar"/>
              </w:rPr>
              <w:fldChar w:fldCharType="begin"/>
            </w:r>
            <w:r>
              <w:rPr>
                <w:rFonts w:ascii="Times New Roman" w:hAnsi="Times New Roman" w:cs="Times New Roman"/>
                <w:color w:val="auto"/>
                <w:lang w:bidi="ar"/>
              </w:rPr>
              <w:instrText xml:space="preserve"> = 2 \* GB3 \* MERGEFORMAT </w:instrText>
            </w:r>
            <w:r>
              <w:rPr>
                <w:rFonts w:ascii="Times New Roman" w:hAnsi="Times New Roman" w:cs="Times New Roman"/>
                <w:color w:val="auto"/>
                <w:lang w:bidi="ar"/>
              </w:rPr>
              <w:fldChar w:fldCharType="separate"/>
            </w:r>
            <w:r>
              <w:rPr>
                <w:rFonts w:ascii="Times New Roman" w:hAnsi="Times New Roman" w:cs="Times New Roman"/>
                <w:color w:val="auto"/>
              </w:rPr>
              <w:t>②</w:t>
            </w:r>
            <w:r>
              <w:rPr>
                <w:rFonts w:ascii="Times New Roman" w:hAnsi="Times New Roman" w:cs="Times New Roman"/>
                <w:color w:val="auto"/>
                <w:lang w:bidi="ar"/>
              </w:rPr>
              <w:fldChar w:fldCharType="end"/>
            </w:r>
            <w:r>
              <w:rPr>
                <w:rFonts w:hint="eastAsia" w:ascii="Times New Roman" w:hAnsi="Times New Roman" w:cs="Times New Roman"/>
                <w:color w:val="auto"/>
                <w:lang w:bidi="ar"/>
              </w:rPr>
              <w:t>收集的</w:t>
            </w:r>
            <w:r>
              <w:rPr>
                <w:rFonts w:hint="eastAsia" w:ascii="Times New Roman" w:hAnsi="Times New Roman" w:cs="Times New Roman"/>
                <w:color w:val="auto"/>
              </w:rPr>
              <w:t>粉尘：项目切割、后处理工序产生的粉尘进行收集处理，</w:t>
            </w:r>
            <w:r>
              <w:rPr>
                <w:rFonts w:ascii="Times New Roman" w:hAnsi="Times New Roman" w:cs="Times New Roman"/>
                <w:color w:val="auto"/>
                <w:lang w:bidi="ar"/>
              </w:rPr>
              <w:t>根据前文计算，除尘器收集的粉尘</w:t>
            </w:r>
            <w:r>
              <w:rPr>
                <w:rFonts w:hint="eastAsia" w:ascii="Times New Roman" w:hAnsi="Times New Roman" w:cs="Times New Roman"/>
                <w:color w:val="auto"/>
                <w:lang w:bidi="ar"/>
              </w:rPr>
              <w:t>约</w:t>
            </w:r>
            <w:r>
              <w:rPr>
                <w:rFonts w:ascii="Times New Roman" w:hAnsi="Times New Roman" w:cs="Times New Roman"/>
                <w:color w:val="auto"/>
                <w:lang w:bidi="ar"/>
              </w:rPr>
              <w:t>为</w:t>
            </w:r>
            <w:r>
              <w:rPr>
                <w:rFonts w:hint="eastAsia" w:cs="Times New Roman"/>
                <w:color w:val="auto"/>
                <w:lang w:val="en-US" w:eastAsia="zh-CN" w:bidi="ar"/>
              </w:rPr>
              <w:t>32.8779</w:t>
            </w:r>
            <w:r>
              <w:rPr>
                <w:rFonts w:ascii="Times New Roman" w:hAnsi="Times New Roman" w:cs="Times New Roman"/>
                <w:color w:val="auto"/>
                <w:lang w:bidi="ar"/>
              </w:rPr>
              <w:t>t/a</w:t>
            </w:r>
            <w:r>
              <w:rPr>
                <w:rFonts w:hint="eastAsia" w:ascii="Times New Roman" w:hAnsi="Times New Roman" w:cs="Times New Roman"/>
                <w:color w:val="auto"/>
                <w:lang w:bidi="ar"/>
              </w:rPr>
              <w:t>。</w:t>
            </w:r>
            <w:r>
              <w:rPr>
                <w:rFonts w:ascii="Times New Roman" w:hAnsi="Times New Roman" w:cs="Times New Roman"/>
                <w:color w:val="auto"/>
                <w:kern w:val="0"/>
              </w:rPr>
              <w:t>收集后暂存于一般固废暂存区，</w:t>
            </w:r>
            <w:r>
              <w:rPr>
                <w:rFonts w:hint="eastAsia" w:cs="Times New Roman"/>
                <w:color w:val="auto"/>
                <w:kern w:val="0"/>
                <w:lang w:val="en-US" w:eastAsia="zh-CN"/>
              </w:rPr>
              <w:t>外售处理</w:t>
            </w:r>
            <w:r>
              <w:rPr>
                <w:rFonts w:ascii="Times New Roman" w:hAnsi="Times New Roman" w:cs="Times New Roman"/>
                <w:color w:val="auto"/>
                <w:lang w:bidi="ar"/>
              </w:rPr>
              <w:t>。</w:t>
            </w:r>
            <w:r>
              <w:rPr>
                <w:rFonts w:hint="eastAsia"/>
                <w:sz w:val="24"/>
                <w:szCs w:val="28"/>
              </w:rPr>
              <w:t>根据</w:t>
            </w:r>
            <w:r>
              <w:rPr>
                <w:rFonts w:hint="eastAsia"/>
                <w:sz w:val="24"/>
                <w:szCs w:val="28"/>
                <w:lang w:val="en-US" w:eastAsia="zh-CN"/>
              </w:rPr>
              <w:t>《固体废物分类与代码目录》（生态环境部办公厅2024年1月22日印发）</w:t>
            </w:r>
            <w:r>
              <w:rPr>
                <w:rFonts w:hint="eastAsia"/>
                <w:sz w:val="24"/>
                <w:szCs w:val="28"/>
              </w:rPr>
              <w:t>，</w:t>
            </w:r>
            <w:r>
              <w:rPr>
                <w:rFonts w:hint="eastAsia"/>
                <w:sz w:val="24"/>
                <w:szCs w:val="28"/>
                <w:lang w:val="en-US" w:eastAsia="zh-CN"/>
              </w:rPr>
              <w:t>固废类别为SW59，除尘器收集粉尘</w:t>
            </w:r>
            <w:r>
              <w:rPr>
                <w:rFonts w:hint="eastAsia"/>
                <w:sz w:val="24"/>
                <w:szCs w:val="28"/>
              </w:rPr>
              <w:t>固废代码为</w:t>
            </w:r>
            <w:r>
              <w:rPr>
                <w:rFonts w:hint="eastAsia"/>
                <w:sz w:val="24"/>
                <w:szCs w:val="28"/>
                <w:lang w:val="en-US" w:eastAsia="zh-CN"/>
              </w:rPr>
              <w:t>900-099-S59</w:t>
            </w:r>
            <w:r>
              <w:rPr>
                <w:rFonts w:ascii="Times New Roman" w:hAnsi="Times New Roman" w:cs="Times New Roman"/>
                <w:color w:val="auto"/>
                <w:kern w:val="0"/>
              </w:rPr>
              <w:t>。</w:t>
            </w:r>
          </w:p>
          <w:p w14:paraId="3F7E8B2C">
            <w:pPr>
              <w:spacing w:line="360" w:lineRule="auto"/>
              <w:ind w:firstLine="480" w:firstLineChars="200"/>
              <w:jc w:val="left"/>
              <w:rPr>
                <w:rFonts w:ascii="Times New Roman" w:hAnsi="Times New Roman" w:cs="Times New Roman"/>
                <w:color w:val="auto"/>
                <w:lang w:bidi="ar"/>
              </w:rPr>
            </w:pPr>
            <w:r>
              <w:rPr>
                <w:rFonts w:ascii="Times New Roman" w:hAnsi="Times New Roman" w:cs="Times New Roman"/>
                <w:color w:val="auto"/>
                <w:lang w:bidi="ar"/>
              </w:rPr>
              <w:fldChar w:fldCharType="begin"/>
            </w:r>
            <w:r>
              <w:rPr>
                <w:rFonts w:ascii="Times New Roman" w:hAnsi="Times New Roman" w:cs="Times New Roman"/>
                <w:color w:val="auto"/>
                <w:lang w:bidi="ar"/>
              </w:rPr>
              <w:instrText xml:space="preserve"> = 3 \* GB3 \* MERGEFORMAT </w:instrText>
            </w:r>
            <w:r>
              <w:rPr>
                <w:rFonts w:ascii="Times New Roman" w:hAnsi="Times New Roman" w:cs="Times New Roman"/>
                <w:color w:val="auto"/>
                <w:lang w:bidi="ar"/>
              </w:rPr>
              <w:fldChar w:fldCharType="separate"/>
            </w:r>
            <w:r>
              <w:rPr>
                <w:rFonts w:ascii="Times New Roman" w:hAnsi="Times New Roman" w:cs="Times New Roman"/>
                <w:color w:val="auto"/>
              </w:rPr>
              <w:t>③</w:t>
            </w:r>
            <w:r>
              <w:rPr>
                <w:rFonts w:ascii="Times New Roman" w:hAnsi="Times New Roman" w:cs="Times New Roman"/>
                <w:color w:val="auto"/>
                <w:lang w:bidi="ar"/>
              </w:rPr>
              <w:fldChar w:fldCharType="end"/>
            </w:r>
            <w:r>
              <w:rPr>
                <w:rFonts w:hint="eastAsia" w:ascii="Times New Roman" w:hAnsi="Times New Roman" w:cs="Times New Roman"/>
                <w:color w:val="auto"/>
                <w:kern w:val="0"/>
                <w:szCs w:val="24"/>
                <w:lang w:val="en-US" w:eastAsia="zh-CN" w:bidi="ar"/>
              </w:rPr>
              <w:t>废包装物：项目产品包装入库过程中有废包装物产生，产生量为0.2t/a，</w:t>
            </w:r>
            <w:r>
              <w:rPr>
                <w:rFonts w:ascii="Times New Roman" w:hAnsi="Times New Roman" w:cs="Times New Roman"/>
                <w:color w:val="auto"/>
                <w:kern w:val="0"/>
              </w:rPr>
              <w:t>收集后暂存于一般固废暂存区，</w:t>
            </w:r>
            <w:r>
              <w:rPr>
                <w:rFonts w:hint="eastAsia" w:ascii="Times New Roman" w:hAnsi="Times New Roman" w:cs="Times New Roman"/>
                <w:color w:val="auto"/>
                <w:kern w:val="0"/>
                <w:lang w:val="en-US" w:eastAsia="zh-CN"/>
              </w:rPr>
              <w:t>外售至物资回收部门</w:t>
            </w:r>
            <w:r>
              <w:rPr>
                <w:rFonts w:ascii="Times New Roman" w:hAnsi="Times New Roman" w:cs="Times New Roman"/>
                <w:color w:val="auto"/>
                <w:lang w:bidi="ar"/>
              </w:rPr>
              <w:t>。</w:t>
            </w:r>
            <w:r>
              <w:rPr>
                <w:rFonts w:hint="eastAsia"/>
                <w:sz w:val="24"/>
                <w:szCs w:val="28"/>
              </w:rPr>
              <w:t>根据</w:t>
            </w:r>
            <w:r>
              <w:rPr>
                <w:rFonts w:hint="eastAsia"/>
                <w:sz w:val="24"/>
                <w:szCs w:val="28"/>
                <w:lang w:val="en-US" w:eastAsia="zh-CN"/>
              </w:rPr>
              <w:t>《固体废物分类与代码目录》（生态环境部办公厅2024年1月22日印发）</w:t>
            </w:r>
            <w:r>
              <w:rPr>
                <w:rFonts w:hint="eastAsia"/>
                <w:sz w:val="24"/>
                <w:szCs w:val="28"/>
              </w:rPr>
              <w:t>，</w:t>
            </w:r>
            <w:r>
              <w:rPr>
                <w:rFonts w:hint="eastAsia"/>
                <w:sz w:val="24"/>
                <w:szCs w:val="28"/>
                <w:lang w:val="en-US" w:eastAsia="zh-CN"/>
              </w:rPr>
              <w:t>固废类别为SW59，除尘器收集粉尘</w:t>
            </w:r>
            <w:r>
              <w:rPr>
                <w:rFonts w:hint="eastAsia"/>
                <w:sz w:val="24"/>
                <w:szCs w:val="28"/>
              </w:rPr>
              <w:t>固废代码为</w:t>
            </w:r>
            <w:r>
              <w:rPr>
                <w:rFonts w:hint="eastAsia"/>
                <w:sz w:val="24"/>
                <w:szCs w:val="28"/>
                <w:lang w:val="en-US" w:eastAsia="zh-CN"/>
              </w:rPr>
              <w:t>900-099-S59</w:t>
            </w:r>
            <w:r>
              <w:rPr>
                <w:rFonts w:ascii="Times New Roman" w:hAnsi="Times New Roman" w:cs="Times New Roman"/>
                <w:color w:val="auto"/>
                <w:kern w:val="0"/>
              </w:rPr>
              <w:t>。</w:t>
            </w:r>
          </w:p>
          <w:p w14:paraId="06BD4DF9">
            <w:pPr>
              <w:widowControl w:val="0"/>
              <w:adjustRightInd w:val="0"/>
              <w:snapToGrid w:val="0"/>
              <w:spacing w:line="360" w:lineRule="auto"/>
              <w:ind w:firstLine="480" w:firstLineChars="200"/>
              <w:jc w:val="both"/>
              <w:rPr>
                <w:rFonts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（2）危险废物</w:t>
            </w:r>
          </w:p>
          <w:p w14:paraId="2A0F4AC2">
            <w:pPr>
              <w:numPr>
                <w:ilvl w:val="0"/>
                <w:numId w:val="0"/>
              </w:numPr>
              <w:adjustRightInd w:val="0"/>
              <w:snapToGrid w:val="0"/>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①废润滑油</w:t>
            </w:r>
          </w:p>
          <w:p w14:paraId="17D46611">
            <w:pPr>
              <w:numPr>
                <w:ilvl w:val="0"/>
                <w:numId w:val="0"/>
              </w:numPr>
              <w:adjustRightInd w:val="0"/>
              <w:snapToGrid w:val="0"/>
              <w:spacing w:line="360" w:lineRule="auto"/>
              <w:ind w:firstLine="480" w:firstLineChars="200"/>
              <w:rPr>
                <w:rFonts w:hint="default" w:ascii="Times New Roman" w:hAnsi="Times New Roman" w:eastAsia="宋体" w:cs="Times New Roman"/>
                <w:color w:val="auto"/>
                <w:lang w:val="en-US" w:eastAsia="zh-CN"/>
              </w:rPr>
            </w:pPr>
            <w:r>
              <w:rPr>
                <w:rFonts w:ascii="Times New Roman" w:hAnsi="Times New Roman" w:eastAsia="宋体" w:cs="Times New Roman"/>
                <w:color w:val="auto"/>
                <w:sz w:val="24"/>
                <w:lang w:bidi="ar"/>
              </w:rPr>
              <w:t>项目设备维修会产生一定量废</w:t>
            </w:r>
            <w:r>
              <w:rPr>
                <w:rFonts w:hint="eastAsia" w:ascii="Times New Roman" w:hAnsi="Times New Roman" w:eastAsia="宋体" w:cs="Times New Roman"/>
                <w:color w:val="auto"/>
                <w:lang w:val="en-US" w:eastAsia="zh-CN"/>
              </w:rPr>
              <w:t>润滑油</w:t>
            </w:r>
            <w:r>
              <w:rPr>
                <w:rFonts w:ascii="Times New Roman" w:hAnsi="Times New Roman" w:eastAsia="宋体" w:cs="Times New Roman"/>
                <w:color w:val="auto"/>
                <w:sz w:val="24"/>
                <w:lang w:bidi="ar"/>
              </w:rPr>
              <w:t>，产生量为0.</w:t>
            </w:r>
            <w:r>
              <w:rPr>
                <w:rFonts w:hint="eastAsia" w:ascii="Times New Roman" w:hAnsi="Times New Roman" w:eastAsia="宋体" w:cs="Times New Roman"/>
                <w:color w:val="auto"/>
                <w:sz w:val="24"/>
                <w:lang w:val="en-US" w:eastAsia="zh-CN" w:bidi="ar"/>
              </w:rPr>
              <w:t>1</w:t>
            </w:r>
            <w:r>
              <w:rPr>
                <w:rFonts w:ascii="Times New Roman" w:hAnsi="Times New Roman" w:eastAsia="宋体" w:cs="Times New Roman"/>
                <w:color w:val="auto"/>
                <w:sz w:val="24"/>
                <w:lang w:bidi="ar"/>
              </w:rPr>
              <w:t>t/a，根据《国家危险废物名录》（202</w:t>
            </w:r>
            <w:r>
              <w:rPr>
                <w:rFonts w:hint="eastAsia" w:ascii="Times New Roman" w:hAnsi="Times New Roman" w:eastAsia="宋体" w:cs="Times New Roman"/>
                <w:color w:val="auto"/>
                <w:sz w:val="24"/>
                <w:lang w:val="en-US" w:eastAsia="zh-CN" w:bidi="ar"/>
              </w:rPr>
              <w:t>5</w:t>
            </w:r>
            <w:r>
              <w:rPr>
                <w:rFonts w:ascii="Times New Roman" w:hAnsi="Times New Roman" w:eastAsia="宋体" w:cs="Times New Roman"/>
                <w:color w:val="auto"/>
                <w:sz w:val="24"/>
                <w:lang w:bidi="ar"/>
              </w:rPr>
              <w:t>年版），废机油属于危险废物（</w:t>
            </w:r>
            <w:r>
              <w:rPr>
                <w:rFonts w:hint="eastAsia" w:ascii="Times New Roman" w:hAnsi="Times New Roman" w:eastAsia="宋体" w:cs="Times New Roman"/>
                <w:color w:val="auto"/>
                <w:sz w:val="24"/>
                <w:lang w:val="en-US" w:eastAsia="zh-CN" w:bidi="ar"/>
              </w:rPr>
              <w:t>危废代码为</w:t>
            </w:r>
            <w:r>
              <w:rPr>
                <w:rFonts w:ascii="Times New Roman" w:hAnsi="Times New Roman" w:eastAsia="宋体" w:cs="Times New Roman"/>
                <w:color w:val="auto"/>
                <w:sz w:val="24"/>
                <w:lang w:bidi="ar"/>
              </w:rPr>
              <w:t>HW08</w:t>
            </w:r>
            <w:r>
              <w:rPr>
                <w:rFonts w:hint="eastAsia" w:ascii="Times New Roman" w:hAnsi="Times New Roman" w:eastAsia="宋体" w:cs="Times New Roman"/>
                <w:color w:val="auto"/>
                <w:sz w:val="24"/>
                <w:lang w:val="en-US" w:eastAsia="zh-CN" w:bidi="ar"/>
              </w:rPr>
              <w:t xml:space="preserve"> </w:t>
            </w:r>
            <w:r>
              <w:rPr>
                <w:rFonts w:ascii="Times New Roman" w:hAnsi="Times New Roman" w:eastAsia="宋体" w:cs="Times New Roman"/>
                <w:color w:val="auto"/>
                <w:sz w:val="24"/>
                <w:lang w:bidi="ar"/>
              </w:rPr>
              <w:t>900-214-08），收集后暂存于危险废物暂存库内，</w:t>
            </w:r>
            <w:r>
              <w:rPr>
                <w:rFonts w:hint="eastAsia" w:ascii="Times New Roman" w:hAnsi="Times New Roman" w:eastAsia="宋体" w:cs="Times New Roman"/>
                <w:color w:val="auto"/>
                <w:sz w:val="24"/>
                <w:lang w:val="en-US" w:eastAsia="zh-CN" w:bidi="ar"/>
              </w:rPr>
              <w:t>委托</w:t>
            </w:r>
            <w:r>
              <w:rPr>
                <w:rFonts w:ascii="Times New Roman" w:hAnsi="Times New Roman" w:eastAsia="宋体" w:cs="Times New Roman"/>
                <w:color w:val="auto"/>
                <w:sz w:val="24"/>
                <w:lang w:bidi="ar"/>
              </w:rPr>
              <w:t>有资质单位进行处理。</w:t>
            </w:r>
          </w:p>
          <w:p w14:paraId="02AE82AC">
            <w:pPr>
              <w:numPr>
                <w:ilvl w:val="0"/>
                <w:numId w:val="0"/>
              </w:numPr>
              <w:adjustRightInd w:val="0"/>
              <w:snapToGrid w:val="0"/>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②废润滑油桶</w:t>
            </w:r>
          </w:p>
          <w:p w14:paraId="6629EA72">
            <w:pPr>
              <w:numPr>
                <w:ilvl w:val="0"/>
                <w:numId w:val="0"/>
              </w:numPr>
              <w:adjustRightInd w:val="0"/>
              <w:snapToGrid w:val="0"/>
              <w:spacing w:line="360" w:lineRule="auto"/>
              <w:ind w:firstLine="480" w:firstLineChars="200"/>
              <w:rPr>
                <w:rFonts w:hint="default" w:ascii="Times New Roman" w:hAnsi="Times New Roman" w:eastAsia="宋体" w:cs="Times New Roman"/>
                <w:color w:val="auto"/>
                <w:lang w:val="en-US" w:eastAsia="zh-CN"/>
              </w:rPr>
            </w:pPr>
            <w:r>
              <w:rPr>
                <w:rFonts w:ascii="Times New Roman" w:hAnsi="Times New Roman" w:eastAsia="宋体" w:cs="Times New Roman"/>
                <w:color w:val="auto"/>
                <w:sz w:val="24"/>
                <w:lang w:bidi="ar"/>
              </w:rPr>
              <w:t>项目使用</w:t>
            </w:r>
            <w:r>
              <w:rPr>
                <w:rFonts w:hint="eastAsia" w:ascii="Times New Roman" w:hAnsi="Times New Roman" w:eastAsia="宋体" w:cs="Times New Roman"/>
                <w:color w:val="auto"/>
                <w:lang w:val="en-US" w:eastAsia="zh-CN"/>
              </w:rPr>
              <w:t>润滑油</w:t>
            </w:r>
            <w:r>
              <w:rPr>
                <w:rFonts w:ascii="Times New Roman" w:hAnsi="Times New Roman" w:eastAsia="宋体" w:cs="Times New Roman"/>
                <w:color w:val="auto"/>
                <w:sz w:val="24"/>
                <w:lang w:bidi="ar"/>
              </w:rPr>
              <w:t>时会产生废</w:t>
            </w:r>
            <w:r>
              <w:rPr>
                <w:rFonts w:hint="eastAsia" w:ascii="Times New Roman" w:hAnsi="Times New Roman" w:eastAsia="宋体" w:cs="Times New Roman"/>
                <w:color w:val="auto"/>
                <w:lang w:val="en-US" w:eastAsia="zh-CN"/>
              </w:rPr>
              <w:t>润滑油</w:t>
            </w:r>
            <w:r>
              <w:rPr>
                <w:rFonts w:ascii="Times New Roman" w:hAnsi="Times New Roman" w:eastAsia="宋体" w:cs="Times New Roman"/>
                <w:color w:val="auto"/>
                <w:sz w:val="24"/>
                <w:lang w:bidi="ar"/>
              </w:rPr>
              <w:t>桶，物理性状为固态，约为0.</w:t>
            </w:r>
            <w:r>
              <w:rPr>
                <w:rFonts w:hint="eastAsia" w:ascii="Times New Roman" w:hAnsi="Times New Roman" w:eastAsia="宋体" w:cs="Times New Roman"/>
                <w:color w:val="auto"/>
                <w:sz w:val="24"/>
                <w:lang w:bidi="ar"/>
              </w:rPr>
              <w:t>0</w:t>
            </w:r>
            <w:r>
              <w:rPr>
                <w:rFonts w:ascii="Times New Roman" w:hAnsi="Times New Roman" w:eastAsia="宋体" w:cs="Times New Roman"/>
                <w:color w:val="auto"/>
                <w:sz w:val="24"/>
                <w:lang w:bidi="ar"/>
              </w:rPr>
              <w:t>2t/a，根据《国家危险废物名录》（202</w:t>
            </w:r>
            <w:r>
              <w:rPr>
                <w:rFonts w:hint="eastAsia" w:ascii="Times New Roman" w:hAnsi="Times New Roman" w:eastAsia="宋体" w:cs="Times New Roman"/>
                <w:color w:val="auto"/>
                <w:sz w:val="24"/>
                <w:lang w:val="en-US" w:eastAsia="zh-CN" w:bidi="ar"/>
              </w:rPr>
              <w:t>5</w:t>
            </w:r>
            <w:r>
              <w:rPr>
                <w:rFonts w:ascii="Times New Roman" w:hAnsi="Times New Roman" w:eastAsia="宋体" w:cs="Times New Roman"/>
                <w:color w:val="auto"/>
                <w:sz w:val="24"/>
                <w:lang w:bidi="ar"/>
              </w:rPr>
              <w:t>年版），废</w:t>
            </w:r>
            <w:r>
              <w:rPr>
                <w:rFonts w:hint="eastAsia" w:ascii="Times New Roman" w:hAnsi="Times New Roman" w:eastAsia="宋体" w:cs="Times New Roman"/>
                <w:color w:val="auto"/>
                <w:lang w:val="en-US" w:eastAsia="zh-CN"/>
              </w:rPr>
              <w:t>润滑油</w:t>
            </w:r>
            <w:r>
              <w:rPr>
                <w:rFonts w:ascii="Times New Roman" w:hAnsi="Times New Roman" w:eastAsia="宋体" w:cs="Times New Roman"/>
                <w:color w:val="auto"/>
                <w:sz w:val="24"/>
                <w:lang w:bidi="ar"/>
              </w:rPr>
              <w:t>桶属于危险</w:t>
            </w:r>
            <w:r>
              <w:rPr>
                <w:rFonts w:hint="eastAsia" w:ascii="Times New Roman" w:hAnsi="Times New Roman" w:eastAsia="宋体" w:cs="Times New Roman"/>
                <w:color w:val="auto"/>
                <w:sz w:val="24"/>
                <w:lang w:val="en-US" w:eastAsia="zh-CN" w:bidi="ar"/>
              </w:rPr>
              <w:t>废物</w:t>
            </w:r>
            <w:r>
              <w:rPr>
                <w:rFonts w:ascii="Times New Roman" w:hAnsi="Times New Roman" w:eastAsia="宋体" w:cs="Times New Roman"/>
                <w:color w:val="auto"/>
                <w:sz w:val="24"/>
                <w:lang w:bidi="ar"/>
              </w:rPr>
              <w:t>（</w:t>
            </w:r>
            <w:r>
              <w:rPr>
                <w:rFonts w:hint="eastAsia" w:ascii="Times New Roman" w:hAnsi="Times New Roman" w:eastAsia="宋体" w:cs="Times New Roman"/>
                <w:color w:val="auto"/>
                <w:sz w:val="24"/>
                <w:lang w:val="en-US" w:eastAsia="zh-CN" w:bidi="ar"/>
              </w:rPr>
              <w:t>危废代码为</w:t>
            </w:r>
            <w:r>
              <w:rPr>
                <w:rFonts w:ascii="Times New Roman" w:hAnsi="Times New Roman" w:eastAsia="宋体" w:cs="Times New Roman"/>
                <w:color w:val="auto"/>
                <w:sz w:val="24"/>
                <w:lang w:bidi="ar"/>
              </w:rPr>
              <w:t>HW</w:t>
            </w:r>
            <w:r>
              <w:rPr>
                <w:rFonts w:hint="eastAsia" w:ascii="Times New Roman" w:hAnsi="Times New Roman" w:eastAsia="宋体" w:cs="Times New Roman"/>
                <w:color w:val="auto"/>
                <w:sz w:val="24"/>
                <w:lang w:val="en-US" w:eastAsia="zh-CN" w:bidi="ar"/>
              </w:rPr>
              <w:t xml:space="preserve">08 </w:t>
            </w:r>
            <w:r>
              <w:rPr>
                <w:rFonts w:ascii="Times New Roman" w:hAnsi="Times New Roman" w:eastAsia="宋体" w:cs="Times New Roman"/>
                <w:color w:val="auto"/>
                <w:sz w:val="24"/>
                <w:lang w:bidi="ar"/>
              </w:rPr>
              <w:t>900-</w:t>
            </w:r>
            <w:r>
              <w:rPr>
                <w:rFonts w:hint="eastAsia" w:ascii="Times New Roman" w:hAnsi="Times New Roman" w:eastAsia="宋体" w:cs="Times New Roman"/>
                <w:color w:val="auto"/>
                <w:sz w:val="24"/>
                <w:lang w:val="en-US" w:eastAsia="zh-CN" w:bidi="ar"/>
              </w:rPr>
              <w:t>249</w:t>
            </w:r>
            <w:r>
              <w:rPr>
                <w:rFonts w:ascii="Times New Roman" w:hAnsi="Times New Roman" w:eastAsia="宋体" w:cs="Times New Roman"/>
                <w:color w:val="auto"/>
                <w:sz w:val="24"/>
                <w:lang w:bidi="ar"/>
              </w:rPr>
              <w:t>-</w:t>
            </w:r>
            <w:r>
              <w:rPr>
                <w:rFonts w:hint="eastAsia" w:ascii="Times New Roman" w:hAnsi="Times New Roman" w:eastAsia="宋体" w:cs="Times New Roman"/>
                <w:color w:val="auto"/>
                <w:sz w:val="24"/>
                <w:lang w:val="en-US" w:eastAsia="zh-CN" w:bidi="ar"/>
              </w:rPr>
              <w:t>08</w:t>
            </w:r>
            <w:r>
              <w:rPr>
                <w:rFonts w:ascii="Times New Roman" w:hAnsi="Times New Roman" w:eastAsia="宋体" w:cs="Times New Roman"/>
                <w:color w:val="auto"/>
                <w:sz w:val="24"/>
                <w:lang w:bidi="ar"/>
              </w:rPr>
              <w:t>），经收集后暂存于危险废物暂存库内，</w:t>
            </w:r>
            <w:r>
              <w:rPr>
                <w:rFonts w:hint="eastAsia" w:ascii="Times New Roman" w:hAnsi="Times New Roman" w:eastAsia="宋体" w:cs="Times New Roman"/>
                <w:color w:val="auto"/>
                <w:sz w:val="24"/>
                <w:lang w:val="en-US" w:eastAsia="zh-CN" w:bidi="ar"/>
              </w:rPr>
              <w:t>由原厂家回收</w:t>
            </w:r>
            <w:r>
              <w:rPr>
                <w:rFonts w:ascii="Times New Roman" w:hAnsi="Times New Roman" w:eastAsia="宋体" w:cs="Times New Roman"/>
                <w:color w:val="auto"/>
                <w:sz w:val="24"/>
                <w:lang w:bidi="ar"/>
              </w:rPr>
              <w:t>。</w:t>
            </w:r>
          </w:p>
          <w:p w14:paraId="4E564061">
            <w:pPr>
              <w:numPr>
                <w:ilvl w:val="0"/>
                <w:numId w:val="0"/>
              </w:numPr>
              <w:adjustRightInd w:val="0"/>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w:t>
            </w:r>
            <w:r>
              <w:rPr>
                <w:rFonts w:hint="eastAsia" w:cs="Times New Roman"/>
                <w:color w:val="auto"/>
                <w:lang w:val="en-US" w:eastAsia="zh-CN"/>
              </w:rPr>
              <w:t>3</w:t>
            </w:r>
            <w:r>
              <w:rPr>
                <w:rFonts w:hint="eastAsia" w:ascii="Times New Roman" w:hAnsi="Times New Roman" w:cs="Times New Roman"/>
                <w:color w:val="auto"/>
                <w:lang w:eastAsia="zh-CN"/>
              </w:rPr>
              <w:t>）</w:t>
            </w:r>
            <w:r>
              <w:rPr>
                <w:rFonts w:hint="eastAsia" w:ascii="Times New Roman" w:hAnsi="Times New Roman" w:cs="Times New Roman"/>
                <w:color w:val="auto"/>
              </w:rPr>
              <w:t>生活垃圾</w:t>
            </w:r>
          </w:p>
          <w:p w14:paraId="6D65FACE">
            <w:pPr>
              <w:adjustRightInd w:val="0"/>
              <w:snapToGrid w:val="0"/>
              <w:spacing w:line="360" w:lineRule="auto"/>
              <w:ind w:firstLine="480" w:firstLineChars="200"/>
              <w:rPr>
                <w:rFonts w:ascii="Times New Roman" w:hAnsi="Times New Roman" w:cs="Times New Roman"/>
                <w:b/>
                <w:bCs/>
                <w:color w:val="auto"/>
              </w:rPr>
            </w:pPr>
            <w:r>
              <w:rPr>
                <w:rFonts w:ascii="Times New Roman" w:hAnsi="Times New Roman" w:cs="Times New Roman"/>
                <w:color w:val="auto"/>
              </w:rPr>
              <w:t>项目拥有职工</w:t>
            </w:r>
            <w:r>
              <w:rPr>
                <w:rFonts w:hint="eastAsia" w:cs="Times New Roman"/>
                <w:color w:val="auto"/>
                <w:lang w:val="en-US" w:eastAsia="zh-CN"/>
              </w:rPr>
              <w:t>80</w:t>
            </w:r>
            <w:r>
              <w:rPr>
                <w:rFonts w:ascii="Times New Roman" w:hAnsi="Times New Roman" w:cs="Times New Roman"/>
                <w:color w:val="auto"/>
              </w:rPr>
              <w:t>人，生活垃圾按0.5kg/人·d计，年工作</w:t>
            </w:r>
            <w:r>
              <w:rPr>
                <w:rFonts w:hint="eastAsia" w:ascii="Times New Roman" w:hAnsi="Times New Roman" w:cs="Times New Roman"/>
                <w:color w:val="auto"/>
              </w:rPr>
              <w:t>3</w:t>
            </w:r>
            <w:r>
              <w:rPr>
                <w:rFonts w:hint="eastAsia" w:cs="Times New Roman"/>
                <w:color w:val="auto"/>
                <w:lang w:val="en-US" w:eastAsia="zh-CN"/>
              </w:rPr>
              <w:t>0</w:t>
            </w:r>
            <w:r>
              <w:rPr>
                <w:rFonts w:ascii="Times New Roman" w:hAnsi="Times New Roman" w:cs="Times New Roman"/>
                <w:color w:val="auto"/>
              </w:rPr>
              <w:t>0天，则生活垃圾产生量为</w:t>
            </w:r>
            <w:r>
              <w:rPr>
                <w:rFonts w:hint="eastAsia" w:cs="Times New Roman"/>
                <w:color w:val="auto"/>
                <w:lang w:val="en-US" w:eastAsia="zh-CN"/>
              </w:rPr>
              <w:t>12</w:t>
            </w:r>
            <w:r>
              <w:rPr>
                <w:rFonts w:ascii="Times New Roman" w:hAnsi="Times New Roman" w:cs="Times New Roman"/>
                <w:color w:val="auto"/>
              </w:rPr>
              <w:t>t/a。集中收集后交由环卫部门统一清运处置。</w:t>
            </w:r>
          </w:p>
          <w:p w14:paraId="5B2B110E">
            <w:pPr>
              <w:adjustRightInd w:val="0"/>
              <w:snapToGrid w:val="0"/>
              <w:jc w:val="center"/>
              <w:rPr>
                <w:color w:val="auto"/>
              </w:rPr>
            </w:pPr>
            <w:r>
              <w:rPr>
                <w:b/>
                <w:bCs/>
                <w:color w:val="auto"/>
              </w:rPr>
              <w:t>表4</w:t>
            </w:r>
            <w:r>
              <w:rPr>
                <w:rFonts w:hint="eastAsia"/>
                <w:b/>
                <w:bCs/>
                <w:color w:val="auto"/>
              </w:rPr>
              <w:t>-1</w:t>
            </w:r>
            <w:r>
              <w:rPr>
                <w:rFonts w:hint="eastAsia"/>
                <w:b/>
                <w:bCs/>
                <w:color w:val="auto"/>
                <w:lang w:val="en-US" w:eastAsia="zh-CN"/>
              </w:rPr>
              <w:t>3</w:t>
            </w:r>
            <w:r>
              <w:rPr>
                <w:rFonts w:hint="eastAsia"/>
                <w:b/>
                <w:bCs/>
                <w:color w:val="auto"/>
              </w:rPr>
              <w:t xml:space="preserve"> </w:t>
            </w:r>
            <w:r>
              <w:rPr>
                <w:b/>
                <w:bCs/>
                <w:color w:val="auto"/>
              </w:rPr>
              <w:t xml:space="preserve"> 项目固体废物产</w:t>
            </w:r>
            <w:r>
              <w:rPr>
                <w:rFonts w:hint="eastAsia"/>
                <w:b/>
                <w:bCs/>
                <w:color w:val="auto"/>
              </w:rPr>
              <w:t>排污</w:t>
            </w:r>
            <w:r>
              <w:rPr>
                <w:b/>
                <w:bCs/>
                <w:color w:val="auto"/>
              </w:rPr>
              <w:t>情况</w:t>
            </w:r>
            <w:r>
              <w:rPr>
                <w:rFonts w:hint="eastAsia"/>
                <w:b/>
                <w:bCs/>
                <w:color w:val="auto"/>
              </w:rPr>
              <w:t>一览</w:t>
            </w:r>
            <w:r>
              <w:rPr>
                <w:b/>
                <w:bCs/>
                <w:color w:val="auto"/>
              </w:rPr>
              <w:t>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25"/>
              <w:gridCol w:w="1395"/>
              <w:gridCol w:w="1080"/>
              <w:gridCol w:w="730"/>
              <w:gridCol w:w="1020"/>
              <w:gridCol w:w="1120"/>
              <w:gridCol w:w="828"/>
            </w:tblGrid>
            <w:tr w14:paraId="565E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66F43AA1">
                  <w:pPr>
                    <w:jc w:val="center"/>
                    <w:rPr>
                      <w:b/>
                      <w:color w:val="auto"/>
                      <w:sz w:val="21"/>
                      <w:szCs w:val="21"/>
                    </w:rPr>
                  </w:pPr>
                  <w:r>
                    <w:rPr>
                      <w:b/>
                      <w:color w:val="auto"/>
                      <w:sz w:val="21"/>
                      <w:szCs w:val="21"/>
                      <w:lang w:bidi="ar"/>
                    </w:rPr>
                    <w:t>名称</w:t>
                  </w:r>
                </w:p>
              </w:tc>
              <w:tc>
                <w:tcPr>
                  <w:tcW w:w="725" w:type="dxa"/>
                  <w:vAlign w:val="center"/>
                </w:tcPr>
                <w:p w14:paraId="34F159DC">
                  <w:pPr>
                    <w:jc w:val="center"/>
                    <w:rPr>
                      <w:b/>
                      <w:color w:val="auto"/>
                      <w:sz w:val="21"/>
                      <w:szCs w:val="21"/>
                    </w:rPr>
                  </w:pPr>
                  <w:r>
                    <w:rPr>
                      <w:b/>
                      <w:color w:val="auto"/>
                      <w:sz w:val="21"/>
                      <w:szCs w:val="21"/>
                      <w:lang w:bidi="ar"/>
                    </w:rPr>
                    <w:t>类别</w:t>
                  </w:r>
                </w:p>
              </w:tc>
              <w:tc>
                <w:tcPr>
                  <w:tcW w:w="1395" w:type="dxa"/>
                  <w:vAlign w:val="center"/>
                </w:tcPr>
                <w:p w14:paraId="2F85528C">
                  <w:pPr>
                    <w:jc w:val="center"/>
                    <w:rPr>
                      <w:b/>
                      <w:color w:val="auto"/>
                      <w:sz w:val="21"/>
                      <w:szCs w:val="21"/>
                      <w:lang w:bidi="ar"/>
                    </w:rPr>
                  </w:pPr>
                  <w:r>
                    <w:rPr>
                      <w:b/>
                      <w:color w:val="auto"/>
                      <w:sz w:val="21"/>
                      <w:szCs w:val="21"/>
                      <w:lang w:bidi="ar"/>
                    </w:rPr>
                    <w:t>固体废物代码</w:t>
                  </w:r>
                </w:p>
              </w:tc>
              <w:tc>
                <w:tcPr>
                  <w:tcW w:w="1080" w:type="dxa"/>
                  <w:vAlign w:val="center"/>
                </w:tcPr>
                <w:p w14:paraId="6DB5D410">
                  <w:pPr>
                    <w:jc w:val="center"/>
                    <w:rPr>
                      <w:b/>
                      <w:color w:val="auto"/>
                      <w:sz w:val="21"/>
                      <w:szCs w:val="21"/>
                      <w:lang w:bidi="ar"/>
                    </w:rPr>
                  </w:pPr>
                  <w:r>
                    <w:rPr>
                      <w:b/>
                      <w:color w:val="auto"/>
                      <w:sz w:val="21"/>
                      <w:szCs w:val="21"/>
                      <w:lang w:bidi="ar"/>
                    </w:rPr>
                    <w:t>产生环节</w:t>
                  </w:r>
                </w:p>
              </w:tc>
              <w:tc>
                <w:tcPr>
                  <w:tcW w:w="730" w:type="dxa"/>
                  <w:vAlign w:val="center"/>
                </w:tcPr>
                <w:p w14:paraId="3C2AFD0B">
                  <w:pPr>
                    <w:jc w:val="center"/>
                    <w:rPr>
                      <w:b/>
                      <w:color w:val="auto"/>
                      <w:sz w:val="21"/>
                      <w:szCs w:val="21"/>
                      <w:lang w:bidi="ar"/>
                    </w:rPr>
                  </w:pPr>
                  <w:r>
                    <w:rPr>
                      <w:b/>
                      <w:color w:val="auto"/>
                      <w:sz w:val="21"/>
                      <w:szCs w:val="21"/>
                      <w:lang w:bidi="ar"/>
                    </w:rPr>
                    <w:t>状态</w:t>
                  </w:r>
                </w:p>
              </w:tc>
              <w:tc>
                <w:tcPr>
                  <w:tcW w:w="1020" w:type="dxa"/>
                  <w:vAlign w:val="center"/>
                </w:tcPr>
                <w:p w14:paraId="781383CB">
                  <w:pPr>
                    <w:jc w:val="center"/>
                    <w:rPr>
                      <w:b/>
                      <w:color w:val="auto"/>
                      <w:sz w:val="21"/>
                      <w:szCs w:val="21"/>
                    </w:rPr>
                  </w:pPr>
                  <w:r>
                    <w:rPr>
                      <w:b/>
                      <w:color w:val="auto"/>
                      <w:sz w:val="21"/>
                      <w:szCs w:val="21"/>
                      <w:lang w:bidi="ar"/>
                    </w:rPr>
                    <w:t>产生量</w:t>
                  </w:r>
                </w:p>
              </w:tc>
              <w:tc>
                <w:tcPr>
                  <w:tcW w:w="1120" w:type="dxa"/>
                  <w:vAlign w:val="center"/>
                </w:tcPr>
                <w:p w14:paraId="77503CEC">
                  <w:pPr>
                    <w:jc w:val="center"/>
                    <w:rPr>
                      <w:b/>
                      <w:color w:val="auto"/>
                      <w:sz w:val="21"/>
                      <w:szCs w:val="21"/>
                    </w:rPr>
                  </w:pPr>
                  <w:r>
                    <w:rPr>
                      <w:b/>
                      <w:color w:val="auto"/>
                      <w:sz w:val="21"/>
                      <w:szCs w:val="21"/>
                      <w:lang w:bidi="ar"/>
                    </w:rPr>
                    <w:t>最终去向</w:t>
                  </w:r>
                </w:p>
              </w:tc>
              <w:tc>
                <w:tcPr>
                  <w:tcW w:w="828" w:type="dxa"/>
                  <w:vAlign w:val="center"/>
                </w:tcPr>
                <w:p w14:paraId="6EA4B41B">
                  <w:pPr>
                    <w:jc w:val="center"/>
                    <w:rPr>
                      <w:b/>
                      <w:color w:val="auto"/>
                      <w:sz w:val="21"/>
                      <w:szCs w:val="21"/>
                      <w:lang w:bidi="ar"/>
                    </w:rPr>
                  </w:pPr>
                  <w:r>
                    <w:rPr>
                      <w:b/>
                      <w:color w:val="auto"/>
                      <w:sz w:val="21"/>
                      <w:szCs w:val="21"/>
                      <w:lang w:bidi="ar"/>
                    </w:rPr>
                    <w:t>排放量（t/a）</w:t>
                  </w:r>
                </w:p>
              </w:tc>
            </w:tr>
            <w:tr w14:paraId="56C5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06176D6F">
                  <w:pPr>
                    <w:jc w:val="center"/>
                    <w:outlineLvl w:val="0"/>
                    <w:rPr>
                      <w:color w:val="auto"/>
                      <w:sz w:val="21"/>
                      <w:szCs w:val="21"/>
                    </w:rPr>
                  </w:pPr>
                  <w:r>
                    <w:rPr>
                      <w:color w:val="auto"/>
                      <w:sz w:val="21"/>
                      <w:szCs w:val="21"/>
                      <w:lang w:bidi="ar"/>
                    </w:rPr>
                    <w:t>生活垃圾</w:t>
                  </w:r>
                </w:p>
              </w:tc>
              <w:tc>
                <w:tcPr>
                  <w:tcW w:w="725" w:type="dxa"/>
                  <w:vAlign w:val="center"/>
                </w:tcPr>
                <w:p w14:paraId="123EA3E8">
                  <w:pPr>
                    <w:jc w:val="center"/>
                    <w:rPr>
                      <w:color w:val="auto"/>
                      <w:sz w:val="21"/>
                      <w:szCs w:val="21"/>
                    </w:rPr>
                  </w:pPr>
                  <w:r>
                    <w:rPr>
                      <w:color w:val="auto"/>
                      <w:sz w:val="21"/>
                      <w:szCs w:val="21"/>
                    </w:rPr>
                    <w:t>/</w:t>
                  </w:r>
                </w:p>
              </w:tc>
              <w:tc>
                <w:tcPr>
                  <w:tcW w:w="1395" w:type="dxa"/>
                  <w:vAlign w:val="center"/>
                </w:tcPr>
                <w:p w14:paraId="03F20676">
                  <w:pPr>
                    <w:jc w:val="center"/>
                    <w:rPr>
                      <w:color w:val="auto"/>
                      <w:sz w:val="21"/>
                      <w:szCs w:val="21"/>
                      <w:lang w:bidi="ar"/>
                    </w:rPr>
                  </w:pPr>
                  <w:r>
                    <w:rPr>
                      <w:color w:val="auto"/>
                      <w:sz w:val="21"/>
                      <w:szCs w:val="21"/>
                      <w:lang w:bidi="ar"/>
                    </w:rPr>
                    <w:t>/</w:t>
                  </w:r>
                </w:p>
              </w:tc>
              <w:tc>
                <w:tcPr>
                  <w:tcW w:w="1080" w:type="dxa"/>
                  <w:vAlign w:val="center"/>
                </w:tcPr>
                <w:p w14:paraId="3EC3669A">
                  <w:pPr>
                    <w:jc w:val="center"/>
                    <w:rPr>
                      <w:color w:val="auto"/>
                      <w:sz w:val="21"/>
                      <w:szCs w:val="21"/>
                      <w:lang w:bidi="ar"/>
                    </w:rPr>
                  </w:pPr>
                  <w:r>
                    <w:rPr>
                      <w:color w:val="auto"/>
                      <w:sz w:val="21"/>
                      <w:szCs w:val="21"/>
                      <w:lang w:bidi="ar"/>
                    </w:rPr>
                    <w:t>生活</w:t>
                  </w:r>
                </w:p>
              </w:tc>
              <w:tc>
                <w:tcPr>
                  <w:tcW w:w="730" w:type="dxa"/>
                  <w:vAlign w:val="center"/>
                </w:tcPr>
                <w:p w14:paraId="7D67323F">
                  <w:pPr>
                    <w:jc w:val="center"/>
                    <w:rPr>
                      <w:color w:val="auto"/>
                      <w:sz w:val="21"/>
                      <w:szCs w:val="21"/>
                      <w:lang w:bidi="ar"/>
                    </w:rPr>
                  </w:pPr>
                  <w:r>
                    <w:rPr>
                      <w:color w:val="auto"/>
                      <w:sz w:val="21"/>
                      <w:szCs w:val="21"/>
                      <w:lang w:bidi="ar"/>
                    </w:rPr>
                    <w:t>固态</w:t>
                  </w:r>
                </w:p>
              </w:tc>
              <w:tc>
                <w:tcPr>
                  <w:tcW w:w="1020" w:type="dxa"/>
                  <w:vAlign w:val="center"/>
                </w:tcPr>
                <w:p w14:paraId="3CC88FE9">
                  <w:pPr>
                    <w:jc w:val="center"/>
                    <w:rPr>
                      <w:color w:val="auto"/>
                      <w:sz w:val="21"/>
                      <w:szCs w:val="21"/>
                    </w:rPr>
                  </w:pPr>
                  <w:r>
                    <w:rPr>
                      <w:rFonts w:hint="eastAsia"/>
                      <w:color w:val="auto"/>
                      <w:sz w:val="21"/>
                      <w:szCs w:val="21"/>
                      <w:lang w:val="en-US" w:eastAsia="zh-CN" w:bidi="ar"/>
                    </w:rPr>
                    <w:t>12</w:t>
                  </w:r>
                  <w:r>
                    <w:rPr>
                      <w:color w:val="auto"/>
                      <w:sz w:val="21"/>
                      <w:szCs w:val="21"/>
                      <w:lang w:bidi="ar"/>
                    </w:rPr>
                    <w:t>t/a</w:t>
                  </w:r>
                </w:p>
              </w:tc>
              <w:tc>
                <w:tcPr>
                  <w:tcW w:w="1120" w:type="dxa"/>
                  <w:vAlign w:val="center"/>
                </w:tcPr>
                <w:p w14:paraId="3D2EB3FA">
                  <w:pPr>
                    <w:jc w:val="center"/>
                    <w:rPr>
                      <w:color w:val="auto"/>
                      <w:sz w:val="21"/>
                      <w:szCs w:val="21"/>
                    </w:rPr>
                  </w:pPr>
                  <w:r>
                    <w:rPr>
                      <w:color w:val="auto"/>
                      <w:sz w:val="21"/>
                      <w:szCs w:val="21"/>
                      <w:lang w:bidi="ar"/>
                    </w:rPr>
                    <w:t>环卫部门清运</w:t>
                  </w:r>
                </w:p>
              </w:tc>
              <w:tc>
                <w:tcPr>
                  <w:tcW w:w="828" w:type="dxa"/>
                  <w:vAlign w:val="center"/>
                </w:tcPr>
                <w:p w14:paraId="334672E7">
                  <w:pPr>
                    <w:jc w:val="center"/>
                    <w:rPr>
                      <w:color w:val="auto"/>
                      <w:sz w:val="21"/>
                      <w:szCs w:val="21"/>
                      <w:lang w:bidi="ar"/>
                    </w:rPr>
                  </w:pPr>
                  <w:r>
                    <w:rPr>
                      <w:color w:val="auto"/>
                      <w:sz w:val="21"/>
                      <w:szCs w:val="21"/>
                      <w:lang w:bidi="ar"/>
                    </w:rPr>
                    <w:t>0</w:t>
                  </w:r>
                </w:p>
              </w:tc>
            </w:tr>
            <w:tr w14:paraId="0288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77C05B5A">
                  <w:pPr>
                    <w:jc w:val="center"/>
                    <w:outlineLvl w:val="0"/>
                    <w:rPr>
                      <w:color w:val="auto"/>
                      <w:sz w:val="21"/>
                      <w:szCs w:val="21"/>
                    </w:rPr>
                  </w:pPr>
                  <w:r>
                    <w:rPr>
                      <w:rFonts w:hint="eastAsia"/>
                      <w:color w:val="auto"/>
                      <w:sz w:val="21"/>
                      <w:szCs w:val="21"/>
                    </w:rPr>
                    <w:t>废边角料</w:t>
                  </w:r>
                </w:p>
              </w:tc>
              <w:tc>
                <w:tcPr>
                  <w:tcW w:w="725" w:type="dxa"/>
                  <w:vAlign w:val="center"/>
                </w:tcPr>
                <w:p w14:paraId="35D24275">
                  <w:pPr>
                    <w:jc w:val="center"/>
                    <w:rPr>
                      <w:color w:val="auto"/>
                      <w:sz w:val="21"/>
                      <w:szCs w:val="21"/>
                      <w:lang w:bidi="ar"/>
                    </w:rPr>
                  </w:pPr>
                  <w:r>
                    <w:rPr>
                      <w:rFonts w:hint="eastAsia"/>
                      <w:color w:val="auto"/>
                      <w:sz w:val="21"/>
                      <w:szCs w:val="21"/>
                      <w:lang w:bidi="ar"/>
                    </w:rPr>
                    <w:t>一般固废</w:t>
                  </w:r>
                </w:p>
              </w:tc>
              <w:tc>
                <w:tcPr>
                  <w:tcW w:w="1395" w:type="dxa"/>
                  <w:vAlign w:val="center"/>
                </w:tcPr>
                <w:p w14:paraId="598EC72D">
                  <w:pPr>
                    <w:jc w:val="center"/>
                    <w:rPr>
                      <w:rFonts w:hint="eastAsia" w:eastAsia="宋体"/>
                      <w:color w:val="auto"/>
                      <w:sz w:val="21"/>
                      <w:szCs w:val="21"/>
                      <w:lang w:eastAsia="zh-CN" w:bidi="ar"/>
                    </w:rPr>
                  </w:pPr>
                  <w:r>
                    <w:rPr>
                      <w:rFonts w:hint="eastAsia"/>
                      <w:color w:val="auto"/>
                      <w:sz w:val="21"/>
                      <w:szCs w:val="21"/>
                      <w:lang w:bidi="ar"/>
                    </w:rPr>
                    <w:t>SW17</w:t>
                  </w:r>
                  <w:r>
                    <w:rPr>
                      <w:rFonts w:hint="eastAsia"/>
                      <w:color w:val="auto"/>
                      <w:sz w:val="21"/>
                      <w:szCs w:val="21"/>
                      <w:lang w:eastAsia="zh-CN" w:bidi="ar"/>
                    </w:rPr>
                    <w:t>；900-0</w:t>
                  </w:r>
                  <w:r>
                    <w:rPr>
                      <w:rFonts w:hint="eastAsia"/>
                      <w:color w:val="auto"/>
                      <w:sz w:val="21"/>
                      <w:szCs w:val="21"/>
                      <w:lang w:val="en-US" w:eastAsia="zh-CN" w:bidi="ar"/>
                    </w:rPr>
                    <w:t>0</w:t>
                  </w:r>
                  <w:r>
                    <w:rPr>
                      <w:rFonts w:hint="eastAsia"/>
                      <w:color w:val="auto"/>
                      <w:sz w:val="21"/>
                      <w:szCs w:val="21"/>
                      <w:lang w:eastAsia="zh-CN" w:bidi="ar"/>
                    </w:rPr>
                    <w:t>9-S17</w:t>
                  </w:r>
                </w:p>
              </w:tc>
              <w:tc>
                <w:tcPr>
                  <w:tcW w:w="1080" w:type="dxa"/>
                  <w:vAlign w:val="center"/>
                </w:tcPr>
                <w:p w14:paraId="7C05C9D7">
                  <w:pPr>
                    <w:jc w:val="center"/>
                    <w:rPr>
                      <w:color w:val="auto"/>
                      <w:sz w:val="21"/>
                      <w:szCs w:val="21"/>
                      <w:lang w:bidi="ar"/>
                    </w:rPr>
                  </w:pPr>
                  <w:r>
                    <w:rPr>
                      <w:rFonts w:hint="eastAsia"/>
                      <w:color w:val="auto"/>
                      <w:sz w:val="21"/>
                      <w:szCs w:val="21"/>
                      <w:lang w:bidi="ar"/>
                    </w:rPr>
                    <w:t>生产</w:t>
                  </w:r>
                </w:p>
              </w:tc>
              <w:tc>
                <w:tcPr>
                  <w:tcW w:w="730" w:type="dxa"/>
                  <w:vAlign w:val="center"/>
                </w:tcPr>
                <w:p w14:paraId="27B1A9E1">
                  <w:pPr>
                    <w:jc w:val="center"/>
                    <w:rPr>
                      <w:color w:val="auto"/>
                      <w:sz w:val="21"/>
                      <w:szCs w:val="21"/>
                      <w:lang w:bidi="ar"/>
                    </w:rPr>
                  </w:pPr>
                  <w:r>
                    <w:rPr>
                      <w:color w:val="auto"/>
                      <w:sz w:val="21"/>
                      <w:szCs w:val="21"/>
                      <w:lang w:bidi="ar"/>
                    </w:rPr>
                    <w:t>固态</w:t>
                  </w:r>
                </w:p>
              </w:tc>
              <w:tc>
                <w:tcPr>
                  <w:tcW w:w="1020" w:type="dxa"/>
                  <w:vAlign w:val="center"/>
                </w:tcPr>
                <w:p w14:paraId="3283EF1C">
                  <w:pPr>
                    <w:jc w:val="center"/>
                    <w:rPr>
                      <w:color w:val="auto"/>
                      <w:sz w:val="21"/>
                      <w:szCs w:val="21"/>
                      <w:lang w:bidi="ar"/>
                    </w:rPr>
                  </w:pPr>
                  <w:r>
                    <w:rPr>
                      <w:rFonts w:hint="eastAsia"/>
                      <w:color w:val="auto"/>
                      <w:sz w:val="21"/>
                      <w:szCs w:val="21"/>
                      <w:lang w:bidi="ar"/>
                    </w:rPr>
                    <w:t>3.4</w:t>
                  </w:r>
                  <w:r>
                    <w:rPr>
                      <w:color w:val="auto"/>
                      <w:sz w:val="21"/>
                      <w:szCs w:val="21"/>
                      <w:lang w:bidi="ar"/>
                    </w:rPr>
                    <w:t>t/a</w:t>
                  </w:r>
                </w:p>
              </w:tc>
              <w:tc>
                <w:tcPr>
                  <w:tcW w:w="1120" w:type="dxa"/>
                  <w:vAlign w:val="center"/>
                </w:tcPr>
                <w:p w14:paraId="06632372">
                  <w:pPr>
                    <w:jc w:val="center"/>
                    <w:rPr>
                      <w:rFonts w:hint="default" w:eastAsia="宋体"/>
                      <w:color w:val="auto"/>
                      <w:sz w:val="21"/>
                      <w:szCs w:val="21"/>
                      <w:lang w:val="en-US" w:eastAsia="zh-CN" w:bidi="ar"/>
                    </w:rPr>
                  </w:pPr>
                  <w:r>
                    <w:rPr>
                      <w:rFonts w:hint="eastAsia"/>
                      <w:color w:val="auto"/>
                      <w:sz w:val="21"/>
                      <w:szCs w:val="21"/>
                      <w:lang w:val="en-US" w:eastAsia="zh-CN" w:bidi="ar"/>
                    </w:rPr>
                    <w:t>外售</w:t>
                  </w:r>
                </w:p>
              </w:tc>
              <w:tc>
                <w:tcPr>
                  <w:tcW w:w="828" w:type="dxa"/>
                  <w:vAlign w:val="center"/>
                </w:tcPr>
                <w:p w14:paraId="0ED38C2B">
                  <w:pPr>
                    <w:jc w:val="center"/>
                    <w:rPr>
                      <w:color w:val="auto"/>
                      <w:sz w:val="21"/>
                      <w:szCs w:val="21"/>
                      <w:lang w:bidi="ar"/>
                    </w:rPr>
                  </w:pPr>
                  <w:r>
                    <w:rPr>
                      <w:color w:val="auto"/>
                      <w:sz w:val="21"/>
                      <w:szCs w:val="21"/>
                      <w:lang w:bidi="ar"/>
                    </w:rPr>
                    <w:t>0</w:t>
                  </w:r>
                </w:p>
              </w:tc>
            </w:tr>
            <w:tr w14:paraId="1955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shd w:val="clear" w:color="auto" w:fill="auto"/>
                  <w:vAlign w:val="center"/>
                </w:tcPr>
                <w:p w14:paraId="2468A6CA">
                  <w:pPr>
                    <w:jc w:val="center"/>
                    <w:outlineLvl w:val="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收集的粉尘</w:t>
                  </w:r>
                </w:p>
              </w:tc>
              <w:tc>
                <w:tcPr>
                  <w:tcW w:w="725" w:type="dxa"/>
                  <w:shd w:val="clear" w:color="auto" w:fill="auto"/>
                  <w:vAlign w:val="center"/>
                </w:tcPr>
                <w:p w14:paraId="40B35EBE">
                  <w:pPr>
                    <w:jc w:val="center"/>
                    <w:rPr>
                      <w:rFonts w:ascii="Times New Roman" w:hAnsi="Times New Roman" w:eastAsia="宋体" w:cs="Times New Roman"/>
                      <w:color w:val="auto"/>
                      <w:kern w:val="2"/>
                      <w:sz w:val="21"/>
                      <w:szCs w:val="21"/>
                      <w:lang w:val="en-US" w:eastAsia="zh-CN" w:bidi="ar"/>
                    </w:rPr>
                  </w:pPr>
                  <w:r>
                    <w:rPr>
                      <w:rFonts w:hint="eastAsia"/>
                      <w:color w:val="auto"/>
                      <w:sz w:val="21"/>
                      <w:szCs w:val="21"/>
                      <w:lang w:bidi="ar"/>
                    </w:rPr>
                    <w:t>一般固废</w:t>
                  </w:r>
                </w:p>
              </w:tc>
              <w:tc>
                <w:tcPr>
                  <w:tcW w:w="1395" w:type="dxa"/>
                  <w:shd w:val="clear" w:color="auto" w:fill="auto"/>
                  <w:vAlign w:val="center"/>
                </w:tcPr>
                <w:p w14:paraId="5ACEFCF4">
                  <w:pPr>
                    <w:jc w:val="center"/>
                    <w:rPr>
                      <w:rFonts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SW59</w:t>
                  </w:r>
                  <w:r>
                    <w:rPr>
                      <w:rFonts w:hint="eastAsia" w:cs="Times New Roman"/>
                      <w:color w:val="auto"/>
                      <w:kern w:val="2"/>
                      <w:sz w:val="21"/>
                      <w:szCs w:val="21"/>
                      <w:lang w:val="en-US" w:eastAsia="zh-CN" w:bidi="ar"/>
                    </w:rPr>
                    <w:t>；900-099-S59</w:t>
                  </w:r>
                </w:p>
              </w:tc>
              <w:tc>
                <w:tcPr>
                  <w:tcW w:w="1080" w:type="dxa"/>
                  <w:shd w:val="clear" w:color="auto" w:fill="auto"/>
                  <w:vAlign w:val="center"/>
                </w:tcPr>
                <w:p w14:paraId="40884759">
                  <w:pPr>
                    <w:jc w:val="center"/>
                    <w:rPr>
                      <w:rFonts w:ascii="Times New Roman" w:hAnsi="Times New Roman" w:eastAsia="宋体" w:cs="Times New Roman"/>
                      <w:color w:val="auto"/>
                      <w:kern w:val="2"/>
                      <w:sz w:val="21"/>
                      <w:szCs w:val="21"/>
                      <w:lang w:val="en-US" w:eastAsia="zh-CN" w:bidi="ar"/>
                    </w:rPr>
                  </w:pPr>
                  <w:r>
                    <w:rPr>
                      <w:rFonts w:hint="eastAsia"/>
                      <w:color w:val="auto"/>
                      <w:sz w:val="21"/>
                      <w:szCs w:val="21"/>
                      <w:lang w:bidi="ar"/>
                    </w:rPr>
                    <w:t>废气处理</w:t>
                  </w:r>
                </w:p>
              </w:tc>
              <w:tc>
                <w:tcPr>
                  <w:tcW w:w="730" w:type="dxa"/>
                  <w:shd w:val="clear" w:color="auto" w:fill="auto"/>
                  <w:vAlign w:val="center"/>
                </w:tcPr>
                <w:p w14:paraId="747E9255">
                  <w:pPr>
                    <w:jc w:val="center"/>
                    <w:rPr>
                      <w:rFonts w:ascii="Times New Roman" w:hAnsi="Times New Roman" w:eastAsia="宋体" w:cs="Times New Roman"/>
                      <w:color w:val="auto"/>
                      <w:kern w:val="2"/>
                      <w:sz w:val="21"/>
                      <w:szCs w:val="21"/>
                      <w:lang w:val="en-US" w:eastAsia="zh-CN" w:bidi="ar"/>
                    </w:rPr>
                  </w:pPr>
                  <w:r>
                    <w:rPr>
                      <w:color w:val="auto"/>
                      <w:sz w:val="21"/>
                      <w:szCs w:val="21"/>
                      <w:lang w:bidi="ar"/>
                    </w:rPr>
                    <w:t>固态</w:t>
                  </w:r>
                </w:p>
              </w:tc>
              <w:tc>
                <w:tcPr>
                  <w:tcW w:w="1020" w:type="dxa"/>
                  <w:shd w:val="clear" w:color="auto" w:fill="auto"/>
                  <w:vAlign w:val="center"/>
                </w:tcPr>
                <w:p w14:paraId="6728493E">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32.8779t/a</w:t>
                  </w:r>
                </w:p>
              </w:tc>
              <w:tc>
                <w:tcPr>
                  <w:tcW w:w="1120" w:type="dxa"/>
                  <w:shd w:val="clear" w:color="auto" w:fill="auto"/>
                  <w:vAlign w:val="center"/>
                </w:tcPr>
                <w:p w14:paraId="3EB2D98E">
                  <w:pPr>
                    <w:jc w:val="center"/>
                    <w:rPr>
                      <w:rFonts w:hint="default"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外售</w:t>
                  </w:r>
                </w:p>
              </w:tc>
              <w:tc>
                <w:tcPr>
                  <w:tcW w:w="828" w:type="dxa"/>
                  <w:shd w:val="clear" w:color="auto" w:fill="auto"/>
                  <w:vAlign w:val="center"/>
                </w:tcPr>
                <w:p w14:paraId="664D5C74">
                  <w:pPr>
                    <w:jc w:val="center"/>
                    <w:rPr>
                      <w:rFonts w:hint="eastAsia" w:ascii="Times New Roman" w:hAnsi="Times New Roman" w:eastAsia="宋体" w:cs="Times New Roman"/>
                      <w:color w:val="auto"/>
                      <w:kern w:val="2"/>
                      <w:sz w:val="21"/>
                      <w:szCs w:val="21"/>
                      <w:lang w:val="en-US" w:eastAsia="zh-CN" w:bidi="ar"/>
                    </w:rPr>
                  </w:pPr>
                  <w:r>
                    <w:rPr>
                      <w:color w:val="auto"/>
                      <w:sz w:val="21"/>
                      <w:szCs w:val="21"/>
                      <w:lang w:bidi="ar"/>
                    </w:rPr>
                    <w:t>0</w:t>
                  </w:r>
                </w:p>
              </w:tc>
            </w:tr>
            <w:tr w14:paraId="65DA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shd w:val="clear" w:color="auto" w:fill="auto"/>
                  <w:vAlign w:val="center"/>
                </w:tcPr>
                <w:p w14:paraId="12D24711">
                  <w:pPr>
                    <w:jc w:val="center"/>
                    <w:outlineLvl w:val="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废包装物</w:t>
                  </w:r>
                </w:p>
              </w:tc>
              <w:tc>
                <w:tcPr>
                  <w:tcW w:w="725" w:type="dxa"/>
                  <w:shd w:val="clear" w:color="auto" w:fill="auto"/>
                  <w:vAlign w:val="center"/>
                </w:tcPr>
                <w:p w14:paraId="318C4B34">
                  <w:pPr>
                    <w:jc w:val="center"/>
                    <w:rPr>
                      <w:rFonts w:ascii="Times New Roman" w:hAnsi="Times New Roman" w:eastAsia="宋体" w:cs="Times New Roman"/>
                      <w:color w:val="auto"/>
                      <w:kern w:val="2"/>
                      <w:sz w:val="21"/>
                      <w:szCs w:val="21"/>
                      <w:lang w:val="en-US" w:eastAsia="zh-CN" w:bidi="ar"/>
                    </w:rPr>
                  </w:pPr>
                  <w:r>
                    <w:rPr>
                      <w:rFonts w:hint="eastAsia"/>
                      <w:color w:val="auto"/>
                      <w:sz w:val="21"/>
                      <w:szCs w:val="21"/>
                      <w:lang w:bidi="ar"/>
                    </w:rPr>
                    <w:t>一般固废</w:t>
                  </w:r>
                </w:p>
              </w:tc>
              <w:tc>
                <w:tcPr>
                  <w:tcW w:w="1395" w:type="dxa"/>
                  <w:shd w:val="clear" w:color="auto" w:fill="auto"/>
                  <w:vAlign w:val="center"/>
                </w:tcPr>
                <w:p w14:paraId="1501694B">
                  <w:pPr>
                    <w:jc w:val="center"/>
                    <w:rPr>
                      <w:rFonts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SW59</w:t>
                  </w:r>
                  <w:r>
                    <w:rPr>
                      <w:rFonts w:hint="eastAsia" w:cs="Times New Roman"/>
                      <w:color w:val="auto"/>
                      <w:kern w:val="2"/>
                      <w:sz w:val="21"/>
                      <w:szCs w:val="21"/>
                      <w:lang w:val="en-US" w:eastAsia="zh-CN" w:bidi="ar"/>
                    </w:rPr>
                    <w:t>；900-099-S59</w:t>
                  </w:r>
                </w:p>
              </w:tc>
              <w:tc>
                <w:tcPr>
                  <w:tcW w:w="1080" w:type="dxa"/>
                  <w:shd w:val="clear" w:color="auto" w:fill="auto"/>
                  <w:vAlign w:val="center"/>
                </w:tcPr>
                <w:p w14:paraId="5D00048B">
                  <w:pPr>
                    <w:jc w:val="center"/>
                    <w:rPr>
                      <w:rFonts w:ascii="Times New Roman" w:hAnsi="Times New Roman" w:eastAsia="宋体" w:cs="Times New Roman"/>
                      <w:color w:val="auto"/>
                      <w:kern w:val="2"/>
                      <w:sz w:val="21"/>
                      <w:szCs w:val="21"/>
                      <w:lang w:val="en-US" w:eastAsia="zh-CN" w:bidi="ar"/>
                    </w:rPr>
                  </w:pPr>
                  <w:r>
                    <w:rPr>
                      <w:rFonts w:hint="eastAsia"/>
                      <w:color w:val="auto"/>
                      <w:sz w:val="21"/>
                      <w:szCs w:val="21"/>
                      <w:lang w:bidi="ar"/>
                    </w:rPr>
                    <w:t>生产</w:t>
                  </w:r>
                </w:p>
              </w:tc>
              <w:tc>
                <w:tcPr>
                  <w:tcW w:w="730" w:type="dxa"/>
                  <w:shd w:val="clear" w:color="auto" w:fill="auto"/>
                  <w:vAlign w:val="center"/>
                </w:tcPr>
                <w:p w14:paraId="4092EEC1">
                  <w:pPr>
                    <w:jc w:val="center"/>
                    <w:rPr>
                      <w:rFonts w:ascii="Times New Roman" w:hAnsi="Times New Roman" w:eastAsia="宋体" w:cs="Times New Roman"/>
                      <w:color w:val="auto"/>
                      <w:kern w:val="2"/>
                      <w:sz w:val="21"/>
                      <w:szCs w:val="21"/>
                      <w:lang w:val="en-US" w:eastAsia="zh-CN" w:bidi="ar"/>
                    </w:rPr>
                  </w:pPr>
                  <w:r>
                    <w:rPr>
                      <w:color w:val="auto"/>
                      <w:sz w:val="21"/>
                      <w:szCs w:val="21"/>
                      <w:lang w:bidi="ar"/>
                    </w:rPr>
                    <w:t>固态</w:t>
                  </w:r>
                </w:p>
              </w:tc>
              <w:tc>
                <w:tcPr>
                  <w:tcW w:w="1020" w:type="dxa"/>
                  <w:shd w:val="clear" w:color="auto" w:fill="auto"/>
                  <w:vAlign w:val="center"/>
                </w:tcPr>
                <w:p w14:paraId="5DCC557C">
                  <w:pPr>
                    <w:jc w:val="center"/>
                    <w:rPr>
                      <w:rFonts w:hint="default"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0.2</w:t>
                  </w:r>
                  <w:r>
                    <w:rPr>
                      <w:color w:val="auto"/>
                      <w:sz w:val="21"/>
                      <w:szCs w:val="21"/>
                      <w:lang w:bidi="ar"/>
                    </w:rPr>
                    <w:t>t/a</w:t>
                  </w:r>
                </w:p>
              </w:tc>
              <w:tc>
                <w:tcPr>
                  <w:tcW w:w="1120" w:type="dxa"/>
                  <w:shd w:val="clear" w:color="auto" w:fill="auto"/>
                  <w:vAlign w:val="center"/>
                </w:tcPr>
                <w:p w14:paraId="68F07D67">
                  <w:pPr>
                    <w:jc w:val="center"/>
                    <w:rPr>
                      <w:rFonts w:hint="default"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外售</w:t>
                  </w:r>
                </w:p>
              </w:tc>
              <w:tc>
                <w:tcPr>
                  <w:tcW w:w="828" w:type="dxa"/>
                  <w:shd w:val="clear" w:color="auto" w:fill="auto"/>
                  <w:vAlign w:val="center"/>
                </w:tcPr>
                <w:p w14:paraId="21BB575B">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0</w:t>
                  </w:r>
                </w:p>
              </w:tc>
            </w:tr>
            <w:tr w14:paraId="7D1C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shd w:val="clear" w:color="auto" w:fill="auto"/>
                  <w:vAlign w:val="center"/>
                </w:tcPr>
                <w:p w14:paraId="7A0A3070">
                  <w:pPr>
                    <w:jc w:val="center"/>
                    <w:rPr>
                      <w:rFonts w:hint="eastAsia" w:ascii="Times New Roman" w:hAnsi="Times New Roman" w:eastAsia="宋体" w:cs="Times New Roman"/>
                      <w:color w:val="auto"/>
                      <w:kern w:val="2"/>
                      <w:sz w:val="21"/>
                      <w:szCs w:val="21"/>
                      <w:lang w:val="en-US" w:eastAsia="zh-CN" w:bidi="ar"/>
                    </w:rPr>
                  </w:pPr>
                  <w:r>
                    <w:rPr>
                      <w:rFonts w:hint="eastAsia"/>
                      <w:color w:val="000000"/>
                      <w:sz w:val="21"/>
                      <w:szCs w:val="21"/>
                      <w:lang w:bidi="ar"/>
                    </w:rPr>
                    <w:t>废润滑油</w:t>
                  </w:r>
                </w:p>
              </w:tc>
              <w:tc>
                <w:tcPr>
                  <w:tcW w:w="725" w:type="dxa"/>
                  <w:shd w:val="clear" w:color="auto" w:fill="auto"/>
                  <w:vAlign w:val="center"/>
                </w:tcPr>
                <w:p w14:paraId="01E83CBB">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bidi="ar"/>
                    </w:rPr>
                    <w:t>危险废物</w:t>
                  </w:r>
                </w:p>
              </w:tc>
              <w:tc>
                <w:tcPr>
                  <w:tcW w:w="1395" w:type="dxa"/>
                  <w:shd w:val="clear" w:color="auto" w:fill="auto"/>
                  <w:vAlign w:val="center"/>
                </w:tcPr>
                <w:p w14:paraId="58EBF7E4">
                  <w:pPr>
                    <w:jc w:val="center"/>
                    <w:rPr>
                      <w:rFonts w:hint="eastAsia" w:ascii="Times New Roman" w:hAnsi="Times New Roman" w:eastAsia="宋体" w:cs="Times New Roman"/>
                      <w:color w:val="auto"/>
                      <w:kern w:val="2"/>
                      <w:sz w:val="21"/>
                      <w:szCs w:val="21"/>
                      <w:lang w:val="en-US" w:eastAsia="zh-CN" w:bidi="ar"/>
                    </w:rPr>
                  </w:pPr>
                  <w:r>
                    <w:rPr>
                      <w:sz w:val="21"/>
                      <w:szCs w:val="21"/>
                      <w:lang w:bidi="ar"/>
                    </w:rPr>
                    <w:t>HW08</w:t>
                  </w:r>
                  <w:r>
                    <w:rPr>
                      <w:rFonts w:hint="eastAsia"/>
                      <w:color w:val="auto"/>
                      <w:sz w:val="21"/>
                      <w:szCs w:val="21"/>
                      <w:lang w:bidi="ar"/>
                    </w:rPr>
                    <w:t>；</w:t>
                  </w:r>
                  <w:r>
                    <w:rPr>
                      <w:sz w:val="21"/>
                      <w:szCs w:val="21"/>
                      <w:lang w:bidi="ar"/>
                    </w:rPr>
                    <w:t>900-214-08</w:t>
                  </w:r>
                </w:p>
              </w:tc>
              <w:tc>
                <w:tcPr>
                  <w:tcW w:w="1080" w:type="dxa"/>
                  <w:shd w:val="clear" w:color="auto" w:fill="auto"/>
                  <w:vAlign w:val="center"/>
                </w:tcPr>
                <w:p w14:paraId="6AA1F609">
                  <w:pPr>
                    <w:jc w:val="center"/>
                    <w:rPr>
                      <w:rFonts w:hint="eastAsia" w:ascii="Times New Roman" w:hAnsi="Times New Roman" w:eastAsia="宋体" w:cs="Times New Roman"/>
                      <w:color w:val="auto"/>
                      <w:kern w:val="2"/>
                      <w:sz w:val="21"/>
                      <w:szCs w:val="21"/>
                      <w:lang w:val="en-US" w:eastAsia="zh-CN" w:bidi="ar"/>
                    </w:rPr>
                  </w:pPr>
                  <w:r>
                    <w:rPr>
                      <w:rFonts w:hint="eastAsia"/>
                      <w:sz w:val="21"/>
                      <w:szCs w:val="21"/>
                      <w:lang w:bidi="ar"/>
                    </w:rPr>
                    <w:t>维护，维修</w:t>
                  </w:r>
                </w:p>
              </w:tc>
              <w:tc>
                <w:tcPr>
                  <w:tcW w:w="730" w:type="dxa"/>
                  <w:shd w:val="clear" w:color="auto" w:fill="auto"/>
                  <w:vAlign w:val="center"/>
                </w:tcPr>
                <w:p w14:paraId="1A67D23C">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液态</w:t>
                  </w:r>
                </w:p>
              </w:tc>
              <w:tc>
                <w:tcPr>
                  <w:tcW w:w="1020" w:type="dxa"/>
                  <w:shd w:val="clear" w:color="auto" w:fill="auto"/>
                  <w:vAlign w:val="center"/>
                </w:tcPr>
                <w:p w14:paraId="34B8B22E">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0.1</w:t>
                  </w:r>
                  <w:r>
                    <w:rPr>
                      <w:rFonts w:hint="eastAsia"/>
                      <w:color w:val="auto"/>
                      <w:sz w:val="21"/>
                      <w:szCs w:val="21"/>
                      <w:lang w:bidi="ar"/>
                    </w:rPr>
                    <w:t>t/a</w:t>
                  </w:r>
                </w:p>
              </w:tc>
              <w:tc>
                <w:tcPr>
                  <w:tcW w:w="1120" w:type="dxa"/>
                  <w:shd w:val="clear" w:color="auto" w:fill="auto"/>
                  <w:vAlign w:val="center"/>
                </w:tcPr>
                <w:p w14:paraId="785739B2">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bidi="ar"/>
                    </w:rPr>
                    <w:t>委托有资质单位处理</w:t>
                  </w:r>
                </w:p>
              </w:tc>
              <w:tc>
                <w:tcPr>
                  <w:tcW w:w="828" w:type="dxa"/>
                  <w:shd w:val="clear" w:color="auto" w:fill="auto"/>
                  <w:vAlign w:val="center"/>
                </w:tcPr>
                <w:p w14:paraId="7F3C3217">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bidi="ar"/>
                    </w:rPr>
                    <w:t>0</w:t>
                  </w:r>
                </w:p>
              </w:tc>
            </w:tr>
            <w:tr w14:paraId="28FC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shd w:val="clear" w:color="auto" w:fill="auto"/>
                  <w:vAlign w:val="center"/>
                </w:tcPr>
                <w:p w14:paraId="0E95B43D">
                  <w:pPr>
                    <w:jc w:val="center"/>
                    <w:rPr>
                      <w:rFonts w:hint="eastAsia" w:ascii="Times New Roman" w:hAnsi="Times New Roman" w:eastAsia="宋体" w:cs="Times New Roman"/>
                      <w:color w:val="000000"/>
                      <w:kern w:val="2"/>
                      <w:sz w:val="21"/>
                      <w:szCs w:val="21"/>
                      <w:lang w:val="en-US" w:eastAsia="zh-CN" w:bidi="ar"/>
                    </w:rPr>
                  </w:pPr>
                  <w:r>
                    <w:rPr>
                      <w:rFonts w:hint="eastAsia"/>
                      <w:color w:val="000000"/>
                      <w:sz w:val="21"/>
                      <w:szCs w:val="21"/>
                      <w:lang w:bidi="ar"/>
                    </w:rPr>
                    <w:t>废润滑油桶</w:t>
                  </w:r>
                </w:p>
              </w:tc>
              <w:tc>
                <w:tcPr>
                  <w:tcW w:w="725" w:type="dxa"/>
                  <w:shd w:val="clear" w:color="auto" w:fill="auto"/>
                  <w:vAlign w:val="center"/>
                </w:tcPr>
                <w:p w14:paraId="03DCCE88">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bidi="ar"/>
                    </w:rPr>
                    <w:t>危险废物</w:t>
                  </w:r>
                </w:p>
              </w:tc>
              <w:tc>
                <w:tcPr>
                  <w:tcW w:w="1395" w:type="dxa"/>
                  <w:shd w:val="clear" w:color="auto" w:fill="auto"/>
                  <w:vAlign w:val="center"/>
                </w:tcPr>
                <w:p w14:paraId="66574D0B">
                  <w:pPr>
                    <w:jc w:val="center"/>
                    <w:rPr>
                      <w:rFonts w:hint="eastAsia" w:ascii="Times New Roman" w:hAnsi="Times New Roman" w:eastAsia="宋体" w:cs="Times New Roman"/>
                      <w:color w:val="auto"/>
                      <w:kern w:val="2"/>
                      <w:sz w:val="21"/>
                      <w:szCs w:val="21"/>
                      <w:lang w:val="en-US" w:eastAsia="zh-CN" w:bidi="ar"/>
                    </w:rPr>
                  </w:pPr>
                  <w:r>
                    <w:rPr>
                      <w:color w:val="auto"/>
                      <w:sz w:val="21"/>
                      <w:szCs w:val="21"/>
                    </w:rPr>
                    <w:t>HW</w:t>
                  </w:r>
                  <w:r>
                    <w:rPr>
                      <w:rFonts w:hint="eastAsia"/>
                      <w:color w:val="auto"/>
                      <w:sz w:val="21"/>
                      <w:szCs w:val="21"/>
                      <w:lang w:val="en-US" w:eastAsia="zh-CN"/>
                    </w:rPr>
                    <w:t>08</w:t>
                  </w:r>
                  <w:r>
                    <w:rPr>
                      <w:rFonts w:hint="eastAsia"/>
                      <w:color w:val="auto"/>
                      <w:sz w:val="21"/>
                      <w:szCs w:val="21"/>
                      <w:lang w:bidi="ar"/>
                    </w:rPr>
                    <w:t>；</w:t>
                  </w:r>
                  <w:r>
                    <w:rPr>
                      <w:color w:val="auto"/>
                      <w:sz w:val="21"/>
                      <w:szCs w:val="21"/>
                    </w:rPr>
                    <w:t>900-</w:t>
                  </w:r>
                  <w:r>
                    <w:rPr>
                      <w:rFonts w:hint="eastAsia"/>
                      <w:color w:val="auto"/>
                      <w:sz w:val="21"/>
                      <w:szCs w:val="21"/>
                      <w:lang w:val="en-US" w:eastAsia="zh-CN"/>
                    </w:rPr>
                    <w:t>249-08</w:t>
                  </w:r>
                </w:p>
              </w:tc>
              <w:tc>
                <w:tcPr>
                  <w:tcW w:w="1080" w:type="dxa"/>
                  <w:shd w:val="clear" w:color="auto" w:fill="auto"/>
                  <w:vAlign w:val="center"/>
                </w:tcPr>
                <w:p w14:paraId="3C88282E">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bidi="ar"/>
                    </w:rPr>
                    <w:t>维护，维修</w:t>
                  </w:r>
                </w:p>
              </w:tc>
              <w:tc>
                <w:tcPr>
                  <w:tcW w:w="730" w:type="dxa"/>
                  <w:shd w:val="clear" w:color="auto" w:fill="auto"/>
                  <w:vAlign w:val="center"/>
                </w:tcPr>
                <w:p w14:paraId="0BDE540D">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bidi="ar"/>
                    </w:rPr>
                    <w:t>固态</w:t>
                  </w:r>
                </w:p>
              </w:tc>
              <w:tc>
                <w:tcPr>
                  <w:tcW w:w="1020" w:type="dxa"/>
                  <w:shd w:val="clear" w:color="auto" w:fill="auto"/>
                  <w:vAlign w:val="center"/>
                </w:tcPr>
                <w:p w14:paraId="3712997C">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0.02</w:t>
                  </w:r>
                  <w:r>
                    <w:rPr>
                      <w:rFonts w:hint="eastAsia"/>
                      <w:color w:val="auto"/>
                      <w:sz w:val="21"/>
                      <w:szCs w:val="21"/>
                      <w:lang w:bidi="ar"/>
                    </w:rPr>
                    <w:t>t/a</w:t>
                  </w:r>
                </w:p>
              </w:tc>
              <w:tc>
                <w:tcPr>
                  <w:tcW w:w="1120" w:type="dxa"/>
                  <w:shd w:val="clear" w:color="auto" w:fill="auto"/>
                  <w:vAlign w:val="center"/>
                </w:tcPr>
                <w:p w14:paraId="74390AA0">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原厂家回收</w:t>
                  </w:r>
                </w:p>
              </w:tc>
              <w:tc>
                <w:tcPr>
                  <w:tcW w:w="828" w:type="dxa"/>
                  <w:shd w:val="clear" w:color="auto" w:fill="auto"/>
                  <w:vAlign w:val="center"/>
                </w:tcPr>
                <w:p w14:paraId="61170C4F">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bidi="ar"/>
                    </w:rPr>
                    <w:t>0</w:t>
                  </w:r>
                </w:p>
              </w:tc>
            </w:tr>
          </w:tbl>
          <w:p w14:paraId="036CAFA7">
            <w:pPr>
              <w:widowControl/>
              <w:wordWrap w:val="0"/>
              <w:adjustRightInd w:val="0"/>
              <w:snapToGrid w:val="0"/>
              <w:spacing w:before="120" w:beforeLines="50" w:line="360" w:lineRule="auto"/>
              <w:rPr>
                <w:b/>
                <w:bCs/>
                <w:color w:val="auto"/>
                <w:kern w:val="0"/>
                <w:lang w:bidi="ar"/>
              </w:rPr>
            </w:pPr>
            <w:r>
              <w:rPr>
                <w:b/>
                <w:bCs/>
                <w:color w:val="auto"/>
                <w:kern w:val="0"/>
                <w:lang w:bidi="ar"/>
              </w:rPr>
              <w:t>环境管理要求：</w:t>
            </w:r>
          </w:p>
          <w:p w14:paraId="6FF87615">
            <w:pPr>
              <w:widowControl/>
              <w:wordWrap w:val="0"/>
              <w:spacing w:line="360" w:lineRule="auto"/>
              <w:ind w:firstLine="480" w:firstLineChars="200"/>
              <w:jc w:val="left"/>
              <w:rPr>
                <w:color w:val="auto"/>
                <w:kern w:val="0"/>
                <w:lang w:bidi="ar"/>
              </w:rPr>
            </w:pPr>
            <w:r>
              <w:rPr>
                <w:color w:val="auto"/>
                <w:kern w:val="0"/>
                <w:lang w:bidi="ar"/>
              </w:rPr>
              <w:t>项目一般固体废物</w:t>
            </w:r>
            <w:r>
              <w:rPr>
                <w:rFonts w:hint="eastAsia"/>
                <w:color w:val="auto"/>
                <w:kern w:val="0"/>
                <w:lang w:val="en-US" w:eastAsia="zh-CN" w:bidi="ar"/>
              </w:rPr>
              <w:t>暂存于</w:t>
            </w:r>
            <w:r>
              <w:rPr>
                <w:color w:val="auto"/>
                <w:kern w:val="0"/>
                <w:lang w:bidi="ar"/>
              </w:rPr>
              <w:t>一般固废暂存间</w:t>
            </w:r>
            <w:r>
              <w:rPr>
                <w:rFonts w:hint="eastAsia" w:cs="Times New Roman"/>
                <w:color w:val="auto"/>
                <w:kern w:val="0"/>
                <w:lang w:val="en-US" w:eastAsia="zh-CN" w:bidi="ar"/>
              </w:rPr>
              <w:t>（</w:t>
            </w:r>
            <w:r>
              <w:rPr>
                <w:color w:val="auto"/>
                <w:kern w:val="0"/>
                <w:lang w:bidi="ar"/>
              </w:rPr>
              <w:t>一般固废暂存间</w:t>
            </w:r>
            <w:r>
              <w:rPr>
                <w:rFonts w:hint="eastAsia" w:cs="Times New Roman"/>
                <w:color w:val="auto"/>
                <w:kern w:val="0"/>
                <w:lang w:val="en-US" w:eastAsia="zh-CN" w:bidi="ar"/>
              </w:rPr>
              <w:t>位于1#生产厂房内东北部，建筑面积为30平方米）</w:t>
            </w:r>
            <w:r>
              <w:rPr>
                <w:color w:val="auto"/>
                <w:kern w:val="0"/>
                <w:lang w:bidi="ar"/>
              </w:rPr>
              <w:t>，暂存场地的设置应符合</w:t>
            </w:r>
            <w:r>
              <w:rPr>
                <w:color w:val="auto"/>
              </w:rPr>
              <w:t>《一般工业固体废物贮存和填埋污染控制标准》（GB18599-2020）</w:t>
            </w:r>
            <w:r>
              <w:rPr>
                <w:color w:val="auto"/>
                <w:kern w:val="0"/>
                <w:lang w:bidi="ar"/>
              </w:rPr>
              <w:t>中的规定。一般固废暂存间设置要求做到以下几点：</w:t>
            </w:r>
          </w:p>
          <w:p w14:paraId="237625FA">
            <w:pPr>
              <w:widowControl/>
              <w:wordWrap w:val="0"/>
              <w:spacing w:line="360" w:lineRule="auto"/>
              <w:ind w:firstLine="480" w:firstLineChars="200"/>
              <w:jc w:val="left"/>
              <w:rPr>
                <w:color w:val="auto"/>
                <w:kern w:val="0"/>
                <w:lang w:bidi="ar"/>
              </w:rPr>
            </w:pPr>
            <w:r>
              <w:rPr>
                <w:color w:val="auto"/>
                <w:kern w:val="0"/>
                <w:lang w:bidi="ar"/>
              </w:rPr>
              <w:t>（1）贮存场、填埋场的环境保护图形标志应符合GB15562.2的规定，并应定期检查和维护。</w:t>
            </w:r>
          </w:p>
          <w:p w14:paraId="7A24C1CA">
            <w:pPr>
              <w:pStyle w:val="7"/>
              <w:spacing w:before="0" w:after="0" w:line="360" w:lineRule="auto"/>
              <w:ind w:firstLine="480" w:firstLineChars="200"/>
              <w:jc w:val="left"/>
              <w:rPr>
                <w:rFonts w:ascii="Times New Roman" w:hAnsi="Times New Roman" w:eastAsia="宋体"/>
                <w:b w:val="0"/>
                <w:color w:val="auto"/>
              </w:rPr>
            </w:pPr>
            <w:r>
              <w:rPr>
                <w:rFonts w:ascii="Times New Roman" w:hAnsi="Times New Roman" w:eastAsia="宋体"/>
                <w:b w:val="0"/>
                <w:color w:val="auto"/>
              </w:rPr>
              <w:t>（2）不相容的一般工业固体废物应设置不同的分区进行贮存和填埋作业。</w:t>
            </w:r>
          </w:p>
          <w:p w14:paraId="20004EB9">
            <w:pPr>
              <w:pStyle w:val="7"/>
              <w:spacing w:before="0" w:after="0" w:line="360" w:lineRule="auto"/>
              <w:ind w:firstLine="480" w:firstLineChars="200"/>
              <w:jc w:val="left"/>
              <w:rPr>
                <w:rFonts w:ascii="Times New Roman" w:hAnsi="Times New Roman" w:eastAsia="宋体"/>
                <w:color w:val="auto"/>
              </w:rPr>
            </w:pPr>
            <w:r>
              <w:rPr>
                <w:rFonts w:ascii="Times New Roman" w:hAnsi="Times New Roman" w:eastAsia="宋体"/>
                <w:b w:val="0"/>
                <w:color w:val="auto"/>
              </w:rPr>
              <w:t>（3）危险废物和生活垃圾不得进入一般工业固体废物贮存场及填埋场。</w:t>
            </w:r>
          </w:p>
          <w:p w14:paraId="34CE69BC">
            <w:pPr>
              <w:pStyle w:val="7"/>
              <w:spacing w:before="0" w:after="0" w:line="360" w:lineRule="auto"/>
              <w:ind w:firstLine="480" w:firstLineChars="200"/>
              <w:jc w:val="left"/>
              <w:rPr>
                <w:rFonts w:ascii="Times New Roman" w:hAnsi="Times New Roman" w:eastAsia="宋体"/>
                <w:b w:val="0"/>
                <w:color w:val="auto"/>
              </w:rPr>
            </w:pPr>
            <w:r>
              <w:rPr>
                <w:rFonts w:ascii="Times New Roman" w:hAnsi="Times New Roman" w:eastAsia="宋体"/>
                <w:b w:val="0"/>
                <w:color w:val="auto"/>
              </w:rPr>
              <w:t>（4）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6B2BB465">
            <w:pPr>
              <w:pStyle w:val="7"/>
              <w:spacing w:before="0" w:after="0" w:line="360" w:lineRule="auto"/>
              <w:ind w:firstLine="480" w:firstLineChars="200"/>
              <w:jc w:val="left"/>
              <w:rPr>
                <w:rFonts w:ascii="Times New Roman" w:hAnsi="Times New Roman" w:eastAsia="宋体"/>
                <w:b w:val="0"/>
                <w:color w:val="auto"/>
              </w:rPr>
            </w:pPr>
            <w:r>
              <w:rPr>
                <w:rFonts w:ascii="Times New Roman" w:hAnsi="Times New Roman" w:eastAsia="宋体"/>
                <w:b w:val="0"/>
                <w:color w:val="auto"/>
              </w:rPr>
              <w:t>（5）产生工业固体废物的单位委托他人运输、利用、处置工业固体废物的，应当对受托方的主体资格和技术能力进行核实，依法签订书面合同，在合同中约定污染防治要求。</w:t>
            </w:r>
          </w:p>
          <w:p w14:paraId="4E2341A3">
            <w:pPr>
              <w:pStyle w:val="7"/>
              <w:spacing w:before="0" w:after="0" w:line="360" w:lineRule="auto"/>
              <w:ind w:firstLine="480" w:firstLineChars="200"/>
              <w:jc w:val="left"/>
              <w:rPr>
                <w:rFonts w:ascii="Times New Roman" w:hAnsi="Times New Roman" w:eastAsia="宋体"/>
                <w:b w:val="0"/>
                <w:color w:val="auto"/>
              </w:rPr>
            </w:pPr>
            <w:r>
              <w:rPr>
                <w:rFonts w:ascii="Times New Roman" w:hAnsi="Times New Roman" w:eastAsia="宋体"/>
                <w:b w:val="0"/>
                <w:color w:val="auto"/>
              </w:rPr>
              <w:t>受托方运输、利用、处置工业固体废物，应当依照有关法律法规的规定和合同约定履行污染防治要求，并将运输、利用、处置情况告知产生工业固体废物的单位。</w:t>
            </w:r>
          </w:p>
          <w:p w14:paraId="5DDE203D">
            <w:pPr>
              <w:widowControl/>
              <w:wordWrap w:val="0"/>
              <w:spacing w:line="360" w:lineRule="auto"/>
              <w:ind w:firstLine="480" w:firstLineChars="200"/>
              <w:jc w:val="left"/>
              <w:rPr>
                <w:color w:val="auto"/>
                <w:kern w:val="0"/>
                <w:lang w:bidi="ar"/>
              </w:rPr>
            </w:pPr>
            <w:r>
              <w:rPr>
                <w:color w:val="auto"/>
                <w:kern w:val="0"/>
                <w:lang w:bidi="ar"/>
              </w:rPr>
              <w:t>（6）产生工业固体废物的单位应当取得排污许可证。排污许可的具体办法和实施步骤由国务院规定。</w:t>
            </w:r>
          </w:p>
          <w:p w14:paraId="61FA0886">
            <w:pPr>
              <w:widowControl/>
              <w:wordWrap w:val="0"/>
              <w:spacing w:line="360" w:lineRule="auto"/>
              <w:ind w:firstLine="480" w:firstLineChars="200"/>
              <w:jc w:val="left"/>
              <w:rPr>
                <w:color w:val="auto"/>
                <w:kern w:val="0"/>
                <w:lang w:bidi="ar"/>
              </w:rPr>
            </w:pPr>
            <w:r>
              <w:rPr>
                <w:color w:val="auto"/>
                <w:kern w:val="0"/>
                <w:lang w:bidi="ar"/>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0ED3D329">
            <w:pPr>
              <w:widowControl/>
              <w:wordWrap w:val="0"/>
              <w:spacing w:line="360" w:lineRule="auto"/>
              <w:ind w:firstLine="480" w:firstLineChars="200"/>
              <w:jc w:val="left"/>
              <w:rPr>
                <w:color w:val="auto"/>
                <w:kern w:val="0"/>
                <w:lang w:bidi="ar"/>
              </w:rPr>
            </w:pPr>
            <w:r>
              <w:rPr>
                <w:color w:val="auto"/>
                <w:kern w:val="0"/>
                <w:lang w:bidi="ar"/>
              </w:rPr>
              <w:t>（7）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0F1A9E69">
            <w:pPr>
              <w:widowControl/>
              <w:wordWrap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建设工业固体废物贮存、处置的设施、场所，应当符合国家环境保护标准。</w:t>
            </w:r>
          </w:p>
          <w:p w14:paraId="370D5666">
            <w:pPr>
              <w:widowControl/>
              <w:wordWrap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项目危险废物暂存放</w:t>
            </w:r>
            <w:r>
              <w:rPr>
                <w:rFonts w:hint="eastAsia" w:cs="Times New Roman"/>
                <w:color w:val="auto"/>
                <w:kern w:val="0"/>
                <w:lang w:val="en-US" w:eastAsia="zh-CN" w:bidi="ar"/>
              </w:rPr>
              <w:t>于危废间（危废间位于1#生产厂房内东北部，建筑面积为10平方米）</w:t>
            </w:r>
            <w:r>
              <w:rPr>
                <w:rFonts w:ascii="Times New Roman" w:hAnsi="Times New Roman" w:eastAsia="宋体" w:cs="Times New Roman"/>
                <w:color w:val="auto"/>
                <w:kern w:val="0"/>
                <w:lang w:bidi="ar"/>
              </w:rPr>
              <w:t>，暂存场地的设置应符合</w:t>
            </w:r>
            <w:r>
              <w:rPr>
                <w:rFonts w:ascii="Times New Roman" w:hAnsi="Times New Roman" w:eastAsia="宋体" w:cs="Times New Roman"/>
                <w:color w:val="auto"/>
              </w:rPr>
              <w:t>《危险废物贮存污染控制标准》（GB18957-20</w:t>
            </w:r>
            <w:r>
              <w:rPr>
                <w:rFonts w:hint="eastAsia" w:ascii="Times New Roman" w:hAnsi="Times New Roman" w:eastAsia="宋体" w:cs="Times New Roman"/>
                <w:color w:val="auto"/>
              </w:rPr>
              <w:t>23</w:t>
            </w:r>
            <w:r>
              <w:rPr>
                <w:rFonts w:ascii="Times New Roman" w:hAnsi="Times New Roman" w:eastAsia="宋体" w:cs="Times New Roman"/>
                <w:color w:val="auto"/>
              </w:rPr>
              <w:t>）中有关规定。</w:t>
            </w:r>
            <w:r>
              <w:rPr>
                <w:rFonts w:ascii="Times New Roman" w:hAnsi="Times New Roman" w:eastAsia="宋体" w:cs="Times New Roman"/>
                <w:color w:val="auto"/>
                <w:kern w:val="0"/>
                <w:lang w:bidi="ar"/>
              </w:rPr>
              <w:t>危废暂存场地设置要求做到以下几点：</w:t>
            </w:r>
          </w:p>
          <w:p w14:paraId="3FC8DFFB">
            <w:pPr>
              <w:widowControl/>
              <w:wordWrap w:val="0"/>
              <w:spacing w:line="360" w:lineRule="auto"/>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kern w:val="0"/>
                <w:lang w:bidi="ar"/>
              </w:rPr>
              <w:t>（1）危险废物贮存设施必须按</w:t>
            </w:r>
            <w:r>
              <w:rPr>
                <w:rFonts w:hint="eastAsia" w:ascii="Times New Roman" w:hAnsi="Times New Roman" w:eastAsia="宋体" w:cs="Times New Roman"/>
                <w:color w:val="auto"/>
                <w:kern w:val="0"/>
                <w:lang w:bidi="ar"/>
              </w:rPr>
              <w:t>《环境保护图形标志一固体废物贮存</w:t>
            </w:r>
            <w:r>
              <w:rPr>
                <w:rFonts w:hint="eastAsia" w:ascii="Times New Roman" w:hAnsi="Times New Roman" w:eastAsia="宋体" w:cs="Times New Roman"/>
                <w:color w:val="auto"/>
                <w:kern w:val="0"/>
                <w:lang w:eastAsia="zh-CN" w:bidi="ar"/>
              </w:rPr>
              <w:t>（</w:t>
            </w:r>
            <w:r>
              <w:rPr>
                <w:rFonts w:hint="eastAsia" w:ascii="Times New Roman" w:hAnsi="Times New Roman" w:eastAsia="宋体" w:cs="Times New Roman"/>
                <w:color w:val="auto"/>
                <w:kern w:val="0"/>
                <w:lang w:bidi="ar"/>
              </w:rPr>
              <w:t>处置</w:t>
            </w:r>
            <w:r>
              <w:rPr>
                <w:rFonts w:hint="eastAsia" w:ascii="Times New Roman" w:hAnsi="Times New Roman" w:eastAsia="宋体" w:cs="Times New Roman"/>
                <w:color w:val="auto"/>
                <w:kern w:val="0"/>
                <w:lang w:eastAsia="zh-CN" w:bidi="ar"/>
              </w:rPr>
              <w:t>）</w:t>
            </w:r>
            <w:r>
              <w:rPr>
                <w:rFonts w:hint="eastAsia" w:ascii="Times New Roman" w:hAnsi="Times New Roman" w:eastAsia="宋体" w:cs="Times New Roman"/>
                <w:color w:val="auto"/>
                <w:kern w:val="0"/>
                <w:lang w:bidi="ar"/>
              </w:rPr>
              <w:t>场》</w:t>
            </w:r>
            <w:r>
              <w:rPr>
                <w:rFonts w:hint="eastAsia" w:ascii="Times New Roman" w:hAnsi="Times New Roman" w:eastAsia="宋体" w:cs="Times New Roman"/>
                <w:color w:val="auto"/>
              </w:rPr>
              <w:t>（GB15562.2-1995）修改单</w:t>
            </w:r>
            <w:r>
              <w:rPr>
                <w:rFonts w:ascii="Times New Roman" w:hAnsi="Times New Roman" w:eastAsia="宋体" w:cs="Times New Roman"/>
                <w:color w:val="auto"/>
                <w:kern w:val="0"/>
                <w:lang w:bidi="ar"/>
              </w:rPr>
              <w:t>的规定设置警示标志；</w:t>
            </w:r>
          </w:p>
          <w:p w14:paraId="64C7080D">
            <w:pPr>
              <w:spacing w:line="360" w:lineRule="auto"/>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rPr>
              <w:t>（2）企业须健全危险废物相关管理制度，并严格落实。</w:t>
            </w:r>
          </w:p>
          <w:p w14:paraId="097F88A3">
            <w:pPr>
              <w:spacing w:line="360" w:lineRule="auto"/>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rPr>
              <w:t>①企业须对危险废物储运场所张贴警示标识，危险废物包装物张贴警示标签；</w:t>
            </w:r>
          </w:p>
          <w:p w14:paraId="2174CDFB">
            <w:pPr>
              <w:spacing w:line="360" w:lineRule="auto"/>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rPr>
              <w:t>②规范危险废物台账记录、建立危险废物收集及储运有关档案，认真填写《危险废物项目区内转运记录表》，作好危险废物台账的记录，记录上须注明危险废物的名称、来源、数量、特性和包装容器的类别、入库日期、存放库位、废物出库日期及接收单位名称等，并即时存档以备查阅。</w:t>
            </w:r>
          </w:p>
          <w:p w14:paraId="71B5B13C">
            <w:pPr>
              <w:spacing w:line="360" w:lineRule="auto"/>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rPr>
              <w:t>（3）危险废物存储和管理的相关要求。</w:t>
            </w:r>
          </w:p>
          <w:p w14:paraId="7BFE0A6D">
            <w:pPr>
              <w:spacing w:line="360" w:lineRule="auto"/>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rPr>
              <w:t>①必须将危险废物装入容器内密封装运，盛装危险废物的容器应当符合标准，材质要满足相应的强度要求且必须完好无损，容器材质和衬里要与危险废物相容（不相互反应）；</w:t>
            </w:r>
          </w:p>
          <w:p w14:paraId="04EE56DC">
            <w:pPr>
              <w:spacing w:line="360" w:lineRule="auto"/>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rPr>
              <w:t>②危险废物转移过程严格落实《危险废物转移管理办法》的相关规定，规范危险废物转移，做好每次外运处置废物的运输登记。</w:t>
            </w:r>
          </w:p>
          <w:p w14:paraId="14053002">
            <w:pPr>
              <w:adjustRightInd w:val="0"/>
              <w:snapToGrid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③对危险废物的容器和包装物以及收集、贮存、运输、利用、处置危险废物的设施、场所，应当按照规定设置危险废物识别标志。</w:t>
            </w:r>
          </w:p>
          <w:p w14:paraId="18FDA15C">
            <w:pPr>
              <w:adjustRightInd w:val="0"/>
              <w:snapToGrid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④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2E0FB821">
            <w:pPr>
              <w:adjustRightInd w:val="0"/>
              <w:snapToGrid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⑤收集、贮存危险废物，应当按照危险废物特性分类进行。禁止混合收集、贮存、运输、处置性质不相容而未经安全性处置的危险废</w:t>
            </w:r>
            <w:r>
              <w:rPr>
                <w:rFonts w:hint="eastAsia" w:ascii="Times New Roman" w:hAnsi="Times New Roman" w:eastAsia="宋体" w:cs="Times New Roman"/>
                <w:color w:val="auto"/>
                <w:kern w:val="0"/>
                <w:lang w:val="en-US" w:eastAsia="zh-CN" w:bidi="ar"/>
              </w:rPr>
              <w:t>物</w:t>
            </w:r>
            <w:r>
              <w:rPr>
                <w:rFonts w:ascii="Times New Roman" w:hAnsi="Times New Roman" w:eastAsia="宋体" w:cs="Times New Roman"/>
                <w:color w:val="auto"/>
                <w:kern w:val="0"/>
                <w:lang w:bidi="ar"/>
              </w:rPr>
              <w:t>贮存危险废物应当采取符合国家环境保护标准的防护措施。禁止将危险废物混入非危险废物中贮存。</w:t>
            </w:r>
          </w:p>
          <w:p w14:paraId="66A7FB40">
            <w:pPr>
              <w:adjustRightInd w:val="0"/>
              <w:snapToGrid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从事收集、贮存、利用、处置危险废物经营活动的单位，贮存危险废物不得超过一年；确需延长期限的，应当报经颁发许可证的生态环境主管部门批准；法律、行政法规另有规定的除外。</w:t>
            </w:r>
          </w:p>
          <w:p w14:paraId="02950842">
            <w:pPr>
              <w:adjustRightInd w:val="0"/>
              <w:snapToGrid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⑥转移危险废物的，应当按照国家有关规定填写、运行危险废物电子或者纸质转移联单。</w:t>
            </w:r>
          </w:p>
          <w:p w14:paraId="6663F2F3">
            <w:pPr>
              <w:adjustRightInd w:val="0"/>
              <w:snapToGrid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危险废物转移管理应当全程管控、提高效率，具体办法由国务院生态环境主管部门会同国务院交通运输主管部门和公安部门制定。</w:t>
            </w:r>
          </w:p>
          <w:p w14:paraId="1D0794DD">
            <w:pPr>
              <w:adjustRightInd w:val="0"/>
              <w:snapToGrid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⑦收集、贮存、运输、利用、处置危险废物的场所、设施、设备和容器、包装物及其他物品转作他用时，应当按照国家有关规定经过消除污染处理，方可使用。</w:t>
            </w:r>
          </w:p>
          <w:p w14:paraId="1DC8E7FF">
            <w:pPr>
              <w:adjustRightInd w:val="0"/>
              <w:snapToGrid w:val="0"/>
              <w:spacing w:line="360" w:lineRule="auto"/>
              <w:ind w:firstLine="480" w:firstLineChars="200"/>
              <w:jc w:val="left"/>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⑧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监督。</w:t>
            </w:r>
          </w:p>
          <w:p w14:paraId="618AA841">
            <w:pPr>
              <w:adjustRightInd w:val="0"/>
              <w:snapToGrid w:val="0"/>
              <w:spacing w:line="360" w:lineRule="auto"/>
              <w:ind w:firstLine="480" w:firstLineChars="200"/>
              <w:jc w:val="left"/>
              <w:rPr>
                <w:color w:val="auto"/>
                <w:kern w:val="0"/>
              </w:rPr>
            </w:pPr>
            <w:r>
              <w:rPr>
                <w:rFonts w:hint="eastAsia"/>
                <w:color w:val="auto"/>
                <w:kern w:val="0"/>
              </w:rPr>
              <w:t>项目固体废物处置符合《一般工业固体废物贮存和填埋污染控制标准》（GB18599-2020）、《危险废物贮存污染控制标准》（GB18957-2023）中要求，各固体废物均能得到妥善解决，对周围环境影响较小。</w:t>
            </w:r>
          </w:p>
          <w:p w14:paraId="484FAB9D">
            <w:pPr>
              <w:pStyle w:val="2"/>
              <w:snapToGrid w:val="0"/>
              <w:spacing w:line="360" w:lineRule="auto"/>
              <w:rPr>
                <w:b/>
                <w:bCs/>
                <w:color w:val="auto"/>
              </w:rPr>
            </w:pPr>
            <w:r>
              <w:rPr>
                <w:rFonts w:hint="eastAsia"/>
                <w:b/>
                <w:bCs/>
                <w:color w:val="auto"/>
              </w:rPr>
              <w:t>5、地下水、土壤环境</w:t>
            </w:r>
          </w:p>
          <w:p w14:paraId="771C3539">
            <w:pPr>
              <w:adjustRightInd w:val="0"/>
              <w:snapToGrid w:val="0"/>
              <w:spacing w:line="360" w:lineRule="auto"/>
              <w:ind w:firstLine="480" w:firstLineChars="200"/>
              <w:rPr>
                <w:bCs/>
                <w:color w:val="auto"/>
              </w:rPr>
            </w:pPr>
            <w:r>
              <w:rPr>
                <w:rFonts w:hint="eastAsia"/>
                <w:bCs/>
                <w:color w:val="auto"/>
              </w:rPr>
              <w:t>1、污染源及污染途径</w:t>
            </w:r>
          </w:p>
          <w:p w14:paraId="15D9C41A">
            <w:pPr>
              <w:adjustRightInd w:val="0"/>
              <w:snapToGrid w:val="0"/>
              <w:spacing w:line="360" w:lineRule="auto"/>
              <w:ind w:firstLine="480" w:firstLineChars="200"/>
              <w:rPr>
                <w:rFonts w:ascii="宋体" w:hAnsi="宋体" w:cs="宋体"/>
                <w:color w:val="auto"/>
              </w:rPr>
            </w:pPr>
            <w:r>
              <w:rPr>
                <w:color w:val="auto"/>
              </w:rPr>
              <w:t>（</w:t>
            </w:r>
            <w:r>
              <w:rPr>
                <w:rFonts w:hint="eastAsia"/>
                <w:color w:val="auto"/>
              </w:rPr>
              <w:t>1</w:t>
            </w:r>
            <w:r>
              <w:rPr>
                <w:color w:val="auto"/>
              </w:rPr>
              <w:t>）</w:t>
            </w:r>
            <w:r>
              <w:rPr>
                <w:rFonts w:hint="eastAsia"/>
                <w:bCs/>
                <w:color w:val="auto"/>
              </w:rPr>
              <w:t>污染源：</w:t>
            </w:r>
            <w:r>
              <w:rPr>
                <w:rFonts w:hint="eastAsia" w:ascii="宋体" w:hAnsi="宋体" w:cs="宋体"/>
                <w:color w:val="auto"/>
              </w:rPr>
              <w:t>危险废物暂存间。</w:t>
            </w:r>
          </w:p>
          <w:p w14:paraId="00F87E17">
            <w:pPr>
              <w:adjustRightInd w:val="0"/>
              <w:snapToGrid w:val="0"/>
              <w:spacing w:line="360" w:lineRule="auto"/>
              <w:ind w:firstLine="480" w:firstLineChars="200"/>
              <w:rPr>
                <w:bCs/>
                <w:color w:val="auto"/>
              </w:rPr>
            </w:pPr>
            <w:r>
              <w:rPr>
                <w:color w:val="auto"/>
              </w:rPr>
              <w:t>（</w:t>
            </w:r>
            <w:r>
              <w:rPr>
                <w:rFonts w:hint="eastAsia"/>
                <w:color w:val="auto"/>
              </w:rPr>
              <w:t>2</w:t>
            </w:r>
            <w:r>
              <w:rPr>
                <w:color w:val="auto"/>
              </w:rPr>
              <w:t>）</w:t>
            </w:r>
            <w:r>
              <w:rPr>
                <w:rFonts w:hint="eastAsia"/>
                <w:bCs/>
                <w:color w:val="auto"/>
              </w:rPr>
              <w:t>污染途径</w:t>
            </w:r>
          </w:p>
          <w:p w14:paraId="00B28A55">
            <w:pPr>
              <w:adjustRightInd w:val="0"/>
              <w:snapToGrid w:val="0"/>
              <w:spacing w:line="360" w:lineRule="auto"/>
              <w:ind w:firstLine="480" w:firstLineChars="200"/>
              <w:rPr>
                <w:bCs/>
                <w:color w:val="auto"/>
              </w:rPr>
            </w:pPr>
            <w:r>
              <w:rPr>
                <w:rFonts w:hint="eastAsia"/>
                <w:bCs/>
                <w:color w:val="auto"/>
              </w:rPr>
              <w:t>危险废物暂存间如管理及防渗不到位，可能会对土壤产生污染</w:t>
            </w:r>
            <w:r>
              <w:rPr>
                <w:rFonts w:hint="eastAsia"/>
                <w:bCs/>
                <w:color w:val="auto"/>
                <w:lang w:eastAsia="zh-CN"/>
              </w:rPr>
              <w:t>。</w:t>
            </w:r>
          </w:p>
          <w:p w14:paraId="37E66AC8">
            <w:pPr>
              <w:adjustRightInd w:val="0"/>
              <w:snapToGrid w:val="0"/>
              <w:spacing w:line="360" w:lineRule="auto"/>
              <w:ind w:firstLine="480" w:firstLineChars="200"/>
              <w:rPr>
                <w:bCs/>
                <w:color w:val="auto"/>
              </w:rPr>
            </w:pPr>
            <w:r>
              <w:rPr>
                <w:rFonts w:hint="eastAsia"/>
                <w:bCs/>
                <w:color w:val="auto"/>
                <w:szCs w:val="32"/>
              </w:rPr>
              <w:t>2、防控措施</w:t>
            </w:r>
          </w:p>
          <w:p w14:paraId="558257E3">
            <w:pPr>
              <w:adjustRightInd/>
              <w:snapToGrid/>
              <w:spacing w:line="360" w:lineRule="auto"/>
              <w:ind w:firstLine="480" w:firstLineChars="200"/>
              <w:rPr>
                <w:rFonts w:eastAsia="宋体"/>
                <w:bCs/>
                <w:color w:val="auto"/>
              </w:rPr>
            </w:pPr>
            <w:r>
              <w:rPr>
                <w:rFonts w:hint="eastAsia" w:eastAsia="宋体"/>
                <w:bCs/>
                <w:color w:val="auto"/>
              </w:rPr>
              <w:t>为确保项目的生产运行不会对周围地下水和土壤产生污染，评价建议建设单位应对厂区实施分区防渗措施，同时做好应急预案。</w:t>
            </w:r>
          </w:p>
          <w:p w14:paraId="05AA5F0C">
            <w:pPr>
              <w:spacing w:line="360" w:lineRule="auto"/>
              <w:ind w:firstLine="480" w:firstLineChars="200"/>
              <w:rPr>
                <w:bCs/>
                <w:color w:val="auto"/>
                <w:sz w:val="24"/>
              </w:rPr>
            </w:pPr>
            <w:r>
              <w:rPr>
                <w:bCs/>
                <w:color w:val="auto"/>
                <w:sz w:val="24"/>
              </w:rPr>
              <w:t>厂区内危废暂存间如若防渗措施不到位，会有废水下渗污染地下水、土壤。本项目建设过程中对厂房部分区域划分重点防渗区域和一般防渗区域，具体如下：</w:t>
            </w:r>
          </w:p>
          <w:p w14:paraId="03D9B2C6">
            <w:pPr>
              <w:spacing w:line="360" w:lineRule="auto"/>
              <w:ind w:firstLine="480" w:firstLineChars="200"/>
              <w:rPr>
                <w:rFonts w:hint="eastAsia" w:eastAsia="宋体"/>
                <w:bCs/>
                <w:color w:val="auto"/>
              </w:rPr>
            </w:pPr>
            <w:r>
              <w:rPr>
                <w:rFonts w:hint="eastAsia" w:eastAsia="宋体"/>
                <w:bCs/>
                <w:color w:val="auto"/>
              </w:rPr>
              <w:t>项目在建设过程中，将危险废物暂存间等划分为重点防渗区，危险废物暂存间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eastAsia="宋体"/>
                <w:bCs/>
                <w:color w:val="auto"/>
                <w:vertAlign w:val="superscript"/>
              </w:rPr>
              <w:t>-7</w:t>
            </w:r>
            <w:r>
              <w:rPr>
                <w:rFonts w:hint="eastAsia" w:eastAsia="宋体"/>
                <w:bCs/>
                <w:color w:val="auto"/>
              </w:rPr>
              <w:t>cm/s），或至少2mm厚高密度聚乙烯膜等人工防渗材料（渗透系数不大于10</w:t>
            </w:r>
            <w:r>
              <w:rPr>
                <w:rFonts w:hint="eastAsia" w:eastAsia="宋体"/>
                <w:bCs/>
                <w:color w:val="auto"/>
                <w:vertAlign w:val="superscript"/>
              </w:rPr>
              <w:t>-10</w:t>
            </w:r>
            <w:r>
              <w:rPr>
                <w:rFonts w:hint="eastAsia" w:eastAsia="宋体"/>
                <w:bCs/>
                <w:color w:val="auto"/>
              </w:rPr>
              <w:t>cm/s），或其他防渗性能等效的材料。</w:t>
            </w:r>
          </w:p>
          <w:p w14:paraId="75452770">
            <w:pPr>
              <w:spacing w:line="360" w:lineRule="auto"/>
              <w:ind w:firstLine="480" w:firstLineChars="200"/>
              <w:rPr>
                <w:rFonts w:hint="eastAsia" w:eastAsia="宋体"/>
                <w:bCs/>
                <w:color w:val="auto"/>
              </w:rPr>
            </w:pPr>
            <w:r>
              <w:rPr>
                <w:rFonts w:hint="eastAsia" w:eastAsia="宋体"/>
                <w:bCs/>
                <w:color w:val="auto"/>
              </w:rPr>
              <w:t>生产车间、一般固废暂存间、化粪池进行一般防渗：等效黏土防渗层Mb≥1.5m，K≤1.0×</w:t>
            </w:r>
            <w:r>
              <w:rPr>
                <w:rFonts w:hint="eastAsia"/>
                <w:bCs/>
                <w:color w:val="auto"/>
                <w:lang w:val="en-US" w:eastAsia="zh-CN"/>
              </w:rPr>
              <w:t>10</w:t>
            </w:r>
            <w:r>
              <w:rPr>
                <w:rFonts w:hint="eastAsia"/>
                <w:bCs/>
                <w:color w:val="auto"/>
                <w:vertAlign w:val="superscript"/>
                <w:lang w:val="en-US" w:eastAsia="zh-CN"/>
              </w:rPr>
              <w:t>-7</w:t>
            </w:r>
            <w:r>
              <w:rPr>
                <w:rFonts w:hint="eastAsia" w:eastAsia="宋体"/>
                <w:bCs/>
                <w:color w:val="auto"/>
              </w:rPr>
              <w:t>cm/s</w:t>
            </w:r>
            <w:r>
              <w:rPr>
                <w:rFonts w:hint="eastAsia"/>
                <w:bCs/>
                <w:color w:val="auto"/>
                <w:lang w:eastAsia="zh-CN"/>
              </w:rPr>
              <w:t>，</w:t>
            </w:r>
            <w:r>
              <w:rPr>
                <w:rFonts w:hint="eastAsia" w:eastAsia="宋体"/>
                <w:bCs/>
                <w:color w:val="auto"/>
              </w:rPr>
              <w:t>具体操作为：15cm抗渗混凝土</w:t>
            </w:r>
          </w:p>
          <w:p w14:paraId="2E64EC45">
            <w:pPr>
              <w:spacing w:line="360" w:lineRule="auto"/>
              <w:ind w:firstLine="480" w:firstLineChars="200"/>
              <w:rPr>
                <w:rFonts w:hint="eastAsia" w:eastAsia="宋体"/>
                <w:bCs/>
                <w:color w:val="auto"/>
              </w:rPr>
            </w:pPr>
            <w:r>
              <w:rPr>
                <w:rFonts w:hint="eastAsia" w:eastAsia="宋体"/>
                <w:bCs/>
                <w:color w:val="auto"/>
              </w:rPr>
              <w:t>办公区域简单防渗：一般地面硬化。</w:t>
            </w:r>
          </w:p>
          <w:p w14:paraId="1F869ACA">
            <w:pPr>
              <w:spacing w:line="360" w:lineRule="auto"/>
              <w:ind w:firstLine="480" w:firstLineChars="200"/>
              <w:rPr>
                <w:color w:val="auto"/>
              </w:rPr>
            </w:pPr>
            <w:r>
              <w:rPr>
                <w:rFonts w:hint="eastAsia" w:eastAsia="宋体"/>
                <w:bCs/>
                <w:color w:val="auto"/>
              </w:rPr>
              <w:t>根据以上分区情况，对本项目场区防渗分区见下表。</w:t>
            </w:r>
          </w:p>
          <w:p w14:paraId="15D29BBD">
            <w:pPr>
              <w:jc w:val="center"/>
              <w:rPr>
                <w:b/>
                <w:bCs/>
                <w:color w:val="auto"/>
              </w:rPr>
            </w:pPr>
            <w:r>
              <w:rPr>
                <w:b/>
                <w:bCs/>
                <w:color w:val="auto"/>
              </w:rPr>
              <w:t>表4-</w:t>
            </w:r>
            <w:r>
              <w:rPr>
                <w:rFonts w:hint="eastAsia"/>
                <w:b/>
                <w:bCs/>
                <w:color w:val="auto"/>
              </w:rPr>
              <w:t>1</w:t>
            </w:r>
            <w:r>
              <w:rPr>
                <w:rFonts w:hint="eastAsia"/>
                <w:b/>
                <w:bCs/>
                <w:color w:val="auto"/>
                <w:lang w:val="en-US" w:eastAsia="zh-CN"/>
              </w:rPr>
              <w:t>4</w:t>
            </w:r>
            <w:r>
              <w:rPr>
                <w:b/>
                <w:bCs/>
                <w:color w:val="auto"/>
              </w:rPr>
              <w:t xml:space="preserve">  </w:t>
            </w:r>
            <w:r>
              <w:rPr>
                <w:rFonts w:hint="eastAsia"/>
                <w:b/>
                <w:bCs/>
                <w:color w:val="auto"/>
              </w:rPr>
              <w:t>厂区各工作区防渗要求</w:t>
            </w:r>
          </w:p>
          <w:tbl>
            <w:tblPr>
              <w:tblStyle w:val="30"/>
              <w:tblW w:w="7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916"/>
              <w:gridCol w:w="1338"/>
              <w:gridCol w:w="4634"/>
            </w:tblGrid>
            <w:tr w14:paraId="2BC4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noWrap w:val="0"/>
                  <w:vAlign w:val="center"/>
                </w:tcPr>
                <w:p w14:paraId="0DDED65B">
                  <w:pPr>
                    <w:pStyle w:val="65"/>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rPr>
                    <w:t>防渗</w:t>
                  </w:r>
                  <w:r>
                    <w:rPr>
                      <w:rFonts w:hint="eastAsia"/>
                      <w:b/>
                      <w:bCs/>
                      <w:color w:val="auto"/>
                      <w:sz w:val="21"/>
                      <w:szCs w:val="21"/>
                      <w:lang w:val="en-US" w:eastAsia="zh-CN"/>
                    </w:rPr>
                    <w:t>分区</w:t>
                  </w:r>
                </w:p>
              </w:tc>
              <w:tc>
                <w:tcPr>
                  <w:tcW w:w="916" w:type="dxa"/>
                  <w:noWrap w:val="0"/>
                  <w:vAlign w:val="center"/>
                </w:tcPr>
                <w:p w14:paraId="5AA7CEE5">
                  <w:pPr>
                    <w:pStyle w:val="65"/>
                    <w:spacing w:line="240" w:lineRule="auto"/>
                    <w:ind w:firstLine="0" w:firstLineChars="0"/>
                    <w:jc w:val="center"/>
                    <w:rPr>
                      <w:rFonts w:hint="eastAsia" w:eastAsia="宋体"/>
                      <w:b/>
                      <w:bCs/>
                      <w:color w:val="auto"/>
                      <w:sz w:val="21"/>
                      <w:szCs w:val="21"/>
                      <w:lang w:val="en-US" w:eastAsia="zh-CN"/>
                    </w:rPr>
                  </w:pPr>
                  <w:r>
                    <w:rPr>
                      <w:rFonts w:hint="eastAsia"/>
                      <w:b/>
                      <w:bCs/>
                      <w:color w:val="auto"/>
                      <w:sz w:val="21"/>
                      <w:szCs w:val="21"/>
                      <w:lang w:val="en-US" w:eastAsia="zh-CN"/>
                    </w:rPr>
                    <w:t>污染控制难易程度</w:t>
                  </w:r>
                </w:p>
              </w:tc>
              <w:tc>
                <w:tcPr>
                  <w:tcW w:w="1338" w:type="dxa"/>
                  <w:noWrap w:val="0"/>
                  <w:vAlign w:val="center"/>
                </w:tcPr>
                <w:p w14:paraId="18AA5884">
                  <w:pPr>
                    <w:pStyle w:val="65"/>
                    <w:spacing w:line="240" w:lineRule="auto"/>
                    <w:ind w:firstLine="0" w:firstLineChars="0"/>
                    <w:jc w:val="center"/>
                    <w:rPr>
                      <w:rFonts w:hint="eastAsia"/>
                      <w:b/>
                      <w:bCs/>
                      <w:color w:val="auto"/>
                      <w:sz w:val="21"/>
                      <w:szCs w:val="21"/>
                    </w:rPr>
                  </w:pPr>
                  <w:r>
                    <w:rPr>
                      <w:b/>
                      <w:bCs/>
                      <w:color w:val="auto"/>
                      <w:sz w:val="21"/>
                      <w:szCs w:val="21"/>
                    </w:rPr>
                    <w:t>建构筑物</w:t>
                  </w:r>
                </w:p>
              </w:tc>
              <w:tc>
                <w:tcPr>
                  <w:tcW w:w="4634" w:type="dxa"/>
                  <w:noWrap w:val="0"/>
                  <w:vAlign w:val="center"/>
                </w:tcPr>
                <w:p w14:paraId="1D94F0B8">
                  <w:pPr>
                    <w:pStyle w:val="65"/>
                    <w:spacing w:line="240" w:lineRule="auto"/>
                    <w:ind w:firstLine="0" w:firstLineChars="0"/>
                    <w:jc w:val="center"/>
                    <w:rPr>
                      <w:b/>
                      <w:bCs/>
                      <w:color w:val="auto"/>
                      <w:sz w:val="21"/>
                      <w:szCs w:val="21"/>
                    </w:rPr>
                  </w:pPr>
                  <w:r>
                    <w:rPr>
                      <w:rFonts w:hint="eastAsia"/>
                      <w:b/>
                      <w:bCs/>
                      <w:color w:val="auto"/>
                      <w:sz w:val="21"/>
                      <w:szCs w:val="21"/>
                    </w:rPr>
                    <w:t>防渗要求</w:t>
                  </w:r>
                </w:p>
              </w:tc>
            </w:tr>
            <w:tr w14:paraId="261F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restart"/>
                  <w:noWrap w:val="0"/>
                  <w:vAlign w:val="center"/>
                </w:tcPr>
                <w:p w14:paraId="0882DD01">
                  <w:pPr>
                    <w:pStyle w:val="65"/>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重点防渗</w:t>
                  </w:r>
                  <w:r>
                    <w:rPr>
                      <w:rFonts w:hint="eastAsia"/>
                      <w:color w:val="auto"/>
                      <w:sz w:val="21"/>
                      <w:szCs w:val="21"/>
                      <w:lang w:val="en-US" w:eastAsia="zh-CN"/>
                    </w:rPr>
                    <w:t>区</w:t>
                  </w:r>
                </w:p>
              </w:tc>
              <w:tc>
                <w:tcPr>
                  <w:tcW w:w="916" w:type="dxa"/>
                  <w:vMerge w:val="restart"/>
                  <w:noWrap w:val="0"/>
                  <w:vAlign w:val="center"/>
                </w:tcPr>
                <w:p w14:paraId="0E46B72B">
                  <w:pPr>
                    <w:pStyle w:val="65"/>
                    <w:spacing w:line="240" w:lineRule="auto"/>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难</w:t>
                  </w:r>
                </w:p>
              </w:tc>
              <w:tc>
                <w:tcPr>
                  <w:tcW w:w="1338" w:type="dxa"/>
                  <w:noWrap w:val="0"/>
                  <w:vAlign w:val="center"/>
                </w:tcPr>
                <w:p w14:paraId="1D779973">
                  <w:pPr>
                    <w:pStyle w:val="65"/>
                    <w:spacing w:line="240" w:lineRule="auto"/>
                    <w:ind w:firstLine="0" w:firstLineChars="0"/>
                    <w:jc w:val="center"/>
                    <w:rPr>
                      <w:rFonts w:hint="eastAsia"/>
                      <w:color w:val="auto"/>
                      <w:sz w:val="21"/>
                      <w:szCs w:val="21"/>
                    </w:rPr>
                  </w:pPr>
                  <w:r>
                    <w:rPr>
                      <w:bCs/>
                      <w:color w:val="auto"/>
                      <w:sz w:val="21"/>
                      <w:szCs w:val="21"/>
                    </w:rPr>
                    <w:t>危险废物暂存间</w:t>
                  </w:r>
                </w:p>
              </w:tc>
              <w:tc>
                <w:tcPr>
                  <w:tcW w:w="4634" w:type="dxa"/>
                  <w:noWrap w:val="0"/>
                  <w:vAlign w:val="center"/>
                </w:tcPr>
                <w:p w14:paraId="7BA3BBFF">
                  <w:pPr>
                    <w:pStyle w:val="65"/>
                    <w:spacing w:line="240" w:lineRule="auto"/>
                    <w:ind w:firstLine="0" w:firstLineChars="0"/>
                    <w:jc w:val="center"/>
                    <w:rPr>
                      <w:rFonts w:hint="eastAsia"/>
                      <w:color w:val="auto"/>
                      <w:sz w:val="21"/>
                      <w:szCs w:val="21"/>
                    </w:rPr>
                  </w:pPr>
                  <w:r>
                    <w:rPr>
                      <w:rFonts w:hint="eastAsia"/>
                      <w:color w:val="auto"/>
                      <w:sz w:val="21"/>
                      <w:szCs w:val="21"/>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w:t>
                  </w:r>
                </w:p>
                <w:p w14:paraId="2D1880A2">
                  <w:pPr>
                    <w:pStyle w:val="65"/>
                    <w:spacing w:line="240" w:lineRule="auto"/>
                    <w:ind w:firstLine="0" w:firstLineChars="0"/>
                    <w:jc w:val="center"/>
                    <w:rPr>
                      <w:color w:val="auto"/>
                      <w:sz w:val="21"/>
                      <w:szCs w:val="21"/>
                    </w:rPr>
                  </w:pPr>
                  <w:r>
                    <w:rPr>
                      <w:rFonts w:hint="eastAsia"/>
                      <w:color w:val="auto"/>
                      <w:sz w:val="21"/>
                      <w:szCs w:val="21"/>
                    </w:rPr>
                    <w:t>10</w:t>
                  </w:r>
                  <w:r>
                    <w:rPr>
                      <w:rFonts w:hint="eastAsia"/>
                      <w:color w:val="auto"/>
                      <w:sz w:val="21"/>
                      <w:szCs w:val="21"/>
                      <w:vertAlign w:val="superscript"/>
                    </w:rPr>
                    <w:t>-7</w:t>
                  </w:r>
                  <w:r>
                    <w:rPr>
                      <w:rFonts w:hint="eastAsia"/>
                      <w:color w:val="auto"/>
                      <w:sz w:val="21"/>
                      <w:szCs w:val="21"/>
                    </w:rPr>
                    <w:t>cm/s），或至少2mm厚高密度聚乙烯膜等人工防渗材料（渗透系数不大于10</w:t>
                  </w:r>
                  <w:r>
                    <w:rPr>
                      <w:rFonts w:hint="eastAsia"/>
                      <w:color w:val="auto"/>
                      <w:sz w:val="21"/>
                      <w:szCs w:val="21"/>
                      <w:vertAlign w:val="superscript"/>
                    </w:rPr>
                    <w:t>-10</w:t>
                  </w:r>
                  <w:r>
                    <w:rPr>
                      <w:rFonts w:hint="eastAsia"/>
                      <w:color w:val="auto"/>
                      <w:sz w:val="21"/>
                      <w:szCs w:val="21"/>
                    </w:rPr>
                    <w:t>cm/s），或其他防渗性能等效的材料</w:t>
                  </w:r>
                </w:p>
              </w:tc>
            </w:tr>
            <w:tr w14:paraId="0A30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noWrap w:val="0"/>
                  <w:vAlign w:val="center"/>
                </w:tcPr>
                <w:p w14:paraId="20E50F5E">
                  <w:pPr>
                    <w:pStyle w:val="65"/>
                    <w:spacing w:line="240" w:lineRule="auto"/>
                    <w:ind w:firstLine="0" w:firstLineChars="0"/>
                    <w:jc w:val="center"/>
                    <w:rPr>
                      <w:color w:val="auto"/>
                      <w:sz w:val="21"/>
                      <w:szCs w:val="21"/>
                    </w:rPr>
                  </w:pPr>
                  <w:r>
                    <w:rPr>
                      <w:rFonts w:hint="eastAsia"/>
                      <w:color w:val="auto"/>
                      <w:sz w:val="21"/>
                      <w:szCs w:val="21"/>
                    </w:rPr>
                    <w:t>一般防渗</w:t>
                  </w:r>
                </w:p>
              </w:tc>
              <w:tc>
                <w:tcPr>
                  <w:tcW w:w="916" w:type="dxa"/>
                  <w:noWrap w:val="0"/>
                  <w:vAlign w:val="center"/>
                </w:tcPr>
                <w:p w14:paraId="0E9612DC">
                  <w:pPr>
                    <w:pStyle w:val="65"/>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难</w:t>
                  </w:r>
                </w:p>
              </w:tc>
              <w:tc>
                <w:tcPr>
                  <w:tcW w:w="1338" w:type="dxa"/>
                  <w:noWrap w:val="0"/>
                  <w:vAlign w:val="center"/>
                </w:tcPr>
                <w:p w14:paraId="42C4FFCD">
                  <w:pPr>
                    <w:pStyle w:val="65"/>
                    <w:spacing w:line="240" w:lineRule="auto"/>
                    <w:ind w:firstLine="0" w:firstLineChars="0"/>
                    <w:jc w:val="center"/>
                    <w:rPr>
                      <w:rFonts w:hint="default" w:eastAsia="宋体"/>
                      <w:color w:val="auto"/>
                      <w:sz w:val="21"/>
                      <w:szCs w:val="21"/>
                      <w:lang w:val="en-US" w:eastAsia="zh-CN"/>
                    </w:rPr>
                  </w:pPr>
                  <w:r>
                    <w:rPr>
                      <w:color w:val="auto"/>
                      <w:sz w:val="21"/>
                      <w:szCs w:val="21"/>
                    </w:rPr>
                    <w:t>生产车间</w:t>
                  </w:r>
                  <w:r>
                    <w:rPr>
                      <w:rFonts w:hint="eastAsia"/>
                      <w:color w:val="auto"/>
                      <w:sz w:val="21"/>
                      <w:szCs w:val="21"/>
                      <w:lang w:eastAsia="zh-CN"/>
                    </w:rPr>
                    <w:t>、</w:t>
                  </w:r>
                  <w:r>
                    <w:rPr>
                      <w:rFonts w:hint="eastAsia"/>
                      <w:color w:val="auto"/>
                      <w:sz w:val="21"/>
                      <w:szCs w:val="21"/>
                      <w:lang w:val="en-US" w:eastAsia="zh-CN"/>
                    </w:rPr>
                    <w:t>一般固废间、化粪池</w:t>
                  </w:r>
                </w:p>
              </w:tc>
              <w:tc>
                <w:tcPr>
                  <w:tcW w:w="4634" w:type="dxa"/>
                  <w:noWrap w:val="0"/>
                  <w:vAlign w:val="center"/>
                </w:tcPr>
                <w:p w14:paraId="01644E4E">
                  <w:pPr>
                    <w:pStyle w:val="65"/>
                    <w:spacing w:line="240" w:lineRule="auto"/>
                    <w:ind w:firstLine="0" w:firstLineChars="0"/>
                    <w:jc w:val="center"/>
                    <w:rPr>
                      <w:rFonts w:hint="eastAsia"/>
                      <w:color w:val="auto"/>
                      <w:sz w:val="21"/>
                      <w:szCs w:val="21"/>
                    </w:rPr>
                  </w:pPr>
                  <w:r>
                    <w:rPr>
                      <w:rFonts w:hint="eastAsia"/>
                      <w:color w:val="auto"/>
                      <w:sz w:val="21"/>
                      <w:szCs w:val="21"/>
                    </w:rPr>
                    <w:t>等效黏土防水层Mb≥1.5m，K≤1.0×</w:t>
                  </w:r>
                </w:p>
                <w:p w14:paraId="19908F86">
                  <w:pPr>
                    <w:pStyle w:val="65"/>
                    <w:spacing w:line="240" w:lineRule="auto"/>
                    <w:ind w:firstLine="0" w:firstLineChars="0"/>
                    <w:jc w:val="center"/>
                    <w:rPr>
                      <w:rFonts w:hint="eastAsia" w:eastAsia="宋体"/>
                      <w:color w:val="auto"/>
                      <w:sz w:val="21"/>
                      <w:szCs w:val="21"/>
                      <w:lang w:eastAsia="zh-CN"/>
                    </w:rPr>
                  </w:pPr>
                  <w:r>
                    <w:rPr>
                      <w:rFonts w:hint="eastAsia"/>
                      <w:color w:val="auto"/>
                      <w:sz w:val="21"/>
                      <w:szCs w:val="21"/>
                    </w:rPr>
                    <w:t>10</w:t>
                  </w:r>
                  <w:r>
                    <w:rPr>
                      <w:rFonts w:hint="eastAsia"/>
                      <w:color w:val="auto"/>
                      <w:sz w:val="21"/>
                      <w:szCs w:val="21"/>
                      <w:vertAlign w:val="superscript"/>
                    </w:rPr>
                    <w:t>-7</w:t>
                  </w:r>
                  <w:r>
                    <w:rPr>
                      <w:rFonts w:hint="eastAsia"/>
                      <w:color w:val="auto"/>
                      <w:sz w:val="21"/>
                      <w:szCs w:val="21"/>
                    </w:rPr>
                    <w:t>cm/s</w:t>
                  </w:r>
                  <w:r>
                    <w:rPr>
                      <w:rFonts w:hint="eastAsia"/>
                      <w:color w:val="auto"/>
                      <w:sz w:val="21"/>
                      <w:szCs w:val="21"/>
                      <w:lang w:eastAsia="zh-CN"/>
                    </w:rPr>
                    <w:t>；</w:t>
                  </w:r>
                  <w:r>
                    <w:rPr>
                      <w:rFonts w:hint="eastAsia"/>
                      <w:color w:val="auto"/>
                      <w:sz w:val="21"/>
                      <w:szCs w:val="21"/>
                    </w:rPr>
                    <w:t>或参照GB 1</w:t>
                  </w:r>
                  <w:r>
                    <w:rPr>
                      <w:rFonts w:hint="eastAsia"/>
                      <w:color w:val="auto"/>
                      <w:sz w:val="21"/>
                      <w:szCs w:val="21"/>
                      <w:lang w:val="en-US" w:eastAsia="zh-CN"/>
                    </w:rPr>
                    <w:t>6889</w:t>
                  </w:r>
                  <w:r>
                    <w:rPr>
                      <w:rFonts w:hint="eastAsia"/>
                      <w:color w:val="auto"/>
                      <w:sz w:val="21"/>
                      <w:szCs w:val="21"/>
                    </w:rPr>
                    <w:t>执行</w:t>
                  </w:r>
                </w:p>
              </w:tc>
            </w:tr>
            <w:tr w14:paraId="00A8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noWrap w:val="0"/>
                  <w:vAlign w:val="center"/>
                </w:tcPr>
                <w:p w14:paraId="441F999F">
                  <w:pPr>
                    <w:pStyle w:val="65"/>
                    <w:spacing w:line="240" w:lineRule="auto"/>
                    <w:ind w:firstLine="0" w:firstLineChars="0"/>
                    <w:jc w:val="center"/>
                    <w:rPr>
                      <w:color w:val="auto"/>
                      <w:sz w:val="21"/>
                      <w:szCs w:val="21"/>
                    </w:rPr>
                  </w:pPr>
                  <w:r>
                    <w:rPr>
                      <w:color w:val="auto"/>
                      <w:sz w:val="21"/>
                      <w:szCs w:val="21"/>
                    </w:rPr>
                    <w:t>简单防渗</w:t>
                  </w:r>
                </w:p>
              </w:tc>
              <w:tc>
                <w:tcPr>
                  <w:tcW w:w="916" w:type="dxa"/>
                  <w:noWrap w:val="0"/>
                  <w:vAlign w:val="center"/>
                </w:tcPr>
                <w:p w14:paraId="0A62AB2D">
                  <w:pPr>
                    <w:pStyle w:val="65"/>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易</w:t>
                  </w:r>
                </w:p>
              </w:tc>
              <w:tc>
                <w:tcPr>
                  <w:tcW w:w="1338" w:type="dxa"/>
                  <w:noWrap w:val="0"/>
                  <w:vAlign w:val="center"/>
                </w:tcPr>
                <w:p w14:paraId="01FDA6A7">
                  <w:pPr>
                    <w:pStyle w:val="65"/>
                    <w:spacing w:line="240" w:lineRule="auto"/>
                    <w:ind w:firstLine="0" w:firstLineChars="0"/>
                    <w:jc w:val="center"/>
                    <w:rPr>
                      <w:color w:val="auto"/>
                      <w:sz w:val="21"/>
                      <w:szCs w:val="21"/>
                    </w:rPr>
                  </w:pPr>
                  <w:r>
                    <w:rPr>
                      <w:color w:val="auto"/>
                      <w:sz w:val="21"/>
                      <w:szCs w:val="21"/>
                    </w:rPr>
                    <w:t>办公区域</w:t>
                  </w:r>
                </w:p>
              </w:tc>
              <w:tc>
                <w:tcPr>
                  <w:tcW w:w="4634" w:type="dxa"/>
                  <w:noWrap w:val="0"/>
                  <w:vAlign w:val="center"/>
                </w:tcPr>
                <w:p w14:paraId="037F5A0E">
                  <w:pPr>
                    <w:pStyle w:val="65"/>
                    <w:spacing w:line="240" w:lineRule="auto"/>
                    <w:ind w:firstLine="0" w:firstLineChars="0"/>
                    <w:jc w:val="center"/>
                    <w:rPr>
                      <w:color w:val="auto"/>
                      <w:sz w:val="21"/>
                      <w:szCs w:val="21"/>
                    </w:rPr>
                  </w:pPr>
                  <w:r>
                    <w:rPr>
                      <w:color w:val="auto"/>
                      <w:sz w:val="21"/>
                      <w:szCs w:val="21"/>
                    </w:rPr>
                    <w:t>一般地面硬化</w:t>
                  </w:r>
                </w:p>
              </w:tc>
            </w:tr>
          </w:tbl>
          <w:p w14:paraId="4DB25363">
            <w:pPr>
              <w:pStyle w:val="9"/>
              <w:adjustRightInd w:val="0"/>
              <w:snapToGrid w:val="0"/>
              <w:spacing w:before="120" w:beforeLines="50" w:line="360" w:lineRule="auto"/>
              <w:ind w:firstLine="0" w:firstLineChars="0"/>
              <w:rPr>
                <w:b/>
                <w:bCs/>
                <w:color w:val="auto"/>
                <w:sz w:val="24"/>
              </w:rPr>
            </w:pPr>
            <w:r>
              <w:rPr>
                <w:rFonts w:hint="eastAsia"/>
                <w:b/>
                <w:bCs/>
                <w:color w:val="auto"/>
                <w:sz w:val="24"/>
              </w:rPr>
              <w:t>6、环境生态</w:t>
            </w:r>
          </w:p>
          <w:p w14:paraId="38EB006A">
            <w:pPr>
              <w:adjustRightInd w:val="0"/>
              <w:snapToGrid w:val="0"/>
              <w:spacing w:line="360" w:lineRule="auto"/>
              <w:ind w:firstLine="480" w:firstLineChars="200"/>
              <w:rPr>
                <w:rFonts w:ascii="宋体" w:hAnsi="宋体" w:cs="宋体"/>
                <w:color w:val="auto"/>
              </w:rPr>
            </w:pPr>
            <w:r>
              <w:rPr>
                <w:rFonts w:ascii="宋体" w:hAnsi="宋体" w:cs="宋体"/>
                <w:color w:val="auto"/>
              </w:rPr>
              <w:t>项目用地范围内不含生态环境保护目标，故不对生态环境进行影响分析。</w:t>
            </w:r>
          </w:p>
          <w:p w14:paraId="0BA2F0CE">
            <w:pPr>
              <w:adjustRightInd w:val="0"/>
              <w:snapToGrid w:val="0"/>
              <w:spacing w:before="120" w:beforeLines="50" w:line="360" w:lineRule="auto"/>
              <w:rPr>
                <w:b/>
                <w:bCs/>
                <w:color w:val="auto"/>
              </w:rPr>
            </w:pPr>
            <w:r>
              <w:rPr>
                <w:rFonts w:hint="eastAsia"/>
                <w:b/>
                <w:bCs/>
                <w:color w:val="auto"/>
              </w:rPr>
              <w:t>7、</w:t>
            </w:r>
            <w:r>
              <w:rPr>
                <w:b/>
                <w:bCs/>
                <w:color w:val="auto"/>
              </w:rPr>
              <w:t>环境风险</w:t>
            </w:r>
          </w:p>
          <w:p w14:paraId="4A294D42">
            <w:pPr>
              <w:adjustRightInd w:val="0"/>
              <w:snapToGrid w:val="0"/>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1、风险识别</w:t>
            </w:r>
          </w:p>
          <w:p w14:paraId="6ACBA357">
            <w:pPr>
              <w:adjustRightInd w:val="0"/>
              <w:snapToGrid w:val="0"/>
              <w:spacing w:line="360" w:lineRule="auto"/>
              <w:ind w:firstLine="480" w:firstLineChars="200"/>
              <w:rPr>
                <w:rFonts w:ascii="Times New Roman" w:hAnsi="Times New Roman" w:cs="Times New Roman"/>
                <w:sz w:val="24"/>
              </w:rPr>
            </w:pPr>
            <w:r>
              <w:rPr>
                <w:rFonts w:ascii="宋体" w:hAnsi="宋体" w:cs="宋体"/>
                <w:sz w:val="24"/>
              </w:rPr>
              <w:t>对本项目使用的主要原辅材料、燃料、中间产品、副产品、最终产品、污染物、火灾和爆炸伴生/次生物等进行物质的危险性识别。</w:t>
            </w:r>
            <w:r>
              <w:rPr>
                <w:rFonts w:hint="eastAsia" w:ascii="Times New Roman" w:hAnsi="Times New Roman" w:cs="Times New Roman"/>
                <w:bCs/>
                <w:sz w:val="24"/>
              </w:rPr>
              <w:t>对照《建设项目环境风险评价技术导则》（HJ169-2018）附录B</w:t>
            </w:r>
            <w:r>
              <w:rPr>
                <w:rFonts w:ascii="Times New Roman" w:hAnsi="Times New Roman" w:cs="Times New Roman"/>
                <w:sz w:val="24"/>
              </w:rPr>
              <w:t>计算所涉及的每种危险物质在厂界内的最大存在总量与其在《建设项目环境风险评价技术导则》（HJ169-2018）附录B中对应临界量的比值Q。在不同厂区的同一种物质，按其在厂界内的最大存在总量计算。</w:t>
            </w:r>
          </w:p>
          <w:p w14:paraId="77C10DBA">
            <w:pPr>
              <w:spacing w:line="360" w:lineRule="auto"/>
              <w:ind w:firstLine="480"/>
              <w:rPr>
                <w:rFonts w:ascii="Times New Roman" w:hAnsi="Times New Roman" w:cs="Times New Roman"/>
                <w:sz w:val="24"/>
              </w:rPr>
            </w:pPr>
            <w:r>
              <w:rPr>
                <w:rFonts w:ascii="Times New Roman" w:hAnsi="Times New Roman" w:cs="Times New Roman"/>
                <w:sz w:val="24"/>
              </w:rPr>
              <w:t>当只涉及一种危险物质时，计算该物质的总量与其临界量比值，即为Q；</w:t>
            </w:r>
          </w:p>
          <w:p w14:paraId="48DE0897">
            <w:pPr>
              <w:spacing w:line="360" w:lineRule="auto"/>
              <w:ind w:firstLine="480"/>
              <w:rPr>
                <w:rFonts w:ascii="Times New Roman" w:hAnsi="Times New Roman" w:cs="Times New Roman"/>
                <w:sz w:val="24"/>
              </w:rPr>
            </w:pPr>
            <w:r>
              <w:rPr>
                <w:rFonts w:ascii="Times New Roman" w:hAnsi="Times New Roman" w:cs="Times New Roman"/>
                <w:sz w:val="24"/>
              </w:rPr>
              <w:t>当存在多种危险物质时，则按下式计算物质总量与其临界量比值Q；</w:t>
            </w:r>
          </w:p>
          <w:p w14:paraId="7A1AAFF1">
            <w:pPr>
              <w:adjustRightInd w:val="0"/>
              <w:snapToGrid w:val="0"/>
              <w:spacing w:line="360" w:lineRule="auto"/>
              <w:jc w:val="center"/>
              <w:rPr>
                <w:rFonts w:hint="eastAsia" w:ascii="宋体" w:hAnsi="宋体" w:cs="宋体"/>
                <w:b/>
                <w:bCs/>
                <w:sz w:val="24"/>
              </w:rPr>
            </w:pPr>
            <w:r>
              <w:rPr>
                <w:rFonts w:ascii="Times New Roman" w:hAnsi="Times New Roman" w:cs="Times New Roman"/>
                <w:sz w:val="24"/>
              </w:rPr>
              <w:drawing>
                <wp:inline distT="0" distB="0" distL="114300" distR="114300">
                  <wp:extent cx="1675130" cy="453390"/>
                  <wp:effectExtent l="0" t="0" r="635" b="63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7"/>
                          <a:stretch>
                            <a:fillRect/>
                          </a:stretch>
                        </pic:blipFill>
                        <pic:spPr>
                          <a:xfrm>
                            <a:off x="0" y="0"/>
                            <a:ext cx="1675130" cy="453390"/>
                          </a:xfrm>
                          <a:prstGeom prst="rect">
                            <a:avLst/>
                          </a:prstGeom>
                          <a:noFill/>
                          <a:ln>
                            <a:noFill/>
                          </a:ln>
                        </pic:spPr>
                      </pic:pic>
                    </a:graphicData>
                  </a:graphic>
                </wp:inline>
              </w:drawing>
            </w:r>
          </w:p>
          <w:p w14:paraId="259225A6">
            <w:pPr>
              <w:spacing w:line="360" w:lineRule="auto"/>
              <w:ind w:firstLine="480"/>
              <w:rPr>
                <w:rFonts w:ascii="Times New Roman" w:hAnsi="Times New Roman" w:cs="Times New Roman"/>
                <w:sz w:val="24"/>
              </w:rPr>
            </w:pPr>
            <w:r>
              <w:rPr>
                <w:rFonts w:ascii="Times New Roman" w:hAnsi="Times New Roman" w:cs="Times New Roman"/>
                <w:sz w:val="24"/>
              </w:rPr>
              <w:t>式中：q</w:t>
            </w:r>
            <w:r>
              <w:rPr>
                <w:rFonts w:ascii="Times New Roman" w:hAnsi="Times New Roman" w:cs="Times New Roman"/>
                <w:sz w:val="24"/>
                <w:vertAlign w:val="subscript"/>
              </w:rPr>
              <w:t>1</w:t>
            </w:r>
            <w:r>
              <w:rPr>
                <w:rFonts w:ascii="Times New Roman" w:hAnsi="Times New Roman" w:cs="Times New Roman"/>
                <w:sz w:val="24"/>
              </w:rPr>
              <w:t>,q</w:t>
            </w:r>
            <w:r>
              <w:rPr>
                <w:rFonts w:ascii="Times New Roman" w:hAnsi="Times New Roman" w:cs="Times New Roman"/>
                <w:sz w:val="24"/>
                <w:vertAlign w:val="subscript"/>
              </w:rPr>
              <w:t>2</w:t>
            </w:r>
            <w:r>
              <w:rPr>
                <w:rFonts w:ascii="Times New Roman" w:hAnsi="Times New Roman" w:cs="Times New Roman"/>
                <w:sz w:val="24"/>
              </w:rPr>
              <w:t>…q</w:t>
            </w:r>
            <w:r>
              <w:rPr>
                <w:rFonts w:ascii="Times New Roman" w:hAnsi="Times New Roman" w:cs="Times New Roman"/>
                <w:sz w:val="24"/>
                <w:vertAlign w:val="subscript"/>
              </w:rPr>
              <w:t>n</w:t>
            </w:r>
            <w:r>
              <w:rPr>
                <w:rFonts w:ascii="Times New Roman" w:hAnsi="Times New Roman" w:cs="Times New Roman"/>
                <w:sz w:val="24"/>
              </w:rPr>
              <w:t>——每种危险物质实际存在量，t。</w:t>
            </w:r>
          </w:p>
          <w:p w14:paraId="0CB90F2B">
            <w:pPr>
              <w:spacing w:line="360" w:lineRule="auto"/>
              <w:ind w:firstLine="480"/>
              <w:rPr>
                <w:rFonts w:ascii="Times New Roman" w:hAnsi="Times New Roman" w:cs="Times New Roman"/>
                <w:sz w:val="24"/>
              </w:rPr>
            </w:pPr>
            <w:r>
              <w:rPr>
                <w:rFonts w:ascii="Times New Roman" w:hAnsi="Times New Roman" w:cs="Times New Roman"/>
                <w:sz w:val="24"/>
              </w:rPr>
              <w:t>Q</w:t>
            </w:r>
            <w:r>
              <w:rPr>
                <w:rFonts w:ascii="Times New Roman" w:hAnsi="Times New Roman" w:cs="Times New Roman"/>
                <w:sz w:val="24"/>
                <w:vertAlign w:val="subscript"/>
              </w:rPr>
              <w:t>1</w:t>
            </w:r>
            <w:r>
              <w:rPr>
                <w:rFonts w:ascii="Times New Roman" w:hAnsi="Times New Roman" w:cs="Times New Roman"/>
                <w:sz w:val="24"/>
              </w:rPr>
              <w:t>,Q</w:t>
            </w:r>
            <w:r>
              <w:rPr>
                <w:rFonts w:ascii="Times New Roman" w:hAnsi="Times New Roman" w:cs="Times New Roman"/>
                <w:sz w:val="24"/>
                <w:vertAlign w:val="subscript"/>
              </w:rPr>
              <w:t>2</w:t>
            </w:r>
            <w:r>
              <w:rPr>
                <w:rFonts w:ascii="Times New Roman" w:hAnsi="Times New Roman" w:cs="Times New Roman"/>
                <w:sz w:val="24"/>
              </w:rPr>
              <w:t>…Q</w:t>
            </w:r>
            <w:r>
              <w:rPr>
                <w:rFonts w:ascii="Times New Roman" w:hAnsi="Times New Roman" w:cs="Times New Roman"/>
                <w:sz w:val="24"/>
                <w:vertAlign w:val="subscript"/>
              </w:rPr>
              <w:t>n</w:t>
            </w:r>
            <w:r>
              <w:rPr>
                <w:rFonts w:ascii="Times New Roman" w:hAnsi="Times New Roman" w:cs="Times New Roman"/>
                <w:sz w:val="24"/>
              </w:rPr>
              <w:t>——与各危险物质相对应的生产场所或贮存区的临界量，t。</w:t>
            </w:r>
          </w:p>
          <w:p w14:paraId="4BCAA6F1">
            <w:pPr>
              <w:widowControl w:val="0"/>
              <w:spacing w:line="360" w:lineRule="auto"/>
              <w:jc w:val="center"/>
              <w:rPr>
                <w:rFonts w:ascii="Times New Roman" w:hAnsi="Times New Roman" w:eastAsia="宋体" w:cs="Times New Roman"/>
                <w:b/>
                <w:bCs/>
                <w:kern w:val="2"/>
                <w:sz w:val="24"/>
                <w:szCs w:val="20"/>
                <w:lang w:val="en-US" w:eastAsia="zh-CN" w:bidi="ar-SA"/>
              </w:rPr>
            </w:pPr>
            <w:r>
              <w:rPr>
                <w:rFonts w:ascii="Times New Roman" w:hAnsi="Times New Roman" w:eastAsia="宋体" w:cs="Times New Roman"/>
                <w:b/>
                <w:bCs/>
                <w:kern w:val="2"/>
                <w:sz w:val="24"/>
                <w:szCs w:val="20"/>
                <w:lang w:val="en-US" w:eastAsia="zh-CN" w:bidi="ar-SA"/>
              </w:rPr>
              <w:t>表</w:t>
            </w:r>
            <w:r>
              <w:rPr>
                <w:rFonts w:hint="eastAsia" w:ascii="Times New Roman" w:hAnsi="Times New Roman" w:eastAsia="宋体" w:cs="Times New Roman"/>
                <w:b/>
                <w:bCs/>
                <w:kern w:val="2"/>
                <w:sz w:val="24"/>
                <w:szCs w:val="20"/>
                <w:lang w:val="en-US" w:eastAsia="zh-CN" w:bidi="ar-SA"/>
              </w:rPr>
              <w:t>4-1</w:t>
            </w:r>
            <w:r>
              <w:rPr>
                <w:rFonts w:hint="eastAsia" w:cs="Times New Roman"/>
                <w:b/>
                <w:bCs/>
                <w:kern w:val="2"/>
                <w:sz w:val="24"/>
                <w:szCs w:val="20"/>
                <w:lang w:val="en-US" w:eastAsia="zh-CN" w:bidi="ar-SA"/>
              </w:rPr>
              <w:t>5</w:t>
            </w:r>
            <w:r>
              <w:rPr>
                <w:rFonts w:hint="eastAsia" w:ascii="Times New Roman" w:hAnsi="Times New Roman" w:eastAsia="宋体" w:cs="Times New Roman"/>
                <w:b/>
                <w:bCs/>
                <w:kern w:val="2"/>
                <w:sz w:val="24"/>
                <w:szCs w:val="20"/>
                <w:lang w:val="en-US" w:eastAsia="zh-CN" w:bidi="ar-SA"/>
              </w:rPr>
              <w:t xml:space="preserve"> </w:t>
            </w:r>
            <w:r>
              <w:rPr>
                <w:rFonts w:ascii="Times New Roman" w:hAnsi="Times New Roman" w:eastAsia="宋体" w:cs="Times New Roman"/>
                <w:b/>
                <w:bCs/>
                <w:kern w:val="2"/>
                <w:sz w:val="24"/>
                <w:szCs w:val="20"/>
                <w:lang w:val="en-US" w:eastAsia="zh-CN" w:bidi="ar-SA"/>
              </w:rPr>
              <w:t>项目危险物质数量与临界量分析</w:t>
            </w:r>
          </w:p>
          <w:tbl>
            <w:tblPr>
              <w:tblStyle w:val="30"/>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170"/>
              <w:gridCol w:w="1589"/>
              <w:gridCol w:w="1589"/>
              <w:gridCol w:w="1590"/>
            </w:tblGrid>
            <w:tr w14:paraId="4136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735C5E51">
                  <w:pPr>
                    <w:widowControl/>
                    <w:jc w:val="center"/>
                    <w:rPr>
                      <w:rFonts w:ascii="Times New Roman" w:hAnsi="Times New Roman" w:cs="Times New Roman"/>
                      <w:b/>
                      <w:bCs/>
                      <w:sz w:val="21"/>
                      <w:szCs w:val="21"/>
                    </w:rPr>
                  </w:pPr>
                  <w:r>
                    <w:rPr>
                      <w:rFonts w:ascii="Times New Roman" w:hAnsi="Times New Roman" w:cs="Times New Roman"/>
                      <w:b/>
                      <w:bCs/>
                      <w:kern w:val="0"/>
                      <w:sz w:val="21"/>
                      <w:szCs w:val="21"/>
                    </w:rPr>
                    <w:t>序号</w:t>
                  </w:r>
                </w:p>
              </w:tc>
              <w:tc>
                <w:tcPr>
                  <w:tcW w:w="2170" w:type="dxa"/>
                  <w:noWrap w:val="0"/>
                  <w:vAlign w:val="center"/>
                </w:tcPr>
                <w:p w14:paraId="1CA38B46">
                  <w:pPr>
                    <w:widowControl/>
                    <w:jc w:val="center"/>
                    <w:rPr>
                      <w:rFonts w:ascii="Times New Roman" w:hAnsi="Times New Roman" w:cs="Times New Roman"/>
                      <w:b/>
                      <w:bCs/>
                      <w:sz w:val="21"/>
                      <w:szCs w:val="21"/>
                    </w:rPr>
                  </w:pPr>
                  <w:r>
                    <w:rPr>
                      <w:rFonts w:ascii="Times New Roman" w:hAnsi="Times New Roman" w:cs="Times New Roman"/>
                      <w:b/>
                      <w:bCs/>
                      <w:kern w:val="0"/>
                      <w:sz w:val="21"/>
                      <w:szCs w:val="21"/>
                    </w:rPr>
                    <w:t>危险化学品名称</w:t>
                  </w:r>
                </w:p>
              </w:tc>
              <w:tc>
                <w:tcPr>
                  <w:tcW w:w="1589" w:type="dxa"/>
                  <w:noWrap w:val="0"/>
                  <w:vAlign w:val="center"/>
                </w:tcPr>
                <w:p w14:paraId="05AB7E8A">
                  <w:pPr>
                    <w:widowControl/>
                    <w:jc w:val="center"/>
                    <w:rPr>
                      <w:rFonts w:ascii="Times New Roman" w:hAnsi="Times New Roman" w:cs="Times New Roman"/>
                      <w:b/>
                      <w:bCs/>
                      <w:sz w:val="21"/>
                      <w:szCs w:val="21"/>
                    </w:rPr>
                  </w:pPr>
                  <w:r>
                    <w:rPr>
                      <w:rFonts w:ascii="Times New Roman" w:hAnsi="Times New Roman" w:cs="Times New Roman"/>
                      <w:b/>
                      <w:bCs/>
                      <w:kern w:val="0"/>
                      <w:sz w:val="21"/>
                      <w:szCs w:val="21"/>
                    </w:rPr>
                    <w:t>最大贮存量（t）</w:t>
                  </w:r>
                </w:p>
              </w:tc>
              <w:tc>
                <w:tcPr>
                  <w:tcW w:w="1589" w:type="dxa"/>
                  <w:noWrap w:val="0"/>
                  <w:vAlign w:val="center"/>
                </w:tcPr>
                <w:p w14:paraId="55480E76">
                  <w:pPr>
                    <w:widowControl/>
                    <w:jc w:val="center"/>
                    <w:rPr>
                      <w:rFonts w:ascii="Times New Roman" w:hAnsi="Times New Roman" w:cs="Times New Roman"/>
                      <w:b/>
                      <w:bCs/>
                      <w:sz w:val="21"/>
                      <w:szCs w:val="21"/>
                    </w:rPr>
                  </w:pPr>
                  <w:r>
                    <w:rPr>
                      <w:rFonts w:ascii="Times New Roman" w:hAnsi="Times New Roman" w:cs="Times New Roman"/>
                      <w:b/>
                      <w:bCs/>
                      <w:kern w:val="0"/>
                      <w:sz w:val="21"/>
                      <w:szCs w:val="21"/>
                    </w:rPr>
                    <w:t>临界量（t）</w:t>
                  </w:r>
                </w:p>
              </w:tc>
              <w:tc>
                <w:tcPr>
                  <w:tcW w:w="1590" w:type="dxa"/>
                  <w:noWrap w:val="0"/>
                  <w:vAlign w:val="center"/>
                </w:tcPr>
                <w:p w14:paraId="3A3C9FCA">
                  <w:pPr>
                    <w:widowControl/>
                    <w:jc w:val="center"/>
                    <w:rPr>
                      <w:rFonts w:ascii="Times New Roman" w:hAnsi="Times New Roman" w:cs="Times New Roman"/>
                      <w:b/>
                      <w:bCs/>
                      <w:sz w:val="21"/>
                      <w:szCs w:val="21"/>
                    </w:rPr>
                  </w:pPr>
                  <w:r>
                    <w:rPr>
                      <w:rFonts w:ascii="Times New Roman" w:hAnsi="Times New Roman" w:cs="Times New Roman"/>
                      <w:b/>
                      <w:bCs/>
                      <w:sz w:val="21"/>
                      <w:szCs w:val="21"/>
                    </w:rPr>
                    <w:t>q</w:t>
                  </w:r>
                  <w:r>
                    <w:rPr>
                      <w:rFonts w:ascii="Times New Roman" w:hAnsi="Times New Roman" w:cs="Times New Roman"/>
                      <w:b/>
                      <w:bCs/>
                      <w:sz w:val="21"/>
                      <w:szCs w:val="21"/>
                      <w:vertAlign w:val="subscript"/>
                    </w:rPr>
                    <w:t>i</w:t>
                  </w:r>
                  <w:r>
                    <w:rPr>
                      <w:rFonts w:ascii="Times New Roman" w:hAnsi="Times New Roman" w:cs="Times New Roman"/>
                      <w:b/>
                      <w:bCs/>
                      <w:sz w:val="21"/>
                      <w:szCs w:val="21"/>
                    </w:rPr>
                    <w:t>/Q</w:t>
                  </w:r>
                  <w:r>
                    <w:rPr>
                      <w:rFonts w:ascii="Times New Roman" w:hAnsi="Times New Roman" w:cs="Times New Roman"/>
                      <w:b/>
                      <w:bCs/>
                      <w:sz w:val="21"/>
                      <w:szCs w:val="21"/>
                      <w:vertAlign w:val="subscript"/>
                    </w:rPr>
                    <w:t>i</w:t>
                  </w:r>
                </w:p>
              </w:tc>
            </w:tr>
            <w:tr w14:paraId="1F60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398258F7">
                  <w:pPr>
                    <w:widowControl/>
                    <w:jc w:val="center"/>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2170" w:type="dxa"/>
                  <w:noWrap w:val="0"/>
                  <w:vAlign w:val="center"/>
                </w:tcPr>
                <w:p w14:paraId="0D454356">
                  <w:pPr>
                    <w:widowControl/>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润滑</w:t>
                  </w:r>
                  <w:r>
                    <w:rPr>
                      <w:rFonts w:hint="eastAsia" w:ascii="Times New Roman" w:hAnsi="Times New Roman" w:cs="Times New Roman"/>
                      <w:kern w:val="0"/>
                      <w:sz w:val="21"/>
                      <w:szCs w:val="21"/>
                    </w:rPr>
                    <w:t>油</w:t>
                  </w:r>
                </w:p>
              </w:tc>
              <w:tc>
                <w:tcPr>
                  <w:tcW w:w="1589" w:type="dxa"/>
                  <w:noWrap w:val="0"/>
                  <w:vAlign w:val="center"/>
                </w:tcPr>
                <w:p w14:paraId="6F52B6B0">
                  <w:pPr>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w:t>
                  </w:r>
                </w:p>
              </w:tc>
              <w:tc>
                <w:tcPr>
                  <w:tcW w:w="1589" w:type="dxa"/>
                  <w:noWrap w:val="0"/>
                  <w:vAlign w:val="center"/>
                </w:tcPr>
                <w:p w14:paraId="67628174">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rPr>
                    <w:t>2500</w:t>
                  </w:r>
                </w:p>
              </w:tc>
              <w:tc>
                <w:tcPr>
                  <w:tcW w:w="1590" w:type="dxa"/>
                  <w:noWrap w:val="0"/>
                  <w:vAlign w:val="center"/>
                </w:tcPr>
                <w:p w14:paraId="53459358">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0.00004</w:t>
                  </w:r>
                </w:p>
              </w:tc>
            </w:tr>
            <w:tr w14:paraId="2310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19390998">
                  <w:pPr>
                    <w:widowControl/>
                    <w:jc w:val="center"/>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2170" w:type="dxa"/>
                  <w:noWrap w:val="0"/>
                  <w:vAlign w:val="center"/>
                </w:tcPr>
                <w:p w14:paraId="1406F6A3">
                  <w:pPr>
                    <w:widowControl/>
                    <w:jc w:val="center"/>
                    <w:rPr>
                      <w:rFonts w:hint="eastAsia" w:cs="Times New Roman"/>
                      <w:kern w:val="0"/>
                      <w:sz w:val="21"/>
                      <w:szCs w:val="21"/>
                      <w:lang w:val="en-US" w:eastAsia="zh-CN"/>
                    </w:rPr>
                  </w:pPr>
                  <w:r>
                    <w:rPr>
                      <w:rFonts w:hint="eastAsia" w:ascii="Times New Roman" w:hAnsi="Times New Roman" w:cs="Times New Roman"/>
                      <w:kern w:val="0"/>
                      <w:sz w:val="21"/>
                      <w:szCs w:val="21"/>
                      <w:lang w:val="en-US" w:eastAsia="zh-CN"/>
                    </w:rPr>
                    <w:t>废润滑油</w:t>
                  </w:r>
                </w:p>
              </w:tc>
              <w:tc>
                <w:tcPr>
                  <w:tcW w:w="1589" w:type="dxa"/>
                  <w:noWrap w:val="0"/>
                  <w:vAlign w:val="center"/>
                </w:tcPr>
                <w:p w14:paraId="579E6279">
                  <w:pPr>
                    <w:widowControl/>
                    <w:jc w:val="center"/>
                    <w:rPr>
                      <w:rFonts w:hint="eastAsia" w:cs="Times New Roman"/>
                      <w:sz w:val="21"/>
                      <w:szCs w:val="21"/>
                      <w:lang w:val="en-US" w:eastAsia="zh-CN"/>
                    </w:rPr>
                  </w:pPr>
                  <w:r>
                    <w:rPr>
                      <w:rFonts w:hint="eastAsia" w:cs="Times New Roman"/>
                      <w:sz w:val="21"/>
                      <w:szCs w:val="21"/>
                      <w:lang w:val="en-US" w:eastAsia="zh-CN"/>
                    </w:rPr>
                    <w:t>0.1</w:t>
                  </w:r>
                </w:p>
              </w:tc>
              <w:tc>
                <w:tcPr>
                  <w:tcW w:w="1589" w:type="dxa"/>
                  <w:noWrap w:val="0"/>
                  <w:vAlign w:val="center"/>
                </w:tcPr>
                <w:p w14:paraId="0B1EA94E">
                  <w:pPr>
                    <w:widowControl/>
                    <w:jc w:val="center"/>
                    <w:rPr>
                      <w:rFonts w:hint="eastAsia" w:cs="Times New Roman"/>
                      <w:kern w:val="0"/>
                      <w:sz w:val="21"/>
                      <w:szCs w:val="21"/>
                      <w:lang w:val="en-US" w:eastAsia="zh-CN"/>
                    </w:rPr>
                  </w:pPr>
                  <w:r>
                    <w:rPr>
                      <w:rFonts w:hint="eastAsia" w:ascii="Times New Roman" w:hAnsi="Times New Roman" w:cs="Times New Roman"/>
                      <w:kern w:val="0"/>
                      <w:sz w:val="21"/>
                      <w:szCs w:val="21"/>
                    </w:rPr>
                    <w:t>2</w:t>
                  </w:r>
                  <w:r>
                    <w:rPr>
                      <w:rFonts w:ascii="Times New Roman" w:hAnsi="Times New Roman" w:cs="Times New Roman"/>
                      <w:kern w:val="0"/>
                      <w:sz w:val="21"/>
                      <w:szCs w:val="21"/>
                    </w:rPr>
                    <w:t>500</w:t>
                  </w:r>
                </w:p>
              </w:tc>
              <w:tc>
                <w:tcPr>
                  <w:tcW w:w="1590" w:type="dxa"/>
                  <w:noWrap w:val="0"/>
                  <w:vAlign w:val="center"/>
                </w:tcPr>
                <w:p w14:paraId="636A639A">
                  <w:pPr>
                    <w:widowControl/>
                    <w:jc w:val="center"/>
                    <w:rPr>
                      <w:rFonts w:hint="eastAsia" w:cs="Times New Roman"/>
                      <w:kern w:val="0"/>
                      <w:sz w:val="21"/>
                      <w:szCs w:val="21"/>
                      <w:lang w:val="en-US" w:eastAsia="zh-CN"/>
                    </w:rPr>
                  </w:pPr>
                  <w:r>
                    <w:rPr>
                      <w:rFonts w:hint="eastAsia" w:cs="Times New Roman"/>
                      <w:kern w:val="0"/>
                      <w:sz w:val="21"/>
                      <w:szCs w:val="21"/>
                      <w:lang w:val="en-US" w:eastAsia="zh-CN"/>
                    </w:rPr>
                    <w:t>0.00004</w:t>
                  </w:r>
                </w:p>
              </w:tc>
            </w:tr>
            <w:tr w14:paraId="0CAC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6" w:type="dxa"/>
                  <w:gridSpan w:val="4"/>
                  <w:noWrap w:val="0"/>
                  <w:vAlign w:val="center"/>
                </w:tcPr>
                <w:p w14:paraId="1518406D">
                  <w:pPr>
                    <w:widowControl/>
                    <w:jc w:val="center"/>
                    <w:rPr>
                      <w:rFonts w:ascii="Times New Roman" w:hAnsi="Times New Roman" w:cs="Times New Roman"/>
                      <w:kern w:val="0"/>
                      <w:sz w:val="21"/>
                      <w:szCs w:val="21"/>
                    </w:rPr>
                  </w:pPr>
                  <w:r>
                    <w:rPr>
                      <w:rFonts w:hint="eastAsia" w:ascii="Times New Roman" w:hAnsi="Times New Roman" w:cs="Times New Roman"/>
                      <w:kern w:val="0"/>
                      <w:sz w:val="21"/>
                      <w:szCs w:val="21"/>
                    </w:rPr>
                    <w:t>合计</w:t>
                  </w:r>
                </w:p>
              </w:tc>
              <w:tc>
                <w:tcPr>
                  <w:tcW w:w="1590" w:type="dxa"/>
                  <w:noWrap w:val="0"/>
                  <w:vAlign w:val="center"/>
                </w:tcPr>
                <w:p w14:paraId="4AD6EE56">
                  <w:pPr>
                    <w:widowControl/>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0.00008</w:t>
                  </w:r>
                </w:p>
              </w:tc>
            </w:tr>
          </w:tbl>
          <w:p w14:paraId="29FF96D9">
            <w:pPr>
              <w:spacing w:line="360" w:lineRule="auto"/>
              <w:ind w:firstLine="459"/>
              <w:rPr>
                <w:rFonts w:ascii="Times New Roman" w:hAnsi="Times New Roman" w:cs="Times New Roman"/>
                <w:sz w:val="24"/>
              </w:rPr>
            </w:pPr>
            <w:r>
              <w:rPr>
                <w:rFonts w:ascii="Times New Roman" w:hAnsi="Times New Roman" w:cs="Times New Roman"/>
                <w:sz w:val="24"/>
              </w:rPr>
              <w:t>根据《建设项目环境风险评价技术导则》（HJ169-2018）规定，风险评价的等级划分是基于项目涉及的物质和工艺系统的危险性及其所在地的环境敏感性确定环境风险潜势，按下表确定评价工作等级。</w:t>
            </w:r>
          </w:p>
          <w:p w14:paraId="03198DF1">
            <w:pPr>
              <w:spacing w:line="360" w:lineRule="auto"/>
              <w:ind w:firstLine="27"/>
              <w:jc w:val="center"/>
              <w:rPr>
                <w:rFonts w:ascii="Times New Roman" w:hAnsi="Times New Roman" w:cs="Times New Roman"/>
                <w:b/>
                <w:bCs/>
                <w:sz w:val="24"/>
              </w:rPr>
            </w:pPr>
            <w:r>
              <w:rPr>
                <w:rFonts w:ascii="Times New Roman" w:hAnsi="Times New Roman" w:cs="Times New Roman"/>
                <w:b/>
                <w:bCs/>
                <w:sz w:val="24"/>
              </w:rPr>
              <w:t>表4</w:t>
            </w:r>
            <w:r>
              <w:rPr>
                <w:rFonts w:hint="eastAsia" w:ascii="Times New Roman" w:hAnsi="Times New Roman" w:cs="Times New Roman"/>
                <w:b/>
                <w:bCs/>
                <w:sz w:val="24"/>
              </w:rPr>
              <w:t>-</w:t>
            </w:r>
            <w:r>
              <w:rPr>
                <w:rFonts w:ascii="Times New Roman" w:hAnsi="Times New Roman" w:cs="Times New Roman"/>
                <w:b/>
                <w:bCs/>
                <w:sz w:val="24"/>
              </w:rPr>
              <w:t>1</w:t>
            </w:r>
            <w:r>
              <w:rPr>
                <w:rFonts w:hint="eastAsia" w:cs="Times New Roman"/>
                <w:b/>
                <w:bCs/>
                <w:sz w:val="24"/>
                <w:lang w:val="en-US" w:eastAsia="zh-CN"/>
              </w:rPr>
              <w:t>6</w:t>
            </w:r>
            <w:r>
              <w:rPr>
                <w:rFonts w:ascii="Times New Roman" w:hAnsi="Times New Roman" w:cs="Times New Roman"/>
                <w:b/>
                <w:bCs/>
                <w:sz w:val="24"/>
              </w:rPr>
              <w:t xml:space="preserve">  环境风险评价工作等级划分</w:t>
            </w:r>
          </w:p>
          <w:tbl>
            <w:tblPr>
              <w:tblStyle w:val="3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1241"/>
              <w:gridCol w:w="1572"/>
              <w:gridCol w:w="1633"/>
              <w:gridCol w:w="1476"/>
            </w:tblGrid>
            <w:tr w14:paraId="6077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0" w:type="dxa"/>
                  <w:noWrap w:val="0"/>
                  <w:vAlign w:val="center"/>
                </w:tcPr>
                <w:p w14:paraId="66EEA06B">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环境风险潜势</w:t>
                  </w:r>
                </w:p>
              </w:tc>
              <w:tc>
                <w:tcPr>
                  <w:tcW w:w="1328" w:type="dxa"/>
                  <w:noWrap w:val="0"/>
                  <w:vAlign w:val="center"/>
                </w:tcPr>
                <w:p w14:paraId="06A1F1E8">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Ⅳ、Ⅳ</w:t>
                  </w:r>
                  <w:r>
                    <w:rPr>
                      <w:rFonts w:ascii="Times New Roman" w:hAnsi="Times New Roman" w:eastAsia="宋体" w:cs="Times New Roman"/>
                      <w:kern w:val="0"/>
                      <w:sz w:val="21"/>
                      <w:szCs w:val="21"/>
                      <w:vertAlign w:val="superscript"/>
                      <w:lang w:val="en-US" w:eastAsia="zh-CN" w:bidi="ar-SA"/>
                    </w:rPr>
                    <w:t>+</w:t>
                  </w:r>
                </w:p>
              </w:tc>
              <w:tc>
                <w:tcPr>
                  <w:tcW w:w="1687" w:type="dxa"/>
                  <w:noWrap w:val="0"/>
                  <w:vAlign w:val="center"/>
                </w:tcPr>
                <w:p w14:paraId="0D876E70">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Ⅲ</w:t>
                  </w:r>
                </w:p>
              </w:tc>
              <w:tc>
                <w:tcPr>
                  <w:tcW w:w="1754" w:type="dxa"/>
                  <w:noWrap w:val="0"/>
                  <w:vAlign w:val="center"/>
                </w:tcPr>
                <w:p w14:paraId="1767838F">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Ⅱ</w:t>
                  </w:r>
                </w:p>
              </w:tc>
              <w:tc>
                <w:tcPr>
                  <w:tcW w:w="1583" w:type="dxa"/>
                  <w:noWrap w:val="0"/>
                  <w:vAlign w:val="center"/>
                </w:tcPr>
                <w:p w14:paraId="4E2791D0">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Ⅰ</w:t>
                  </w:r>
                </w:p>
              </w:tc>
            </w:tr>
            <w:tr w14:paraId="2202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0" w:type="dxa"/>
                  <w:noWrap w:val="0"/>
                  <w:vAlign w:val="center"/>
                </w:tcPr>
                <w:p w14:paraId="1D1BBDBF">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评价工作等级</w:t>
                  </w:r>
                </w:p>
              </w:tc>
              <w:tc>
                <w:tcPr>
                  <w:tcW w:w="1328" w:type="dxa"/>
                  <w:noWrap w:val="0"/>
                  <w:vAlign w:val="center"/>
                </w:tcPr>
                <w:p w14:paraId="1AECE26A">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一</w:t>
                  </w:r>
                </w:p>
              </w:tc>
              <w:tc>
                <w:tcPr>
                  <w:tcW w:w="1687" w:type="dxa"/>
                  <w:noWrap w:val="0"/>
                  <w:vAlign w:val="center"/>
                </w:tcPr>
                <w:p w14:paraId="0FC9CC87">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二</w:t>
                  </w:r>
                </w:p>
              </w:tc>
              <w:tc>
                <w:tcPr>
                  <w:tcW w:w="1754" w:type="dxa"/>
                  <w:noWrap w:val="0"/>
                  <w:vAlign w:val="center"/>
                </w:tcPr>
                <w:p w14:paraId="1E108027">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三</w:t>
                  </w:r>
                </w:p>
              </w:tc>
              <w:tc>
                <w:tcPr>
                  <w:tcW w:w="1583" w:type="dxa"/>
                  <w:noWrap w:val="0"/>
                  <w:vAlign w:val="center"/>
                </w:tcPr>
                <w:p w14:paraId="02E66AD2">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简单分析</w:t>
                  </w:r>
                  <w:r>
                    <w:rPr>
                      <w:rFonts w:ascii="Times New Roman" w:hAnsi="Times New Roman" w:eastAsia="宋体" w:cs="Times New Roman"/>
                      <w:kern w:val="0"/>
                      <w:sz w:val="21"/>
                      <w:szCs w:val="21"/>
                      <w:vertAlign w:val="superscript"/>
                      <w:lang w:val="en-US" w:eastAsia="zh-CN" w:bidi="ar-SA"/>
                    </w:rPr>
                    <w:t>a</w:t>
                  </w:r>
                </w:p>
              </w:tc>
            </w:tr>
            <w:tr w14:paraId="2214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2" w:type="dxa"/>
                  <w:gridSpan w:val="5"/>
                  <w:noWrap w:val="0"/>
                  <w:vAlign w:val="center"/>
                </w:tcPr>
                <w:p w14:paraId="27D822B0">
                  <w:pPr>
                    <w:widowControl w:val="0"/>
                    <w:spacing w:after="0"/>
                    <w:ind w:left="0" w:left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a是相对于详细评价工作内容而言，在描述风险物质、环境影响途径、环境危害后果、风险防范措施等方面给出定性的说明。</w:t>
                  </w:r>
                </w:p>
              </w:tc>
            </w:tr>
          </w:tbl>
          <w:p w14:paraId="03C602D2">
            <w:pPr>
              <w:adjustRightInd w:val="0"/>
              <w:snapToGrid w:val="0"/>
              <w:spacing w:line="360" w:lineRule="auto"/>
              <w:ind w:firstLine="480" w:firstLineChars="200"/>
              <w:rPr>
                <w:rFonts w:hint="eastAsia" w:ascii="Times New Roman" w:hAnsi="Times New Roman" w:cs="Times New Roman"/>
                <w:bCs/>
                <w:sz w:val="24"/>
              </w:rPr>
            </w:pPr>
            <w:r>
              <w:rPr>
                <w:rFonts w:ascii="Times New Roman" w:hAnsi="Times New Roman" w:cs="Times New Roman"/>
                <w:sz w:val="24"/>
              </w:rPr>
              <w:t>本项目属于</w:t>
            </w:r>
            <w:r>
              <w:rPr>
                <w:rFonts w:ascii="宋体" w:hAnsi="宋体" w:cs="宋体"/>
                <w:sz w:val="24"/>
              </w:rPr>
              <w:t>轻度</w:t>
            </w:r>
            <w:r>
              <w:rPr>
                <w:rFonts w:ascii="Times New Roman" w:hAnsi="Times New Roman" w:cs="Times New Roman"/>
                <w:sz w:val="24"/>
              </w:rPr>
              <w:t>关注的危险物质与临界量比值</w:t>
            </w:r>
            <w:r>
              <w:rPr>
                <w:rFonts w:hint="eastAsia" w:ascii="Times New Roman" w:hAnsi="Times New Roman" w:cs="Times New Roman"/>
                <w:sz w:val="24"/>
              </w:rPr>
              <w:t>&lt;</w:t>
            </w:r>
            <w:r>
              <w:rPr>
                <w:rFonts w:ascii="Times New Roman" w:hAnsi="Times New Roman" w:cs="Times New Roman"/>
                <w:sz w:val="24"/>
              </w:rPr>
              <w:t>1，本项目</w:t>
            </w:r>
            <w:r>
              <w:rPr>
                <w:rFonts w:ascii="宋体" w:hAnsi="宋体" w:cs="宋体"/>
                <w:sz w:val="24"/>
              </w:rPr>
              <w:t>风险潜势为Ⅰ</w:t>
            </w:r>
            <w:r>
              <w:rPr>
                <w:rFonts w:hint="eastAsia" w:ascii="宋体" w:hAnsi="宋体" w:cs="宋体"/>
                <w:sz w:val="24"/>
              </w:rPr>
              <w:t>,对其进行简单分析，</w:t>
            </w:r>
            <w:r>
              <w:rPr>
                <w:rFonts w:ascii="宋体" w:hAnsi="宋体" w:cs="宋体"/>
                <w:sz w:val="24"/>
              </w:rPr>
              <w:t>不构成重大危险源</w:t>
            </w:r>
            <w:r>
              <w:rPr>
                <w:rFonts w:ascii="Times New Roman" w:hAnsi="Times New Roman" w:cs="Times New Roman"/>
                <w:sz w:val="24"/>
              </w:rPr>
              <w:t>。</w:t>
            </w:r>
          </w:p>
          <w:p w14:paraId="57E58595">
            <w:pPr>
              <w:spacing w:line="360" w:lineRule="auto"/>
              <w:ind w:firstLine="480"/>
              <w:rPr>
                <w:rFonts w:ascii="Times New Roman" w:hAnsi="Times New Roman" w:cs="Times New Roman"/>
                <w:sz w:val="24"/>
              </w:rPr>
            </w:pPr>
            <w:r>
              <w:rPr>
                <w:rFonts w:hint="eastAsia" w:ascii="Times New Roman" w:hAnsi="Times New Roman" w:cs="Times New Roman"/>
                <w:sz w:val="24"/>
              </w:rPr>
              <w:t>2、事故风险可能性分析</w:t>
            </w:r>
          </w:p>
          <w:p w14:paraId="30F86B0C">
            <w:pPr>
              <w:spacing w:line="360" w:lineRule="auto"/>
              <w:ind w:firstLine="480"/>
              <w:rPr>
                <w:rFonts w:ascii="Times New Roman" w:hAnsi="Times New Roman" w:cs="Times New Roman"/>
                <w:sz w:val="24"/>
              </w:rPr>
            </w:pPr>
            <w:r>
              <w:rPr>
                <w:rFonts w:hint="eastAsia" w:ascii="Times New Roman" w:hAnsi="Times New Roman" w:cs="Times New Roman"/>
                <w:sz w:val="24"/>
              </w:rPr>
              <w:t>原辅材料等物品的存放和使用过程中存在燃烧的风险，可能引起较大的环境风险。为应对物料燃烧的风险，设置消防沙和消防桶，常备灭火器、铁锹等消防、应急措施。</w:t>
            </w:r>
          </w:p>
          <w:p w14:paraId="08409431">
            <w:pPr>
              <w:adjustRightInd w:val="0"/>
              <w:snapToGrid w:val="0"/>
              <w:spacing w:line="360" w:lineRule="auto"/>
              <w:ind w:firstLine="440" w:firstLineChars="200"/>
              <w:rPr>
                <w:rFonts w:ascii="Times New Roman" w:hAnsi="Times New Roman" w:cs="Times New Roman"/>
                <w:sz w:val="24"/>
              </w:rPr>
            </w:pPr>
            <w:r>
              <w:rPr>
                <w:rFonts w:hint="eastAsia" w:ascii="Times New Roman" w:hAnsi="Times New Roman" w:cs="Times New Roman"/>
                <w:bCs/>
                <w:spacing w:val="-10"/>
                <w:sz w:val="24"/>
              </w:rPr>
              <w:t>3、</w:t>
            </w:r>
            <w:r>
              <w:rPr>
                <w:rFonts w:hint="eastAsia" w:ascii="Times New Roman" w:hAnsi="Times New Roman" w:cs="Times New Roman"/>
                <w:sz w:val="24"/>
              </w:rPr>
              <w:t>环境风险防范措施及应急要求</w:t>
            </w:r>
          </w:p>
          <w:p w14:paraId="7A6EB249">
            <w:pPr>
              <w:spacing w:line="360" w:lineRule="auto"/>
              <w:ind w:firstLine="480" w:firstLineChars="200"/>
              <w:rPr>
                <w:rFonts w:ascii="Times New Roman" w:hAnsi="Times New Roman" w:cs="Times New Roman"/>
                <w:sz w:val="24"/>
              </w:rPr>
            </w:pPr>
            <w:r>
              <w:rPr>
                <w:rFonts w:ascii="宋体" w:hAnsi="宋体" w:eastAsia="宋体" w:cs="宋体"/>
                <w:color w:val="auto"/>
                <w:sz w:val="24"/>
                <w:szCs w:val="24"/>
              </w:rPr>
              <w:t>本项目使用的</w:t>
            </w:r>
            <w:r>
              <w:rPr>
                <w:rFonts w:hint="eastAsia" w:ascii="宋体" w:hAnsi="宋体" w:cs="宋体"/>
                <w:color w:val="auto"/>
                <w:sz w:val="24"/>
                <w:szCs w:val="24"/>
                <w:lang w:val="en-US" w:eastAsia="zh-CN"/>
              </w:rPr>
              <w:t>原料和成品均</w:t>
            </w:r>
            <w:r>
              <w:rPr>
                <w:rFonts w:ascii="宋体" w:hAnsi="宋体" w:eastAsia="宋体" w:cs="宋体"/>
                <w:color w:val="auto"/>
                <w:sz w:val="24"/>
                <w:szCs w:val="24"/>
              </w:rPr>
              <w:t>属于可燃物质，</w:t>
            </w:r>
            <w:r>
              <w:rPr>
                <w:rFonts w:hint="eastAsia" w:ascii="Times New Roman" w:hAnsi="Times New Roman" w:cs="Times New Roman"/>
                <w:sz w:val="24"/>
              </w:rPr>
              <w:t>项目在营运过程中应配备相应数量的消防灭火器、砂土、吸附棉、防毒面具等消防应急设备，同时，结合安监、消防等相关规范，以防范环境风险为目的，从总图布置和建筑安全方面进行风险防范，厂内应预留疏散通道或安置场所，按规范设置灭火和消防装备,在明显位置张贴禁用明火的标识，储存物料的桶上应注明物质的名称、危险特性、安全使用说明以及事故应对措施等内容。加强员工管理和安全生产教育，提高风险防范意识，企业应制定严格的管理条例和岗位责任制，严禁在</w:t>
            </w:r>
            <w:r>
              <w:rPr>
                <w:rFonts w:hint="eastAsia" w:cs="Times New Roman"/>
                <w:sz w:val="24"/>
                <w:lang w:val="en-US" w:eastAsia="zh-CN"/>
              </w:rPr>
              <w:t>原辅料</w:t>
            </w:r>
            <w:r>
              <w:rPr>
                <w:rFonts w:hint="eastAsia" w:ascii="Times New Roman" w:hAnsi="Times New Roman" w:cs="Times New Roman"/>
                <w:sz w:val="24"/>
              </w:rPr>
              <w:t>贮存处、危险废物暂存间等场所吸烟，对厂区电路应定期进行检查，严格控制用电负荷，以杜绝火灾隐患</w:t>
            </w:r>
            <w:r>
              <w:rPr>
                <w:rFonts w:ascii="Times New Roman" w:hAnsi="Times New Roman" w:cs="Times New Roman"/>
                <w:sz w:val="24"/>
              </w:rPr>
              <w:t>。</w:t>
            </w:r>
          </w:p>
          <w:p w14:paraId="0860D10F">
            <w:pPr>
              <w:spacing w:line="360" w:lineRule="auto"/>
              <w:ind w:firstLine="480"/>
              <w:rPr>
                <w:rFonts w:ascii="Times New Roman" w:hAnsi="Times New Roman" w:cs="Times New Roman"/>
                <w:sz w:val="24"/>
              </w:rPr>
            </w:pPr>
            <w:r>
              <w:rPr>
                <w:rFonts w:hint="eastAsia" w:ascii="Times New Roman" w:hAnsi="Times New Roman" w:cs="Times New Roman"/>
                <w:sz w:val="24"/>
              </w:rPr>
              <w:t>4、结论分析</w:t>
            </w:r>
          </w:p>
          <w:p w14:paraId="3B29758D">
            <w:pPr>
              <w:adjustRightInd w:val="0"/>
              <w:snapToGrid w:val="0"/>
              <w:spacing w:line="360" w:lineRule="auto"/>
              <w:ind w:firstLine="480" w:firstLineChars="200"/>
              <w:rPr>
                <w:color w:val="auto"/>
              </w:rPr>
            </w:pPr>
            <w:r>
              <w:rPr>
                <w:rFonts w:ascii="Times New Roman" w:hAnsi="Times New Roman" w:cs="Times New Roman"/>
                <w:sz w:val="24"/>
              </w:rPr>
              <w:t>综上所述</w:t>
            </w:r>
            <w:r>
              <w:rPr>
                <w:rFonts w:hint="eastAsia" w:cs="Times New Roman"/>
                <w:sz w:val="24"/>
                <w:lang w:eastAsia="zh-CN"/>
              </w:rPr>
              <w:t>，</w:t>
            </w:r>
            <w:r>
              <w:rPr>
                <w:color w:val="auto"/>
                <w:kern w:val="0"/>
              </w:rPr>
              <w:t>项目严格采取实施上述提出的要求措施后，可有效降低对周围环境存在的风险影响，可将生物危害和毒性危害控制在可接受的范围内，不对人体、周围敏感点及水体、土壤等造成明显危害，环境风险程度可以接受</w:t>
            </w:r>
            <w:r>
              <w:rPr>
                <w:rFonts w:ascii="Times New Roman" w:hAnsi="Times New Roman" w:cs="Times New Roman"/>
                <w:sz w:val="24"/>
              </w:rPr>
              <w:t>。</w:t>
            </w:r>
          </w:p>
          <w:p w14:paraId="5D568E73">
            <w:pPr>
              <w:snapToGrid w:val="0"/>
              <w:spacing w:line="360" w:lineRule="auto"/>
              <w:rPr>
                <w:b/>
                <w:bCs w:val="0"/>
                <w:color w:val="auto"/>
              </w:rPr>
            </w:pPr>
            <w:r>
              <w:rPr>
                <w:rFonts w:hint="eastAsia"/>
                <w:b/>
                <w:bCs w:val="0"/>
                <w:color w:val="auto"/>
              </w:rPr>
              <w:t>8</w:t>
            </w:r>
            <w:r>
              <w:rPr>
                <w:b/>
                <w:bCs w:val="0"/>
                <w:color w:val="auto"/>
              </w:rPr>
              <w:t>、电磁辐射</w:t>
            </w:r>
          </w:p>
          <w:p w14:paraId="37ACC8F4">
            <w:pPr>
              <w:snapToGrid w:val="0"/>
              <w:spacing w:line="360" w:lineRule="auto"/>
              <w:ind w:firstLine="480" w:firstLineChars="200"/>
              <w:rPr>
                <w:bCs/>
                <w:color w:val="auto"/>
              </w:rPr>
            </w:pPr>
            <w:r>
              <w:rPr>
                <w:bCs/>
                <w:color w:val="auto"/>
              </w:rPr>
              <w:t>本项目不涉及电磁辐射，故不对该部分内容进行分析。</w:t>
            </w:r>
          </w:p>
          <w:p w14:paraId="204DD890">
            <w:pPr>
              <w:snapToGrid w:val="0"/>
              <w:spacing w:line="360" w:lineRule="auto"/>
              <w:rPr>
                <w:b/>
                <w:bCs/>
                <w:color w:val="auto"/>
              </w:rPr>
            </w:pPr>
            <w:r>
              <w:rPr>
                <w:rFonts w:hint="eastAsia"/>
                <w:b/>
                <w:bCs/>
                <w:color w:val="auto"/>
              </w:rPr>
              <w:t>9、</w:t>
            </w:r>
            <w:r>
              <w:rPr>
                <w:b/>
                <w:bCs/>
                <w:color w:val="auto"/>
              </w:rPr>
              <w:t>环保投资估算</w:t>
            </w:r>
          </w:p>
          <w:p w14:paraId="0F90D189">
            <w:pPr>
              <w:snapToGrid w:val="0"/>
              <w:spacing w:line="360" w:lineRule="auto"/>
              <w:ind w:firstLine="480" w:firstLineChars="200"/>
              <w:rPr>
                <w:b/>
                <w:color w:val="auto"/>
                <w:lang w:val="zh-CN"/>
              </w:rPr>
            </w:pPr>
            <w:r>
              <w:rPr>
                <w:bCs/>
                <w:color w:val="auto"/>
              </w:rPr>
              <w:t>项目总投资</w:t>
            </w:r>
            <w:r>
              <w:rPr>
                <w:rFonts w:hint="eastAsia"/>
                <w:bCs/>
                <w:color w:val="auto"/>
                <w:lang w:val="en-US" w:eastAsia="zh-CN"/>
              </w:rPr>
              <w:t>10400</w:t>
            </w:r>
            <w:r>
              <w:rPr>
                <w:bCs/>
                <w:color w:val="auto"/>
              </w:rPr>
              <w:t>万元，其中环保投资</w:t>
            </w:r>
            <w:r>
              <w:rPr>
                <w:rFonts w:hint="eastAsia"/>
                <w:bCs/>
                <w:color w:val="auto"/>
                <w:lang w:val="en-US" w:eastAsia="zh-CN"/>
              </w:rPr>
              <w:t>50</w:t>
            </w:r>
            <w:r>
              <w:rPr>
                <w:bCs/>
                <w:color w:val="auto"/>
              </w:rPr>
              <w:t>万元，约占总投资</w:t>
            </w:r>
            <w:r>
              <w:rPr>
                <w:rFonts w:hint="eastAsia"/>
                <w:bCs/>
                <w:color w:val="auto"/>
                <w:lang w:val="en-US" w:eastAsia="zh-CN"/>
              </w:rPr>
              <w:t>0.48</w:t>
            </w:r>
            <w:r>
              <w:rPr>
                <w:bCs/>
                <w:color w:val="auto"/>
              </w:rPr>
              <w:t>%，主要用于废水、废气、固体废物和噪声污染的治理。</w:t>
            </w:r>
          </w:p>
          <w:p w14:paraId="2521657F">
            <w:pPr>
              <w:autoSpaceDE w:val="0"/>
              <w:autoSpaceDN w:val="0"/>
              <w:adjustRightInd w:val="0"/>
              <w:snapToGrid w:val="0"/>
              <w:jc w:val="center"/>
              <w:rPr>
                <w:b/>
                <w:color w:val="auto"/>
                <w:lang w:val="zh-CN"/>
              </w:rPr>
            </w:pPr>
            <w:r>
              <w:rPr>
                <w:b/>
                <w:color w:val="auto"/>
                <w:lang w:val="zh-CN"/>
              </w:rPr>
              <w:t>表</w:t>
            </w:r>
            <w:r>
              <w:rPr>
                <w:rFonts w:hint="eastAsia"/>
                <w:b/>
                <w:color w:val="auto"/>
              </w:rPr>
              <w:t>4-1</w:t>
            </w:r>
            <w:r>
              <w:rPr>
                <w:rFonts w:hint="eastAsia"/>
                <w:b/>
                <w:color w:val="auto"/>
                <w:lang w:val="en-US" w:eastAsia="zh-CN"/>
              </w:rPr>
              <w:t>7</w:t>
            </w:r>
            <w:r>
              <w:rPr>
                <w:b/>
                <w:color w:val="auto"/>
              </w:rPr>
              <w:t xml:space="preserve">  </w:t>
            </w:r>
            <w:r>
              <w:rPr>
                <w:b/>
                <w:color w:val="auto"/>
                <w:lang w:val="zh-CN"/>
              </w:rPr>
              <w:t>项目环保防治措施及投资估算表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530"/>
              <w:gridCol w:w="4280"/>
              <w:gridCol w:w="1090"/>
            </w:tblGrid>
            <w:tr w14:paraId="5848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vAlign w:val="center"/>
                </w:tcPr>
                <w:p w14:paraId="63E185F9">
                  <w:pPr>
                    <w:adjustRightInd w:val="0"/>
                    <w:snapToGrid w:val="0"/>
                    <w:jc w:val="center"/>
                    <w:rPr>
                      <w:b/>
                      <w:bCs/>
                      <w:color w:val="auto"/>
                      <w:sz w:val="21"/>
                      <w:szCs w:val="21"/>
                    </w:rPr>
                  </w:pPr>
                  <w:r>
                    <w:rPr>
                      <w:b/>
                      <w:bCs/>
                      <w:color w:val="auto"/>
                      <w:sz w:val="21"/>
                      <w:szCs w:val="21"/>
                    </w:rPr>
                    <w:t>污染类别</w:t>
                  </w:r>
                </w:p>
              </w:tc>
              <w:tc>
                <w:tcPr>
                  <w:tcW w:w="1530" w:type="dxa"/>
                  <w:vAlign w:val="center"/>
                </w:tcPr>
                <w:p w14:paraId="7817A2EF">
                  <w:pPr>
                    <w:adjustRightInd w:val="0"/>
                    <w:snapToGrid w:val="0"/>
                    <w:jc w:val="center"/>
                    <w:rPr>
                      <w:b/>
                      <w:bCs/>
                      <w:color w:val="auto"/>
                      <w:sz w:val="21"/>
                      <w:szCs w:val="21"/>
                    </w:rPr>
                  </w:pPr>
                  <w:r>
                    <w:rPr>
                      <w:b/>
                      <w:bCs/>
                      <w:color w:val="auto"/>
                      <w:sz w:val="21"/>
                      <w:szCs w:val="21"/>
                    </w:rPr>
                    <w:t>污染防治对象</w:t>
                  </w:r>
                </w:p>
              </w:tc>
              <w:tc>
                <w:tcPr>
                  <w:tcW w:w="4280" w:type="dxa"/>
                  <w:vAlign w:val="center"/>
                </w:tcPr>
                <w:p w14:paraId="47B694D7">
                  <w:pPr>
                    <w:adjustRightInd w:val="0"/>
                    <w:snapToGrid w:val="0"/>
                    <w:jc w:val="center"/>
                    <w:rPr>
                      <w:b/>
                      <w:bCs/>
                      <w:color w:val="auto"/>
                      <w:sz w:val="21"/>
                      <w:szCs w:val="21"/>
                    </w:rPr>
                  </w:pPr>
                  <w:r>
                    <w:rPr>
                      <w:b/>
                      <w:bCs/>
                      <w:color w:val="auto"/>
                      <w:sz w:val="21"/>
                      <w:szCs w:val="21"/>
                    </w:rPr>
                    <w:t>治理措施</w:t>
                  </w:r>
                </w:p>
              </w:tc>
              <w:tc>
                <w:tcPr>
                  <w:tcW w:w="1090" w:type="dxa"/>
                  <w:vAlign w:val="center"/>
                </w:tcPr>
                <w:p w14:paraId="4CFC3E14">
                  <w:pPr>
                    <w:adjustRightInd w:val="0"/>
                    <w:snapToGrid w:val="0"/>
                    <w:jc w:val="center"/>
                    <w:rPr>
                      <w:b/>
                      <w:bCs/>
                      <w:color w:val="auto"/>
                      <w:sz w:val="21"/>
                      <w:szCs w:val="21"/>
                    </w:rPr>
                  </w:pPr>
                  <w:r>
                    <w:rPr>
                      <w:b/>
                      <w:bCs/>
                      <w:color w:val="auto"/>
                      <w:sz w:val="21"/>
                      <w:szCs w:val="21"/>
                    </w:rPr>
                    <w:t>投资估算（万元）</w:t>
                  </w:r>
                </w:p>
              </w:tc>
            </w:tr>
            <w:tr w14:paraId="4ED8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vAlign w:val="center"/>
                </w:tcPr>
                <w:p w14:paraId="4EFDB8BB">
                  <w:pPr>
                    <w:adjustRightInd w:val="0"/>
                    <w:snapToGrid w:val="0"/>
                    <w:jc w:val="center"/>
                    <w:rPr>
                      <w:color w:val="auto"/>
                      <w:sz w:val="21"/>
                      <w:szCs w:val="21"/>
                    </w:rPr>
                  </w:pPr>
                  <w:r>
                    <w:rPr>
                      <w:rFonts w:hint="eastAsia"/>
                      <w:color w:val="auto"/>
                      <w:sz w:val="21"/>
                      <w:szCs w:val="21"/>
                    </w:rPr>
                    <w:t>废水</w:t>
                  </w:r>
                </w:p>
              </w:tc>
              <w:tc>
                <w:tcPr>
                  <w:tcW w:w="1530" w:type="dxa"/>
                  <w:vAlign w:val="center"/>
                </w:tcPr>
                <w:p w14:paraId="0362756C">
                  <w:pPr>
                    <w:pStyle w:val="2"/>
                    <w:jc w:val="center"/>
                    <w:rPr>
                      <w:color w:val="auto"/>
                      <w:sz w:val="21"/>
                      <w:szCs w:val="21"/>
                    </w:rPr>
                  </w:pPr>
                  <w:r>
                    <w:rPr>
                      <w:rFonts w:hint="eastAsia"/>
                      <w:color w:val="auto"/>
                      <w:sz w:val="21"/>
                      <w:szCs w:val="21"/>
                    </w:rPr>
                    <w:t>生活污水</w:t>
                  </w:r>
                </w:p>
              </w:tc>
              <w:tc>
                <w:tcPr>
                  <w:tcW w:w="4280" w:type="dxa"/>
                  <w:vAlign w:val="center"/>
                </w:tcPr>
                <w:p w14:paraId="0253DC3D">
                  <w:pPr>
                    <w:jc w:val="center"/>
                    <w:rPr>
                      <w:rFonts w:hint="default" w:eastAsia="宋体"/>
                      <w:color w:val="auto"/>
                      <w:sz w:val="21"/>
                      <w:szCs w:val="21"/>
                      <w:lang w:val="en-US" w:eastAsia="zh-CN"/>
                    </w:rPr>
                  </w:pPr>
                  <w:r>
                    <w:rPr>
                      <w:rFonts w:hint="eastAsia"/>
                      <w:color w:val="auto"/>
                      <w:sz w:val="21"/>
                      <w:szCs w:val="21"/>
                      <w:lang w:val="en-US" w:eastAsia="zh-CN"/>
                    </w:rPr>
                    <w:t>化粪池</w:t>
                  </w:r>
                </w:p>
              </w:tc>
              <w:tc>
                <w:tcPr>
                  <w:tcW w:w="1090" w:type="dxa"/>
                  <w:vAlign w:val="center"/>
                </w:tcPr>
                <w:p w14:paraId="6E08D0FB">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5</w:t>
                  </w:r>
                </w:p>
              </w:tc>
            </w:tr>
            <w:tr w14:paraId="517A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vAlign w:val="center"/>
                </w:tcPr>
                <w:p w14:paraId="1F9C2050">
                  <w:pPr>
                    <w:adjustRightInd w:val="0"/>
                    <w:snapToGrid w:val="0"/>
                    <w:jc w:val="center"/>
                    <w:rPr>
                      <w:color w:val="auto"/>
                      <w:sz w:val="21"/>
                      <w:szCs w:val="21"/>
                    </w:rPr>
                  </w:pPr>
                  <w:r>
                    <w:rPr>
                      <w:rFonts w:hint="eastAsia"/>
                      <w:color w:val="auto"/>
                      <w:sz w:val="21"/>
                      <w:szCs w:val="21"/>
                    </w:rPr>
                    <w:t>废气</w:t>
                  </w:r>
                </w:p>
              </w:tc>
              <w:tc>
                <w:tcPr>
                  <w:tcW w:w="1530" w:type="dxa"/>
                  <w:vAlign w:val="center"/>
                </w:tcPr>
                <w:p w14:paraId="08C5C06C">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粉尘</w:t>
                  </w:r>
                </w:p>
              </w:tc>
              <w:tc>
                <w:tcPr>
                  <w:tcW w:w="4280" w:type="dxa"/>
                  <w:vAlign w:val="center"/>
                </w:tcPr>
                <w:p w14:paraId="7070F8A3">
                  <w:pPr>
                    <w:adjustRightInd w:val="0"/>
                    <w:snapToGrid w:val="0"/>
                    <w:jc w:val="center"/>
                    <w:rPr>
                      <w:rFonts w:hint="default" w:eastAsia="宋体"/>
                      <w:color w:val="auto"/>
                      <w:sz w:val="21"/>
                      <w:szCs w:val="21"/>
                      <w:lang w:val="en-US" w:eastAsia="zh-CN"/>
                    </w:rPr>
                  </w:pPr>
                  <w:r>
                    <w:rPr>
                      <w:rFonts w:hint="eastAsia"/>
                      <w:color w:val="auto"/>
                      <w:sz w:val="21"/>
                      <w:szCs w:val="21"/>
                    </w:rPr>
                    <w:t>布袋除尘器+1</w:t>
                  </w:r>
                  <w:r>
                    <w:rPr>
                      <w:rFonts w:hint="eastAsia"/>
                      <w:color w:val="auto"/>
                      <w:sz w:val="21"/>
                      <w:szCs w:val="21"/>
                      <w:lang w:val="en-US" w:eastAsia="zh-CN"/>
                    </w:rPr>
                    <w:t>5</w:t>
                  </w:r>
                  <w:r>
                    <w:rPr>
                      <w:rFonts w:hint="eastAsia"/>
                      <w:color w:val="auto"/>
                      <w:sz w:val="21"/>
                      <w:szCs w:val="21"/>
                    </w:rPr>
                    <w:t>m高排气筒</w:t>
                  </w:r>
                  <w:r>
                    <w:rPr>
                      <w:rFonts w:hint="eastAsia"/>
                      <w:color w:val="auto"/>
                      <w:sz w:val="21"/>
                      <w:szCs w:val="21"/>
                      <w:lang w:val="en-US" w:eastAsia="zh-CN"/>
                    </w:rPr>
                    <w:t>DA001</w:t>
                  </w:r>
                </w:p>
              </w:tc>
              <w:tc>
                <w:tcPr>
                  <w:tcW w:w="1090" w:type="dxa"/>
                  <w:vAlign w:val="center"/>
                </w:tcPr>
                <w:p w14:paraId="5E569465">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10</w:t>
                  </w:r>
                </w:p>
              </w:tc>
            </w:tr>
            <w:tr w14:paraId="2BB8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vAlign w:val="center"/>
                </w:tcPr>
                <w:p w14:paraId="20485BE2">
                  <w:pPr>
                    <w:pStyle w:val="2"/>
                    <w:jc w:val="center"/>
                    <w:rPr>
                      <w:color w:val="auto"/>
                      <w:sz w:val="21"/>
                      <w:szCs w:val="21"/>
                    </w:rPr>
                  </w:pPr>
                  <w:r>
                    <w:rPr>
                      <w:color w:val="auto"/>
                      <w:sz w:val="21"/>
                      <w:szCs w:val="21"/>
                    </w:rPr>
                    <w:t>噪声</w:t>
                  </w:r>
                </w:p>
              </w:tc>
              <w:tc>
                <w:tcPr>
                  <w:tcW w:w="1530" w:type="dxa"/>
                  <w:vAlign w:val="center"/>
                </w:tcPr>
                <w:p w14:paraId="68F79BFA">
                  <w:pPr>
                    <w:pStyle w:val="2"/>
                    <w:jc w:val="center"/>
                    <w:rPr>
                      <w:color w:val="auto"/>
                      <w:sz w:val="21"/>
                      <w:szCs w:val="21"/>
                    </w:rPr>
                  </w:pPr>
                  <w:r>
                    <w:rPr>
                      <w:color w:val="auto"/>
                      <w:sz w:val="21"/>
                      <w:szCs w:val="21"/>
                    </w:rPr>
                    <w:t>设备噪声等</w:t>
                  </w:r>
                </w:p>
              </w:tc>
              <w:tc>
                <w:tcPr>
                  <w:tcW w:w="4280" w:type="dxa"/>
                  <w:vAlign w:val="center"/>
                </w:tcPr>
                <w:p w14:paraId="51B4258F">
                  <w:pPr>
                    <w:jc w:val="center"/>
                    <w:rPr>
                      <w:color w:val="auto"/>
                      <w:sz w:val="21"/>
                      <w:szCs w:val="21"/>
                    </w:rPr>
                  </w:pPr>
                  <w:r>
                    <w:rPr>
                      <w:rFonts w:hint="eastAsia"/>
                      <w:color w:val="auto"/>
                      <w:sz w:val="21"/>
                      <w:szCs w:val="21"/>
                      <w:lang w:val="en-US" w:eastAsia="zh-CN"/>
                    </w:rPr>
                    <w:t>基础</w:t>
                  </w:r>
                  <w:r>
                    <w:rPr>
                      <w:color w:val="auto"/>
                      <w:sz w:val="21"/>
                      <w:szCs w:val="21"/>
                    </w:rPr>
                    <w:t>减振、</w:t>
                  </w:r>
                  <w:r>
                    <w:rPr>
                      <w:rFonts w:hint="eastAsia"/>
                      <w:color w:val="auto"/>
                      <w:sz w:val="21"/>
                      <w:szCs w:val="21"/>
                      <w:lang w:val="en-US" w:eastAsia="zh-CN"/>
                    </w:rPr>
                    <w:t>厂房</w:t>
                  </w:r>
                  <w:r>
                    <w:rPr>
                      <w:color w:val="auto"/>
                      <w:sz w:val="21"/>
                      <w:szCs w:val="21"/>
                    </w:rPr>
                    <w:t>隔声等</w:t>
                  </w:r>
                </w:p>
              </w:tc>
              <w:tc>
                <w:tcPr>
                  <w:tcW w:w="1090" w:type="dxa"/>
                  <w:vAlign w:val="center"/>
                </w:tcPr>
                <w:p w14:paraId="1221D57F">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4</w:t>
                  </w:r>
                </w:p>
              </w:tc>
            </w:tr>
            <w:tr w14:paraId="5908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vMerge w:val="restart"/>
                  <w:vAlign w:val="center"/>
                </w:tcPr>
                <w:p w14:paraId="1DDE8AE5">
                  <w:pPr>
                    <w:pStyle w:val="2"/>
                    <w:jc w:val="center"/>
                    <w:rPr>
                      <w:color w:val="auto"/>
                      <w:sz w:val="21"/>
                      <w:szCs w:val="21"/>
                    </w:rPr>
                  </w:pPr>
                  <w:r>
                    <w:rPr>
                      <w:color w:val="auto"/>
                      <w:sz w:val="21"/>
                      <w:szCs w:val="21"/>
                    </w:rPr>
                    <w:t>固废</w:t>
                  </w:r>
                </w:p>
              </w:tc>
              <w:tc>
                <w:tcPr>
                  <w:tcW w:w="1530" w:type="dxa"/>
                  <w:vAlign w:val="center"/>
                </w:tcPr>
                <w:p w14:paraId="0C1D62FD">
                  <w:pPr>
                    <w:pStyle w:val="2"/>
                    <w:jc w:val="center"/>
                    <w:rPr>
                      <w:color w:val="auto"/>
                      <w:sz w:val="21"/>
                      <w:szCs w:val="21"/>
                    </w:rPr>
                  </w:pPr>
                  <w:r>
                    <w:rPr>
                      <w:color w:val="auto"/>
                      <w:sz w:val="21"/>
                      <w:szCs w:val="21"/>
                    </w:rPr>
                    <w:t>生活垃圾</w:t>
                  </w:r>
                </w:p>
              </w:tc>
              <w:tc>
                <w:tcPr>
                  <w:tcW w:w="4280" w:type="dxa"/>
                  <w:vAlign w:val="center"/>
                </w:tcPr>
                <w:p w14:paraId="4AAE259D">
                  <w:pPr>
                    <w:jc w:val="center"/>
                    <w:rPr>
                      <w:color w:val="auto"/>
                      <w:sz w:val="21"/>
                      <w:szCs w:val="21"/>
                    </w:rPr>
                  </w:pPr>
                  <w:r>
                    <w:rPr>
                      <w:color w:val="auto"/>
                      <w:sz w:val="21"/>
                      <w:szCs w:val="21"/>
                    </w:rPr>
                    <w:t>垃圾桶等</w:t>
                  </w:r>
                </w:p>
              </w:tc>
              <w:tc>
                <w:tcPr>
                  <w:tcW w:w="1090" w:type="dxa"/>
                  <w:vAlign w:val="center"/>
                </w:tcPr>
                <w:p w14:paraId="1859C18F">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1</w:t>
                  </w:r>
                </w:p>
              </w:tc>
            </w:tr>
            <w:tr w14:paraId="5E23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vMerge w:val="continue"/>
                  <w:vAlign w:val="center"/>
                </w:tcPr>
                <w:p w14:paraId="0F3CC432">
                  <w:pPr>
                    <w:adjustRightInd w:val="0"/>
                    <w:snapToGrid w:val="0"/>
                    <w:jc w:val="center"/>
                    <w:rPr>
                      <w:color w:val="auto"/>
                      <w:sz w:val="21"/>
                      <w:szCs w:val="21"/>
                    </w:rPr>
                  </w:pPr>
                </w:p>
              </w:tc>
              <w:tc>
                <w:tcPr>
                  <w:tcW w:w="1530" w:type="dxa"/>
                  <w:vAlign w:val="center"/>
                </w:tcPr>
                <w:p w14:paraId="0E3FAEB2">
                  <w:pPr>
                    <w:pStyle w:val="2"/>
                    <w:jc w:val="center"/>
                    <w:rPr>
                      <w:color w:val="auto"/>
                      <w:sz w:val="21"/>
                      <w:szCs w:val="21"/>
                    </w:rPr>
                  </w:pPr>
                  <w:r>
                    <w:rPr>
                      <w:color w:val="auto"/>
                      <w:sz w:val="21"/>
                      <w:szCs w:val="21"/>
                    </w:rPr>
                    <w:t>一般工业固体废物</w:t>
                  </w:r>
                </w:p>
              </w:tc>
              <w:tc>
                <w:tcPr>
                  <w:tcW w:w="4280" w:type="dxa"/>
                  <w:vAlign w:val="center"/>
                </w:tcPr>
                <w:p w14:paraId="33B69D1D">
                  <w:pPr>
                    <w:jc w:val="center"/>
                    <w:rPr>
                      <w:color w:val="auto"/>
                      <w:sz w:val="21"/>
                      <w:szCs w:val="21"/>
                    </w:rPr>
                  </w:pPr>
                  <w:r>
                    <w:rPr>
                      <w:color w:val="auto"/>
                      <w:sz w:val="21"/>
                      <w:szCs w:val="21"/>
                    </w:rPr>
                    <w:t>一般工业固体废物暂存</w:t>
                  </w:r>
                  <w:r>
                    <w:rPr>
                      <w:rFonts w:hint="eastAsia"/>
                      <w:color w:val="auto"/>
                      <w:sz w:val="21"/>
                      <w:szCs w:val="21"/>
                      <w:lang w:val="en-US" w:eastAsia="zh-CN"/>
                    </w:rPr>
                    <w:t>处</w:t>
                  </w:r>
                  <w:r>
                    <w:rPr>
                      <w:rFonts w:hint="eastAsia"/>
                      <w:color w:val="auto"/>
                      <w:sz w:val="21"/>
                      <w:szCs w:val="21"/>
                    </w:rPr>
                    <w:t>（</w:t>
                  </w:r>
                  <w:r>
                    <w:rPr>
                      <w:rFonts w:hint="eastAsia"/>
                      <w:color w:val="auto"/>
                      <w:sz w:val="21"/>
                      <w:szCs w:val="21"/>
                      <w:lang w:val="en-US" w:eastAsia="zh-CN"/>
                    </w:rPr>
                    <w:t>3</w:t>
                  </w:r>
                  <w:r>
                    <w:rPr>
                      <w:rFonts w:hint="eastAsia"/>
                      <w:color w:val="auto"/>
                      <w:sz w:val="21"/>
                      <w:szCs w:val="21"/>
                    </w:rPr>
                    <w:t>0</w:t>
                  </w:r>
                  <w:r>
                    <w:rPr>
                      <w:color w:val="auto"/>
                      <w:sz w:val="21"/>
                      <w:szCs w:val="21"/>
                    </w:rPr>
                    <w:t>m</w:t>
                  </w:r>
                  <w:r>
                    <w:rPr>
                      <w:color w:val="auto"/>
                      <w:sz w:val="21"/>
                      <w:szCs w:val="21"/>
                      <w:vertAlign w:val="superscript"/>
                    </w:rPr>
                    <w:t>2</w:t>
                  </w:r>
                  <w:r>
                    <w:rPr>
                      <w:rFonts w:hint="eastAsia"/>
                      <w:color w:val="auto"/>
                      <w:sz w:val="21"/>
                      <w:szCs w:val="21"/>
                    </w:rPr>
                    <w:t>）</w:t>
                  </w:r>
                </w:p>
              </w:tc>
              <w:tc>
                <w:tcPr>
                  <w:tcW w:w="1090" w:type="dxa"/>
                  <w:vAlign w:val="center"/>
                </w:tcPr>
                <w:p w14:paraId="0DE27877">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5</w:t>
                  </w:r>
                </w:p>
              </w:tc>
            </w:tr>
            <w:tr w14:paraId="73D1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vMerge w:val="continue"/>
                  <w:vAlign w:val="center"/>
                </w:tcPr>
                <w:p w14:paraId="795F6994">
                  <w:pPr>
                    <w:adjustRightInd w:val="0"/>
                    <w:snapToGrid w:val="0"/>
                    <w:jc w:val="center"/>
                    <w:rPr>
                      <w:color w:val="auto"/>
                      <w:sz w:val="21"/>
                      <w:szCs w:val="21"/>
                    </w:rPr>
                  </w:pPr>
                </w:p>
              </w:tc>
              <w:tc>
                <w:tcPr>
                  <w:tcW w:w="1530" w:type="dxa"/>
                  <w:vAlign w:val="center"/>
                </w:tcPr>
                <w:p w14:paraId="0F85862F">
                  <w:pPr>
                    <w:pStyle w:val="2"/>
                    <w:jc w:val="center"/>
                    <w:rPr>
                      <w:rFonts w:hint="eastAsia" w:eastAsia="宋体"/>
                      <w:color w:val="auto"/>
                      <w:sz w:val="21"/>
                      <w:szCs w:val="21"/>
                      <w:lang w:val="en-US" w:eastAsia="zh-CN"/>
                    </w:rPr>
                  </w:pPr>
                  <w:r>
                    <w:rPr>
                      <w:rFonts w:hint="eastAsia"/>
                      <w:color w:val="auto"/>
                      <w:sz w:val="21"/>
                      <w:szCs w:val="21"/>
                      <w:lang w:val="en-US" w:eastAsia="zh-CN"/>
                    </w:rPr>
                    <w:t>危险废物</w:t>
                  </w:r>
                </w:p>
              </w:tc>
              <w:tc>
                <w:tcPr>
                  <w:tcW w:w="4280" w:type="dxa"/>
                  <w:vAlign w:val="center"/>
                </w:tcPr>
                <w:p w14:paraId="4AB1DFB4">
                  <w:pPr>
                    <w:jc w:val="center"/>
                    <w:rPr>
                      <w:rFonts w:hint="eastAsia" w:eastAsia="宋体"/>
                      <w:color w:val="auto"/>
                      <w:sz w:val="21"/>
                      <w:szCs w:val="21"/>
                      <w:lang w:val="en-US" w:eastAsia="zh-CN"/>
                    </w:rPr>
                  </w:pPr>
                  <w:r>
                    <w:rPr>
                      <w:rFonts w:hint="eastAsia"/>
                      <w:color w:val="auto"/>
                      <w:sz w:val="21"/>
                      <w:szCs w:val="21"/>
                      <w:lang w:val="en-US" w:eastAsia="zh-CN"/>
                    </w:rPr>
                    <w:t>危废间</w:t>
                  </w:r>
                  <w:r>
                    <w:rPr>
                      <w:rFonts w:hint="eastAsia"/>
                      <w:color w:val="auto"/>
                      <w:sz w:val="21"/>
                      <w:szCs w:val="21"/>
                    </w:rPr>
                    <w:t>（</w:t>
                  </w:r>
                  <w:r>
                    <w:rPr>
                      <w:rFonts w:hint="eastAsia"/>
                      <w:color w:val="auto"/>
                      <w:sz w:val="21"/>
                      <w:szCs w:val="21"/>
                      <w:lang w:val="en-US" w:eastAsia="zh-CN"/>
                    </w:rPr>
                    <w:t>10</w:t>
                  </w:r>
                  <w:r>
                    <w:rPr>
                      <w:color w:val="auto"/>
                      <w:sz w:val="21"/>
                      <w:szCs w:val="21"/>
                    </w:rPr>
                    <w:t>m</w:t>
                  </w:r>
                  <w:r>
                    <w:rPr>
                      <w:color w:val="auto"/>
                      <w:sz w:val="21"/>
                      <w:szCs w:val="21"/>
                      <w:vertAlign w:val="superscript"/>
                    </w:rPr>
                    <w:t>2</w:t>
                  </w:r>
                  <w:r>
                    <w:rPr>
                      <w:rFonts w:hint="eastAsia"/>
                      <w:color w:val="auto"/>
                      <w:sz w:val="21"/>
                      <w:szCs w:val="21"/>
                    </w:rPr>
                    <w:t>）</w:t>
                  </w:r>
                </w:p>
              </w:tc>
              <w:tc>
                <w:tcPr>
                  <w:tcW w:w="1090" w:type="dxa"/>
                  <w:vAlign w:val="center"/>
                </w:tcPr>
                <w:p w14:paraId="04881C73">
                  <w:pPr>
                    <w:adjustRightInd w:val="0"/>
                    <w:snapToGrid w:val="0"/>
                    <w:jc w:val="center"/>
                    <w:rPr>
                      <w:rFonts w:hint="default"/>
                      <w:color w:val="auto"/>
                      <w:sz w:val="21"/>
                      <w:szCs w:val="21"/>
                      <w:lang w:val="en-US" w:eastAsia="zh-CN"/>
                    </w:rPr>
                  </w:pPr>
                  <w:r>
                    <w:rPr>
                      <w:rFonts w:hint="eastAsia"/>
                      <w:color w:val="auto"/>
                      <w:sz w:val="21"/>
                      <w:szCs w:val="21"/>
                      <w:lang w:val="en-US" w:eastAsia="zh-CN"/>
                    </w:rPr>
                    <w:t>5</w:t>
                  </w:r>
                </w:p>
              </w:tc>
            </w:tr>
            <w:tr w14:paraId="072F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4" w:type="dxa"/>
                  <w:gridSpan w:val="2"/>
                  <w:vAlign w:val="center"/>
                </w:tcPr>
                <w:p w14:paraId="1D98944D">
                  <w:pPr>
                    <w:spacing w:line="240" w:lineRule="atLeast"/>
                    <w:jc w:val="center"/>
                    <w:rPr>
                      <w:color w:val="auto"/>
                      <w:sz w:val="21"/>
                      <w:szCs w:val="21"/>
                    </w:rPr>
                  </w:pPr>
                  <w:r>
                    <w:rPr>
                      <w:rFonts w:hint="eastAsia"/>
                      <w:color w:val="auto"/>
                      <w:sz w:val="21"/>
                      <w:szCs w:val="21"/>
                    </w:rPr>
                    <w:t>地下水、土壤</w:t>
                  </w:r>
                </w:p>
              </w:tc>
              <w:tc>
                <w:tcPr>
                  <w:tcW w:w="4280" w:type="dxa"/>
                  <w:shd w:val="clear" w:color="auto" w:fill="auto"/>
                  <w:vAlign w:val="center"/>
                </w:tcPr>
                <w:p w14:paraId="4EDE51A6">
                  <w:pPr>
                    <w:spacing w:line="240" w:lineRule="auto"/>
                    <w:jc w:val="center"/>
                    <w:outlineLvl w:val="0"/>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分区防渗，设置分区防渗区域，重点防渗区防风、防晒、防雨、防漏、防渗、防腐</w:t>
                  </w:r>
                </w:p>
              </w:tc>
              <w:tc>
                <w:tcPr>
                  <w:tcW w:w="1090" w:type="dxa"/>
                  <w:vAlign w:val="center"/>
                </w:tcPr>
                <w:p w14:paraId="38460665">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10</w:t>
                  </w:r>
                </w:p>
              </w:tc>
            </w:tr>
            <w:tr w14:paraId="7227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4" w:type="dxa"/>
                  <w:gridSpan w:val="2"/>
                  <w:vAlign w:val="center"/>
                </w:tcPr>
                <w:p w14:paraId="6925FDE2">
                  <w:pPr>
                    <w:pStyle w:val="2"/>
                    <w:jc w:val="center"/>
                    <w:rPr>
                      <w:color w:val="auto"/>
                      <w:sz w:val="21"/>
                      <w:szCs w:val="21"/>
                    </w:rPr>
                  </w:pPr>
                  <w:r>
                    <w:rPr>
                      <w:rFonts w:hint="eastAsia"/>
                      <w:color w:val="auto"/>
                      <w:sz w:val="21"/>
                      <w:szCs w:val="21"/>
                    </w:rPr>
                    <w:t>风险</w:t>
                  </w:r>
                </w:p>
              </w:tc>
              <w:tc>
                <w:tcPr>
                  <w:tcW w:w="4280" w:type="dxa"/>
                  <w:shd w:val="clear" w:color="auto" w:fill="auto"/>
                  <w:vAlign w:val="center"/>
                </w:tcPr>
                <w:p w14:paraId="010C4935">
                  <w:pPr>
                    <w:spacing w:line="240" w:lineRule="auto"/>
                    <w:jc w:val="center"/>
                    <w:outlineLvl w:val="0"/>
                    <w:rPr>
                      <w:rFonts w:hint="eastAsia" w:ascii="Times New Roman" w:hAnsi="Times New Roman" w:eastAsia="宋体" w:cs="Times New Roman"/>
                      <w:bCs/>
                      <w:color w:val="auto"/>
                      <w:kern w:val="0"/>
                      <w:sz w:val="21"/>
                      <w:szCs w:val="21"/>
                      <w:lang w:val="en-US" w:eastAsia="zh-CN" w:bidi="ar"/>
                    </w:rPr>
                  </w:pPr>
                  <w:r>
                    <w:rPr>
                      <w:rFonts w:hint="eastAsia" w:ascii="Times New Roman" w:hAnsi="Times New Roman" w:eastAsia="宋体" w:cs="Times New Roman"/>
                      <w:bCs/>
                      <w:color w:val="auto"/>
                      <w:kern w:val="0"/>
                      <w:sz w:val="21"/>
                      <w:szCs w:val="21"/>
                      <w:lang w:val="en-US" w:eastAsia="zh-CN" w:bidi="ar"/>
                    </w:rPr>
                    <w:t>（1）车间内工艺布置保持通道畅通</w:t>
                  </w:r>
                </w:p>
                <w:p w14:paraId="1AB16B53">
                  <w:pPr>
                    <w:spacing w:line="240" w:lineRule="auto"/>
                    <w:jc w:val="center"/>
                    <w:outlineLvl w:val="0"/>
                    <w:rPr>
                      <w:rFonts w:hint="eastAsia" w:ascii="Times New Roman" w:hAnsi="Times New Roman" w:eastAsia="宋体" w:cs="Times New Roman"/>
                      <w:bCs/>
                      <w:color w:val="auto"/>
                      <w:kern w:val="0"/>
                      <w:sz w:val="21"/>
                      <w:szCs w:val="21"/>
                      <w:lang w:val="en-US" w:eastAsia="zh-CN" w:bidi="ar"/>
                    </w:rPr>
                  </w:pPr>
                  <w:r>
                    <w:rPr>
                      <w:rFonts w:hint="eastAsia" w:ascii="Times New Roman" w:hAnsi="Times New Roman" w:eastAsia="宋体" w:cs="Times New Roman"/>
                      <w:bCs/>
                      <w:color w:val="auto"/>
                      <w:kern w:val="0"/>
                      <w:sz w:val="21"/>
                      <w:szCs w:val="21"/>
                      <w:lang w:val="en-US" w:eastAsia="zh-CN" w:bidi="ar"/>
                    </w:rPr>
                    <w:t>（2）企业定期对废气、处理设施进行维护、修理，使其处于正常运转状态，杜绝事故性排放；一旦发现废气收集、处理设施出现故障，须立即停止生产，待故障排除完毕、治理设施正常运行后方可恢复生产</w:t>
                  </w:r>
                </w:p>
                <w:p w14:paraId="412DEAA8">
                  <w:pPr>
                    <w:spacing w:line="240" w:lineRule="auto"/>
                    <w:jc w:val="center"/>
                    <w:outlineLvl w:val="0"/>
                    <w:rPr>
                      <w:rFonts w:hint="eastAsia" w:ascii="Times New Roman" w:hAnsi="Times New Roman" w:eastAsia="宋体" w:cs="Times New Roman"/>
                      <w:bCs/>
                      <w:color w:val="auto"/>
                      <w:kern w:val="0"/>
                      <w:sz w:val="21"/>
                      <w:szCs w:val="21"/>
                      <w:lang w:val="en-US" w:eastAsia="zh-CN" w:bidi="ar"/>
                    </w:rPr>
                  </w:pPr>
                  <w:r>
                    <w:rPr>
                      <w:rFonts w:hint="eastAsia" w:ascii="Times New Roman" w:hAnsi="Times New Roman" w:eastAsia="宋体" w:cs="Times New Roman"/>
                      <w:bCs/>
                      <w:color w:val="auto"/>
                      <w:kern w:val="0"/>
                      <w:sz w:val="21"/>
                      <w:szCs w:val="21"/>
                      <w:lang w:val="en-US" w:eastAsia="zh-CN" w:bidi="ar"/>
                    </w:rPr>
                    <w:t>（3）设立单独的危险废物暂存间，并按照《危险废物贮存污染控制标准》（GB18597-2023）的规定做各项措施，并定期委托有资质单位清运处置。同时，建设单位在危险废物转移过程中须严格执行转移联单制度，并做好记录台账，防止危险废物在转移过程中发生遗失事故</w:t>
                  </w:r>
                </w:p>
                <w:p w14:paraId="60460FA9">
                  <w:pPr>
                    <w:spacing w:line="240" w:lineRule="auto"/>
                    <w:jc w:val="center"/>
                    <w:outlineLvl w:val="0"/>
                    <w:rPr>
                      <w:rFonts w:ascii="Times New Roman" w:hAnsi="Times New Roman" w:eastAsia="宋体" w:cs="Times New Roman"/>
                      <w:bCs/>
                      <w:color w:val="auto"/>
                      <w:kern w:val="0"/>
                      <w:sz w:val="21"/>
                      <w:szCs w:val="21"/>
                      <w:lang w:val="en-US" w:eastAsia="zh-CN" w:bidi="ar"/>
                    </w:rPr>
                  </w:pPr>
                  <w:r>
                    <w:rPr>
                      <w:rFonts w:hint="eastAsia" w:ascii="Times New Roman" w:hAnsi="Times New Roman" w:eastAsia="宋体" w:cs="Times New Roman"/>
                      <w:bCs/>
                      <w:color w:val="auto"/>
                      <w:kern w:val="0"/>
                      <w:sz w:val="21"/>
                      <w:szCs w:val="21"/>
                      <w:lang w:val="en-US" w:eastAsia="zh-CN" w:bidi="ar"/>
                    </w:rPr>
                    <w:t>（4）建设单位须制订环境突发事故应急预案，一旦突发环境风险事故，必须立即按应急预案提到的紧急处理、救援、监测方案等进行紧急救援，救援人员采取相应的防护措施，以避免造成人员伤亡事故</w:t>
                  </w:r>
                </w:p>
              </w:tc>
              <w:tc>
                <w:tcPr>
                  <w:tcW w:w="1090" w:type="dxa"/>
                  <w:vAlign w:val="center"/>
                </w:tcPr>
                <w:p w14:paraId="41095009">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10</w:t>
                  </w:r>
                </w:p>
              </w:tc>
            </w:tr>
            <w:tr w14:paraId="1768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4" w:type="dxa"/>
                  <w:gridSpan w:val="3"/>
                  <w:vAlign w:val="center"/>
                </w:tcPr>
                <w:p w14:paraId="0706CF17">
                  <w:pPr>
                    <w:adjustRightInd w:val="0"/>
                    <w:snapToGrid w:val="0"/>
                    <w:jc w:val="center"/>
                    <w:rPr>
                      <w:color w:val="auto"/>
                      <w:sz w:val="21"/>
                      <w:szCs w:val="21"/>
                    </w:rPr>
                  </w:pPr>
                  <w:r>
                    <w:rPr>
                      <w:color w:val="auto"/>
                      <w:sz w:val="21"/>
                      <w:szCs w:val="21"/>
                    </w:rPr>
                    <w:t>合计</w:t>
                  </w:r>
                </w:p>
              </w:tc>
              <w:tc>
                <w:tcPr>
                  <w:tcW w:w="1090" w:type="dxa"/>
                  <w:vAlign w:val="center"/>
                </w:tcPr>
                <w:p w14:paraId="587D1D37">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50</w:t>
                  </w:r>
                </w:p>
              </w:tc>
            </w:tr>
          </w:tbl>
          <w:p w14:paraId="2E4B6492">
            <w:pPr>
              <w:adjustRightInd w:val="0"/>
              <w:snapToGrid w:val="0"/>
              <w:spacing w:line="360" w:lineRule="auto"/>
              <w:rPr>
                <w:color w:val="auto"/>
                <w:szCs w:val="32"/>
                <w:lang w:bidi="ar"/>
              </w:rPr>
            </w:pPr>
          </w:p>
          <w:p w14:paraId="4438147B">
            <w:pPr>
              <w:adjustRightInd w:val="0"/>
              <w:snapToGrid w:val="0"/>
              <w:spacing w:line="360" w:lineRule="auto"/>
              <w:rPr>
                <w:color w:val="auto"/>
                <w:szCs w:val="32"/>
                <w:lang w:bidi="ar"/>
              </w:rPr>
            </w:pPr>
          </w:p>
        </w:tc>
      </w:tr>
    </w:tbl>
    <w:p w14:paraId="2BE683D2">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14:paraId="045B1F61">
      <w:pPr>
        <w:pStyle w:val="26"/>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3" w:name="_Hlk54167917"/>
      <w:r>
        <w:rPr>
          <w:rFonts w:hint="eastAsia" w:ascii="黑体" w:hAnsi="黑体" w:eastAsia="黑体"/>
          <w:snapToGrid w:val="0"/>
          <w:sz w:val="30"/>
          <w:szCs w:val="30"/>
        </w:rPr>
        <w:t>环境保护措施监督检查清单</w:t>
      </w:r>
      <w:bookmarkEnd w:id="3"/>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2014"/>
        <w:gridCol w:w="1468"/>
        <w:gridCol w:w="1939"/>
        <w:gridCol w:w="1809"/>
      </w:tblGrid>
      <w:tr w14:paraId="5D99D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0" w:type="dxa"/>
            <w:tcBorders>
              <w:tl2br w:val="single" w:color="auto" w:sz="4" w:space="0"/>
            </w:tcBorders>
          </w:tcPr>
          <w:p w14:paraId="17D7F244">
            <w:pPr>
              <w:adjustRightInd w:val="0"/>
              <w:snapToGrid w:val="0"/>
              <w:ind w:firstLine="840"/>
              <w:rPr>
                <w:rFonts w:ascii="宋体" w:hAnsi="宋体" w:cs="宋体"/>
              </w:rPr>
            </w:pPr>
            <w:r>
              <w:rPr>
                <w:rFonts w:hint="eastAsia" w:ascii="宋体" w:hAnsi="宋体" w:cs="宋体"/>
              </w:rPr>
              <w:t>内容</w:t>
            </w:r>
          </w:p>
          <w:p w14:paraId="5DC104E9">
            <w:pPr>
              <w:adjustRightInd w:val="0"/>
              <w:snapToGrid w:val="0"/>
              <w:rPr>
                <w:rFonts w:ascii="宋体" w:hAnsi="宋体" w:cs="宋体"/>
              </w:rPr>
            </w:pPr>
            <w:r>
              <w:rPr>
                <w:rFonts w:hint="eastAsia" w:ascii="宋体" w:hAnsi="宋体" w:cs="宋体"/>
              </w:rPr>
              <w:t>要素</w:t>
            </w:r>
          </w:p>
        </w:tc>
        <w:tc>
          <w:tcPr>
            <w:tcW w:w="2014" w:type="dxa"/>
            <w:vAlign w:val="center"/>
          </w:tcPr>
          <w:p w14:paraId="1B05B212">
            <w:pPr>
              <w:adjustRightInd w:val="0"/>
              <w:snapToGrid w:val="0"/>
              <w:jc w:val="center"/>
              <w:rPr>
                <w:rFonts w:ascii="宋体" w:hAnsi="宋体" w:cs="宋体"/>
              </w:rPr>
            </w:pPr>
            <w:r>
              <w:rPr>
                <w:rFonts w:hint="eastAsia" w:ascii="宋体" w:hAnsi="宋体" w:cs="宋体"/>
              </w:rPr>
              <w:t>排放口(编号、</w:t>
            </w:r>
          </w:p>
          <w:p w14:paraId="548CDDDF">
            <w:pPr>
              <w:adjustRightInd w:val="0"/>
              <w:snapToGrid w:val="0"/>
              <w:jc w:val="center"/>
              <w:rPr>
                <w:rFonts w:ascii="宋体" w:hAnsi="宋体" w:cs="宋体"/>
              </w:rPr>
            </w:pPr>
            <w:r>
              <w:rPr>
                <w:rFonts w:hint="eastAsia" w:ascii="宋体" w:hAnsi="宋体" w:cs="宋体"/>
              </w:rPr>
              <w:t>名称)/污染源</w:t>
            </w:r>
          </w:p>
        </w:tc>
        <w:tc>
          <w:tcPr>
            <w:tcW w:w="1468" w:type="dxa"/>
            <w:vAlign w:val="center"/>
          </w:tcPr>
          <w:p w14:paraId="7B518239">
            <w:pPr>
              <w:adjustRightInd w:val="0"/>
              <w:snapToGrid w:val="0"/>
              <w:jc w:val="center"/>
              <w:rPr>
                <w:rFonts w:ascii="宋体" w:hAnsi="宋体" w:cs="宋体"/>
              </w:rPr>
            </w:pPr>
            <w:r>
              <w:rPr>
                <w:rFonts w:hint="eastAsia" w:ascii="宋体" w:hAnsi="宋体" w:cs="宋体"/>
              </w:rPr>
              <w:t>污染物项目</w:t>
            </w:r>
          </w:p>
        </w:tc>
        <w:tc>
          <w:tcPr>
            <w:tcW w:w="1939" w:type="dxa"/>
            <w:vAlign w:val="center"/>
          </w:tcPr>
          <w:p w14:paraId="67BEBB2F">
            <w:pPr>
              <w:adjustRightInd w:val="0"/>
              <w:snapToGrid w:val="0"/>
              <w:jc w:val="center"/>
              <w:rPr>
                <w:rFonts w:ascii="宋体" w:hAnsi="宋体" w:cs="宋体"/>
              </w:rPr>
            </w:pPr>
            <w:r>
              <w:rPr>
                <w:rFonts w:hint="eastAsia" w:ascii="宋体" w:hAnsi="宋体" w:cs="宋体"/>
              </w:rPr>
              <w:t>环境保护措施</w:t>
            </w:r>
          </w:p>
        </w:tc>
        <w:tc>
          <w:tcPr>
            <w:tcW w:w="1809" w:type="dxa"/>
            <w:vAlign w:val="center"/>
          </w:tcPr>
          <w:p w14:paraId="13C5114A">
            <w:pPr>
              <w:adjustRightInd w:val="0"/>
              <w:snapToGrid w:val="0"/>
              <w:jc w:val="center"/>
              <w:rPr>
                <w:rFonts w:ascii="宋体" w:hAnsi="宋体" w:cs="宋体"/>
              </w:rPr>
            </w:pPr>
            <w:r>
              <w:rPr>
                <w:rFonts w:hint="eastAsia" w:ascii="宋体" w:hAnsi="宋体" w:cs="宋体"/>
              </w:rPr>
              <w:t>执行标准</w:t>
            </w:r>
          </w:p>
        </w:tc>
      </w:tr>
      <w:tr w14:paraId="2769E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0" w:type="dxa"/>
            <w:vAlign w:val="center"/>
          </w:tcPr>
          <w:p w14:paraId="7986409B">
            <w:pPr>
              <w:adjustRightInd w:val="0"/>
              <w:snapToGrid w:val="0"/>
              <w:jc w:val="center"/>
              <w:rPr>
                <w:rFonts w:ascii="宋体" w:hAnsi="宋体" w:cs="宋体"/>
              </w:rPr>
            </w:pPr>
            <w:r>
              <w:rPr>
                <w:rFonts w:hint="eastAsia" w:ascii="宋体" w:hAnsi="宋体" w:cs="宋体"/>
              </w:rPr>
              <w:t>大气环境</w:t>
            </w:r>
          </w:p>
        </w:tc>
        <w:tc>
          <w:tcPr>
            <w:tcW w:w="2014" w:type="dxa"/>
            <w:vAlign w:val="center"/>
          </w:tcPr>
          <w:p w14:paraId="42CDFEB2">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rPr>
              <w:t>DA00</w:t>
            </w:r>
            <w:r>
              <w:rPr>
                <w:rFonts w:hint="eastAsia" w:cs="Times New Roman"/>
                <w:lang w:val="en-US" w:eastAsia="zh-CN"/>
              </w:rPr>
              <w:t>1</w:t>
            </w:r>
            <w:r>
              <w:rPr>
                <w:rFonts w:hint="default" w:ascii="Times New Roman" w:hAnsi="Times New Roman" w:eastAsia="宋体" w:cs="Times New Roman"/>
              </w:rPr>
              <w:t>/下料、后处理（</w:t>
            </w:r>
            <w:r>
              <w:rPr>
                <w:rFonts w:hint="eastAsia" w:cs="Times New Roman"/>
                <w:lang w:val="en-US" w:eastAsia="zh-CN"/>
              </w:rPr>
              <w:t>刨</w:t>
            </w:r>
            <w:r>
              <w:rPr>
                <w:rFonts w:hint="default" w:ascii="Times New Roman" w:hAnsi="Times New Roman" w:eastAsia="宋体" w:cs="Times New Roman"/>
              </w:rPr>
              <w:t>光/砂光）</w:t>
            </w:r>
          </w:p>
        </w:tc>
        <w:tc>
          <w:tcPr>
            <w:tcW w:w="1468" w:type="dxa"/>
            <w:vAlign w:val="center"/>
          </w:tcPr>
          <w:p w14:paraId="5060AA53">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粉尘</w:t>
            </w:r>
          </w:p>
        </w:tc>
        <w:tc>
          <w:tcPr>
            <w:tcW w:w="1939" w:type="dxa"/>
            <w:vAlign w:val="center"/>
          </w:tcPr>
          <w:p w14:paraId="35A3514F">
            <w:pPr>
              <w:adjustRightInd w:val="0"/>
              <w:snapToGrid w:val="0"/>
              <w:jc w:val="center"/>
              <w:rPr>
                <w:rFonts w:hint="eastAsia" w:ascii="Times New Roman" w:hAnsi="Times New Roman" w:eastAsia="宋体" w:cs="Times New Roman"/>
                <w:lang w:val="en-US" w:eastAsia="zh-CN"/>
              </w:rPr>
            </w:pPr>
            <w:r>
              <w:rPr>
                <w:rFonts w:hint="default" w:ascii="Times New Roman" w:hAnsi="Times New Roman" w:eastAsia="宋体" w:cs="Times New Roman"/>
                <w:highlight w:val="none"/>
                <w:shd w:val="clear"/>
              </w:rPr>
              <w:t>布袋除尘器+1</w:t>
            </w:r>
            <w:r>
              <w:rPr>
                <w:rFonts w:hint="eastAsia" w:cs="Times New Roman"/>
                <w:highlight w:val="none"/>
                <w:shd w:val="clear"/>
                <w:lang w:val="en-US" w:eastAsia="zh-CN"/>
              </w:rPr>
              <w:t>5</w:t>
            </w:r>
            <w:r>
              <w:rPr>
                <w:rFonts w:hint="default" w:ascii="Times New Roman" w:hAnsi="Times New Roman" w:eastAsia="宋体" w:cs="Times New Roman"/>
                <w:highlight w:val="none"/>
                <w:shd w:val="clear"/>
              </w:rPr>
              <w:t>m高排筒DA00</w:t>
            </w:r>
            <w:r>
              <w:rPr>
                <w:rFonts w:hint="eastAsia" w:cs="Times New Roman"/>
                <w:highlight w:val="none"/>
                <w:shd w:val="clear"/>
                <w:lang w:val="en-US" w:eastAsia="zh-CN"/>
              </w:rPr>
              <w:t>1</w:t>
            </w:r>
          </w:p>
        </w:tc>
        <w:tc>
          <w:tcPr>
            <w:tcW w:w="1809" w:type="dxa"/>
            <w:vAlign w:val="center"/>
          </w:tcPr>
          <w:p w14:paraId="5E956BED">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《木材加工行业大气污染物排放标准》（DB34/4810-2024）</w:t>
            </w:r>
          </w:p>
        </w:tc>
      </w:tr>
      <w:tr w14:paraId="3611B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0" w:type="dxa"/>
            <w:vAlign w:val="center"/>
          </w:tcPr>
          <w:p w14:paraId="02C23394">
            <w:pPr>
              <w:adjustRightInd w:val="0"/>
              <w:snapToGrid w:val="0"/>
              <w:jc w:val="center"/>
              <w:rPr>
                <w:rFonts w:ascii="宋体" w:hAnsi="宋体" w:cs="宋体"/>
              </w:rPr>
            </w:pPr>
            <w:r>
              <w:rPr>
                <w:rFonts w:hint="eastAsia" w:ascii="宋体" w:hAnsi="宋体" w:cs="宋体"/>
              </w:rPr>
              <w:t>地表水环境</w:t>
            </w:r>
          </w:p>
        </w:tc>
        <w:tc>
          <w:tcPr>
            <w:tcW w:w="2014" w:type="dxa"/>
            <w:vAlign w:val="center"/>
          </w:tcPr>
          <w:p w14:paraId="75FA5A04">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rPr>
              <w:t>DW001/生活污水</w:t>
            </w:r>
          </w:p>
        </w:tc>
        <w:tc>
          <w:tcPr>
            <w:tcW w:w="1468" w:type="dxa"/>
            <w:vAlign w:val="center"/>
          </w:tcPr>
          <w:p w14:paraId="73466DCE">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rPr>
              <w:t>pH、COD、BOD</w:t>
            </w:r>
            <w:r>
              <w:rPr>
                <w:rFonts w:hint="default" w:ascii="Times New Roman" w:hAnsi="Times New Roman" w:eastAsia="宋体" w:cs="Times New Roman"/>
                <w:vertAlign w:val="subscript"/>
              </w:rPr>
              <w:t>5</w:t>
            </w:r>
            <w:r>
              <w:rPr>
                <w:rFonts w:hint="default" w:ascii="Times New Roman" w:hAnsi="Times New Roman" w:eastAsia="宋体" w:cs="Times New Roman"/>
              </w:rPr>
              <w:t>、SS、</w:t>
            </w:r>
            <w:r>
              <w:rPr>
                <w:rFonts w:hint="default" w:ascii="Times New Roman" w:hAnsi="Times New Roman" w:eastAsia="宋体" w:cs="Times New Roman"/>
                <w:bCs/>
                <w:snapToGrid w:val="0"/>
                <w:kern w:val="0"/>
              </w:rPr>
              <w:t>NH</w:t>
            </w:r>
            <w:r>
              <w:rPr>
                <w:rFonts w:hint="default" w:ascii="Times New Roman" w:hAnsi="Times New Roman" w:eastAsia="宋体" w:cs="Times New Roman"/>
                <w:bCs/>
                <w:snapToGrid w:val="0"/>
                <w:kern w:val="0"/>
                <w:vertAlign w:val="subscript"/>
              </w:rPr>
              <w:t>3</w:t>
            </w:r>
            <w:r>
              <w:rPr>
                <w:rFonts w:hint="default" w:ascii="Times New Roman" w:hAnsi="Times New Roman" w:eastAsia="宋体" w:cs="Times New Roman"/>
                <w:bCs/>
                <w:snapToGrid w:val="0"/>
                <w:kern w:val="0"/>
              </w:rPr>
              <w:t>-N</w:t>
            </w:r>
          </w:p>
        </w:tc>
        <w:tc>
          <w:tcPr>
            <w:tcW w:w="1939" w:type="dxa"/>
            <w:vAlign w:val="center"/>
          </w:tcPr>
          <w:p w14:paraId="49C3BA66">
            <w:pPr>
              <w:adjustRightInd w:val="0"/>
              <w:snapToGrid w:val="0"/>
              <w:jc w:val="center"/>
              <w:rPr>
                <w:rFonts w:hint="default" w:ascii="Times New Roman" w:hAnsi="Times New Roman" w:eastAsia="宋体" w:cs="Times New Roman"/>
                <w:lang w:val="en-US"/>
              </w:rPr>
            </w:pPr>
            <w:r>
              <w:rPr>
                <w:rFonts w:hint="default" w:ascii="Times New Roman" w:hAnsi="Times New Roman" w:eastAsia="宋体" w:cs="Times New Roman"/>
                <w:lang w:bidi="ar"/>
              </w:rPr>
              <w:t>生活污水经化粪池处理</w:t>
            </w:r>
            <w:r>
              <w:rPr>
                <w:rFonts w:hint="eastAsia" w:cs="Times New Roman"/>
                <w:lang w:val="en-US" w:eastAsia="zh-CN" w:bidi="ar"/>
              </w:rPr>
              <w:t>后</w:t>
            </w:r>
            <w:r>
              <w:rPr>
                <w:rFonts w:hint="default" w:ascii="Times New Roman" w:hAnsi="Times New Roman" w:eastAsia="宋体" w:cs="Times New Roman"/>
                <w:lang w:val="en-US" w:eastAsia="zh-CN" w:bidi="ar"/>
              </w:rPr>
              <w:t>排入泗县工业污水处理厂进一步处理</w:t>
            </w:r>
          </w:p>
        </w:tc>
        <w:tc>
          <w:tcPr>
            <w:tcW w:w="1809" w:type="dxa"/>
            <w:vAlign w:val="center"/>
          </w:tcPr>
          <w:p w14:paraId="01E0C179">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lang w:bidi="ar"/>
              </w:rPr>
              <w:t>《污水综合排放标准》（GB8978-1996）中的三级排放标准并满足污水处理厂接管要求</w:t>
            </w:r>
          </w:p>
        </w:tc>
      </w:tr>
      <w:tr w14:paraId="39AC5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0" w:type="dxa"/>
            <w:vAlign w:val="center"/>
          </w:tcPr>
          <w:p w14:paraId="3CDCE57F">
            <w:pPr>
              <w:adjustRightInd w:val="0"/>
              <w:snapToGrid w:val="0"/>
              <w:jc w:val="center"/>
              <w:rPr>
                <w:rFonts w:ascii="宋体" w:hAnsi="宋体" w:cs="宋体"/>
              </w:rPr>
            </w:pPr>
            <w:r>
              <w:rPr>
                <w:rFonts w:hint="eastAsia" w:ascii="宋体" w:hAnsi="宋体" w:cs="宋体"/>
              </w:rPr>
              <w:t>声环境</w:t>
            </w:r>
          </w:p>
        </w:tc>
        <w:tc>
          <w:tcPr>
            <w:tcW w:w="2014" w:type="dxa"/>
            <w:vAlign w:val="center"/>
          </w:tcPr>
          <w:p w14:paraId="0332072E">
            <w:pPr>
              <w:jc w:val="center"/>
              <w:outlineLvl w:val="0"/>
              <w:rPr>
                <w:rFonts w:hint="default" w:ascii="Times New Roman" w:hAnsi="Times New Roman" w:eastAsia="宋体" w:cs="Times New Roman"/>
              </w:rPr>
            </w:pPr>
            <w:r>
              <w:rPr>
                <w:rFonts w:hint="default" w:ascii="Times New Roman" w:hAnsi="Times New Roman" w:eastAsia="宋体" w:cs="Times New Roman"/>
              </w:rPr>
              <w:t>生产设备</w:t>
            </w:r>
          </w:p>
        </w:tc>
        <w:tc>
          <w:tcPr>
            <w:tcW w:w="1468" w:type="dxa"/>
            <w:vAlign w:val="center"/>
          </w:tcPr>
          <w:p w14:paraId="5BBCF550">
            <w:pPr>
              <w:jc w:val="center"/>
              <w:outlineLvl w:val="0"/>
              <w:rPr>
                <w:rFonts w:hint="default" w:ascii="Times New Roman" w:hAnsi="Times New Roman" w:eastAsia="宋体" w:cs="Times New Roman"/>
              </w:rPr>
            </w:pPr>
            <w:r>
              <w:rPr>
                <w:rFonts w:hint="default" w:ascii="Times New Roman" w:hAnsi="Times New Roman" w:eastAsia="宋体" w:cs="Times New Roman"/>
              </w:rPr>
              <w:t>设备噪声</w:t>
            </w:r>
          </w:p>
        </w:tc>
        <w:tc>
          <w:tcPr>
            <w:tcW w:w="1939" w:type="dxa"/>
            <w:vAlign w:val="center"/>
          </w:tcPr>
          <w:p w14:paraId="73149625">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厂房隔声，使用低噪设备，合理安排工作时间等</w:t>
            </w:r>
          </w:p>
        </w:tc>
        <w:tc>
          <w:tcPr>
            <w:tcW w:w="1809" w:type="dxa"/>
            <w:vAlign w:val="center"/>
          </w:tcPr>
          <w:p w14:paraId="26F5EAB5">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《工业企业厂界环境噪声排放标准》（GB12348-2008）中的3类标准</w:t>
            </w:r>
          </w:p>
        </w:tc>
      </w:tr>
      <w:tr w14:paraId="3A30C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830" w:type="dxa"/>
            <w:vAlign w:val="center"/>
          </w:tcPr>
          <w:p w14:paraId="57AF1775">
            <w:pPr>
              <w:adjustRightInd w:val="0"/>
              <w:snapToGrid w:val="0"/>
              <w:jc w:val="center"/>
              <w:rPr>
                <w:rFonts w:ascii="宋体" w:hAnsi="宋体" w:cs="宋体"/>
              </w:rPr>
            </w:pPr>
            <w:r>
              <w:rPr>
                <w:rFonts w:hint="eastAsia" w:ascii="宋体" w:hAnsi="宋体" w:cs="宋体"/>
              </w:rPr>
              <w:t>电磁辐射</w:t>
            </w:r>
          </w:p>
        </w:tc>
        <w:tc>
          <w:tcPr>
            <w:tcW w:w="7230" w:type="dxa"/>
            <w:gridSpan w:val="4"/>
            <w:vAlign w:val="center"/>
          </w:tcPr>
          <w:p w14:paraId="2348C41D">
            <w:pPr>
              <w:adjustRightInd w:val="0"/>
              <w:snapToGrid w:val="0"/>
              <w:jc w:val="center"/>
              <w:rPr>
                <w:rFonts w:ascii="宋体" w:hAnsi="宋体" w:cs="宋体"/>
              </w:rPr>
            </w:pPr>
            <w:r>
              <w:rPr>
                <w:rFonts w:hint="eastAsia" w:ascii="宋体" w:hAnsi="宋体" w:cs="宋体"/>
              </w:rPr>
              <w:t>无</w:t>
            </w:r>
          </w:p>
        </w:tc>
      </w:tr>
      <w:tr w14:paraId="0318A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830" w:type="dxa"/>
            <w:vAlign w:val="center"/>
          </w:tcPr>
          <w:p w14:paraId="1F92965E">
            <w:pPr>
              <w:adjustRightInd w:val="0"/>
              <w:snapToGrid w:val="0"/>
              <w:jc w:val="center"/>
              <w:rPr>
                <w:rFonts w:ascii="宋体" w:hAnsi="宋体" w:cs="宋体"/>
              </w:rPr>
            </w:pPr>
            <w:r>
              <w:rPr>
                <w:rFonts w:hint="eastAsia" w:ascii="宋体" w:hAnsi="宋体" w:cs="宋体"/>
              </w:rPr>
              <w:t>固体废物</w:t>
            </w:r>
          </w:p>
        </w:tc>
        <w:tc>
          <w:tcPr>
            <w:tcW w:w="7230" w:type="dxa"/>
            <w:gridSpan w:val="4"/>
            <w:vAlign w:val="center"/>
          </w:tcPr>
          <w:p w14:paraId="1CE57BB9">
            <w:r>
              <w:rPr>
                <w:lang w:bidi="ar"/>
              </w:rPr>
              <w:t>1、生活垃圾由环卫部门清运</w:t>
            </w:r>
            <w:r>
              <w:rPr>
                <w:rFonts w:hint="eastAsia"/>
                <w:lang w:bidi="ar"/>
              </w:rPr>
              <w:t>；</w:t>
            </w:r>
          </w:p>
          <w:p w14:paraId="737427DE">
            <w:r>
              <w:rPr>
                <w:lang w:bidi="ar"/>
              </w:rPr>
              <w:t>2、</w:t>
            </w:r>
            <w:r>
              <w:rPr>
                <w:rFonts w:hint="eastAsia"/>
                <w:lang w:bidi="ar"/>
              </w:rPr>
              <w:t>项目废边角料、</w:t>
            </w:r>
            <w:r>
              <w:rPr>
                <w:rFonts w:hint="eastAsia"/>
                <w:lang w:val="en-US" w:eastAsia="zh-CN" w:bidi="ar"/>
              </w:rPr>
              <w:t>废包装物和</w:t>
            </w:r>
            <w:r>
              <w:rPr>
                <w:rFonts w:hint="eastAsia"/>
                <w:lang w:bidi="ar"/>
              </w:rPr>
              <w:t>收集的粉尘收集后暂存于一般固废暂存间，</w:t>
            </w:r>
            <w:r>
              <w:rPr>
                <w:rFonts w:hint="eastAsia"/>
                <w:lang w:val="en-US" w:eastAsia="zh-CN" w:bidi="ar"/>
              </w:rPr>
              <w:t>外售处理。</w:t>
            </w:r>
          </w:p>
          <w:p w14:paraId="0076AF3D">
            <w:pPr>
              <w:rPr>
                <w:rFonts w:ascii="宋体" w:hAnsi="宋体" w:cs="宋体"/>
              </w:rPr>
            </w:pPr>
            <w:r>
              <w:rPr>
                <w:rFonts w:hint="eastAsia"/>
              </w:rPr>
              <w:t>3、废润滑油、废润滑油桶收集后暂存于危险废物暂存库内，废润滑油委托有资质单位进行处理，废润滑油桶由原厂家回收。</w:t>
            </w:r>
          </w:p>
        </w:tc>
      </w:tr>
      <w:tr w14:paraId="793FD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1830" w:type="dxa"/>
            <w:shd w:val="clear" w:color="auto" w:fill="auto"/>
            <w:vAlign w:val="center"/>
          </w:tcPr>
          <w:p w14:paraId="4313D0BD">
            <w:pPr>
              <w:adjustRightInd w:val="0"/>
              <w:snapToGrid w:val="0"/>
              <w:jc w:val="center"/>
              <w:rPr>
                <w:rFonts w:ascii="宋体" w:hAnsi="宋体" w:cs="宋体"/>
              </w:rPr>
            </w:pPr>
            <w:r>
              <w:rPr>
                <w:rFonts w:hint="eastAsia" w:ascii="宋体" w:hAnsi="宋体" w:cs="宋体"/>
              </w:rPr>
              <w:t>土壤及地下水</w:t>
            </w:r>
          </w:p>
          <w:p w14:paraId="6A461281">
            <w:pPr>
              <w:adjustRightInd w:val="0"/>
              <w:snapToGrid w:val="0"/>
              <w:jc w:val="center"/>
              <w:rPr>
                <w:rFonts w:ascii="宋体" w:hAnsi="宋体" w:eastAsia="宋体" w:cs="宋体"/>
                <w:kern w:val="2"/>
                <w:sz w:val="24"/>
                <w:szCs w:val="24"/>
                <w:lang w:val="en-US" w:eastAsia="zh-CN" w:bidi="ar-SA"/>
              </w:rPr>
            </w:pPr>
            <w:r>
              <w:rPr>
                <w:rFonts w:hint="eastAsia" w:ascii="宋体" w:hAnsi="宋体" w:cs="宋体"/>
              </w:rPr>
              <w:t>污染防治措施</w:t>
            </w:r>
          </w:p>
        </w:tc>
        <w:tc>
          <w:tcPr>
            <w:tcW w:w="7230" w:type="dxa"/>
            <w:gridSpan w:val="4"/>
            <w:shd w:val="clear" w:color="auto" w:fill="auto"/>
            <w:vAlign w:val="center"/>
          </w:tcPr>
          <w:p w14:paraId="4A4CAFD9">
            <w:pPr>
              <w:adjustRightInd w:val="0"/>
              <w:snapToGrid w:val="0"/>
              <w:rPr>
                <w:rFonts w:hint="eastAsia" w:ascii="Times New Roman" w:hAnsi="Times New Roman" w:eastAsia="宋体" w:cs="宋体"/>
                <w:sz w:val="24"/>
                <w:szCs w:val="22"/>
              </w:rPr>
            </w:pPr>
            <w:r>
              <w:rPr>
                <w:rFonts w:hint="eastAsia" w:ascii="Times New Roman" w:hAnsi="Times New Roman" w:eastAsia="宋体" w:cs="宋体"/>
                <w:sz w:val="24"/>
                <w:szCs w:val="22"/>
              </w:rPr>
              <w:t>分区防渗：</w:t>
            </w:r>
          </w:p>
          <w:p w14:paraId="4A1E74B9">
            <w:pPr>
              <w:adjustRightInd w:val="0"/>
              <w:snapToGrid w:val="0"/>
              <w:rPr>
                <w:rFonts w:hint="eastAsia" w:ascii="Times New Roman" w:hAnsi="Times New Roman" w:eastAsia="宋体" w:cs="宋体"/>
                <w:sz w:val="24"/>
                <w:szCs w:val="22"/>
                <w:lang w:val="en-US" w:eastAsia="zh-CN"/>
              </w:rPr>
            </w:pPr>
            <w:r>
              <w:rPr>
                <w:rFonts w:hint="eastAsia" w:ascii="Times New Roman" w:hAnsi="Times New Roman" w:eastAsia="宋体" w:cs="宋体"/>
                <w:sz w:val="24"/>
                <w:szCs w:val="22"/>
                <w:lang w:val="en-US" w:eastAsia="zh-CN"/>
              </w:rPr>
              <w:t>1、重点防渗区：危险废物暂存间，危险废物暂存间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宋体"/>
                <w:sz w:val="24"/>
                <w:szCs w:val="22"/>
                <w:vertAlign w:val="superscript"/>
                <w:lang w:val="en-US" w:eastAsia="zh-CN"/>
              </w:rPr>
              <w:t>-7</w:t>
            </w:r>
            <w:r>
              <w:rPr>
                <w:rFonts w:hint="eastAsia" w:ascii="Times New Roman" w:hAnsi="Times New Roman" w:eastAsia="宋体" w:cs="宋体"/>
                <w:sz w:val="24"/>
                <w:szCs w:val="22"/>
                <w:lang w:val="en-US" w:eastAsia="zh-CN"/>
              </w:rPr>
              <w:t>cm/s），或至少2mm厚高密度聚乙烯膜等人工防渗材料（渗透系数不大于10</w:t>
            </w:r>
            <w:r>
              <w:rPr>
                <w:rFonts w:hint="eastAsia" w:ascii="Times New Roman" w:hAnsi="Times New Roman" w:eastAsia="宋体" w:cs="宋体"/>
                <w:sz w:val="24"/>
                <w:szCs w:val="22"/>
                <w:vertAlign w:val="superscript"/>
                <w:lang w:val="en-US" w:eastAsia="zh-CN"/>
              </w:rPr>
              <w:t>-10</w:t>
            </w:r>
            <w:r>
              <w:rPr>
                <w:rFonts w:hint="eastAsia" w:ascii="Times New Roman" w:hAnsi="Times New Roman" w:eastAsia="宋体" w:cs="宋体"/>
                <w:sz w:val="24"/>
                <w:szCs w:val="22"/>
                <w:lang w:val="en-US" w:eastAsia="zh-CN"/>
              </w:rPr>
              <w:t>cm/s），或其他防渗性能等效的材料；</w:t>
            </w:r>
          </w:p>
          <w:p w14:paraId="5163D058">
            <w:pPr>
              <w:adjustRightInd w:val="0"/>
              <w:snapToGrid w:val="0"/>
              <w:rPr>
                <w:rFonts w:hint="eastAsia" w:ascii="Times New Roman" w:hAnsi="Times New Roman" w:eastAsia="宋体" w:cs="宋体"/>
                <w:sz w:val="24"/>
                <w:szCs w:val="22"/>
                <w:lang w:val="en-US" w:eastAsia="zh-CN"/>
              </w:rPr>
            </w:pPr>
            <w:r>
              <w:rPr>
                <w:rFonts w:hint="eastAsia" w:ascii="Times New Roman" w:hAnsi="Times New Roman" w:eastAsia="宋体" w:cs="宋体"/>
                <w:sz w:val="24"/>
                <w:szCs w:val="22"/>
                <w:lang w:val="en-US" w:eastAsia="zh-CN"/>
              </w:rPr>
              <w:t>2、生产车</w:t>
            </w:r>
            <w:r>
              <w:rPr>
                <w:rFonts w:hint="eastAsia" w:ascii="Times New Roman" w:hAnsi="Times New Roman" w:eastAsia="宋体" w:cs="宋体"/>
                <w:color w:val="auto"/>
                <w:sz w:val="24"/>
                <w:szCs w:val="22"/>
                <w:lang w:val="en-US" w:eastAsia="zh-CN"/>
              </w:rPr>
              <w:t>间、一般固废间、化粪池进行一般防渗</w:t>
            </w:r>
            <w:r>
              <w:rPr>
                <w:rFonts w:hint="eastAsia" w:ascii="Times New Roman" w:hAnsi="Times New Roman" w:eastAsia="宋体" w:cs="宋体"/>
                <w:sz w:val="24"/>
                <w:szCs w:val="22"/>
                <w:lang w:val="en-US" w:eastAsia="zh-CN"/>
              </w:rPr>
              <w:t>：等效黏土防水层Mb≥1.5m，K≤1.0×10</w:t>
            </w:r>
            <w:r>
              <w:rPr>
                <w:rFonts w:hint="eastAsia" w:ascii="Times New Roman" w:hAnsi="Times New Roman" w:eastAsia="宋体" w:cs="宋体"/>
                <w:sz w:val="24"/>
                <w:szCs w:val="22"/>
                <w:vertAlign w:val="superscript"/>
                <w:lang w:val="en-US" w:eastAsia="zh-CN"/>
              </w:rPr>
              <w:t>-7</w:t>
            </w:r>
            <w:r>
              <w:rPr>
                <w:rFonts w:hint="eastAsia" w:ascii="Times New Roman" w:hAnsi="Times New Roman" w:eastAsia="宋体" w:cs="宋体"/>
                <w:sz w:val="24"/>
                <w:szCs w:val="22"/>
                <w:lang w:val="en-US" w:eastAsia="zh-CN"/>
              </w:rPr>
              <w:t>cm/s；或参照GB 16889执行；</w:t>
            </w:r>
          </w:p>
          <w:p w14:paraId="556EB51D">
            <w:pPr>
              <w:rPr>
                <w:rFonts w:ascii="Times New Roman" w:hAnsi="Times New Roman" w:eastAsia="宋体" w:cs="Times New Roman"/>
                <w:kern w:val="2"/>
                <w:sz w:val="24"/>
                <w:szCs w:val="24"/>
                <w:lang w:val="en-US" w:eastAsia="zh-CN" w:bidi="ar-SA"/>
              </w:rPr>
            </w:pPr>
            <w:r>
              <w:rPr>
                <w:rFonts w:hint="eastAsia" w:ascii="Times New Roman" w:hAnsi="Times New Roman" w:eastAsia="宋体" w:cs="宋体"/>
                <w:sz w:val="24"/>
                <w:szCs w:val="22"/>
                <w:lang w:val="en-US" w:eastAsia="zh-CN"/>
              </w:rPr>
              <w:t>3、办公区域简单防渗：一般地面硬化</w:t>
            </w:r>
          </w:p>
        </w:tc>
      </w:tr>
      <w:tr w14:paraId="01104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30" w:type="dxa"/>
            <w:vAlign w:val="center"/>
          </w:tcPr>
          <w:p w14:paraId="559B2459">
            <w:pPr>
              <w:adjustRightInd w:val="0"/>
              <w:snapToGrid w:val="0"/>
              <w:jc w:val="center"/>
              <w:rPr>
                <w:rFonts w:ascii="宋体" w:hAnsi="宋体" w:cs="宋体"/>
              </w:rPr>
            </w:pPr>
            <w:r>
              <w:rPr>
                <w:rFonts w:hint="eastAsia" w:ascii="宋体" w:hAnsi="宋体" w:cs="宋体"/>
              </w:rPr>
              <w:t>生态保护措施</w:t>
            </w:r>
          </w:p>
        </w:tc>
        <w:tc>
          <w:tcPr>
            <w:tcW w:w="7230" w:type="dxa"/>
            <w:gridSpan w:val="4"/>
            <w:vAlign w:val="center"/>
          </w:tcPr>
          <w:p w14:paraId="5E8183A8">
            <w:pPr>
              <w:adjustRightInd w:val="0"/>
              <w:snapToGrid w:val="0"/>
              <w:jc w:val="center"/>
              <w:rPr>
                <w:rFonts w:ascii="宋体" w:hAnsi="宋体" w:cs="宋体"/>
              </w:rPr>
            </w:pPr>
            <w:r>
              <w:rPr>
                <w:rFonts w:hint="eastAsia"/>
                <w:color w:val="000000"/>
              </w:rPr>
              <w:t>无</w:t>
            </w:r>
          </w:p>
        </w:tc>
      </w:tr>
      <w:tr w14:paraId="6C59C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1830" w:type="dxa"/>
            <w:vAlign w:val="center"/>
          </w:tcPr>
          <w:p w14:paraId="4F3651EF">
            <w:pPr>
              <w:adjustRightInd w:val="0"/>
              <w:snapToGrid w:val="0"/>
              <w:jc w:val="center"/>
              <w:rPr>
                <w:rFonts w:ascii="宋体" w:hAnsi="宋体" w:cs="宋体"/>
              </w:rPr>
            </w:pPr>
            <w:r>
              <w:rPr>
                <w:rFonts w:hint="eastAsia" w:ascii="宋体" w:hAnsi="宋体" w:cs="宋体"/>
              </w:rPr>
              <w:t>环境风险</w:t>
            </w:r>
          </w:p>
          <w:p w14:paraId="0CBF84F0">
            <w:pPr>
              <w:adjustRightInd w:val="0"/>
              <w:snapToGrid w:val="0"/>
              <w:jc w:val="center"/>
              <w:rPr>
                <w:rFonts w:ascii="宋体" w:hAnsi="宋体" w:cs="宋体"/>
              </w:rPr>
            </w:pPr>
            <w:r>
              <w:rPr>
                <w:rFonts w:hint="eastAsia" w:ascii="宋体" w:hAnsi="宋体" w:cs="宋体"/>
              </w:rPr>
              <w:t>防范措施</w:t>
            </w:r>
          </w:p>
        </w:tc>
        <w:tc>
          <w:tcPr>
            <w:tcW w:w="7230" w:type="dxa"/>
            <w:gridSpan w:val="4"/>
            <w:vAlign w:val="center"/>
          </w:tcPr>
          <w:p w14:paraId="4FED704A">
            <w:pPr>
              <w:adjustRightInd w:val="0"/>
              <w:snapToGrid w:val="0"/>
              <w:rPr>
                <w:rFonts w:ascii="Times New Roman" w:hAnsi="Times New Roman" w:eastAsia="宋体"/>
                <w:color w:val="000000"/>
                <w:sz w:val="24"/>
                <w:szCs w:val="22"/>
              </w:rPr>
            </w:pPr>
            <w:r>
              <w:rPr>
                <w:rFonts w:hint="eastAsia" w:ascii="Times New Roman" w:hAnsi="Times New Roman" w:eastAsia="宋体"/>
                <w:color w:val="000000"/>
                <w:sz w:val="24"/>
                <w:szCs w:val="22"/>
              </w:rPr>
              <w:t>1、车间内工艺布置保持通道畅通</w:t>
            </w:r>
          </w:p>
          <w:p w14:paraId="57053464">
            <w:pPr>
              <w:adjustRightInd w:val="0"/>
              <w:snapToGrid w:val="0"/>
              <w:rPr>
                <w:rFonts w:ascii="Times New Roman" w:hAnsi="Times New Roman" w:eastAsia="宋体"/>
                <w:color w:val="000000"/>
                <w:sz w:val="24"/>
                <w:szCs w:val="22"/>
              </w:rPr>
            </w:pPr>
            <w:r>
              <w:rPr>
                <w:rFonts w:ascii="Times New Roman" w:hAnsi="Times New Roman" w:eastAsia="宋体"/>
                <w:color w:val="000000"/>
                <w:sz w:val="24"/>
                <w:szCs w:val="22"/>
              </w:rPr>
              <w:t>2</w:t>
            </w:r>
            <w:r>
              <w:rPr>
                <w:rFonts w:hint="eastAsia" w:ascii="Times New Roman" w:hAnsi="Times New Roman" w:eastAsia="宋体"/>
                <w:color w:val="000000"/>
                <w:sz w:val="24"/>
                <w:szCs w:val="22"/>
              </w:rPr>
              <w:t>、企业定期对废气、处理设施进行维护、修理，使其处于正常运转状态，杜绝事故性排放；一旦发现废气收集、处理设施出现故障，须立即停止生产，待故障排除完毕、治理设施正常运行后方可恢复生产</w:t>
            </w:r>
          </w:p>
          <w:p w14:paraId="76638E91">
            <w:pPr>
              <w:adjustRightInd w:val="0"/>
              <w:snapToGrid w:val="0"/>
              <w:rPr>
                <w:rFonts w:ascii="Times New Roman" w:hAnsi="Times New Roman" w:eastAsia="宋体"/>
                <w:color w:val="000000"/>
                <w:sz w:val="24"/>
                <w:szCs w:val="22"/>
              </w:rPr>
            </w:pPr>
            <w:r>
              <w:rPr>
                <w:rFonts w:ascii="Times New Roman" w:hAnsi="Times New Roman" w:eastAsia="宋体"/>
                <w:color w:val="000000"/>
                <w:sz w:val="24"/>
                <w:szCs w:val="22"/>
              </w:rPr>
              <w:t>3</w:t>
            </w:r>
            <w:r>
              <w:rPr>
                <w:rFonts w:hint="eastAsia" w:ascii="Times New Roman" w:hAnsi="Times New Roman" w:eastAsia="宋体"/>
                <w:color w:val="000000"/>
                <w:sz w:val="24"/>
                <w:szCs w:val="22"/>
              </w:rPr>
              <w:t>、设立单独的危险废物暂存间，并按照《危险废物贮存污染控制标准》（GB18597-2023）的规定做各项措施，并定期委托有资质单位清运处置。同时，建设单位在危险废物转移过程中须严格执行转移联单制度，并做好记录台账，防止危险废物在转移过程中发生遗失事故</w:t>
            </w:r>
          </w:p>
          <w:p w14:paraId="5E371A72">
            <w:pPr>
              <w:adjustRightInd w:val="0"/>
              <w:snapToGrid w:val="0"/>
              <w:rPr>
                <w:rFonts w:cs="宋体"/>
                <w:lang w:bidi="ar"/>
              </w:rPr>
            </w:pPr>
            <w:r>
              <w:rPr>
                <w:rFonts w:ascii="Times New Roman" w:hAnsi="Times New Roman" w:eastAsia="宋体"/>
                <w:color w:val="000000"/>
                <w:sz w:val="24"/>
                <w:szCs w:val="22"/>
              </w:rPr>
              <w:t>4</w:t>
            </w:r>
            <w:r>
              <w:rPr>
                <w:rFonts w:hint="eastAsia" w:ascii="Times New Roman" w:hAnsi="Times New Roman" w:eastAsia="宋体"/>
                <w:color w:val="000000"/>
                <w:sz w:val="24"/>
                <w:szCs w:val="22"/>
              </w:rPr>
              <w:t>、建设单位须制订环境突发事故应急预案，一旦突发环境风险事故，必须立即按应急预案提到的紧急处理、救援、监测方案等进行紧急救援，救援人员采取相应的防护措施，以避免造成人员伤亡事故</w:t>
            </w:r>
          </w:p>
        </w:tc>
      </w:tr>
      <w:tr w14:paraId="4A108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0" w:type="dxa"/>
            <w:vAlign w:val="center"/>
          </w:tcPr>
          <w:p w14:paraId="0EF600AA">
            <w:pPr>
              <w:adjustRightInd w:val="0"/>
              <w:snapToGrid w:val="0"/>
              <w:jc w:val="center"/>
              <w:rPr>
                <w:rFonts w:ascii="宋体" w:hAnsi="宋体" w:cs="宋体"/>
              </w:rPr>
            </w:pPr>
            <w:r>
              <w:rPr>
                <w:rFonts w:hint="eastAsia" w:ascii="宋体" w:hAnsi="宋体" w:cs="宋体"/>
              </w:rPr>
              <w:t>其他环境</w:t>
            </w:r>
          </w:p>
          <w:p w14:paraId="7AC895E3">
            <w:pPr>
              <w:adjustRightInd w:val="0"/>
              <w:snapToGrid w:val="0"/>
              <w:jc w:val="center"/>
              <w:rPr>
                <w:rFonts w:ascii="宋体" w:hAnsi="宋体" w:cs="宋体"/>
              </w:rPr>
            </w:pPr>
            <w:r>
              <w:rPr>
                <w:rFonts w:hint="eastAsia" w:ascii="宋体" w:hAnsi="宋体" w:cs="宋体"/>
              </w:rPr>
              <w:t>管理要求</w:t>
            </w:r>
          </w:p>
        </w:tc>
        <w:tc>
          <w:tcPr>
            <w:tcW w:w="7230" w:type="dxa"/>
            <w:gridSpan w:val="4"/>
            <w:vAlign w:val="center"/>
          </w:tcPr>
          <w:p w14:paraId="05FE5FEC">
            <w:pPr>
              <w:adjustRightInd w:val="0"/>
              <w:snapToGrid w:val="0"/>
              <w:spacing w:line="240" w:lineRule="auto"/>
              <w:jc w:val="left"/>
            </w:pPr>
            <w:r>
              <w:rPr>
                <w:rFonts w:hint="eastAsia"/>
              </w:rPr>
              <w:t>1、规范化排污口设置</w:t>
            </w:r>
          </w:p>
          <w:p w14:paraId="12464196">
            <w:pPr>
              <w:adjustRightInd w:val="0"/>
              <w:snapToGrid w:val="0"/>
              <w:spacing w:line="240" w:lineRule="auto"/>
              <w:jc w:val="left"/>
            </w:pPr>
            <w:r>
              <w:rPr>
                <w:rFonts w:hint="eastAsia"/>
              </w:rPr>
              <w:t>2、根据相关环保法律中的规定，项目的主体工程与用于污染防治的设施必须同时设计、同时施工、同时投入运行，并且对于污染物防治设施建设“三同时”验收可以有效地防止大气污染物和水污染物对生态环境造成的不良影响。本项目在进行试生产时需要向环保部门申请开始进行“三同时”验收。</w:t>
            </w:r>
          </w:p>
          <w:p w14:paraId="62D6B736">
            <w:pPr>
              <w:adjustRightInd w:val="0"/>
              <w:snapToGrid w:val="0"/>
              <w:spacing w:line="240" w:lineRule="auto"/>
              <w:jc w:val="left"/>
              <w:rPr>
                <w:rFonts w:ascii="宋体" w:hAnsi="宋体" w:cs="宋体"/>
              </w:rPr>
            </w:pPr>
            <w:r>
              <w:rPr>
                <w:rFonts w:hint="eastAsia"/>
              </w:rPr>
              <w:t>3、按照《排污许可管理条例》完成排污许可申请。</w:t>
            </w:r>
          </w:p>
        </w:tc>
      </w:tr>
    </w:tbl>
    <w:p w14:paraId="6E20FF3C">
      <w:pPr>
        <w:pStyle w:val="26"/>
        <w:jc w:val="both"/>
        <w:rPr>
          <w:rFonts w:ascii="黑体" w:hAnsi="黑体" w:eastAsia="黑体"/>
          <w:snapToGrid w:val="0"/>
          <w:sz w:val="30"/>
          <w:szCs w:val="30"/>
        </w:rPr>
      </w:pPr>
    </w:p>
    <w:p w14:paraId="21532CF8">
      <w:pPr>
        <w:rPr>
          <w:rFonts w:ascii="黑体" w:hAnsi="黑体" w:eastAsia="黑体"/>
          <w:snapToGrid w:val="0"/>
          <w:sz w:val="30"/>
          <w:szCs w:val="30"/>
        </w:rPr>
      </w:pPr>
      <w:r>
        <w:rPr>
          <w:rFonts w:hint="eastAsia" w:ascii="黑体" w:hAnsi="黑体" w:eastAsia="黑体"/>
          <w:snapToGrid w:val="0"/>
          <w:sz w:val="30"/>
          <w:szCs w:val="30"/>
        </w:rPr>
        <w:br w:type="page"/>
      </w:r>
    </w:p>
    <w:p w14:paraId="09ED2B74">
      <w:pPr>
        <w:pStyle w:val="26"/>
        <w:jc w:val="center"/>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91B2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EBE0594">
            <w:pPr>
              <w:adjustRightInd w:val="0"/>
              <w:snapToGrid w:val="0"/>
              <w:spacing w:before="120" w:beforeLines="50" w:line="360" w:lineRule="auto"/>
              <w:ind w:firstLine="480" w:firstLineChars="200"/>
              <w:jc w:val="left"/>
            </w:pPr>
          </w:p>
          <w:p w14:paraId="0083FABB">
            <w:pPr>
              <w:adjustRightInd w:val="0"/>
              <w:snapToGrid w:val="0"/>
              <w:spacing w:before="120" w:beforeLines="50" w:line="360" w:lineRule="auto"/>
              <w:ind w:firstLine="480" w:firstLineChars="200"/>
              <w:jc w:val="left"/>
            </w:pPr>
          </w:p>
          <w:p w14:paraId="64084B91">
            <w:pPr>
              <w:adjustRightInd w:val="0"/>
              <w:snapToGrid w:val="0"/>
              <w:spacing w:before="120" w:beforeLines="50" w:line="360" w:lineRule="auto"/>
              <w:ind w:firstLine="480" w:firstLineChars="200"/>
              <w:jc w:val="left"/>
            </w:pPr>
          </w:p>
          <w:p w14:paraId="21B4D28D">
            <w:pPr>
              <w:adjustRightInd w:val="0"/>
              <w:snapToGrid w:val="0"/>
              <w:spacing w:before="120" w:beforeLines="50" w:line="360" w:lineRule="auto"/>
              <w:ind w:firstLine="480" w:firstLineChars="200"/>
              <w:jc w:val="left"/>
            </w:pPr>
          </w:p>
          <w:p w14:paraId="230E272D">
            <w:pPr>
              <w:adjustRightInd w:val="0"/>
              <w:snapToGrid w:val="0"/>
              <w:spacing w:before="120" w:beforeLines="50" w:line="360" w:lineRule="auto"/>
              <w:ind w:firstLine="480" w:firstLineChars="200"/>
              <w:jc w:val="left"/>
            </w:pPr>
            <w:r>
              <w:rPr>
                <w:rFonts w:hint="eastAsia"/>
              </w:rPr>
              <w:t>综上所述，该项目符合国家相关产业政策，项目建成投入使用后项目对环境的影响程度较小，本次评价认为，企业在认真、切实落实报告表提出的各项污染防治措施的前提下，从环境影响角度分析，该项目建设可行。</w:t>
            </w:r>
          </w:p>
          <w:p w14:paraId="5299963E">
            <w:pPr>
              <w:adjustRightInd w:val="0"/>
              <w:snapToGrid w:val="0"/>
              <w:spacing w:before="120" w:beforeLines="50" w:line="360" w:lineRule="auto"/>
              <w:ind w:firstLine="480" w:firstLineChars="200"/>
              <w:jc w:val="left"/>
            </w:pPr>
          </w:p>
          <w:p w14:paraId="4D9981B1">
            <w:pPr>
              <w:adjustRightInd w:val="0"/>
              <w:snapToGrid w:val="0"/>
              <w:spacing w:before="120" w:beforeLines="50" w:line="360" w:lineRule="auto"/>
              <w:ind w:firstLine="480" w:firstLineChars="200"/>
              <w:jc w:val="left"/>
            </w:pPr>
          </w:p>
          <w:p w14:paraId="696E942F">
            <w:pPr>
              <w:adjustRightInd w:val="0"/>
              <w:snapToGrid w:val="0"/>
              <w:spacing w:before="120" w:beforeLines="50" w:line="360" w:lineRule="auto"/>
              <w:ind w:firstLine="480" w:firstLineChars="200"/>
              <w:jc w:val="left"/>
            </w:pPr>
          </w:p>
          <w:p w14:paraId="61E5B58D">
            <w:pPr>
              <w:adjustRightInd w:val="0"/>
              <w:snapToGrid w:val="0"/>
              <w:spacing w:before="120" w:beforeLines="50" w:line="360" w:lineRule="auto"/>
              <w:ind w:firstLine="480" w:firstLineChars="200"/>
              <w:jc w:val="left"/>
            </w:pPr>
          </w:p>
          <w:p w14:paraId="644B1B16">
            <w:pPr>
              <w:adjustRightInd w:val="0"/>
              <w:snapToGrid w:val="0"/>
              <w:spacing w:before="120" w:beforeLines="50" w:line="360" w:lineRule="auto"/>
              <w:ind w:firstLine="480" w:firstLineChars="200"/>
              <w:jc w:val="left"/>
            </w:pPr>
          </w:p>
          <w:p w14:paraId="23B24A06">
            <w:pPr>
              <w:adjustRightInd w:val="0"/>
              <w:snapToGrid w:val="0"/>
              <w:spacing w:before="120" w:beforeLines="50" w:line="360" w:lineRule="auto"/>
              <w:ind w:firstLine="480" w:firstLineChars="200"/>
              <w:jc w:val="left"/>
            </w:pPr>
          </w:p>
          <w:p w14:paraId="08AFB65F">
            <w:pPr>
              <w:adjustRightInd w:val="0"/>
              <w:snapToGrid w:val="0"/>
              <w:spacing w:before="120" w:beforeLines="50" w:line="360" w:lineRule="auto"/>
              <w:ind w:firstLine="480" w:firstLineChars="200"/>
              <w:jc w:val="left"/>
            </w:pPr>
          </w:p>
          <w:p w14:paraId="0E3A9D9E">
            <w:pPr>
              <w:adjustRightInd w:val="0"/>
              <w:snapToGrid w:val="0"/>
              <w:spacing w:before="120" w:beforeLines="50" w:line="360" w:lineRule="auto"/>
              <w:ind w:firstLine="480" w:firstLineChars="200"/>
              <w:jc w:val="left"/>
            </w:pPr>
          </w:p>
          <w:p w14:paraId="6C5CA223">
            <w:pPr>
              <w:adjustRightInd w:val="0"/>
              <w:snapToGrid w:val="0"/>
              <w:spacing w:before="120" w:beforeLines="50" w:line="360" w:lineRule="auto"/>
              <w:ind w:firstLine="480" w:firstLineChars="200"/>
              <w:jc w:val="left"/>
            </w:pPr>
          </w:p>
          <w:p w14:paraId="6F05CA81">
            <w:pPr>
              <w:adjustRightInd w:val="0"/>
              <w:snapToGrid w:val="0"/>
              <w:spacing w:before="120" w:beforeLines="50" w:line="360" w:lineRule="auto"/>
              <w:ind w:firstLine="480" w:firstLineChars="200"/>
              <w:jc w:val="left"/>
            </w:pPr>
          </w:p>
          <w:p w14:paraId="162862C5">
            <w:pPr>
              <w:adjustRightInd w:val="0"/>
              <w:snapToGrid w:val="0"/>
              <w:spacing w:before="120" w:beforeLines="50" w:line="360" w:lineRule="auto"/>
              <w:ind w:firstLine="480" w:firstLineChars="200"/>
              <w:jc w:val="left"/>
            </w:pPr>
          </w:p>
          <w:p w14:paraId="3F5A1F5C">
            <w:pPr>
              <w:adjustRightInd w:val="0"/>
              <w:snapToGrid w:val="0"/>
              <w:spacing w:before="120" w:beforeLines="50" w:line="360" w:lineRule="auto"/>
              <w:ind w:firstLine="480" w:firstLineChars="200"/>
              <w:jc w:val="left"/>
            </w:pPr>
          </w:p>
          <w:p w14:paraId="2D04B502">
            <w:pPr>
              <w:adjustRightInd w:val="0"/>
              <w:snapToGrid w:val="0"/>
              <w:spacing w:before="120" w:beforeLines="50" w:line="360" w:lineRule="auto"/>
              <w:ind w:firstLine="480" w:firstLineChars="200"/>
              <w:jc w:val="left"/>
            </w:pPr>
          </w:p>
          <w:p w14:paraId="413FC5DB">
            <w:pPr>
              <w:adjustRightInd w:val="0"/>
              <w:snapToGrid w:val="0"/>
              <w:spacing w:before="120" w:beforeLines="50" w:line="360" w:lineRule="auto"/>
              <w:ind w:firstLine="480" w:firstLineChars="200"/>
              <w:jc w:val="left"/>
            </w:pPr>
          </w:p>
          <w:p w14:paraId="2FEBF8DF">
            <w:pPr>
              <w:adjustRightInd w:val="0"/>
              <w:snapToGrid w:val="0"/>
              <w:spacing w:before="120" w:beforeLines="50" w:line="360" w:lineRule="auto"/>
              <w:jc w:val="left"/>
            </w:pPr>
          </w:p>
        </w:tc>
      </w:tr>
    </w:tbl>
    <w:p w14:paraId="289188C5">
      <w:pPr>
        <w:rPr>
          <w:rFonts w:ascii="宋体"/>
        </w:rPr>
        <w:sectPr>
          <w:pgSz w:w="11906" w:h="16838"/>
          <w:pgMar w:top="1701" w:right="1531" w:bottom="1701" w:left="1531" w:header="851" w:footer="851" w:gutter="0"/>
          <w:cols w:space="720" w:num="1"/>
          <w:docGrid w:linePitch="312" w:charSpace="0"/>
        </w:sectPr>
      </w:pPr>
    </w:p>
    <w:p w14:paraId="7161B4E5">
      <w:pPr>
        <w:pStyle w:val="26"/>
        <w:adjustRightInd w:val="0"/>
        <w:snapToGrid w:val="0"/>
        <w:spacing w:before="0" w:beforeAutospacing="0" w:after="0" w:afterAutospacing="0" w:line="360" w:lineRule="auto"/>
        <w:rPr>
          <w:rFonts w:ascii="黑体" w:hAnsi="黑体" w:eastAsia="黑体"/>
          <w:snapToGrid w:val="0"/>
          <w:sz w:val="32"/>
          <w:szCs w:val="32"/>
        </w:rPr>
      </w:pPr>
      <w:r>
        <w:rPr>
          <w:rFonts w:hint="eastAsia" w:ascii="黑体" w:hAnsi="黑体" w:eastAsia="黑体"/>
          <w:snapToGrid w:val="0"/>
          <w:sz w:val="32"/>
          <w:szCs w:val="32"/>
        </w:rPr>
        <w:t>附表</w:t>
      </w:r>
    </w:p>
    <w:p w14:paraId="17626946">
      <w:pPr>
        <w:pStyle w:val="26"/>
        <w:adjustRightInd w:val="0"/>
        <w:snapToGrid w:val="0"/>
        <w:spacing w:before="0" w:beforeAutospacing="0" w:after="0" w:afterAutospacing="0"/>
        <w:jc w:val="center"/>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387"/>
        <w:gridCol w:w="1664"/>
        <w:gridCol w:w="1250"/>
        <w:gridCol w:w="1664"/>
        <w:gridCol w:w="1525"/>
        <w:gridCol w:w="1578"/>
        <w:gridCol w:w="1629"/>
        <w:gridCol w:w="1242"/>
      </w:tblGrid>
      <w:tr w14:paraId="56E53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tcBorders>
              <w:tl2br w:val="single" w:color="auto" w:sz="4" w:space="0"/>
            </w:tcBorders>
            <w:tcMar>
              <w:left w:w="28" w:type="dxa"/>
              <w:right w:w="28" w:type="dxa"/>
            </w:tcMar>
            <w:vAlign w:val="center"/>
          </w:tcPr>
          <w:p w14:paraId="741CDDA8">
            <w:pPr>
              <w:pStyle w:val="58"/>
              <w:spacing w:beforeLines="0" w:afterLines="0" w:line="240" w:lineRule="auto"/>
              <w:jc w:val="right"/>
              <w:rPr>
                <w:rFonts w:ascii="黑体" w:hAnsi="黑体" w:eastAsia="黑体" w:cs="宋体"/>
                <w:snapToGrid w:val="0"/>
                <w:spacing w:val="-6"/>
                <w:kern w:val="21"/>
                <w:sz w:val="21"/>
                <w:szCs w:val="21"/>
              </w:rPr>
            </w:pPr>
            <w:r>
              <w:rPr>
                <w:rFonts w:hint="eastAsia" w:ascii="黑体" w:hAnsi="黑体" w:eastAsia="黑体" w:cs="宋体"/>
                <w:snapToGrid w:val="0"/>
                <w:spacing w:val="-6"/>
                <w:kern w:val="21"/>
                <w:sz w:val="21"/>
                <w:szCs w:val="21"/>
              </w:rPr>
              <w:t>项目</w:t>
            </w:r>
          </w:p>
          <w:p w14:paraId="7DBC5632">
            <w:pPr>
              <w:pStyle w:val="58"/>
              <w:spacing w:beforeLines="0" w:afterLines="0" w:line="240" w:lineRule="auto"/>
              <w:jc w:val="left"/>
              <w:rPr>
                <w:rFonts w:ascii="黑体" w:hAnsi="黑体" w:eastAsia="黑体" w:cs="宋体"/>
                <w:snapToGrid w:val="0"/>
                <w:spacing w:val="-6"/>
                <w:kern w:val="21"/>
                <w:sz w:val="21"/>
                <w:szCs w:val="21"/>
              </w:rPr>
            </w:pPr>
            <w:r>
              <w:rPr>
                <w:rFonts w:hint="eastAsia" w:ascii="黑体" w:hAnsi="黑体" w:eastAsia="黑体" w:cs="宋体"/>
                <w:snapToGrid w:val="0"/>
                <w:spacing w:val="-6"/>
                <w:kern w:val="21"/>
                <w:sz w:val="21"/>
                <w:szCs w:val="21"/>
              </w:rPr>
              <w:t>分类</w:t>
            </w:r>
          </w:p>
        </w:tc>
        <w:tc>
          <w:tcPr>
            <w:tcW w:w="1387" w:type="dxa"/>
            <w:tcMar>
              <w:left w:w="28" w:type="dxa"/>
              <w:right w:w="28" w:type="dxa"/>
            </w:tcMar>
            <w:vAlign w:val="center"/>
          </w:tcPr>
          <w:p w14:paraId="78CBB971">
            <w:pPr>
              <w:pStyle w:val="58"/>
              <w:spacing w:beforeLines="0" w:afterLines="0" w:line="240" w:lineRule="auto"/>
              <w:rPr>
                <w:rFonts w:ascii="黑体" w:hAnsi="黑体" w:eastAsia="黑体" w:cs="宋体"/>
                <w:snapToGrid w:val="0"/>
                <w:spacing w:val="-6"/>
                <w:kern w:val="21"/>
                <w:sz w:val="21"/>
                <w:szCs w:val="21"/>
              </w:rPr>
            </w:pPr>
            <w:r>
              <w:rPr>
                <w:rFonts w:hint="eastAsia" w:ascii="黑体" w:hAnsi="黑体" w:eastAsia="黑体" w:cs="宋体"/>
                <w:snapToGrid w:val="0"/>
                <w:spacing w:val="-6"/>
                <w:kern w:val="21"/>
                <w:sz w:val="21"/>
                <w:szCs w:val="21"/>
              </w:rPr>
              <w:t>污染物名称</w:t>
            </w:r>
          </w:p>
        </w:tc>
        <w:tc>
          <w:tcPr>
            <w:tcW w:w="1664" w:type="dxa"/>
            <w:tcMar>
              <w:left w:w="28" w:type="dxa"/>
              <w:right w:w="28" w:type="dxa"/>
            </w:tcMar>
            <w:vAlign w:val="center"/>
          </w:tcPr>
          <w:p w14:paraId="0DCD16F2">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t>现有工程</w:t>
            </w:r>
          </w:p>
          <w:p w14:paraId="10F4D0ED">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t>排放量（固</w:t>
            </w:r>
            <w:r>
              <w:rPr>
                <w:rFonts w:hint="eastAsia" w:ascii="黑体" w:hAnsi="黑体" w:eastAsia="黑体"/>
                <w:snapToGrid w:val="0"/>
                <w:spacing w:val="-6"/>
                <w:kern w:val="21"/>
                <w:sz w:val="21"/>
                <w:szCs w:val="21"/>
              </w:rPr>
              <w:t>体</w:t>
            </w:r>
            <w:r>
              <w:rPr>
                <w:rFonts w:ascii="黑体" w:hAnsi="黑体" w:eastAsia="黑体"/>
                <w:snapToGrid w:val="0"/>
                <w:spacing w:val="-6"/>
                <w:kern w:val="21"/>
                <w:sz w:val="21"/>
                <w:szCs w:val="21"/>
              </w:rPr>
              <w:t>废</w:t>
            </w:r>
            <w:r>
              <w:rPr>
                <w:rFonts w:hint="eastAsia" w:ascii="黑体" w:hAnsi="黑体" w:eastAsia="黑体"/>
                <w:snapToGrid w:val="0"/>
                <w:spacing w:val="-6"/>
                <w:kern w:val="21"/>
                <w:sz w:val="21"/>
                <w:szCs w:val="21"/>
              </w:rPr>
              <w:t>物</w:t>
            </w:r>
            <w:r>
              <w:rPr>
                <w:rFonts w:ascii="黑体" w:hAnsi="黑体" w:eastAsia="黑体"/>
                <w:snapToGrid w:val="0"/>
                <w:spacing w:val="-6"/>
                <w:kern w:val="21"/>
                <w:sz w:val="21"/>
                <w:szCs w:val="21"/>
              </w:rPr>
              <w:t>产生量）</w:t>
            </w:r>
            <w:r>
              <w:rPr>
                <w:rFonts w:ascii="黑体" w:hAnsi="黑体" w:eastAsia="黑体"/>
                <w:snapToGrid w:val="0"/>
                <w:spacing w:val="-6"/>
                <w:kern w:val="21"/>
                <w:sz w:val="21"/>
                <w:szCs w:val="21"/>
              </w:rPr>
              <w:fldChar w:fldCharType="begin"/>
            </w:r>
            <w:r>
              <w:rPr>
                <w:rFonts w:ascii="黑体" w:hAnsi="黑体" w:eastAsia="黑体"/>
                <w:snapToGrid w:val="0"/>
                <w:spacing w:val="-6"/>
                <w:kern w:val="21"/>
                <w:sz w:val="21"/>
                <w:szCs w:val="21"/>
              </w:rPr>
              <w:instrText xml:space="preserve"> = 1 \* GB3 \* MERGEFORMAT </w:instrText>
            </w:r>
            <w:r>
              <w:rPr>
                <w:rFonts w:ascii="黑体" w:hAnsi="黑体" w:eastAsia="黑体"/>
                <w:snapToGrid w:val="0"/>
                <w:spacing w:val="-6"/>
                <w:kern w:val="21"/>
                <w:sz w:val="21"/>
                <w:szCs w:val="21"/>
              </w:rPr>
              <w:fldChar w:fldCharType="separate"/>
            </w:r>
            <w:r>
              <w:rPr>
                <w:rFonts w:hint="eastAsia" w:ascii="黑体" w:hAnsi="黑体" w:eastAsia="黑体" w:cs="宋体"/>
                <w:kern w:val="2"/>
                <w:sz w:val="21"/>
                <w:szCs w:val="21"/>
              </w:rPr>
              <w:t>①</w:t>
            </w:r>
            <w:r>
              <w:rPr>
                <w:rFonts w:ascii="黑体" w:hAnsi="黑体" w:eastAsia="黑体"/>
                <w:snapToGrid w:val="0"/>
                <w:spacing w:val="-6"/>
                <w:kern w:val="21"/>
                <w:sz w:val="21"/>
                <w:szCs w:val="21"/>
              </w:rPr>
              <w:fldChar w:fldCharType="end"/>
            </w:r>
          </w:p>
        </w:tc>
        <w:tc>
          <w:tcPr>
            <w:tcW w:w="1250" w:type="dxa"/>
            <w:tcMar>
              <w:left w:w="28" w:type="dxa"/>
              <w:right w:w="28" w:type="dxa"/>
            </w:tcMar>
            <w:vAlign w:val="center"/>
          </w:tcPr>
          <w:p w14:paraId="75E59071">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t>现有工程</w:t>
            </w:r>
          </w:p>
          <w:p w14:paraId="4990710F">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t>许可排放量</w:t>
            </w:r>
          </w:p>
          <w:p w14:paraId="05365C85">
            <w:pPr>
              <w:pStyle w:val="58"/>
              <w:spacing w:beforeLines="0" w:afterLines="0"/>
              <w:rPr>
                <w:rFonts w:ascii="黑体" w:hAnsi="黑体" w:eastAsia="黑体"/>
                <w:snapToGrid w:val="0"/>
                <w:spacing w:val="-6"/>
                <w:kern w:val="21"/>
                <w:sz w:val="21"/>
                <w:szCs w:val="21"/>
              </w:rPr>
            </w:pPr>
            <w:r>
              <w:rPr>
                <w:rFonts w:ascii="黑体" w:hAnsi="黑体" w:eastAsia="黑体"/>
                <w:snapToGrid w:val="0"/>
                <w:spacing w:val="-6"/>
                <w:kern w:val="21"/>
                <w:sz w:val="21"/>
                <w:szCs w:val="21"/>
              </w:rPr>
              <w:fldChar w:fldCharType="begin"/>
            </w:r>
            <w:r>
              <w:rPr>
                <w:rFonts w:ascii="黑体" w:hAnsi="黑体" w:eastAsia="黑体"/>
                <w:snapToGrid w:val="0"/>
                <w:spacing w:val="-6"/>
                <w:kern w:val="21"/>
                <w:sz w:val="21"/>
                <w:szCs w:val="21"/>
              </w:rPr>
              <w:instrText xml:space="preserve"> = 2 \* GB3 \* MERGEFORMAT </w:instrText>
            </w:r>
            <w:r>
              <w:rPr>
                <w:rFonts w:ascii="黑体" w:hAnsi="黑体" w:eastAsia="黑体"/>
                <w:snapToGrid w:val="0"/>
                <w:spacing w:val="-6"/>
                <w:kern w:val="21"/>
                <w:sz w:val="21"/>
                <w:szCs w:val="21"/>
              </w:rPr>
              <w:fldChar w:fldCharType="separate"/>
            </w:r>
            <w:r>
              <w:rPr>
                <w:rFonts w:hint="eastAsia" w:ascii="黑体" w:hAnsi="黑体" w:eastAsia="黑体" w:cs="宋体"/>
                <w:snapToGrid w:val="0"/>
                <w:spacing w:val="-6"/>
                <w:kern w:val="21"/>
                <w:sz w:val="21"/>
                <w:szCs w:val="21"/>
              </w:rPr>
              <w:t>②</w:t>
            </w:r>
            <w:r>
              <w:rPr>
                <w:rFonts w:ascii="黑体" w:hAnsi="黑体" w:eastAsia="黑体"/>
                <w:snapToGrid w:val="0"/>
                <w:spacing w:val="-6"/>
                <w:kern w:val="21"/>
                <w:sz w:val="21"/>
                <w:szCs w:val="21"/>
              </w:rPr>
              <w:fldChar w:fldCharType="end"/>
            </w:r>
          </w:p>
        </w:tc>
        <w:tc>
          <w:tcPr>
            <w:tcW w:w="1664" w:type="dxa"/>
            <w:tcMar>
              <w:left w:w="28" w:type="dxa"/>
              <w:right w:w="28" w:type="dxa"/>
            </w:tcMar>
            <w:vAlign w:val="center"/>
          </w:tcPr>
          <w:p w14:paraId="3CC257B6">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t>在建工程</w:t>
            </w:r>
          </w:p>
          <w:p w14:paraId="1A8ACC7C">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t>排放量（固</w:t>
            </w:r>
            <w:r>
              <w:rPr>
                <w:rFonts w:hint="eastAsia" w:ascii="黑体" w:hAnsi="黑体" w:eastAsia="黑体"/>
                <w:snapToGrid w:val="0"/>
                <w:spacing w:val="-6"/>
                <w:kern w:val="21"/>
                <w:sz w:val="21"/>
                <w:szCs w:val="21"/>
              </w:rPr>
              <w:t>体</w:t>
            </w:r>
            <w:r>
              <w:rPr>
                <w:rFonts w:ascii="黑体" w:hAnsi="黑体" w:eastAsia="黑体"/>
                <w:snapToGrid w:val="0"/>
                <w:spacing w:val="-6"/>
                <w:kern w:val="21"/>
                <w:sz w:val="21"/>
                <w:szCs w:val="21"/>
              </w:rPr>
              <w:t>废</w:t>
            </w:r>
            <w:r>
              <w:rPr>
                <w:rFonts w:hint="eastAsia" w:ascii="黑体" w:hAnsi="黑体" w:eastAsia="黑体"/>
                <w:snapToGrid w:val="0"/>
                <w:spacing w:val="-6"/>
                <w:kern w:val="21"/>
                <w:sz w:val="21"/>
                <w:szCs w:val="21"/>
              </w:rPr>
              <w:t>物</w:t>
            </w:r>
            <w:r>
              <w:rPr>
                <w:rFonts w:ascii="黑体" w:hAnsi="黑体" w:eastAsia="黑体"/>
                <w:snapToGrid w:val="0"/>
                <w:spacing w:val="-6"/>
                <w:kern w:val="21"/>
                <w:sz w:val="21"/>
                <w:szCs w:val="21"/>
              </w:rPr>
              <w:t>产生量）</w:t>
            </w:r>
            <w:r>
              <w:rPr>
                <w:rFonts w:ascii="黑体" w:hAnsi="黑体" w:eastAsia="黑体"/>
                <w:snapToGrid w:val="0"/>
                <w:spacing w:val="-6"/>
                <w:kern w:val="21"/>
                <w:sz w:val="21"/>
                <w:szCs w:val="21"/>
              </w:rPr>
              <w:fldChar w:fldCharType="begin"/>
            </w:r>
            <w:r>
              <w:rPr>
                <w:rFonts w:ascii="黑体" w:hAnsi="黑体" w:eastAsia="黑体"/>
                <w:snapToGrid w:val="0"/>
                <w:spacing w:val="-6"/>
                <w:kern w:val="21"/>
                <w:sz w:val="21"/>
                <w:szCs w:val="21"/>
              </w:rPr>
              <w:instrText xml:space="preserve"> = 3 \* GB3 \* MERGEFORMAT </w:instrText>
            </w:r>
            <w:r>
              <w:rPr>
                <w:rFonts w:ascii="黑体" w:hAnsi="黑体" w:eastAsia="黑体"/>
                <w:snapToGrid w:val="0"/>
                <w:spacing w:val="-6"/>
                <w:kern w:val="21"/>
                <w:sz w:val="21"/>
                <w:szCs w:val="21"/>
              </w:rPr>
              <w:fldChar w:fldCharType="separate"/>
            </w:r>
            <w:r>
              <w:rPr>
                <w:rFonts w:hint="eastAsia" w:ascii="黑体" w:hAnsi="黑体" w:eastAsia="黑体" w:cs="宋体"/>
                <w:kern w:val="2"/>
                <w:sz w:val="21"/>
                <w:szCs w:val="21"/>
              </w:rPr>
              <w:t>③</w:t>
            </w:r>
            <w:r>
              <w:rPr>
                <w:rFonts w:ascii="黑体" w:hAnsi="黑体" w:eastAsia="黑体"/>
                <w:snapToGrid w:val="0"/>
                <w:spacing w:val="-6"/>
                <w:kern w:val="21"/>
                <w:sz w:val="21"/>
                <w:szCs w:val="21"/>
              </w:rPr>
              <w:fldChar w:fldCharType="end"/>
            </w:r>
          </w:p>
        </w:tc>
        <w:tc>
          <w:tcPr>
            <w:tcW w:w="1525" w:type="dxa"/>
            <w:tcMar>
              <w:left w:w="28" w:type="dxa"/>
              <w:right w:w="28" w:type="dxa"/>
            </w:tcMar>
            <w:vAlign w:val="center"/>
          </w:tcPr>
          <w:p w14:paraId="74EB637E">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t>本项目</w:t>
            </w:r>
          </w:p>
          <w:p w14:paraId="6960BF98">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t>排放量（固</w:t>
            </w:r>
            <w:r>
              <w:rPr>
                <w:rFonts w:hint="eastAsia" w:ascii="黑体" w:hAnsi="黑体" w:eastAsia="黑体"/>
                <w:snapToGrid w:val="0"/>
                <w:spacing w:val="-6"/>
                <w:kern w:val="21"/>
                <w:sz w:val="21"/>
                <w:szCs w:val="21"/>
              </w:rPr>
              <w:t>体</w:t>
            </w:r>
            <w:r>
              <w:rPr>
                <w:rFonts w:ascii="黑体" w:hAnsi="黑体" w:eastAsia="黑体"/>
                <w:snapToGrid w:val="0"/>
                <w:spacing w:val="-6"/>
                <w:kern w:val="21"/>
                <w:sz w:val="21"/>
                <w:szCs w:val="21"/>
              </w:rPr>
              <w:t>废</w:t>
            </w:r>
            <w:r>
              <w:rPr>
                <w:rFonts w:hint="eastAsia" w:ascii="黑体" w:hAnsi="黑体" w:eastAsia="黑体"/>
                <w:snapToGrid w:val="0"/>
                <w:spacing w:val="-6"/>
                <w:kern w:val="21"/>
                <w:sz w:val="21"/>
                <w:szCs w:val="21"/>
              </w:rPr>
              <w:t>物</w:t>
            </w:r>
            <w:r>
              <w:rPr>
                <w:rFonts w:ascii="黑体" w:hAnsi="黑体" w:eastAsia="黑体"/>
                <w:snapToGrid w:val="0"/>
                <w:spacing w:val="-6"/>
                <w:kern w:val="21"/>
                <w:sz w:val="21"/>
                <w:szCs w:val="21"/>
              </w:rPr>
              <w:t>产生量）</w:t>
            </w:r>
            <w:r>
              <w:rPr>
                <w:rFonts w:ascii="黑体" w:hAnsi="黑体" w:eastAsia="黑体"/>
                <w:snapToGrid w:val="0"/>
                <w:spacing w:val="-6"/>
                <w:kern w:val="21"/>
                <w:sz w:val="21"/>
                <w:szCs w:val="21"/>
              </w:rPr>
              <w:fldChar w:fldCharType="begin"/>
            </w:r>
            <w:r>
              <w:rPr>
                <w:rFonts w:ascii="黑体" w:hAnsi="黑体" w:eastAsia="黑体"/>
                <w:snapToGrid w:val="0"/>
                <w:spacing w:val="-6"/>
                <w:kern w:val="21"/>
                <w:sz w:val="21"/>
                <w:szCs w:val="21"/>
              </w:rPr>
              <w:instrText xml:space="preserve"> = 4 \* GB3 \* MERGEFORMAT </w:instrText>
            </w:r>
            <w:r>
              <w:rPr>
                <w:rFonts w:ascii="黑体" w:hAnsi="黑体" w:eastAsia="黑体"/>
                <w:snapToGrid w:val="0"/>
                <w:spacing w:val="-6"/>
                <w:kern w:val="21"/>
                <w:sz w:val="21"/>
                <w:szCs w:val="21"/>
              </w:rPr>
              <w:fldChar w:fldCharType="separate"/>
            </w:r>
            <w:r>
              <w:rPr>
                <w:rFonts w:hint="eastAsia" w:ascii="黑体" w:hAnsi="黑体" w:eastAsia="黑体" w:cs="宋体"/>
                <w:kern w:val="2"/>
                <w:sz w:val="21"/>
                <w:szCs w:val="21"/>
              </w:rPr>
              <w:t>④</w:t>
            </w:r>
            <w:r>
              <w:rPr>
                <w:rFonts w:ascii="黑体" w:hAnsi="黑体" w:eastAsia="黑体"/>
                <w:snapToGrid w:val="0"/>
                <w:spacing w:val="-6"/>
                <w:kern w:val="21"/>
                <w:sz w:val="21"/>
                <w:szCs w:val="21"/>
              </w:rPr>
              <w:fldChar w:fldCharType="end"/>
            </w:r>
          </w:p>
        </w:tc>
        <w:tc>
          <w:tcPr>
            <w:tcW w:w="1578" w:type="dxa"/>
            <w:tcMar>
              <w:left w:w="28" w:type="dxa"/>
              <w:right w:w="28" w:type="dxa"/>
            </w:tcMar>
            <w:vAlign w:val="center"/>
          </w:tcPr>
          <w:p w14:paraId="12292B3C">
            <w:pPr>
              <w:pStyle w:val="58"/>
              <w:spacing w:beforeLines="0" w:afterLines="0" w:line="240" w:lineRule="auto"/>
              <w:rPr>
                <w:rFonts w:ascii="黑体" w:hAnsi="黑体" w:eastAsia="黑体"/>
                <w:snapToGrid w:val="0"/>
                <w:spacing w:val="-16"/>
                <w:kern w:val="21"/>
                <w:sz w:val="21"/>
                <w:szCs w:val="21"/>
              </w:rPr>
            </w:pPr>
            <w:r>
              <w:rPr>
                <w:rFonts w:ascii="黑体" w:hAnsi="黑体" w:eastAsia="黑体"/>
                <w:snapToGrid w:val="0"/>
                <w:spacing w:val="-16"/>
                <w:kern w:val="21"/>
                <w:sz w:val="21"/>
                <w:szCs w:val="21"/>
              </w:rPr>
              <w:t>以新带老削减量</w:t>
            </w:r>
          </w:p>
          <w:p w14:paraId="264F0B8C">
            <w:pPr>
              <w:pStyle w:val="58"/>
              <w:spacing w:beforeLines="0" w:afterLines="0" w:line="240" w:lineRule="auto"/>
              <w:rPr>
                <w:rFonts w:ascii="黑体" w:hAnsi="黑体" w:eastAsia="黑体"/>
                <w:snapToGrid w:val="0"/>
                <w:spacing w:val="-16"/>
                <w:kern w:val="21"/>
                <w:sz w:val="21"/>
                <w:szCs w:val="21"/>
              </w:rPr>
            </w:pPr>
            <w:r>
              <w:rPr>
                <w:rFonts w:ascii="黑体" w:hAnsi="黑体" w:eastAsia="黑体"/>
                <w:snapToGrid w:val="0"/>
                <w:spacing w:val="-16"/>
                <w:kern w:val="21"/>
                <w:sz w:val="21"/>
                <w:szCs w:val="21"/>
              </w:rPr>
              <w:t>（新建项目不填）</w:t>
            </w:r>
            <w:r>
              <w:rPr>
                <w:rFonts w:ascii="黑体" w:hAnsi="黑体" w:eastAsia="黑体"/>
                <w:snapToGrid w:val="0"/>
                <w:spacing w:val="-16"/>
                <w:kern w:val="21"/>
                <w:sz w:val="21"/>
                <w:szCs w:val="21"/>
              </w:rPr>
              <w:fldChar w:fldCharType="begin"/>
            </w:r>
            <w:r>
              <w:rPr>
                <w:rFonts w:ascii="黑体" w:hAnsi="黑体" w:eastAsia="黑体"/>
                <w:snapToGrid w:val="0"/>
                <w:spacing w:val="-16"/>
                <w:kern w:val="21"/>
                <w:sz w:val="21"/>
                <w:szCs w:val="21"/>
              </w:rPr>
              <w:instrText xml:space="preserve"> = 5 \* GB3 \* MERGEFORMAT </w:instrText>
            </w:r>
            <w:r>
              <w:rPr>
                <w:rFonts w:ascii="黑体" w:hAnsi="黑体" w:eastAsia="黑体"/>
                <w:snapToGrid w:val="0"/>
                <w:spacing w:val="-16"/>
                <w:kern w:val="21"/>
                <w:sz w:val="21"/>
                <w:szCs w:val="21"/>
              </w:rPr>
              <w:fldChar w:fldCharType="separate"/>
            </w:r>
            <w:r>
              <w:rPr>
                <w:rFonts w:hint="eastAsia" w:ascii="黑体" w:hAnsi="黑体" w:eastAsia="黑体" w:cs="宋体"/>
                <w:kern w:val="2"/>
                <w:sz w:val="21"/>
                <w:szCs w:val="21"/>
              </w:rPr>
              <w:t>⑤</w:t>
            </w:r>
            <w:r>
              <w:rPr>
                <w:rFonts w:ascii="黑体" w:hAnsi="黑体" w:eastAsia="黑体"/>
                <w:snapToGrid w:val="0"/>
                <w:spacing w:val="-16"/>
                <w:kern w:val="21"/>
                <w:sz w:val="21"/>
                <w:szCs w:val="21"/>
              </w:rPr>
              <w:fldChar w:fldCharType="end"/>
            </w:r>
          </w:p>
        </w:tc>
        <w:tc>
          <w:tcPr>
            <w:tcW w:w="1629" w:type="dxa"/>
            <w:tcMar>
              <w:left w:w="28" w:type="dxa"/>
              <w:right w:w="28" w:type="dxa"/>
            </w:tcMar>
            <w:vAlign w:val="center"/>
          </w:tcPr>
          <w:p w14:paraId="32598CF1">
            <w:pPr>
              <w:pStyle w:val="58"/>
              <w:spacing w:beforeLines="0" w:afterLines="0" w:line="240" w:lineRule="auto"/>
              <w:rPr>
                <w:rFonts w:ascii="黑体" w:hAnsi="黑体" w:eastAsia="黑体"/>
                <w:snapToGrid w:val="0"/>
                <w:spacing w:val="-16"/>
                <w:kern w:val="21"/>
                <w:sz w:val="21"/>
                <w:szCs w:val="21"/>
              </w:rPr>
            </w:pPr>
            <w:r>
              <w:rPr>
                <w:rFonts w:ascii="黑体" w:hAnsi="黑体" w:eastAsia="黑体"/>
                <w:snapToGrid w:val="0"/>
                <w:spacing w:val="-16"/>
                <w:kern w:val="21"/>
                <w:sz w:val="21"/>
                <w:szCs w:val="21"/>
              </w:rPr>
              <w:t>本项目建成后</w:t>
            </w:r>
          </w:p>
          <w:p w14:paraId="1DE3FA06">
            <w:pPr>
              <w:pStyle w:val="58"/>
              <w:spacing w:beforeLines="0" w:afterLines="0" w:line="240" w:lineRule="auto"/>
              <w:rPr>
                <w:rFonts w:ascii="黑体" w:hAnsi="黑体" w:eastAsia="黑体"/>
                <w:snapToGrid w:val="0"/>
                <w:spacing w:val="-16"/>
                <w:kern w:val="21"/>
                <w:sz w:val="21"/>
                <w:szCs w:val="21"/>
              </w:rPr>
            </w:pPr>
            <w:r>
              <w:rPr>
                <w:rFonts w:hint="eastAsia" w:ascii="黑体" w:hAnsi="黑体" w:eastAsia="黑体"/>
                <w:snapToGrid w:val="0"/>
                <w:spacing w:val="-16"/>
                <w:kern w:val="21"/>
                <w:sz w:val="21"/>
                <w:szCs w:val="21"/>
              </w:rPr>
              <w:t>全厂</w:t>
            </w:r>
            <w:r>
              <w:rPr>
                <w:rFonts w:ascii="黑体" w:hAnsi="黑体" w:eastAsia="黑体"/>
                <w:snapToGrid w:val="0"/>
                <w:spacing w:val="-16"/>
                <w:kern w:val="21"/>
                <w:sz w:val="21"/>
                <w:szCs w:val="21"/>
              </w:rPr>
              <w:t>排放量（固</w:t>
            </w:r>
            <w:r>
              <w:rPr>
                <w:rFonts w:hint="eastAsia" w:ascii="黑体" w:hAnsi="黑体" w:eastAsia="黑体"/>
                <w:snapToGrid w:val="0"/>
                <w:spacing w:val="-16"/>
                <w:kern w:val="21"/>
                <w:sz w:val="21"/>
                <w:szCs w:val="21"/>
              </w:rPr>
              <w:t>体</w:t>
            </w:r>
            <w:r>
              <w:rPr>
                <w:rFonts w:ascii="黑体" w:hAnsi="黑体" w:eastAsia="黑体"/>
                <w:snapToGrid w:val="0"/>
                <w:spacing w:val="-16"/>
                <w:kern w:val="21"/>
                <w:sz w:val="21"/>
                <w:szCs w:val="21"/>
              </w:rPr>
              <w:t>废</w:t>
            </w:r>
            <w:r>
              <w:rPr>
                <w:rFonts w:hint="eastAsia" w:ascii="黑体" w:hAnsi="黑体" w:eastAsia="黑体"/>
                <w:snapToGrid w:val="0"/>
                <w:spacing w:val="-16"/>
                <w:kern w:val="21"/>
                <w:sz w:val="21"/>
                <w:szCs w:val="21"/>
              </w:rPr>
              <w:t>物</w:t>
            </w:r>
            <w:r>
              <w:rPr>
                <w:rFonts w:ascii="黑体" w:hAnsi="黑体" w:eastAsia="黑体"/>
                <w:snapToGrid w:val="0"/>
                <w:spacing w:val="-16"/>
                <w:kern w:val="21"/>
                <w:sz w:val="21"/>
                <w:szCs w:val="21"/>
              </w:rPr>
              <w:t>产生量）</w:t>
            </w:r>
            <w:r>
              <w:rPr>
                <w:rFonts w:ascii="黑体" w:hAnsi="黑体" w:eastAsia="黑体"/>
                <w:snapToGrid w:val="0"/>
                <w:spacing w:val="-16"/>
                <w:kern w:val="21"/>
                <w:sz w:val="21"/>
                <w:szCs w:val="21"/>
              </w:rPr>
              <w:fldChar w:fldCharType="begin"/>
            </w:r>
            <w:r>
              <w:rPr>
                <w:rFonts w:ascii="黑体" w:hAnsi="黑体" w:eastAsia="黑体"/>
                <w:snapToGrid w:val="0"/>
                <w:spacing w:val="-16"/>
                <w:kern w:val="21"/>
                <w:sz w:val="21"/>
                <w:szCs w:val="21"/>
              </w:rPr>
              <w:instrText xml:space="preserve"> = 6 \* GB3 \* MERGEFORMAT </w:instrText>
            </w:r>
            <w:r>
              <w:rPr>
                <w:rFonts w:ascii="黑体" w:hAnsi="黑体" w:eastAsia="黑体"/>
                <w:snapToGrid w:val="0"/>
                <w:spacing w:val="-16"/>
                <w:kern w:val="21"/>
                <w:sz w:val="21"/>
                <w:szCs w:val="21"/>
              </w:rPr>
              <w:fldChar w:fldCharType="separate"/>
            </w:r>
            <w:r>
              <w:rPr>
                <w:rFonts w:hint="eastAsia" w:ascii="黑体" w:hAnsi="黑体" w:eastAsia="黑体" w:cs="宋体"/>
                <w:kern w:val="2"/>
                <w:sz w:val="21"/>
                <w:szCs w:val="21"/>
              </w:rPr>
              <w:t>⑥</w:t>
            </w:r>
            <w:r>
              <w:rPr>
                <w:rFonts w:ascii="黑体" w:hAnsi="黑体" w:eastAsia="黑体"/>
                <w:snapToGrid w:val="0"/>
                <w:spacing w:val="-16"/>
                <w:kern w:val="21"/>
                <w:sz w:val="21"/>
                <w:szCs w:val="21"/>
              </w:rPr>
              <w:fldChar w:fldCharType="end"/>
            </w:r>
          </w:p>
        </w:tc>
        <w:tc>
          <w:tcPr>
            <w:tcW w:w="1242" w:type="dxa"/>
            <w:tcMar>
              <w:left w:w="28" w:type="dxa"/>
              <w:right w:w="28" w:type="dxa"/>
            </w:tcMar>
            <w:vAlign w:val="center"/>
          </w:tcPr>
          <w:p w14:paraId="034128C4">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t>变化量</w:t>
            </w:r>
          </w:p>
          <w:p w14:paraId="181DC65F">
            <w:pPr>
              <w:pStyle w:val="58"/>
              <w:spacing w:beforeLines="0" w:afterLines="0" w:line="240" w:lineRule="auto"/>
              <w:rPr>
                <w:rFonts w:ascii="黑体" w:hAnsi="黑体" w:eastAsia="黑体"/>
                <w:snapToGrid w:val="0"/>
                <w:spacing w:val="-6"/>
                <w:kern w:val="21"/>
                <w:sz w:val="21"/>
                <w:szCs w:val="21"/>
              </w:rPr>
            </w:pPr>
            <w:r>
              <w:rPr>
                <w:rFonts w:ascii="黑体" w:hAnsi="黑体" w:eastAsia="黑体"/>
                <w:snapToGrid w:val="0"/>
                <w:spacing w:val="-6"/>
                <w:kern w:val="21"/>
                <w:sz w:val="21"/>
                <w:szCs w:val="21"/>
              </w:rPr>
              <w:fldChar w:fldCharType="begin"/>
            </w:r>
            <w:r>
              <w:rPr>
                <w:rFonts w:ascii="黑体" w:hAnsi="黑体" w:eastAsia="黑体"/>
                <w:snapToGrid w:val="0"/>
                <w:spacing w:val="-6"/>
                <w:kern w:val="21"/>
                <w:sz w:val="21"/>
                <w:szCs w:val="21"/>
              </w:rPr>
              <w:instrText xml:space="preserve"> = 7 \* GB3 \* MERGEFORMAT </w:instrText>
            </w:r>
            <w:r>
              <w:rPr>
                <w:rFonts w:ascii="黑体" w:hAnsi="黑体" w:eastAsia="黑体"/>
                <w:snapToGrid w:val="0"/>
                <w:spacing w:val="-6"/>
                <w:kern w:val="21"/>
                <w:sz w:val="21"/>
                <w:szCs w:val="21"/>
              </w:rPr>
              <w:fldChar w:fldCharType="separate"/>
            </w:r>
            <w:r>
              <w:rPr>
                <w:rFonts w:hint="eastAsia" w:ascii="黑体" w:hAnsi="黑体" w:eastAsia="黑体" w:cs="宋体"/>
                <w:kern w:val="2"/>
                <w:sz w:val="21"/>
                <w:szCs w:val="21"/>
              </w:rPr>
              <w:t>⑦</w:t>
            </w:r>
            <w:r>
              <w:rPr>
                <w:rFonts w:ascii="黑体" w:hAnsi="黑体" w:eastAsia="黑体"/>
                <w:snapToGrid w:val="0"/>
                <w:spacing w:val="-6"/>
                <w:kern w:val="21"/>
                <w:sz w:val="21"/>
                <w:szCs w:val="21"/>
              </w:rPr>
              <w:fldChar w:fldCharType="end"/>
            </w:r>
          </w:p>
        </w:tc>
      </w:tr>
      <w:tr w14:paraId="49821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restart"/>
            <w:vAlign w:val="center"/>
          </w:tcPr>
          <w:p w14:paraId="0680204F">
            <w:pPr>
              <w:pStyle w:val="58"/>
              <w:spacing w:beforeLines="0" w:afterLines="0" w:line="240" w:lineRule="auto"/>
              <w:rPr>
                <w:rFonts w:hAnsi="宋体" w:cs="宋体"/>
                <w:snapToGrid w:val="0"/>
                <w:kern w:val="21"/>
                <w:sz w:val="21"/>
                <w:szCs w:val="21"/>
              </w:rPr>
            </w:pPr>
            <w:r>
              <w:rPr>
                <w:rFonts w:hint="eastAsia" w:hAnsi="宋体" w:cs="宋体"/>
                <w:snapToGrid w:val="0"/>
                <w:kern w:val="21"/>
                <w:sz w:val="21"/>
                <w:szCs w:val="21"/>
              </w:rPr>
              <w:t>废气</w:t>
            </w:r>
          </w:p>
        </w:tc>
        <w:tc>
          <w:tcPr>
            <w:tcW w:w="1387" w:type="dxa"/>
            <w:shd w:val="clear" w:color="auto" w:fill="auto"/>
            <w:vAlign w:val="center"/>
          </w:tcPr>
          <w:p w14:paraId="08D8B12F">
            <w:pPr>
              <w:pStyle w:val="58"/>
              <w:spacing w:beforeLines="0" w:afterLines="0" w:line="240" w:lineRule="auto"/>
              <w:rPr>
                <w:rFonts w:ascii="Times New Roman"/>
                <w:snapToGrid w:val="0"/>
                <w:color w:val="auto"/>
                <w:kern w:val="21"/>
                <w:sz w:val="21"/>
                <w:szCs w:val="21"/>
              </w:rPr>
            </w:pPr>
            <w:r>
              <w:rPr>
                <w:rFonts w:hint="eastAsia" w:ascii="Times New Roman"/>
                <w:snapToGrid w:val="0"/>
                <w:color w:val="auto"/>
                <w:kern w:val="21"/>
                <w:sz w:val="21"/>
                <w:szCs w:val="21"/>
              </w:rPr>
              <w:t>颗粒物</w:t>
            </w:r>
          </w:p>
        </w:tc>
        <w:tc>
          <w:tcPr>
            <w:tcW w:w="1664" w:type="dxa"/>
            <w:shd w:val="clear" w:color="auto" w:fill="auto"/>
            <w:vAlign w:val="center"/>
          </w:tcPr>
          <w:p w14:paraId="0B814B11">
            <w:pPr>
              <w:spacing w:beforeLines="0" w:afterLines="0" w:line="240" w:lineRule="auto"/>
              <w:jc w:val="center"/>
              <w:rPr>
                <w:rFonts w:hint="default" w:eastAsia="宋体"/>
                <w:snapToGrid w:val="0"/>
                <w:color w:val="auto"/>
                <w:kern w:val="21"/>
                <w:sz w:val="21"/>
                <w:szCs w:val="21"/>
                <w:lang w:val="en-US" w:eastAsia="zh-CN"/>
              </w:rPr>
            </w:pPr>
            <w:r>
              <w:rPr>
                <w:rFonts w:ascii="Times New Roman"/>
                <w:snapToGrid w:val="0"/>
                <w:color w:val="auto"/>
                <w:kern w:val="21"/>
                <w:sz w:val="21"/>
                <w:szCs w:val="21"/>
              </w:rPr>
              <w:t>/</w:t>
            </w:r>
          </w:p>
        </w:tc>
        <w:tc>
          <w:tcPr>
            <w:tcW w:w="1250" w:type="dxa"/>
            <w:shd w:val="clear" w:color="auto" w:fill="auto"/>
            <w:vAlign w:val="center"/>
          </w:tcPr>
          <w:p w14:paraId="77E84946">
            <w:pPr>
              <w:jc w:val="center"/>
              <w:rPr>
                <w:rFonts w:ascii="Times New Roman"/>
                <w:snapToGrid w:val="0"/>
                <w:color w:val="auto"/>
                <w:kern w:val="21"/>
                <w:sz w:val="21"/>
                <w:szCs w:val="21"/>
              </w:rPr>
            </w:pPr>
            <w:r>
              <w:rPr>
                <w:rFonts w:ascii="Times New Roman"/>
                <w:snapToGrid w:val="0"/>
                <w:color w:val="auto"/>
                <w:kern w:val="21"/>
                <w:sz w:val="21"/>
                <w:szCs w:val="21"/>
              </w:rPr>
              <w:t>/</w:t>
            </w:r>
          </w:p>
        </w:tc>
        <w:tc>
          <w:tcPr>
            <w:tcW w:w="1664" w:type="dxa"/>
            <w:shd w:val="clear" w:color="auto" w:fill="auto"/>
            <w:vAlign w:val="center"/>
          </w:tcPr>
          <w:p w14:paraId="5097CC12">
            <w:pPr>
              <w:jc w:val="center"/>
              <w:rPr>
                <w:snapToGrid w:val="0"/>
                <w:color w:val="auto"/>
                <w:kern w:val="21"/>
                <w:sz w:val="21"/>
                <w:szCs w:val="21"/>
              </w:rPr>
            </w:pPr>
            <w:r>
              <w:rPr>
                <w:rFonts w:ascii="Times New Roman"/>
                <w:snapToGrid w:val="0"/>
                <w:color w:val="auto"/>
                <w:kern w:val="21"/>
                <w:sz w:val="21"/>
                <w:szCs w:val="21"/>
              </w:rPr>
              <w:t>/</w:t>
            </w:r>
          </w:p>
        </w:tc>
        <w:tc>
          <w:tcPr>
            <w:tcW w:w="1525" w:type="dxa"/>
            <w:shd w:val="clear" w:color="auto" w:fill="auto"/>
            <w:vAlign w:val="center"/>
          </w:tcPr>
          <w:p w14:paraId="7CF29E98">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 w:val="21"/>
                <w:szCs w:val="21"/>
                <w:lang w:val="en-US" w:eastAsia="zh-CN"/>
              </w:rPr>
              <w:t>0.3321</w:t>
            </w:r>
            <w:r>
              <w:rPr>
                <w:rFonts w:hint="eastAsia"/>
                <w:snapToGrid w:val="0"/>
                <w:color w:val="auto"/>
                <w:kern w:val="21"/>
                <w:sz w:val="21"/>
                <w:szCs w:val="21"/>
              </w:rPr>
              <w:t>t/a</w:t>
            </w:r>
          </w:p>
        </w:tc>
        <w:tc>
          <w:tcPr>
            <w:tcW w:w="1578" w:type="dxa"/>
            <w:shd w:val="clear" w:color="auto" w:fill="auto"/>
            <w:vAlign w:val="center"/>
          </w:tcPr>
          <w:p w14:paraId="3FFD00ED">
            <w:pPr>
              <w:jc w:val="center"/>
              <w:rPr>
                <w:snapToGrid w:val="0"/>
                <w:color w:val="auto"/>
                <w:kern w:val="21"/>
                <w:sz w:val="21"/>
                <w:szCs w:val="21"/>
              </w:rPr>
            </w:pPr>
            <w:r>
              <w:rPr>
                <w:rFonts w:ascii="Times New Roman"/>
                <w:snapToGrid w:val="0"/>
                <w:color w:val="auto"/>
                <w:kern w:val="21"/>
                <w:sz w:val="21"/>
                <w:szCs w:val="21"/>
              </w:rPr>
              <w:t>/</w:t>
            </w:r>
          </w:p>
        </w:tc>
        <w:tc>
          <w:tcPr>
            <w:tcW w:w="1629" w:type="dxa"/>
            <w:shd w:val="clear" w:color="auto" w:fill="auto"/>
            <w:vAlign w:val="center"/>
          </w:tcPr>
          <w:p w14:paraId="7A619C0B">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 w:val="21"/>
                <w:szCs w:val="21"/>
                <w:lang w:val="en-US" w:eastAsia="zh-CN"/>
              </w:rPr>
              <w:t>0.3321</w:t>
            </w:r>
            <w:r>
              <w:rPr>
                <w:rFonts w:hint="eastAsia"/>
                <w:snapToGrid w:val="0"/>
                <w:color w:val="auto"/>
                <w:kern w:val="21"/>
                <w:sz w:val="21"/>
                <w:szCs w:val="21"/>
              </w:rPr>
              <w:t>t/a</w:t>
            </w:r>
          </w:p>
        </w:tc>
        <w:tc>
          <w:tcPr>
            <w:tcW w:w="1242" w:type="dxa"/>
            <w:shd w:val="clear" w:color="auto" w:fill="auto"/>
            <w:vAlign w:val="center"/>
          </w:tcPr>
          <w:p w14:paraId="6144D94D">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 w:val="21"/>
                <w:szCs w:val="21"/>
                <w:lang w:val="en-US" w:eastAsia="zh-CN"/>
              </w:rPr>
              <w:t>+</w:t>
            </w:r>
            <w:r>
              <w:rPr>
                <w:rFonts w:hint="eastAsia"/>
                <w:snapToGrid w:val="0"/>
                <w:color w:val="auto"/>
                <w:kern w:val="21"/>
                <w:sz w:val="21"/>
                <w:szCs w:val="21"/>
                <w:lang w:val="en-US" w:eastAsia="zh-CN"/>
              </w:rPr>
              <w:t>0.3321</w:t>
            </w:r>
            <w:r>
              <w:rPr>
                <w:rFonts w:hint="eastAsia"/>
                <w:snapToGrid w:val="0"/>
                <w:color w:val="auto"/>
                <w:kern w:val="21"/>
                <w:sz w:val="21"/>
                <w:szCs w:val="21"/>
              </w:rPr>
              <w:t>t/a</w:t>
            </w:r>
          </w:p>
        </w:tc>
      </w:tr>
      <w:tr w14:paraId="0318D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restart"/>
            <w:vAlign w:val="center"/>
          </w:tcPr>
          <w:p w14:paraId="29D41CCC">
            <w:pPr>
              <w:jc w:val="center"/>
              <w:rPr>
                <w:rFonts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rPr>
              <w:t>废水</w:t>
            </w:r>
          </w:p>
        </w:tc>
        <w:tc>
          <w:tcPr>
            <w:tcW w:w="1387" w:type="dxa"/>
            <w:shd w:val="clear" w:color="auto" w:fill="auto"/>
            <w:vAlign w:val="center"/>
          </w:tcPr>
          <w:p w14:paraId="19F209F7">
            <w:pPr>
              <w:jc w:val="center"/>
              <w:rPr>
                <w:rFonts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rPr>
              <w:t>废水量</w:t>
            </w:r>
          </w:p>
        </w:tc>
        <w:tc>
          <w:tcPr>
            <w:tcW w:w="1664" w:type="dxa"/>
            <w:shd w:val="clear" w:color="auto" w:fill="auto"/>
            <w:vAlign w:val="center"/>
          </w:tcPr>
          <w:p w14:paraId="6237D105">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ascii="Times New Roman"/>
                <w:snapToGrid w:val="0"/>
                <w:color w:val="auto"/>
                <w:kern w:val="21"/>
                <w:sz w:val="21"/>
                <w:szCs w:val="21"/>
              </w:rPr>
              <w:t>/</w:t>
            </w:r>
          </w:p>
        </w:tc>
        <w:tc>
          <w:tcPr>
            <w:tcW w:w="1250" w:type="dxa"/>
            <w:shd w:val="clear" w:color="auto" w:fill="auto"/>
            <w:vAlign w:val="center"/>
          </w:tcPr>
          <w:p w14:paraId="44CD2242">
            <w:pPr>
              <w:jc w:val="center"/>
              <w:rPr>
                <w:rFonts w:ascii="Times New Roman" w:hAnsi="Times New Roman" w:eastAsia="宋体" w:cs="Times New Roman"/>
                <w:snapToGrid w:val="0"/>
                <w:color w:val="auto"/>
                <w:kern w:val="21"/>
                <w:sz w:val="21"/>
                <w:szCs w:val="21"/>
              </w:rPr>
            </w:pPr>
            <w:r>
              <w:rPr>
                <w:rFonts w:ascii="Times New Roman"/>
                <w:snapToGrid w:val="0"/>
                <w:color w:val="auto"/>
                <w:kern w:val="21"/>
                <w:sz w:val="21"/>
                <w:szCs w:val="21"/>
              </w:rPr>
              <w:t>/</w:t>
            </w:r>
          </w:p>
        </w:tc>
        <w:tc>
          <w:tcPr>
            <w:tcW w:w="1664" w:type="dxa"/>
            <w:shd w:val="clear" w:color="auto" w:fill="auto"/>
            <w:vAlign w:val="center"/>
          </w:tcPr>
          <w:p w14:paraId="356FC894">
            <w:pPr>
              <w:jc w:val="center"/>
              <w:rPr>
                <w:rFonts w:ascii="Times New Roman" w:hAnsi="Times New Roman" w:eastAsia="宋体" w:cs="Times New Roman"/>
                <w:snapToGrid w:val="0"/>
                <w:color w:val="auto"/>
                <w:kern w:val="21"/>
                <w:sz w:val="21"/>
                <w:szCs w:val="21"/>
              </w:rPr>
            </w:pPr>
            <w:r>
              <w:rPr>
                <w:rFonts w:ascii="Times New Roman" w:hAnsi="Times New Roman" w:eastAsia="宋体" w:cs="Times New Roman"/>
                <w:snapToGrid w:val="0"/>
                <w:color w:val="auto"/>
                <w:kern w:val="21"/>
                <w:sz w:val="21"/>
                <w:szCs w:val="21"/>
              </w:rPr>
              <w:t>/</w:t>
            </w:r>
          </w:p>
        </w:tc>
        <w:tc>
          <w:tcPr>
            <w:tcW w:w="1525" w:type="dxa"/>
            <w:shd w:val="clear" w:color="auto" w:fill="auto"/>
            <w:vAlign w:val="center"/>
          </w:tcPr>
          <w:p w14:paraId="12497FD4">
            <w:pPr>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1344</w:t>
            </w:r>
            <w:r>
              <w:rPr>
                <w:rFonts w:hint="eastAsia"/>
                <w:snapToGrid w:val="0"/>
                <w:color w:val="auto"/>
                <w:kern w:val="21"/>
                <w:sz w:val="21"/>
                <w:szCs w:val="21"/>
              </w:rPr>
              <w:t>t/a</w:t>
            </w:r>
          </w:p>
        </w:tc>
        <w:tc>
          <w:tcPr>
            <w:tcW w:w="1578" w:type="dxa"/>
            <w:shd w:val="clear" w:color="auto" w:fill="auto"/>
            <w:vAlign w:val="center"/>
          </w:tcPr>
          <w:p w14:paraId="35783988">
            <w:pPr>
              <w:jc w:val="center"/>
              <w:rPr>
                <w:rFonts w:ascii="Times New Roman" w:hAnsi="Times New Roman" w:eastAsia="宋体" w:cs="Times New Roman"/>
                <w:snapToGrid w:val="0"/>
                <w:color w:val="auto"/>
                <w:kern w:val="21"/>
                <w:sz w:val="21"/>
                <w:szCs w:val="21"/>
                <w:lang w:val="en-US" w:eastAsia="zh-CN"/>
              </w:rPr>
            </w:pPr>
            <w:r>
              <w:rPr>
                <w:rFonts w:ascii="Times New Roman" w:hAnsi="Times New Roman" w:eastAsia="宋体" w:cs="Times New Roman"/>
                <w:snapToGrid w:val="0"/>
                <w:color w:val="auto"/>
                <w:kern w:val="21"/>
                <w:sz w:val="21"/>
                <w:szCs w:val="21"/>
              </w:rPr>
              <w:t>/</w:t>
            </w:r>
          </w:p>
        </w:tc>
        <w:tc>
          <w:tcPr>
            <w:tcW w:w="1629" w:type="dxa"/>
            <w:shd w:val="clear" w:color="auto" w:fill="auto"/>
            <w:vAlign w:val="center"/>
          </w:tcPr>
          <w:p w14:paraId="5964289D">
            <w:pPr>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1344</w:t>
            </w:r>
            <w:r>
              <w:rPr>
                <w:rFonts w:hint="eastAsia"/>
                <w:snapToGrid w:val="0"/>
                <w:color w:val="auto"/>
                <w:kern w:val="21"/>
                <w:sz w:val="21"/>
                <w:szCs w:val="21"/>
              </w:rPr>
              <w:t>t/a</w:t>
            </w:r>
          </w:p>
        </w:tc>
        <w:tc>
          <w:tcPr>
            <w:tcW w:w="1242" w:type="dxa"/>
            <w:shd w:val="clear" w:color="auto" w:fill="auto"/>
            <w:vAlign w:val="center"/>
          </w:tcPr>
          <w:p w14:paraId="13ED3D5E">
            <w:pPr>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+1344</w:t>
            </w:r>
            <w:r>
              <w:rPr>
                <w:rFonts w:hint="eastAsia"/>
                <w:snapToGrid w:val="0"/>
                <w:color w:val="auto"/>
                <w:kern w:val="21"/>
                <w:sz w:val="21"/>
                <w:szCs w:val="21"/>
              </w:rPr>
              <w:t>t/a</w:t>
            </w:r>
          </w:p>
        </w:tc>
      </w:tr>
      <w:tr w14:paraId="3516E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725C9C5B">
            <w:pPr>
              <w:jc w:val="center"/>
              <w:rPr>
                <w:rFonts w:ascii="Times New Roman" w:hAnsi="Times New Roman" w:eastAsia="宋体" w:cs="Times New Roman"/>
                <w:snapToGrid w:val="0"/>
                <w:color w:val="auto"/>
                <w:kern w:val="21"/>
                <w:sz w:val="21"/>
                <w:szCs w:val="21"/>
              </w:rPr>
            </w:pPr>
          </w:p>
        </w:tc>
        <w:tc>
          <w:tcPr>
            <w:tcW w:w="1387" w:type="dxa"/>
            <w:vAlign w:val="center"/>
          </w:tcPr>
          <w:p w14:paraId="171A3E7D">
            <w:pPr>
              <w:jc w:val="center"/>
              <w:rPr>
                <w:rFonts w:ascii="Times New Roman" w:hAnsi="Times New Roman" w:eastAsia="宋体" w:cs="Times New Roman"/>
                <w:snapToGrid w:val="0"/>
                <w:color w:val="auto"/>
                <w:kern w:val="21"/>
                <w:sz w:val="21"/>
                <w:szCs w:val="21"/>
              </w:rPr>
            </w:pPr>
            <w:r>
              <w:rPr>
                <w:rFonts w:ascii="Times New Roman" w:hAnsi="Times New Roman" w:eastAsia="宋体" w:cs="Times New Roman"/>
                <w:snapToGrid w:val="0"/>
                <w:color w:val="auto"/>
                <w:kern w:val="21"/>
                <w:sz w:val="21"/>
                <w:szCs w:val="21"/>
              </w:rPr>
              <w:t>COD</w:t>
            </w:r>
          </w:p>
        </w:tc>
        <w:tc>
          <w:tcPr>
            <w:tcW w:w="1664" w:type="dxa"/>
            <w:shd w:val="clear" w:color="auto" w:fill="auto"/>
            <w:vAlign w:val="center"/>
          </w:tcPr>
          <w:p w14:paraId="3B85ACAA">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ascii="Times New Roman"/>
                <w:snapToGrid w:val="0"/>
                <w:color w:val="auto"/>
                <w:kern w:val="21"/>
                <w:sz w:val="21"/>
                <w:szCs w:val="21"/>
              </w:rPr>
              <w:t>/</w:t>
            </w:r>
          </w:p>
        </w:tc>
        <w:tc>
          <w:tcPr>
            <w:tcW w:w="1250" w:type="dxa"/>
            <w:vAlign w:val="center"/>
          </w:tcPr>
          <w:p w14:paraId="68212FA7">
            <w:pPr>
              <w:jc w:val="center"/>
              <w:rPr>
                <w:rFonts w:ascii="Times New Roman" w:hAnsi="Times New Roman" w:eastAsia="宋体" w:cs="Times New Roman"/>
                <w:snapToGrid w:val="0"/>
                <w:color w:val="auto"/>
                <w:kern w:val="21"/>
                <w:sz w:val="21"/>
                <w:szCs w:val="21"/>
              </w:rPr>
            </w:pPr>
            <w:r>
              <w:rPr>
                <w:rFonts w:ascii="Times New Roman"/>
                <w:snapToGrid w:val="0"/>
                <w:color w:val="auto"/>
                <w:kern w:val="21"/>
                <w:sz w:val="21"/>
                <w:szCs w:val="21"/>
              </w:rPr>
              <w:t>/</w:t>
            </w:r>
          </w:p>
        </w:tc>
        <w:tc>
          <w:tcPr>
            <w:tcW w:w="1664" w:type="dxa"/>
            <w:vAlign w:val="center"/>
          </w:tcPr>
          <w:p w14:paraId="13FA6291">
            <w:pPr>
              <w:jc w:val="center"/>
              <w:rPr>
                <w:rFonts w:ascii="Times New Roman" w:hAnsi="Times New Roman" w:eastAsia="宋体" w:cs="Times New Roman"/>
                <w:snapToGrid w:val="0"/>
                <w:color w:val="auto"/>
                <w:kern w:val="21"/>
                <w:sz w:val="21"/>
                <w:szCs w:val="21"/>
              </w:rPr>
            </w:pPr>
            <w:r>
              <w:rPr>
                <w:rFonts w:ascii="Times New Roman" w:hAnsi="Times New Roman" w:eastAsia="宋体" w:cs="Times New Roman"/>
                <w:snapToGrid w:val="0"/>
                <w:color w:val="auto"/>
                <w:kern w:val="21"/>
                <w:sz w:val="21"/>
                <w:szCs w:val="21"/>
              </w:rPr>
              <w:t>/</w:t>
            </w:r>
          </w:p>
        </w:tc>
        <w:tc>
          <w:tcPr>
            <w:tcW w:w="1525" w:type="dxa"/>
            <w:shd w:val="clear" w:color="auto" w:fill="auto"/>
            <w:vAlign w:val="center"/>
          </w:tcPr>
          <w:p w14:paraId="023C8BD4">
            <w:pPr>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0.2661</w:t>
            </w:r>
            <w:r>
              <w:rPr>
                <w:rFonts w:hint="eastAsia"/>
              </w:rPr>
              <w:t>t/a</w:t>
            </w:r>
          </w:p>
        </w:tc>
        <w:tc>
          <w:tcPr>
            <w:tcW w:w="1578" w:type="dxa"/>
            <w:shd w:val="clear" w:color="auto" w:fill="auto"/>
            <w:vAlign w:val="center"/>
          </w:tcPr>
          <w:p w14:paraId="322C861F">
            <w:pPr>
              <w:jc w:val="center"/>
              <w:rPr>
                <w:rFonts w:hint="default" w:ascii="Times New Roman" w:hAnsi="Times New Roman" w:eastAsia="宋体" w:cs="Times New Roman"/>
                <w:snapToGrid w:val="0"/>
                <w:color w:val="auto"/>
                <w:kern w:val="21"/>
                <w:sz w:val="21"/>
                <w:szCs w:val="21"/>
                <w:lang w:val="en-US" w:eastAsia="zh-CN"/>
              </w:rPr>
            </w:pPr>
            <w:r>
              <w:rPr>
                <w:rFonts w:ascii="Times New Roman" w:hAnsi="Times New Roman" w:eastAsia="宋体" w:cs="Times New Roman"/>
                <w:snapToGrid w:val="0"/>
                <w:color w:val="auto"/>
                <w:kern w:val="21"/>
                <w:sz w:val="21"/>
                <w:szCs w:val="21"/>
              </w:rPr>
              <w:t>/</w:t>
            </w:r>
          </w:p>
        </w:tc>
        <w:tc>
          <w:tcPr>
            <w:tcW w:w="1629" w:type="dxa"/>
            <w:shd w:val="clear" w:color="auto" w:fill="auto"/>
            <w:vAlign w:val="center"/>
          </w:tcPr>
          <w:p w14:paraId="08CADA07">
            <w:pPr>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0.2661t/a</w:t>
            </w:r>
          </w:p>
        </w:tc>
        <w:tc>
          <w:tcPr>
            <w:tcW w:w="1242" w:type="dxa"/>
            <w:shd w:val="clear" w:color="auto" w:fill="auto"/>
            <w:vAlign w:val="center"/>
          </w:tcPr>
          <w:p w14:paraId="44537900">
            <w:pPr>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rPr>
              <w:t>+0.2661</w:t>
            </w:r>
            <w:r>
              <w:rPr>
                <w:rFonts w:hint="eastAsia"/>
              </w:rPr>
              <w:t>t/a</w:t>
            </w:r>
          </w:p>
        </w:tc>
      </w:tr>
      <w:tr w14:paraId="1874C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59066A13">
            <w:pPr>
              <w:jc w:val="center"/>
              <w:rPr>
                <w:rFonts w:ascii="Times New Roman" w:hAnsi="Times New Roman" w:eastAsia="宋体" w:cs="Times New Roman"/>
                <w:snapToGrid w:val="0"/>
                <w:color w:val="auto"/>
                <w:kern w:val="21"/>
                <w:sz w:val="21"/>
                <w:szCs w:val="21"/>
              </w:rPr>
            </w:pPr>
          </w:p>
        </w:tc>
        <w:tc>
          <w:tcPr>
            <w:tcW w:w="1387" w:type="dxa"/>
            <w:vAlign w:val="center"/>
          </w:tcPr>
          <w:p w14:paraId="21EA4DA5">
            <w:pPr>
              <w:jc w:val="center"/>
              <w:rPr>
                <w:rFonts w:ascii="Times New Roman" w:hAnsi="Times New Roman" w:eastAsia="宋体" w:cs="Times New Roman"/>
                <w:snapToGrid w:val="0"/>
                <w:color w:val="auto"/>
                <w:kern w:val="21"/>
                <w:sz w:val="21"/>
                <w:szCs w:val="21"/>
              </w:rPr>
            </w:pPr>
            <w:r>
              <w:rPr>
                <w:rFonts w:ascii="Times New Roman" w:hAnsi="Times New Roman" w:eastAsia="宋体" w:cs="Times New Roman"/>
                <w:snapToGrid w:val="0"/>
                <w:color w:val="auto"/>
                <w:kern w:val="21"/>
                <w:sz w:val="21"/>
                <w:szCs w:val="21"/>
              </w:rPr>
              <w:t>NH3-N</w:t>
            </w:r>
          </w:p>
        </w:tc>
        <w:tc>
          <w:tcPr>
            <w:tcW w:w="1664" w:type="dxa"/>
            <w:shd w:val="clear" w:color="auto" w:fill="auto"/>
            <w:vAlign w:val="center"/>
          </w:tcPr>
          <w:p w14:paraId="76513D6A">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ascii="Times New Roman"/>
                <w:snapToGrid w:val="0"/>
                <w:color w:val="auto"/>
                <w:kern w:val="21"/>
                <w:sz w:val="21"/>
                <w:szCs w:val="21"/>
              </w:rPr>
              <w:t>/</w:t>
            </w:r>
          </w:p>
        </w:tc>
        <w:tc>
          <w:tcPr>
            <w:tcW w:w="1250" w:type="dxa"/>
            <w:vAlign w:val="center"/>
          </w:tcPr>
          <w:p w14:paraId="5D4594FE">
            <w:pPr>
              <w:jc w:val="center"/>
              <w:rPr>
                <w:rFonts w:ascii="Times New Roman" w:hAnsi="Times New Roman" w:eastAsia="宋体" w:cs="Times New Roman"/>
                <w:snapToGrid w:val="0"/>
                <w:color w:val="auto"/>
                <w:kern w:val="21"/>
                <w:sz w:val="21"/>
                <w:szCs w:val="21"/>
              </w:rPr>
            </w:pPr>
            <w:r>
              <w:rPr>
                <w:rFonts w:ascii="Times New Roman"/>
                <w:snapToGrid w:val="0"/>
                <w:color w:val="auto"/>
                <w:kern w:val="21"/>
                <w:sz w:val="21"/>
                <w:szCs w:val="21"/>
              </w:rPr>
              <w:t>/</w:t>
            </w:r>
          </w:p>
        </w:tc>
        <w:tc>
          <w:tcPr>
            <w:tcW w:w="1664" w:type="dxa"/>
            <w:vAlign w:val="center"/>
          </w:tcPr>
          <w:p w14:paraId="60B17E21">
            <w:pPr>
              <w:jc w:val="center"/>
              <w:rPr>
                <w:rFonts w:ascii="Times New Roman" w:hAnsi="Times New Roman" w:eastAsia="宋体" w:cs="Times New Roman"/>
                <w:snapToGrid w:val="0"/>
                <w:color w:val="auto"/>
                <w:kern w:val="21"/>
                <w:sz w:val="21"/>
                <w:szCs w:val="21"/>
              </w:rPr>
            </w:pPr>
            <w:r>
              <w:rPr>
                <w:rFonts w:ascii="Times New Roman" w:hAnsi="Times New Roman" w:eastAsia="宋体" w:cs="Times New Roman"/>
                <w:snapToGrid w:val="0"/>
                <w:color w:val="auto"/>
                <w:kern w:val="21"/>
                <w:sz w:val="21"/>
                <w:szCs w:val="21"/>
              </w:rPr>
              <w:t>/</w:t>
            </w:r>
          </w:p>
        </w:tc>
        <w:tc>
          <w:tcPr>
            <w:tcW w:w="1525" w:type="dxa"/>
            <w:shd w:val="clear" w:color="auto" w:fill="auto"/>
            <w:vAlign w:val="center"/>
          </w:tcPr>
          <w:p w14:paraId="49CCF88F">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0.0248</w:t>
            </w:r>
            <w:r>
              <w:rPr>
                <w:rFonts w:hint="eastAsia"/>
              </w:rPr>
              <w:t>t/a</w:t>
            </w:r>
          </w:p>
        </w:tc>
        <w:tc>
          <w:tcPr>
            <w:tcW w:w="1578" w:type="dxa"/>
            <w:shd w:val="clear" w:color="auto" w:fill="auto"/>
            <w:vAlign w:val="center"/>
          </w:tcPr>
          <w:p w14:paraId="0D349A73">
            <w:pPr>
              <w:jc w:val="center"/>
              <w:rPr>
                <w:rFonts w:hint="default" w:ascii="Times New Roman" w:hAnsi="Times New Roman" w:eastAsia="宋体" w:cs="Times New Roman"/>
                <w:snapToGrid w:val="0"/>
                <w:color w:val="auto"/>
                <w:kern w:val="21"/>
                <w:sz w:val="21"/>
                <w:szCs w:val="21"/>
                <w:lang w:val="en-US" w:eastAsia="zh-CN"/>
              </w:rPr>
            </w:pPr>
            <w:r>
              <w:rPr>
                <w:rFonts w:ascii="Times New Roman" w:hAnsi="Times New Roman" w:eastAsia="宋体" w:cs="Times New Roman"/>
                <w:snapToGrid w:val="0"/>
                <w:color w:val="auto"/>
                <w:kern w:val="21"/>
                <w:sz w:val="21"/>
                <w:szCs w:val="21"/>
              </w:rPr>
              <w:t>/</w:t>
            </w:r>
          </w:p>
        </w:tc>
        <w:tc>
          <w:tcPr>
            <w:tcW w:w="1629" w:type="dxa"/>
            <w:shd w:val="clear" w:color="auto" w:fill="auto"/>
            <w:vAlign w:val="center"/>
          </w:tcPr>
          <w:p w14:paraId="4ADC9FE3">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rPr>
              <w:t>0.0248t/a</w:t>
            </w:r>
          </w:p>
        </w:tc>
        <w:tc>
          <w:tcPr>
            <w:tcW w:w="1242" w:type="dxa"/>
            <w:shd w:val="clear" w:color="auto" w:fill="auto"/>
            <w:vAlign w:val="center"/>
          </w:tcPr>
          <w:p w14:paraId="38602150">
            <w:pPr>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w:t>
            </w:r>
            <w:r>
              <w:rPr>
                <w:rFonts w:hint="default" w:ascii="Times New Roman" w:hAnsi="Times New Roman" w:eastAsia="宋体" w:cs="Times New Roman"/>
                <w:snapToGrid w:val="0"/>
                <w:color w:val="auto"/>
                <w:kern w:val="21"/>
                <w:sz w:val="21"/>
                <w:szCs w:val="21"/>
                <w:lang w:val="en-US" w:eastAsia="zh-CN"/>
              </w:rPr>
              <w:t>0.0248</w:t>
            </w:r>
            <w:r>
              <w:rPr>
                <w:rFonts w:hint="eastAsia"/>
              </w:rPr>
              <w:t>t/a</w:t>
            </w:r>
          </w:p>
        </w:tc>
      </w:tr>
      <w:tr w14:paraId="0993E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restart"/>
            <w:vAlign w:val="center"/>
          </w:tcPr>
          <w:p w14:paraId="00209D75">
            <w:pPr>
              <w:jc w:val="center"/>
              <w:rPr>
                <w:rFonts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rPr>
              <w:t>一般工业</w:t>
            </w:r>
          </w:p>
          <w:p w14:paraId="385BAA1C">
            <w:pPr>
              <w:jc w:val="center"/>
              <w:rPr>
                <w:rFonts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rPr>
              <w:t>固体废物</w:t>
            </w:r>
          </w:p>
        </w:tc>
        <w:tc>
          <w:tcPr>
            <w:tcW w:w="1387" w:type="dxa"/>
            <w:shd w:val="clear" w:color="auto" w:fill="auto"/>
            <w:vAlign w:val="center"/>
          </w:tcPr>
          <w:p w14:paraId="34C9A27C">
            <w:pPr>
              <w:jc w:val="center"/>
              <w:outlineLvl w:val="0"/>
              <w:rPr>
                <w:rFonts w:ascii="Times New Roman" w:hAnsi="Times New Roman" w:eastAsia="宋体" w:cs="Times New Roman"/>
                <w:color w:val="auto"/>
                <w:kern w:val="2"/>
                <w:sz w:val="21"/>
                <w:szCs w:val="21"/>
                <w:lang w:val="en-US" w:eastAsia="zh-CN" w:bidi="ar-SA"/>
              </w:rPr>
            </w:pPr>
            <w:r>
              <w:rPr>
                <w:rFonts w:hint="eastAsia"/>
                <w:color w:val="auto"/>
                <w:sz w:val="21"/>
                <w:szCs w:val="21"/>
              </w:rPr>
              <w:t>废边角料</w:t>
            </w:r>
          </w:p>
        </w:tc>
        <w:tc>
          <w:tcPr>
            <w:tcW w:w="1664" w:type="dxa"/>
            <w:shd w:val="clear" w:color="auto" w:fill="auto"/>
            <w:vAlign w:val="center"/>
          </w:tcPr>
          <w:p w14:paraId="4E76F8E2">
            <w:pPr>
              <w:spacing w:beforeLines="0" w:afterLines="0" w:line="240" w:lineRule="auto"/>
              <w:jc w:val="center"/>
              <w:rPr>
                <w:rFonts w:ascii="Times New Roman" w:hAnsi="Times New Roman" w:eastAsia="宋体" w:cs="Times New Roman"/>
                <w:color w:val="auto"/>
                <w:kern w:val="2"/>
                <w:sz w:val="21"/>
                <w:szCs w:val="21"/>
                <w:lang w:val="en-US" w:eastAsia="zh-CN" w:bidi="ar"/>
              </w:rPr>
            </w:pPr>
            <w:r>
              <w:rPr>
                <w:rFonts w:ascii="Times New Roman"/>
                <w:snapToGrid w:val="0"/>
                <w:color w:val="auto"/>
                <w:kern w:val="21"/>
                <w:sz w:val="21"/>
                <w:szCs w:val="21"/>
              </w:rPr>
              <w:t>/</w:t>
            </w:r>
          </w:p>
        </w:tc>
        <w:tc>
          <w:tcPr>
            <w:tcW w:w="1250" w:type="dxa"/>
            <w:shd w:val="clear" w:color="auto" w:fill="auto"/>
            <w:vAlign w:val="center"/>
          </w:tcPr>
          <w:p w14:paraId="6A952A21">
            <w:pPr>
              <w:jc w:val="center"/>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 w:val="21"/>
                <w:szCs w:val="21"/>
              </w:rPr>
              <w:t>/</w:t>
            </w:r>
          </w:p>
        </w:tc>
        <w:tc>
          <w:tcPr>
            <w:tcW w:w="1664" w:type="dxa"/>
            <w:shd w:val="clear" w:color="auto" w:fill="auto"/>
            <w:vAlign w:val="center"/>
          </w:tcPr>
          <w:p w14:paraId="1E6C6663">
            <w:pPr>
              <w:jc w:val="center"/>
              <w:rPr>
                <w:rFonts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 w:val="21"/>
                <w:szCs w:val="21"/>
              </w:rPr>
              <w:t>0</w:t>
            </w:r>
          </w:p>
        </w:tc>
        <w:tc>
          <w:tcPr>
            <w:tcW w:w="1525" w:type="dxa"/>
            <w:shd w:val="clear" w:color="auto" w:fill="auto"/>
            <w:vAlign w:val="center"/>
          </w:tcPr>
          <w:p w14:paraId="6BD929C6">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bidi="ar"/>
              </w:rPr>
              <w:t>3.4</w:t>
            </w:r>
            <w:r>
              <w:rPr>
                <w:color w:val="auto"/>
                <w:sz w:val="21"/>
                <w:szCs w:val="21"/>
                <w:lang w:bidi="ar"/>
              </w:rPr>
              <w:t>t/a</w:t>
            </w:r>
          </w:p>
        </w:tc>
        <w:tc>
          <w:tcPr>
            <w:tcW w:w="1578" w:type="dxa"/>
            <w:shd w:val="clear" w:color="auto" w:fill="auto"/>
            <w:vAlign w:val="center"/>
          </w:tcPr>
          <w:p w14:paraId="3390EB04">
            <w:pPr>
              <w:jc w:val="center"/>
              <w:rPr>
                <w:rFonts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 w:val="21"/>
                <w:szCs w:val="21"/>
              </w:rPr>
              <w:t>0</w:t>
            </w:r>
          </w:p>
        </w:tc>
        <w:tc>
          <w:tcPr>
            <w:tcW w:w="1629" w:type="dxa"/>
            <w:shd w:val="clear" w:color="auto" w:fill="auto"/>
            <w:vAlign w:val="center"/>
          </w:tcPr>
          <w:p w14:paraId="12853E59">
            <w:pPr>
              <w:jc w:val="center"/>
              <w:rPr>
                <w:rFonts w:ascii="Times New Roman" w:hAnsi="Times New Roman" w:eastAsia="宋体" w:cs="Times New Roman"/>
                <w:color w:val="auto"/>
                <w:kern w:val="2"/>
                <w:sz w:val="21"/>
                <w:szCs w:val="21"/>
                <w:lang w:val="en-US" w:eastAsia="zh-CN" w:bidi="ar"/>
              </w:rPr>
            </w:pPr>
            <w:r>
              <w:rPr>
                <w:rFonts w:hint="eastAsia"/>
                <w:color w:val="auto"/>
                <w:sz w:val="21"/>
                <w:szCs w:val="21"/>
                <w:lang w:bidi="ar"/>
              </w:rPr>
              <w:t>3.4</w:t>
            </w:r>
            <w:r>
              <w:rPr>
                <w:color w:val="auto"/>
                <w:sz w:val="21"/>
                <w:szCs w:val="21"/>
                <w:lang w:bidi="ar"/>
              </w:rPr>
              <w:t>t/a</w:t>
            </w:r>
          </w:p>
        </w:tc>
        <w:tc>
          <w:tcPr>
            <w:tcW w:w="1242" w:type="dxa"/>
            <w:shd w:val="clear" w:color="auto" w:fill="auto"/>
            <w:vAlign w:val="center"/>
          </w:tcPr>
          <w:p w14:paraId="5E603A19">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w:t>
            </w:r>
            <w:r>
              <w:rPr>
                <w:rFonts w:hint="eastAsia"/>
                <w:color w:val="auto"/>
                <w:sz w:val="21"/>
                <w:szCs w:val="21"/>
                <w:lang w:bidi="ar"/>
              </w:rPr>
              <w:t>3.4</w:t>
            </w:r>
            <w:r>
              <w:rPr>
                <w:color w:val="auto"/>
                <w:sz w:val="21"/>
                <w:szCs w:val="21"/>
                <w:lang w:bidi="ar"/>
              </w:rPr>
              <w:t>t/a</w:t>
            </w:r>
          </w:p>
        </w:tc>
      </w:tr>
      <w:tr w14:paraId="6BC1D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3F3697B9">
            <w:pPr>
              <w:jc w:val="center"/>
              <w:rPr>
                <w:rFonts w:ascii="Times New Roman" w:hAnsi="Times New Roman" w:eastAsia="宋体" w:cs="Times New Roman"/>
                <w:snapToGrid w:val="0"/>
                <w:color w:val="auto"/>
                <w:kern w:val="21"/>
                <w:sz w:val="21"/>
                <w:szCs w:val="21"/>
              </w:rPr>
            </w:pPr>
          </w:p>
        </w:tc>
        <w:tc>
          <w:tcPr>
            <w:tcW w:w="1387" w:type="dxa"/>
            <w:shd w:val="clear" w:color="auto" w:fill="auto"/>
            <w:vAlign w:val="center"/>
          </w:tcPr>
          <w:p w14:paraId="713F5615">
            <w:pPr>
              <w:jc w:val="center"/>
              <w:outlineLvl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收集的粉尘</w:t>
            </w:r>
          </w:p>
        </w:tc>
        <w:tc>
          <w:tcPr>
            <w:tcW w:w="1664" w:type="dxa"/>
            <w:shd w:val="clear" w:color="auto" w:fill="auto"/>
            <w:vAlign w:val="center"/>
          </w:tcPr>
          <w:p w14:paraId="2E09B20F">
            <w:pPr>
              <w:spacing w:beforeLines="0" w:afterLines="0" w:line="240" w:lineRule="auto"/>
              <w:jc w:val="center"/>
              <w:rPr>
                <w:rFonts w:hint="eastAsia" w:ascii="Times New Roman" w:hAnsi="Times New Roman" w:eastAsia="宋体" w:cs="Times New Roman"/>
                <w:color w:val="auto"/>
                <w:kern w:val="2"/>
                <w:sz w:val="21"/>
                <w:szCs w:val="21"/>
                <w:lang w:val="en-US" w:eastAsia="zh-CN" w:bidi="ar"/>
              </w:rPr>
            </w:pPr>
            <w:r>
              <w:rPr>
                <w:rFonts w:ascii="Times New Roman"/>
                <w:snapToGrid w:val="0"/>
                <w:color w:val="auto"/>
                <w:kern w:val="21"/>
                <w:sz w:val="21"/>
                <w:szCs w:val="21"/>
              </w:rPr>
              <w:t>/</w:t>
            </w:r>
          </w:p>
        </w:tc>
        <w:tc>
          <w:tcPr>
            <w:tcW w:w="1250" w:type="dxa"/>
            <w:shd w:val="clear" w:color="auto" w:fill="auto"/>
            <w:vAlign w:val="center"/>
          </w:tcPr>
          <w:p w14:paraId="78BEC579">
            <w:pPr>
              <w:jc w:val="center"/>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 w:val="21"/>
                <w:szCs w:val="21"/>
              </w:rPr>
              <w:t>/</w:t>
            </w:r>
          </w:p>
        </w:tc>
        <w:tc>
          <w:tcPr>
            <w:tcW w:w="1664" w:type="dxa"/>
            <w:shd w:val="clear" w:color="auto" w:fill="auto"/>
            <w:vAlign w:val="center"/>
          </w:tcPr>
          <w:p w14:paraId="0000ED98">
            <w:pPr>
              <w:jc w:val="center"/>
              <w:rPr>
                <w:rFonts w:ascii="Times New Roman" w:hAnsi="宋体" w:eastAsia="宋体" w:cs="宋体"/>
                <w:snapToGrid w:val="0"/>
                <w:color w:val="auto"/>
                <w:kern w:val="21"/>
                <w:sz w:val="21"/>
                <w:szCs w:val="21"/>
                <w:lang w:val="en-US" w:eastAsia="zh-CN" w:bidi="ar-SA"/>
              </w:rPr>
            </w:pPr>
            <w:r>
              <w:rPr>
                <w:rFonts w:hint="eastAsia"/>
                <w:snapToGrid w:val="0"/>
                <w:color w:val="auto"/>
                <w:kern w:val="21"/>
                <w:sz w:val="21"/>
                <w:szCs w:val="21"/>
              </w:rPr>
              <w:t>0</w:t>
            </w:r>
          </w:p>
        </w:tc>
        <w:tc>
          <w:tcPr>
            <w:tcW w:w="1525" w:type="dxa"/>
            <w:shd w:val="clear" w:color="auto" w:fill="auto"/>
            <w:vAlign w:val="center"/>
          </w:tcPr>
          <w:p w14:paraId="3B297869">
            <w:pPr>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32.8779t/a</w:t>
            </w:r>
          </w:p>
        </w:tc>
        <w:tc>
          <w:tcPr>
            <w:tcW w:w="1578" w:type="dxa"/>
            <w:shd w:val="clear" w:color="auto" w:fill="auto"/>
            <w:vAlign w:val="center"/>
          </w:tcPr>
          <w:p w14:paraId="0A82CF11">
            <w:pPr>
              <w:jc w:val="center"/>
              <w:rPr>
                <w:rFonts w:ascii="Times New Roman" w:hAnsi="宋体" w:eastAsia="宋体" w:cs="宋体"/>
                <w:snapToGrid w:val="0"/>
                <w:color w:val="auto"/>
                <w:kern w:val="21"/>
                <w:sz w:val="21"/>
                <w:szCs w:val="21"/>
                <w:lang w:val="en-US" w:eastAsia="zh-CN" w:bidi="ar-SA"/>
              </w:rPr>
            </w:pPr>
            <w:r>
              <w:rPr>
                <w:rFonts w:hint="eastAsia"/>
                <w:snapToGrid w:val="0"/>
                <w:color w:val="auto"/>
                <w:kern w:val="21"/>
                <w:sz w:val="21"/>
                <w:szCs w:val="21"/>
              </w:rPr>
              <w:t>0</w:t>
            </w:r>
          </w:p>
        </w:tc>
        <w:tc>
          <w:tcPr>
            <w:tcW w:w="1629" w:type="dxa"/>
            <w:shd w:val="clear" w:color="auto" w:fill="auto"/>
            <w:vAlign w:val="center"/>
          </w:tcPr>
          <w:p w14:paraId="0D1EFC73">
            <w:pPr>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32.8779t/a</w:t>
            </w:r>
          </w:p>
        </w:tc>
        <w:tc>
          <w:tcPr>
            <w:tcW w:w="1242" w:type="dxa"/>
            <w:shd w:val="clear" w:color="auto" w:fill="auto"/>
            <w:vAlign w:val="center"/>
          </w:tcPr>
          <w:p w14:paraId="25193A55">
            <w:pPr>
              <w:jc w:val="center"/>
              <w:rPr>
                <w:rFonts w:hint="default"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+32.8779t/a</w:t>
            </w:r>
          </w:p>
        </w:tc>
      </w:tr>
      <w:tr w14:paraId="271BC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1C62EE4B">
            <w:pPr>
              <w:jc w:val="center"/>
              <w:rPr>
                <w:rFonts w:ascii="Times New Roman" w:hAnsi="Times New Roman" w:eastAsia="宋体" w:cs="Times New Roman"/>
                <w:snapToGrid w:val="0"/>
                <w:color w:val="auto"/>
                <w:kern w:val="21"/>
                <w:sz w:val="21"/>
                <w:szCs w:val="21"/>
              </w:rPr>
            </w:pPr>
          </w:p>
        </w:tc>
        <w:tc>
          <w:tcPr>
            <w:tcW w:w="1387" w:type="dxa"/>
            <w:shd w:val="clear" w:color="auto" w:fill="auto"/>
            <w:vAlign w:val="center"/>
          </w:tcPr>
          <w:p w14:paraId="754FE00A">
            <w:pPr>
              <w:jc w:val="center"/>
              <w:outlineLvl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废包装物</w:t>
            </w:r>
          </w:p>
        </w:tc>
        <w:tc>
          <w:tcPr>
            <w:tcW w:w="1664" w:type="dxa"/>
            <w:shd w:val="clear" w:color="auto" w:fill="auto"/>
            <w:vAlign w:val="center"/>
          </w:tcPr>
          <w:p w14:paraId="47B0C662">
            <w:pPr>
              <w:spacing w:beforeLines="0" w:afterLines="0" w:line="240" w:lineRule="auto"/>
              <w:jc w:val="center"/>
              <w:rPr>
                <w:rFonts w:hint="eastAsia" w:ascii="Times New Roman" w:hAnsi="Times New Roman" w:eastAsia="宋体" w:cs="Times New Roman"/>
                <w:color w:val="auto"/>
                <w:kern w:val="2"/>
                <w:sz w:val="21"/>
                <w:szCs w:val="21"/>
                <w:lang w:val="en-US" w:eastAsia="zh-CN" w:bidi="ar"/>
              </w:rPr>
            </w:pPr>
            <w:r>
              <w:rPr>
                <w:rFonts w:ascii="Times New Roman"/>
                <w:snapToGrid w:val="0"/>
                <w:color w:val="auto"/>
                <w:kern w:val="21"/>
                <w:sz w:val="21"/>
                <w:szCs w:val="21"/>
              </w:rPr>
              <w:t>/</w:t>
            </w:r>
          </w:p>
        </w:tc>
        <w:tc>
          <w:tcPr>
            <w:tcW w:w="1250" w:type="dxa"/>
            <w:shd w:val="clear" w:color="auto" w:fill="auto"/>
            <w:vAlign w:val="center"/>
          </w:tcPr>
          <w:p w14:paraId="50B5621D">
            <w:pPr>
              <w:jc w:val="center"/>
              <w:rPr>
                <w:rFonts w:hint="eastAsia"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 w:val="21"/>
                <w:szCs w:val="21"/>
              </w:rPr>
              <w:t>/</w:t>
            </w:r>
          </w:p>
        </w:tc>
        <w:tc>
          <w:tcPr>
            <w:tcW w:w="1664" w:type="dxa"/>
            <w:shd w:val="clear" w:color="auto" w:fill="auto"/>
            <w:vAlign w:val="center"/>
          </w:tcPr>
          <w:p w14:paraId="360BCAF2">
            <w:pPr>
              <w:jc w:val="center"/>
              <w:rPr>
                <w:rFonts w:hint="eastAsia" w:ascii="Times New Roman" w:hAnsi="宋体" w:eastAsia="宋体" w:cs="宋体"/>
                <w:snapToGrid w:val="0"/>
                <w:color w:val="auto"/>
                <w:kern w:val="21"/>
                <w:sz w:val="21"/>
                <w:szCs w:val="21"/>
                <w:lang w:val="en-US" w:eastAsia="zh-CN" w:bidi="ar-SA"/>
              </w:rPr>
            </w:pPr>
            <w:r>
              <w:rPr>
                <w:rFonts w:hint="eastAsia" w:hAnsi="宋体" w:cs="宋体"/>
                <w:snapToGrid w:val="0"/>
                <w:color w:val="auto"/>
                <w:kern w:val="21"/>
                <w:sz w:val="21"/>
                <w:szCs w:val="21"/>
                <w:lang w:val="en-US" w:eastAsia="zh-CN"/>
              </w:rPr>
              <w:t>0</w:t>
            </w:r>
          </w:p>
        </w:tc>
        <w:tc>
          <w:tcPr>
            <w:tcW w:w="1525" w:type="dxa"/>
            <w:shd w:val="clear" w:color="auto" w:fill="auto"/>
            <w:vAlign w:val="center"/>
          </w:tcPr>
          <w:p w14:paraId="42F6AAFC">
            <w:pPr>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0.2</w:t>
            </w:r>
            <w:r>
              <w:rPr>
                <w:color w:val="auto"/>
                <w:sz w:val="21"/>
                <w:szCs w:val="21"/>
                <w:lang w:bidi="ar"/>
              </w:rPr>
              <w:t>t/a</w:t>
            </w:r>
          </w:p>
        </w:tc>
        <w:tc>
          <w:tcPr>
            <w:tcW w:w="1578" w:type="dxa"/>
            <w:shd w:val="clear" w:color="auto" w:fill="auto"/>
            <w:vAlign w:val="center"/>
          </w:tcPr>
          <w:p w14:paraId="6E3B2980">
            <w:pPr>
              <w:jc w:val="center"/>
              <w:rPr>
                <w:rFonts w:hint="eastAsia" w:ascii="Times New Roman" w:hAnsi="宋体" w:eastAsia="宋体" w:cs="宋体"/>
                <w:snapToGrid w:val="0"/>
                <w:color w:val="auto"/>
                <w:kern w:val="21"/>
                <w:sz w:val="21"/>
                <w:szCs w:val="21"/>
                <w:lang w:val="en-US" w:eastAsia="zh-CN" w:bidi="ar-SA"/>
              </w:rPr>
            </w:pPr>
            <w:r>
              <w:rPr>
                <w:rFonts w:hint="eastAsia" w:hAnsi="宋体" w:cs="宋体"/>
                <w:snapToGrid w:val="0"/>
                <w:color w:val="auto"/>
                <w:kern w:val="21"/>
                <w:sz w:val="21"/>
                <w:szCs w:val="21"/>
                <w:lang w:val="en-US" w:eastAsia="zh-CN"/>
              </w:rPr>
              <w:t>0</w:t>
            </w:r>
          </w:p>
        </w:tc>
        <w:tc>
          <w:tcPr>
            <w:tcW w:w="1629" w:type="dxa"/>
            <w:shd w:val="clear" w:color="auto" w:fill="auto"/>
            <w:vAlign w:val="center"/>
          </w:tcPr>
          <w:p w14:paraId="282D3D3B">
            <w:pPr>
              <w:jc w:val="center"/>
              <w:rPr>
                <w:rFonts w:hint="default"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0.2</w:t>
            </w:r>
            <w:r>
              <w:rPr>
                <w:color w:val="auto"/>
                <w:sz w:val="21"/>
                <w:szCs w:val="21"/>
                <w:lang w:bidi="ar"/>
              </w:rPr>
              <w:t>t/a</w:t>
            </w:r>
          </w:p>
        </w:tc>
        <w:tc>
          <w:tcPr>
            <w:tcW w:w="1242" w:type="dxa"/>
            <w:shd w:val="clear" w:color="auto" w:fill="auto"/>
            <w:vAlign w:val="center"/>
          </w:tcPr>
          <w:p w14:paraId="2454DB44">
            <w:pPr>
              <w:jc w:val="center"/>
              <w:rPr>
                <w:rFonts w:hint="default" w:ascii="Times New Roman" w:hAnsi="Times New Roman" w:eastAsia="宋体" w:cs="Times New Roman"/>
                <w:color w:val="auto"/>
                <w:kern w:val="2"/>
                <w:sz w:val="21"/>
                <w:szCs w:val="21"/>
                <w:lang w:val="en-US" w:eastAsia="zh-CN" w:bidi="ar"/>
              </w:rPr>
            </w:pPr>
            <w:r>
              <w:rPr>
                <w:rFonts w:hint="eastAsia"/>
                <w:color w:val="auto"/>
                <w:sz w:val="21"/>
                <w:szCs w:val="21"/>
                <w:lang w:val="en-US" w:eastAsia="zh-CN" w:bidi="ar"/>
              </w:rPr>
              <w:t>+0.2</w:t>
            </w:r>
            <w:r>
              <w:rPr>
                <w:color w:val="auto"/>
                <w:sz w:val="21"/>
                <w:szCs w:val="21"/>
                <w:lang w:bidi="ar"/>
              </w:rPr>
              <w:t>t/a</w:t>
            </w:r>
          </w:p>
        </w:tc>
      </w:tr>
      <w:tr w14:paraId="2F21F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restart"/>
            <w:vAlign w:val="center"/>
          </w:tcPr>
          <w:p w14:paraId="20D76C05">
            <w:pPr>
              <w:jc w:val="center"/>
              <w:rPr>
                <w:rFonts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rPr>
              <w:t>危险废物</w:t>
            </w:r>
          </w:p>
        </w:tc>
        <w:tc>
          <w:tcPr>
            <w:tcW w:w="1387" w:type="dxa"/>
            <w:shd w:val="clear" w:color="auto" w:fill="auto"/>
            <w:vAlign w:val="center"/>
          </w:tcPr>
          <w:p w14:paraId="3935B3BE">
            <w:pPr>
              <w:widowControl/>
              <w:tabs>
                <w:tab w:val="left" w:pos="441"/>
              </w:tabs>
              <w:snapToGrid w:val="0"/>
              <w:spacing w:before="60" w:after="160" w:line="240" w:lineRule="auto"/>
              <w:ind w:right="113" w:rightChars="0"/>
              <w:jc w:val="center"/>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废润滑油</w:t>
            </w:r>
          </w:p>
        </w:tc>
        <w:tc>
          <w:tcPr>
            <w:tcW w:w="1664" w:type="dxa"/>
            <w:shd w:val="clear" w:color="auto" w:fill="auto"/>
            <w:vAlign w:val="center"/>
          </w:tcPr>
          <w:p w14:paraId="7763A2FB">
            <w:pPr>
              <w:spacing w:beforeLines="0" w:afterLines="0" w:line="240" w:lineRule="auto"/>
              <w:jc w:val="center"/>
              <w:rPr>
                <w:rFonts w:hint="eastAsia" w:ascii="Times New Roman" w:hAnsi="Times New Roman" w:eastAsia="宋体" w:cs="Times New Roman"/>
                <w:b w:val="0"/>
                <w:bCs w:val="0"/>
                <w:kern w:val="2"/>
                <w:sz w:val="21"/>
                <w:szCs w:val="21"/>
                <w:lang w:val="en-US" w:eastAsia="zh-CN" w:bidi="ar-SA"/>
              </w:rPr>
            </w:pPr>
            <w:r>
              <w:rPr>
                <w:rFonts w:ascii="Times New Roman"/>
                <w:snapToGrid w:val="0"/>
                <w:color w:val="auto"/>
                <w:kern w:val="21"/>
                <w:sz w:val="21"/>
                <w:szCs w:val="21"/>
              </w:rPr>
              <w:t>/</w:t>
            </w:r>
          </w:p>
        </w:tc>
        <w:tc>
          <w:tcPr>
            <w:tcW w:w="1250" w:type="dxa"/>
            <w:shd w:val="clear" w:color="auto" w:fill="auto"/>
            <w:vAlign w:val="center"/>
          </w:tcPr>
          <w:p w14:paraId="14EA8727">
            <w:pPr>
              <w:jc w:val="center"/>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 w:val="21"/>
                <w:szCs w:val="21"/>
              </w:rPr>
              <w:t>/</w:t>
            </w:r>
          </w:p>
        </w:tc>
        <w:tc>
          <w:tcPr>
            <w:tcW w:w="1664" w:type="dxa"/>
            <w:shd w:val="clear" w:color="auto" w:fill="auto"/>
            <w:vAlign w:val="center"/>
          </w:tcPr>
          <w:p w14:paraId="47431EFB">
            <w:pPr>
              <w:jc w:val="center"/>
              <w:rPr>
                <w:rFonts w:hint="eastAsia" w:ascii="Times New Roman" w:hAnsi="Times New Roman" w:eastAsia="宋体" w:cs="Times New Roman"/>
                <w:snapToGrid w:val="0"/>
                <w:color w:val="auto"/>
                <w:kern w:val="21"/>
                <w:sz w:val="21"/>
                <w:szCs w:val="21"/>
                <w:lang w:val="en-US" w:eastAsia="zh-CN" w:bidi="ar-SA"/>
              </w:rPr>
            </w:pPr>
            <w:r>
              <w:rPr>
                <w:rFonts w:hint="eastAsia" w:hAnsi="宋体" w:cs="宋体"/>
                <w:snapToGrid w:val="0"/>
                <w:color w:val="auto"/>
                <w:kern w:val="21"/>
                <w:sz w:val="21"/>
                <w:szCs w:val="21"/>
                <w:lang w:val="en-US" w:eastAsia="zh-CN"/>
              </w:rPr>
              <w:t>0</w:t>
            </w:r>
          </w:p>
        </w:tc>
        <w:tc>
          <w:tcPr>
            <w:tcW w:w="1525" w:type="dxa"/>
            <w:shd w:val="clear" w:color="auto" w:fill="auto"/>
            <w:vAlign w:val="center"/>
          </w:tcPr>
          <w:p w14:paraId="2E37EEAB">
            <w:pPr>
              <w:widowControl/>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w:t>
            </w:r>
            <w:r>
              <w:rPr>
                <w:rFonts w:hint="eastAsia"/>
                <w:snapToGrid w:val="0"/>
                <w:color w:val="auto"/>
                <w:kern w:val="21"/>
                <w:sz w:val="21"/>
                <w:szCs w:val="21"/>
              </w:rPr>
              <w:t>t/a</w:t>
            </w:r>
          </w:p>
        </w:tc>
        <w:tc>
          <w:tcPr>
            <w:tcW w:w="1578" w:type="dxa"/>
            <w:shd w:val="clear" w:color="auto" w:fill="auto"/>
            <w:vAlign w:val="center"/>
          </w:tcPr>
          <w:p w14:paraId="68927EC7">
            <w:pPr>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 w:val="21"/>
                <w:szCs w:val="21"/>
                <w:lang w:val="en-US" w:eastAsia="zh-CN"/>
              </w:rPr>
              <w:t>0</w:t>
            </w:r>
          </w:p>
        </w:tc>
        <w:tc>
          <w:tcPr>
            <w:tcW w:w="1629" w:type="dxa"/>
            <w:shd w:val="clear" w:color="auto" w:fill="auto"/>
            <w:vAlign w:val="center"/>
          </w:tcPr>
          <w:p w14:paraId="0256C3E5">
            <w:pPr>
              <w:widowControl/>
              <w:jc w:val="center"/>
              <w:textAlignment w:val="center"/>
              <w:rPr>
                <w:rFonts w:hint="eastAsia"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w:t>
            </w:r>
            <w:r>
              <w:rPr>
                <w:rFonts w:hint="eastAsia"/>
                <w:snapToGrid w:val="0"/>
                <w:color w:val="auto"/>
                <w:kern w:val="21"/>
                <w:sz w:val="21"/>
                <w:szCs w:val="21"/>
              </w:rPr>
              <w:t>t/a</w:t>
            </w:r>
          </w:p>
        </w:tc>
        <w:tc>
          <w:tcPr>
            <w:tcW w:w="1242" w:type="dxa"/>
            <w:shd w:val="clear" w:color="auto" w:fill="auto"/>
            <w:vAlign w:val="center"/>
          </w:tcPr>
          <w:p w14:paraId="0690D69B">
            <w:pPr>
              <w:widowControl/>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w:t>
            </w:r>
            <w:r>
              <w:rPr>
                <w:rFonts w:hint="eastAsia"/>
                <w:snapToGrid w:val="0"/>
                <w:color w:val="auto"/>
                <w:kern w:val="21"/>
                <w:sz w:val="21"/>
                <w:szCs w:val="21"/>
              </w:rPr>
              <w:t>t/a</w:t>
            </w:r>
          </w:p>
        </w:tc>
      </w:tr>
      <w:tr w14:paraId="5635F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127756F5">
            <w:pPr>
              <w:jc w:val="center"/>
              <w:rPr>
                <w:rFonts w:ascii="Times New Roman" w:hAnsi="Times New Roman" w:eastAsia="宋体" w:cs="Times New Roman"/>
                <w:snapToGrid w:val="0"/>
                <w:color w:val="auto"/>
                <w:kern w:val="21"/>
                <w:sz w:val="21"/>
                <w:szCs w:val="21"/>
              </w:rPr>
            </w:pPr>
          </w:p>
        </w:tc>
        <w:tc>
          <w:tcPr>
            <w:tcW w:w="1387" w:type="dxa"/>
            <w:shd w:val="clear" w:color="auto" w:fill="auto"/>
            <w:vAlign w:val="center"/>
          </w:tcPr>
          <w:p w14:paraId="400B91B9">
            <w:pPr>
              <w:jc w:val="center"/>
              <w:outlineLvl w:val="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sz w:val="21"/>
                <w:szCs w:val="21"/>
              </w:rPr>
              <w:t>废</w:t>
            </w:r>
            <w:r>
              <w:rPr>
                <w:rFonts w:hint="eastAsia" w:ascii="Times New Roman" w:hAnsi="Times New Roman" w:eastAsia="宋体" w:cs="Times New Roman"/>
                <w:b w:val="0"/>
                <w:bCs w:val="0"/>
                <w:sz w:val="21"/>
                <w:szCs w:val="21"/>
                <w:lang w:val="en-US" w:eastAsia="zh-CN"/>
              </w:rPr>
              <w:t>润滑油</w:t>
            </w:r>
            <w:r>
              <w:rPr>
                <w:rFonts w:hint="eastAsia" w:ascii="Times New Roman" w:hAnsi="Times New Roman" w:eastAsia="宋体" w:cs="Times New Roman"/>
                <w:b w:val="0"/>
                <w:bCs w:val="0"/>
                <w:color w:val="auto"/>
                <w:sz w:val="21"/>
                <w:szCs w:val="21"/>
                <w:lang w:val="en-US" w:eastAsia="zh-CN"/>
              </w:rPr>
              <w:t>桶</w:t>
            </w:r>
          </w:p>
        </w:tc>
        <w:tc>
          <w:tcPr>
            <w:tcW w:w="1664" w:type="dxa"/>
            <w:shd w:val="clear" w:color="auto" w:fill="auto"/>
            <w:vAlign w:val="center"/>
          </w:tcPr>
          <w:p w14:paraId="6DD0B41C">
            <w:pPr>
              <w:spacing w:beforeLines="0" w:afterLines="0" w:line="240" w:lineRule="auto"/>
              <w:jc w:val="center"/>
              <w:rPr>
                <w:rFonts w:hint="default" w:ascii="Times New Roman" w:hAnsi="Times New Roman" w:eastAsia="宋体" w:cs="Times New Roman"/>
                <w:b w:val="0"/>
                <w:bCs w:val="0"/>
                <w:color w:val="auto"/>
                <w:kern w:val="2"/>
                <w:sz w:val="24"/>
                <w:szCs w:val="21"/>
                <w:lang w:val="en-US" w:eastAsia="zh-CN" w:bidi="ar-SA"/>
              </w:rPr>
            </w:pPr>
            <w:r>
              <w:rPr>
                <w:rFonts w:ascii="Times New Roman"/>
                <w:snapToGrid w:val="0"/>
                <w:color w:val="auto"/>
                <w:kern w:val="21"/>
                <w:sz w:val="21"/>
                <w:szCs w:val="21"/>
              </w:rPr>
              <w:t>/</w:t>
            </w:r>
          </w:p>
        </w:tc>
        <w:tc>
          <w:tcPr>
            <w:tcW w:w="1250" w:type="dxa"/>
            <w:shd w:val="clear" w:color="auto" w:fill="auto"/>
            <w:vAlign w:val="center"/>
          </w:tcPr>
          <w:p w14:paraId="5F7ECB5B">
            <w:pPr>
              <w:jc w:val="center"/>
              <w:rPr>
                <w:rFonts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 w:val="21"/>
                <w:szCs w:val="21"/>
              </w:rPr>
              <w:t>/</w:t>
            </w:r>
          </w:p>
        </w:tc>
        <w:tc>
          <w:tcPr>
            <w:tcW w:w="1664" w:type="dxa"/>
            <w:shd w:val="clear" w:color="auto" w:fill="auto"/>
            <w:vAlign w:val="center"/>
          </w:tcPr>
          <w:p w14:paraId="23449AB3">
            <w:pPr>
              <w:jc w:val="center"/>
              <w:rPr>
                <w:rFonts w:hint="eastAsia" w:ascii="Times New Roman" w:hAnsi="Times New Roman" w:eastAsia="宋体" w:cs="Times New Roman"/>
                <w:snapToGrid w:val="0"/>
                <w:color w:val="auto"/>
                <w:kern w:val="21"/>
                <w:sz w:val="21"/>
                <w:szCs w:val="21"/>
                <w:lang w:val="en-US" w:eastAsia="zh-CN" w:bidi="ar-SA"/>
              </w:rPr>
            </w:pPr>
            <w:r>
              <w:rPr>
                <w:rFonts w:hint="eastAsia" w:hAnsi="宋体" w:cs="宋体"/>
                <w:snapToGrid w:val="0"/>
                <w:color w:val="auto"/>
                <w:kern w:val="21"/>
                <w:sz w:val="21"/>
                <w:szCs w:val="21"/>
                <w:lang w:val="en-US" w:eastAsia="zh-CN"/>
              </w:rPr>
              <w:t>0</w:t>
            </w:r>
          </w:p>
        </w:tc>
        <w:tc>
          <w:tcPr>
            <w:tcW w:w="1525" w:type="dxa"/>
            <w:shd w:val="clear" w:color="auto" w:fill="auto"/>
            <w:vAlign w:val="center"/>
          </w:tcPr>
          <w:p w14:paraId="19442DCA">
            <w:pPr>
              <w:widowControl/>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0.02</w:t>
            </w:r>
            <w:r>
              <w:rPr>
                <w:rFonts w:hint="eastAsia"/>
                <w:snapToGrid w:val="0"/>
                <w:color w:val="auto"/>
                <w:kern w:val="21"/>
                <w:sz w:val="21"/>
                <w:szCs w:val="21"/>
              </w:rPr>
              <w:t>t/a</w:t>
            </w:r>
          </w:p>
        </w:tc>
        <w:tc>
          <w:tcPr>
            <w:tcW w:w="1578" w:type="dxa"/>
            <w:shd w:val="clear" w:color="auto" w:fill="auto"/>
            <w:vAlign w:val="center"/>
          </w:tcPr>
          <w:p w14:paraId="28678E47">
            <w:pPr>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 w:val="21"/>
                <w:szCs w:val="21"/>
                <w:lang w:val="en-US" w:eastAsia="zh-CN"/>
              </w:rPr>
              <w:t>0</w:t>
            </w:r>
          </w:p>
        </w:tc>
        <w:tc>
          <w:tcPr>
            <w:tcW w:w="1629" w:type="dxa"/>
            <w:shd w:val="clear" w:color="auto" w:fill="auto"/>
            <w:vAlign w:val="center"/>
          </w:tcPr>
          <w:p w14:paraId="257F4AA7">
            <w:pPr>
              <w:widowControl/>
              <w:jc w:val="center"/>
              <w:textAlignment w:val="center"/>
              <w:rPr>
                <w:rFonts w:hint="eastAsia" w:ascii="Times New Roman" w:hAnsi="Times New Roman" w:eastAsia="宋体" w:cs="Times New Roman"/>
                <w:b w:val="0"/>
                <w:bCs w:val="0"/>
                <w:color w:val="auto"/>
                <w:kern w:val="2"/>
                <w:sz w:val="24"/>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0.02</w:t>
            </w:r>
            <w:r>
              <w:rPr>
                <w:rFonts w:hint="eastAsia"/>
                <w:snapToGrid w:val="0"/>
                <w:color w:val="auto"/>
                <w:kern w:val="21"/>
                <w:sz w:val="21"/>
                <w:szCs w:val="21"/>
              </w:rPr>
              <w:t>t/a</w:t>
            </w:r>
          </w:p>
        </w:tc>
        <w:tc>
          <w:tcPr>
            <w:tcW w:w="1242" w:type="dxa"/>
            <w:shd w:val="clear" w:color="auto" w:fill="auto"/>
            <w:vAlign w:val="center"/>
          </w:tcPr>
          <w:p w14:paraId="11E5F1F2">
            <w:pPr>
              <w:widowControl/>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+0.02</w:t>
            </w:r>
            <w:r>
              <w:rPr>
                <w:rFonts w:hint="eastAsia"/>
                <w:snapToGrid w:val="0"/>
                <w:color w:val="auto"/>
                <w:kern w:val="21"/>
                <w:sz w:val="21"/>
                <w:szCs w:val="21"/>
              </w:rPr>
              <w:t>t/a</w:t>
            </w:r>
          </w:p>
        </w:tc>
      </w:tr>
    </w:tbl>
    <w:p w14:paraId="72C8F870">
      <w:pPr>
        <w:pStyle w:val="58"/>
        <w:tabs>
          <w:tab w:val="left" w:pos="9306"/>
        </w:tabs>
        <w:spacing w:before="192" w:beforeLines="80" w:after="24"/>
        <w:jc w:val="left"/>
        <w:rPr>
          <w:bCs/>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headerReference r:id="rId8" w:type="default"/>
      <w:footerReference r:id="rId9"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gbsnu54">
    <w:altName w:val="Times New Roman"/>
    <w:panose1 w:val="00000000000000000000"/>
    <w:charset w:val="00"/>
    <w:family w:val="auto"/>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auto"/>
    <w:pitch w:val="default"/>
    <w:sig w:usb0="00000000" w:usb1="00000000" w:usb2="00000000" w:usb3="00000000" w:csb0="00000000" w:csb1="00000000"/>
  </w:font>
  <w:font w:name="F4">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D1D30">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E6EB6">
    <w:pPr>
      <w:pStyle w:val="20"/>
      <w:framePr w:wrap="around" w:vAnchor="text" w:hAnchor="margin" w:xAlign="center" w:y="1"/>
      <w:rPr>
        <w:rStyle w:val="35"/>
      </w:rPr>
    </w:pPr>
    <w:r>
      <w:fldChar w:fldCharType="begin"/>
    </w:r>
    <w:r>
      <w:rPr>
        <w:rStyle w:val="35"/>
      </w:rPr>
      <w:instrText xml:space="preserve">PAGE  </w:instrText>
    </w:r>
    <w:r>
      <w:fldChar w:fldCharType="end"/>
    </w:r>
  </w:p>
  <w:p w14:paraId="0E955899">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E0FF1">
    <w:pPr>
      <w:pStyle w:val="20"/>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6606A7">
                          <w:pPr>
                            <w:pStyle w:val="20"/>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nBZsQBAACR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cC5O25x4pfv3y4/fl1+fiXL&#10;avU6S9QHqDHzIWBuGu78gOmzH9CZmQ8q2vxFTgTjKPD5KrAcEhH50Xq1XlcYEhibL4jPHp+HCOmt&#10;9JZko6ERJ1iE5af3kMbUOSVXc/5eG1OmaNxfDsTMHpZ7H3vMVhr2w0Ro79sz8ulx+A11uOuUmHcO&#10;tc17MhtxNvaTkWtAuD0mLFz6yagj1FQMJ1UYTVuVV+HPe8l6/JO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VgnBZsQBAACRAwAADgAAAAAAAAABACAAAAAeAQAAZHJzL2Uyb0RvYy54bWxQ&#10;SwUGAAAAAAYABgBZAQAAVAUAAAAA&#10;">
              <v:fill on="f" focussize="0,0"/>
              <v:stroke on="f"/>
              <v:imagedata o:title=""/>
              <o:lock v:ext="edit" aspectratio="f"/>
              <v:textbox inset="0mm,0mm,0mm,0mm" style="mso-fit-shape-to-text:t;">
                <w:txbxContent>
                  <w:p w14:paraId="3B6606A7">
                    <w:pPr>
                      <w:pStyle w:val="20"/>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1415A">
    <w:pPr>
      <w:pStyle w:val="2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8F11C">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A7661">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FDC8A">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6EA88"/>
    <w:multiLevelType w:val="singleLevel"/>
    <w:tmpl w:val="D166EA88"/>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1">
    <w:nsid w:val="24690A55"/>
    <w:multiLevelType w:val="multilevel"/>
    <w:tmpl w:val="24690A55"/>
    <w:lvl w:ilvl="0" w:tentative="0">
      <w:start w:val="1"/>
      <w:numFmt w:val="upperRoman"/>
      <w:lvlText w:val="%1."/>
      <w:lvlJc w:val="left"/>
      <w:pPr>
        <w:tabs>
          <w:tab w:val="left" w:pos="425"/>
        </w:tabs>
        <w:ind w:left="0" w:firstLine="0"/>
      </w:pPr>
    </w:lvl>
    <w:lvl w:ilvl="1" w:tentative="0">
      <w:start w:val="1"/>
      <w:numFmt w:val="upperLetter"/>
      <w:lvlText w:val="%2."/>
      <w:lvlJc w:val="left"/>
      <w:pPr>
        <w:tabs>
          <w:tab w:val="left" w:pos="1505"/>
        </w:tabs>
        <w:ind w:left="1080" w:firstLine="0"/>
      </w:pPr>
    </w:lvl>
    <w:lvl w:ilvl="2" w:tentative="0">
      <w:start w:val="1"/>
      <w:numFmt w:val="decimal"/>
      <w:pStyle w:val="6"/>
      <w:lvlText w:val="%3."/>
      <w:lvlJc w:val="left"/>
      <w:pPr>
        <w:tabs>
          <w:tab w:val="left" w:pos="2126"/>
        </w:tabs>
        <w:ind w:left="1701" w:firstLine="0"/>
      </w:pPr>
    </w:lvl>
    <w:lvl w:ilvl="3" w:tentative="0">
      <w:start w:val="1"/>
      <w:numFmt w:val="lowerLetter"/>
      <w:lvlText w:val="%4)"/>
      <w:lvlJc w:val="left"/>
      <w:pPr>
        <w:tabs>
          <w:tab w:val="left" w:pos="2976"/>
        </w:tabs>
        <w:ind w:left="2551" w:firstLine="0"/>
      </w:pPr>
    </w:lvl>
    <w:lvl w:ilvl="4" w:tentative="0">
      <w:start w:val="1"/>
      <w:numFmt w:val="decimal"/>
      <w:pStyle w:val="8"/>
      <w:lvlText w:val="(%5)"/>
      <w:lvlJc w:val="left"/>
      <w:pPr>
        <w:tabs>
          <w:tab w:val="left" w:pos="3827"/>
        </w:tabs>
        <w:ind w:left="3402" w:firstLine="0"/>
      </w:pPr>
    </w:lvl>
    <w:lvl w:ilvl="5" w:tentative="0">
      <w:start w:val="1"/>
      <w:numFmt w:val="lowerLetter"/>
      <w:lvlText w:val="(%6)"/>
      <w:lvlJc w:val="left"/>
      <w:pPr>
        <w:tabs>
          <w:tab w:val="left" w:pos="4677"/>
        </w:tabs>
        <w:ind w:left="4252" w:firstLine="0"/>
      </w:pPr>
    </w:lvl>
    <w:lvl w:ilvl="6" w:tentative="0">
      <w:start w:val="1"/>
      <w:numFmt w:val="lowerRoman"/>
      <w:lvlText w:val="(%7)"/>
      <w:lvlJc w:val="left"/>
      <w:pPr>
        <w:tabs>
          <w:tab w:val="left" w:pos="5528"/>
        </w:tabs>
        <w:ind w:left="5102" w:firstLine="0"/>
      </w:pPr>
    </w:lvl>
    <w:lvl w:ilvl="7" w:tentative="0">
      <w:start w:val="1"/>
      <w:numFmt w:val="lowerLetter"/>
      <w:lvlText w:val="(%8)"/>
      <w:lvlJc w:val="left"/>
      <w:pPr>
        <w:tabs>
          <w:tab w:val="left" w:pos="6378"/>
        </w:tabs>
        <w:ind w:left="5953" w:firstLine="0"/>
      </w:pPr>
    </w:lvl>
    <w:lvl w:ilvl="8" w:tentative="0">
      <w:start w:val="1"/>
      <w:numFmt w:val="lowerRoman"/>
      <w:lvlText w:val="(%9)"/>
      <w:lvlJc w:val="left"/>
      <w:pPr>
        <w:tabs>
          <w:tab w:val="left" w:pos="7228"/>
        </w:tabs>
        <w:ind w:left="6803" w:firstLine="0"/>
      </w:pPr>
    </w:lvl>
  </w:abstractNum>
  <w:abstractNum w:abstractNumId="2">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lvlRestart w:val="2"/>
      <w:pStyle w:val="83"/>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yZTY3Y2MyOGVjZDNkNTg1NmZjOWY1YWYxNjk3NzMifQ=="/>
    <w:docVar w:name="KSO_WPS_MARK_KEY" w:val="55ee9907-87e9-4f51-a0fb-207d0ecf23c9"/>
  </w:docVars>
  <w:rsids>
    <w:rsidRoot w:val="00172A27"/>
    <w:rsid w:val="000060B3"/>
    <w:rsid w:val="00040F6C"/>
    <w:rsid w:val="0004364B"/>
    <w:rsid w:val="00061B1F"/>
    <w:rsid w:val="000733C4"/>
    <w:rsid w:val="00074783"/>
    <w:rsid w:val="0008070B"/>
    <w:rsid w:val="000810AC"/>
    <w:rsid w:val="00081445"/>
    <w:rsid w:val="00081A02"/>
    <w:rsid w:val="00082231"/>
    <w:rsid w:val="00092D38"/>
    <w:rsid w:val="0009377B"/>
    <w:rsid w:val="000A20C9"/>
    <w:rsid w:val="000B058F"/>
    <w:rsid w:val="000B4467"/>
    <w:rsid w:val="000B4DB9"/>
    <w:rsid w:val="000C09AC"/>
    <w:rsid w:val="000C767F"/>
    <w:rsid w:val="000D5A44"/>
    <w:rsid w:val="000E3ED2"/>
    <w:rsid w:val="00131F42"/>
    <w:rsid w:val="00133387"/>
    <w:rsid w:val="001357F1"/>
    <w:rsid w:val="00140FA8"/>
    <w:rsid w:val="00142FEB"/>
    <w:rsid w:val="00143A2D"/>
    <w:rsid w:val="00145A41"/>
    <w:rsid w:val="00151675"/>
    <w:rsid w:val="00157435"/>
    <w:rsid w:val="00172A27"/>
    <w:rsid w:val="0017504D"/>
    <w:rsid w:val="001761CF"/>
    <w:rsid w:val="0017671A"/>
    <w:rsid w:val="00177422"/>
    <w:rsid w:val="00184590"/>
    <w:rsid w:val="001870D1"/>
    <w:rsid w:val="0018781E"/>
    <w:rsid w:val="0019262D"/>
    <w:rsid w:val="00196D6D"/>
    <w:rsid w:val="001A1B35"/>
    <w:rsid w:val="001A48A2"/>
    <w:rsid w:val="001A5AA0"/>
    <w:rsid w:val="001A62EE"/>
    <w:rsid w:val="001A6F61"/>
    <w:rsid w:val="001B72B8"/>
    <w:rsid w:val="001C69B3"/>
    <w:rsid w:val="001D2511"/>
    <w:rsid w:val="001D3163"/>
    <w:rsid w:val="001D5595"/>
    <w:rsid w:val="001D7874"/>
    <w:rsid w:val="001D7F22"/>
    <w:rsid w:val="001F0F17"/>
    <w:rsid w:val="001F3347"/>
    <w:rsid w:val="001F69E4"/>
    <w:rsid w:val="002125B4"/>
    <w:rsid w:val="002155B8"/>
    <w:rsid w:val="00217367"/>
    <w:rsid w:val="00224839"/>
    <w:rsid w:val="002249B2"/>
    <w:rsid w:val="00225960"/>
    <w:rsid w:val="00226574"/>
    <w:rsid w:val="002278EC"/>
    <w:rsid w:val="0023280E"/>
    <w:rsid w:val="002377D1"/>
    <w:rsid w:val="002506BC"/>
    <w:rsid w:val="00254345"/>
    <w:rsid w:val="00264557"/>
    <w:rsid w:val="002805AB"/>
    <w:rsid w:val="00284204"/>
    <w:rsid w:val="00286007"/>
    <w:rsid w:val="00291773"/>
    <w:rsid w:val="00292BAB"/>
    <w:rsid w:val="002A168C"/>
    <w:rsid w:val="002A3DC7"/>
    <w:rsid w:val="002A67B9"/>
    <w:rsid w:val="002B49E2"/>
    <w:rsid w:val="002B7B00"/>
    <w:rsid w:val="002B7C44"/>
    <w:rsid w:val="002C2B17"/>
    <w:rsid w:val="002D3DD0"/>
    <w:rsid w:val="002E1F3A"/>
    <w:rsid w:val="002E298A"/>
    <w:rsid w:val="00301978"/>
    <w:rsid w:val="0030332C"/>
    <w:rsid w:val="00303DA2"/>
    <w:rsid w:val="003051C2"/>
    <w:rsid w:val="003102BF"/>
    <w:rsid w:val="00312296"/>
    <w:rsid w:val="00314F0E"/>
    <w:rsid w:val="00321D8E"/>
    <w:rsid w:val="00325928"/>
    <w:rsid w:val="00332863"/>
    <w:rsid w:val="0033684D"/>
    <w:rsid w:val="00337B42"/>
    <w:rsid w:val="00341B42"/>
    <w:rsid w:val="0034348F"/>
    <w:rsid w:val="00356653"/>
    <w:rsid w:val="0035743F"/>
    <w:rsid w:val="00357BE2"/>
    <w:rsid w:val="0036170C"/>
    <w:rsid w:val="00362013"/>
    <w:rsid w:val="00366E0F"/>
    <w:rsid w:val="00381A72"/>
    <w:rsid w:val="00384421"/>
    <w:rsid w:val="00384676"/>
    <w:rsid w:val="00390857"/>
    <w:rsid w:val="003A4BF3"/>
    <w:rsid w:val="003B420D"/>
    <w:rsid w:val="003C6C16"/>
    <w:rsid w:val="003D794D"/>
    <w:rsid w:val="003E3058"/>
    <w:rsid w:val="003E76A9"/>
    <w:rsid w:val="003F0809"/>
    <w:rsid w:val="003F6A8C"/>
    <w:rsid w:val="003F755C"/>
    <w:rsid w:val="00406F01"/>
    <w:rsid w:val="00414848"/>
    <w:rsid w:val="00416D50"/>
    <w:rsid w:val="00416FD5"/>
    <w:rsid w:val="00417772"/>
    <w:rsid w:val="00420E6A"/>
    <w:rsid w:val="00425A9E"/>
    <w:rsid w:val="00426D6B"/>
    <w:rsid w:val="00431E6C"/>
    <w:rsid w:val="00433CE7"/>
    <w:rsid w:val="00452738"/>
    <w:rsid w:val="00455C17"/>
    <w:rsid w:val="00456091"/>
    <w:rsid w:val="00466321"/>
    <w:rsid w:val="00484B9B"/>
    <w:rsid w:val="004855F6"/>
    <w:rsid w:val="0048661E"/>
    <w:rsid w:val="00494670"/>
    <w:rsid w:val="004A3823"/>
    <w:rsid w:val="004D1B1C"/>
    <w:rsid w:val="004D5F06"/>
    <w:rsid w:val="004E6946"/>
    <w:rsid w:val="004F1AD8"/>
    <w:rsid w:val="005039CB"/>
    <w:rsid w:val="0050558F"/>
    <w:rsid w:val="00506286"/>
    <w:rsid w:val="00510813"/>
    <w:rsid w:val="00511990"/>
    <w:rsid w:val="00511DE0"/>
    <w:rsid w:val="00514870"/>
    <w:rsid w:val="00514B9B"/>
    <w:rsid w:val="00517F02"/>
    <w:rsid w:val="00522DB6"/>
    <w:rsid w:val="00524303"/>
    <w:rsid w:val="005258A2"/>
    <w:rsid w:val="005336E5"/>
    <w:rsid w:val="005401AE"/>
    <w:rsid w:val="00542E07"/>
    <w:rsid w:val="00545424"/>
    <w:rsid w:val="00554A7B"/>
    <w:rsid w:val="0055572C"/>
    <w:rsid w:val="0056106A"/>
    <w:rsid w:val="005720AE"/>
    <w:rsid w:val="00594D77"/>
    <w:rsid w:val="005969E4"/>
    <w:rsid w:val="005A06B7"/>
    <w:rsid w:val="005A1759"/>
    <w:rsid w:val="005A68A7"/>
    <w:rsid w:val="005D36AB"/>
    <w:rsid w:val="005E71DB"/>
    <w:rsid w:val="00617CC3"/>
    <w:rsid w:val="006377A6"/>
    <w:rsid w:val="00637A3D"/>
    <w:rsid w:val="006411EF"/>
    <w:rsid w:val="0066795B"/>
    <w:rsid w:val="006748B8"/>
    <w:rsid w:val="006775C3"/>
    <w:rsid w:val="006912E1"/>
    <w:rsid w:val="0069290A"/>
    <w:rsid w:val="00695F89"/>
    <w:rsid w:val="0069775A"/>
    <w:rsid w:val="00697813"/>
    <w:rsid w:val="006A3EE8"/>
    <w:rsid w:val="006A72BF"/>
    <w:rsid w:val="006B03F2"/>
    <w:rsid w:val="006B37DC"/>
    <w:rsid w:val="006B4F68"/>
    <w:rsid w:val="006C0592"/>
    <w:rsid w:val="006C272E"/>
    <w:rsid w:val="006C5479"/>
    <w:rsid w:val="006D13B5"/>
    <w:rsid w:val="006D2A98"/>
    <w:rsid w:val="006E12FF"/>
    <w:rsid w:val="006E607E"/>
    <w:rsid w:val="00706C5D"/>
    <w:rsid w:val="00712A0C"/>
    <w:rsid w:val="00720D73"/>
    <w:rsid w:val="00732922"/>
    <w:rsid w:val="0074741B"/>
    <w:rsid w:val="0075162E"/>
    <w:rsid w:val="00754034"/>
    <w:rsid w:val="00756556"/>
    <w:rsid w:val="007618C4"/>
    <w:rsid w:val="00763EB6"/>
    <w:rsid w:val="00767980"/>
    <w:rsid w:val="00770B19"/>
    <w:rsid w:val="0077463F"/>
    <w:rsid w:val="007836EA"/>
    <w:rsid w:val="00784CDA"/>
    <w:rsid w:val="00784E73"/>
    <w:rsid w:val="007906C4"/>
    <w:rsid w:val="007940EA"/>
    <w:rsid w:val="007967E8"/>
    <w:rsid w:val="007A1CC5"/>
    <w:rsid w:val="007A2170"/>
    <w:rsid w:val="007A22BF"/>
    <w:rsid w:val="007A3323"/>
    <w:rsid w:val="007A6F63"/>
    <w:rsid w:val="007B72B8"/>
    <w:rsid w:val="007B7A58"/>
    <w:rsid w:val="007C21B5"/>
    <w:rsid w:val="007E4BD2"/>
    <w:rsid w:val="007F0A1D"/>
    <w:rsid w:val="00801393"/>
    <w:rsid w:val="00802F88"/>
    <w:rsid w:val="0081293E"/>
    <w:rsid w:val="00815465"/>
    <w:rsid w:val="00817E9A"/>
    <w:rsid w:val="008306BD"/>
    <w:rsid w:val="00831A80"/>
    <w:rsid w:val="00833743"/>
    <w:rsid w:val="008340A4"/>
    <w:rsid w:val="0083600E"/>
    <w:rsid w:val="008606BA"/>
    <w:rsid w:val="0087135F"/>
    <w:rsid w:val="00872D94"/>
    <w:rsid w:val="00880364"/>
    <w:rsid w:val="00891592"/>
    <w:rsid w:val="00891E9E"/>
    <w:rsid w:val="00893FA5"/>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456F"/>
    <w:rsid w:val="009B0897"/>
    <w:rsid w:val="009B7B17"/>
    <w:rsid w:val="009B7BD9"/>
    <w:rsid w:val="009C7DD5"/>
    <w:rsid w:val="009D3BDD"/>
    <w:rsid w:val="009E227D"/>
    <w:rsid w:val="009E2395"/>
    <w:rsid w:val="009E5019"/>
    <w:rsid w:val="00A04F1B"/>
    <w:rsid w:val="00A0501B"/>
    <w:rsid w:val="00A14947"/>
    <w:rsid w:val="00A32A83"/>
    <w:rsid w:val="00A368DB"/>
    <w:rsid w:val="00A423AA"/>
    <w:rsid w:val="00A53EC6"/>
    <w:rsid w:val="00A55C0F"/>
    <w:rsid w:val="00A83AD0"/>
    <w:rsid w:val="00A8713F"/>
    <w:rsid w:val="00A87F74"/>
    <w:rsid w:val="00A90BA1"/>
    <w:rsid w:val="00A97A9A"/>
    <w:rsid w:val="00AA0671"/>
    <w:rsid w:val="00AA2531"/>
    <w:rsid w:val="00AB1E09"/>
    <w:rsid w:val="00AB5330"/>
    <w:rsid w:val="00AB7747"/>
    <w:rsid w:val="00AC14CE"/>
    <w:rsid w:val="00AC2A56"/>
    <w:rsid w:val="00AD055E"/>
    <w:rsid w:val="00AD46C8"/>
    <w:rsid w:val="00AD47A7"/>
    <w:rsid w:val="00AF0CBF"/>
    <w:rsid w:val="00AF257F"/>
    <w:rsid w:val="00AF33CF"/>
    <w:rsid w:val="00AF4D50"/>
    <w:rsid w:val="00AF6179"/>
    <w:rsid w:val="00AF72AB"/>
    <w:rsid w:val="00B00300"/>
    <w:rsid w:val="00B107EF"/>
    <w:rsid w:val="00B1295A"/>
    <w:rsid w:val="00B20A45"/>
    <w:rsid w:val="00B22C5C"/>
    <w:rsid w:val="00B24AD8"/>
    <w:rsid w:val="00B24F30"/>
    <w:rsid w:val="00B31ABF"/>
    <w:rsid w:val="00B33BE3"/>
    <w:rsid w:val="00B53B5D"/>
    <w:rsid w:val="00B5443F"/>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2A9C"/>
    <w:rsid w:val="00BE312D"/>
    <w:rsid w:val="00BF1C20"/>
    <w:rsid w:val="00C10578"/>
    <w:rsid w:val="00C135BC"/>
    <w:rsid w:val="00C15C95"/>
    <w:rsid w:val="00C2596A"/>
    <w:rsid w:val="00C27537"/>
    <w:rsid w:val="00C328FE"/>
    <w:rsid w:val="00C33507"/>
    <w:rsid w:val="00C3426C"/>
    <w:rsid w:val="00C4409D"/>
    <w:rsid w:val="00C44E72"/>
    <w:rsid w:val="00C45A06"/>
    <w:rsid w:val="00C47E5B"/>
    <w:rsid w:val="00C61E4B"/>
    <w:rsid w:val="00C64BFF"/>
    <w:rsid w:val="00C704E9"/>
    <w:rsid w:val="00C74CEB"/>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22BA"/>
    <w:rsid w:val="00D0364F"/>
    <w:rsid w:val="00D06834"/>
    <w:rsid w:val="00D308ED"/>
    <w:rsid w:val="00D36D86"/>
    <w:rsid w:val="00D428AA"/>
    <w:rsid w:val="00D50A34"/>
    <w:rsid w:val="00D53EFA"/>
    <w:rsid w:val="00D94A7C"/>
    <w:rsid w:val="00D95896"/>
    <w:rsid w:val="00DA3EA5"/>
    <w:rsid w:val="00DB2983"/>
    <w:rsid w:val="00DC1257"/>
    <w:rsid w:val="00DC3DC0"/>
    <w:rsid w:val="00DC5B2B"/>
    <w:rsid w:val="00DD318D"/>
    <w:rsid w:val="00DF2E12"/>
    <w:rsid w:val="00DF514A"/>
    <w:rsid w:val="00DF6690"/>
    <w:rsid w:val="00DF6804"/>
    <w:rsid w:val="00E0358D"/>
    <w:rsid w:val="00E04323"/>
    <w:rsid w:val="00E0665C"/>
    <w:rsid w:val="00E070A2"/>
    <w:rsid w:val="00E2656A"/>
    <w:rsid w:val="00E412D0"/>
    <w:rsid w:val="00E52F76"/>
    <w:rsid w:val="00E56322"/>
    <w:rsid w:val="00E6075D"/>
    <w:rsid w:val="00E60982"/>
    <w:rsid w:val="00E62C62"/>
    <w:rsid w:val="00E654C1"/>
    <w:rsid w:val="00E65D97"/>
    <w:rsid w:val="00E72A5A"/>
    <w:rsid w:val="00E73354"/>
    <w:rsid w:val="00E9242D"/>
    <w:rsid w:val="00EB47F5"/>
    <w:rsid w:val="00EB5255"/>
    <w:rsid w:val="00EB5C47"/>
    <w:rsid w:val="00ED0639"/>
    <w:rsid w:val="00EF4755"/>
    <w:rsid w:val="00EF7135"/>
    <w:rsid w:val="00F027DB"/>
    <w:rsid w:val="00F14A7A"/>
    <w:rsid w:val="00F22985"/>
    <w:rsid w:val="00F27441"/>
    <w:rsid w:val="00F3383E"/>
    <w:rsid w:val="00F465A7"/>
    <w:rsid w:val="00F50B7C"/>
    <w:rsid w:val="00F550E6"/>
    <w:rsid w:val="00F74345"/>
    <w:rsid w:val="00F80A0A"/>
    <w:rsid w:val="00F82B19"/>
    <w:rsid w:val="00F86A76"/>
    <w:rsid w:val="00F9212D"/>
    <w:rsid w:val="00F9257D"/>
    <w:rsid w:val="00F965DA"/>
    <w:rsid w:val="00FA406A"/>
    <w:rsid w:val="00FB3CE5"/>
    <w:rsid w:val="00FB503A"/>
    <w:rsid w:val="00FB516C"/>
    <w:rsid w:val="00FC0909"/>
    <w:rsid w:val="00FC3711"/>
    <w:rsid w:val="00FD0236"/>
    <w:rsid w:val="00FD18F4"/>
    <w:rsid w:val="00FD4627"/>
    <w:rsid w:val="00FD54DB"/>
    <w:rsid w:val="00FD619F"/>
    <w:rsid w:val="00FE1942"/>
    <w:rsid w:val="01290F7E"/>
    <w:rsid w:val="01303AC5"/>
    <w:rsid w:val="01323CE1"/>
    <w:rsid w:val="0136732D"/>
    <w:rsid w:val="015D1E09"/>
    <w:rsid w:val="016B342B"/>
    <w:rsid w:val="01870B13"/>
    <w:rsid w:val="01875DDB"/>
    <w:rsid w:val="01B24C21"/>
    <w:rsid w:val="01BB7833"/>
    <w:rsid w:val="01C70225"/>
    <w:rsid w:val="01C7267B"/>
    <w:rsid w:val="01C761D7"/>
    <w:rsid w:val="01CA1EA4"/>
    <w:rsid w:val="01CE3A0A"/>
    <w:rsid w:val="01D9415D"/>
    <w:rsid w:val="01DD2362"/>
    <w:rsid w:val="01DF79C5"/>
    <w:rsid w:val="01E0373D"/>
    <w:rsid w:val="01E45689"/>
    <w:rsid w:val="01F01BD2"/>
    <w:rsid w:val="02021905"/>
    <w:rsid w:val="02084BC4"/>
    <w:rsid w:val="02246FB2"/>
    <w:rsid w:val="023B0973"/>
    <w:rsid w:val="024205EC"/>
    <w:rsid w:val="024843B8"/>
    <w:rsid w:val="024C492F"/>
    <w:rsid w:val="024E4B4B"/>
    <w:rsid w:val="025B6F88"/>
    <w:rsid w:val="02697903"/>
    <w:rsid w:val="02994018"/>
    <w:rsid w:val="02AC21EF"/>
    <w:rsid w:val="02AD7AC3"/>
    <w:rsid w:val="02B26E88"/>
    <w:rsid w:val="02B932BC"/>
    <w:rsid w:val="02B96468"/>
    <w:rsid w:val="02C866AB"/>
    <w:rsid w:val="02CF624C"/>
    <w:rsid w:val="02D63051"/>
    <w:rsid w:val="02D84414"/>
    <w:rsid w:val="02E802EF"/>
    <w:rsid w:val="02F96569"/>
    <w:rsid w:val="02FF4A28"/>
    <w:rsid w:val="03004097"/>
    <w:rsid w:val="03011BBD"/>
    <w:rsid w:val="030862B4"/>
    <w:rsid w:val="030B264E"/>
    <w:rsid w:val="030B2A3C"/>
    <w:rsid w:val="03144DDE"/>
    <w:rsid w:val="0317318F"/>
    <w:rsid w:val="031E0683"/>
    <w:rsid w:val="031E451D"/>
    <w:rsid w:val="032E0BB8"/>
    <w:rsid w:val="033B28FE"/>
    <w:rsid w:val="03595555"/>
    <w:rsid w:val="036F4D79"/>
    <w:rsid w:val="038D3451"/>
    <w:rsid w:val="03B95FF4"/>
    <w:rsid w:val="03CA1FAF"/>
    <w:rsid w:val="03CC5D27"/>
    <w:rsid w:val="03E77005"/>
    <w:rsid w:val="03EA7B21"/>
    <w:rsid w:val="03FE7EAB"/>
    <w:rsid w:val="04073CA0"/>
    <w:rsid w:val="042042C5"/>
    <w:rsid w:val="04247911"/>
    <w:rsid w:val="0438160E"/>
    <w:rsid w:val="043B2EAD"/>
    <w:rsid w:val="043F299D"/>
    <w:rsid w:val="044F72A8"/>
    <w:rsid w:val="04530C19"/>
    <w:rsid w:val="046B5E4B"/>
    <w:rsid w:val="047B2AB9"/>
    <w:rsid w:val="04815E68"/>
    <w:rsid w:val="04A10F62"/>
    <w:rsid w:val="04A66578"/>
    <w:rsid w:val="04AE367F"/>
    <w:rsid w:val="04B36EE7"/>
    <w:rsid w:val="04DB27F8"/>
    <w:rsid w:val="04DD3F64"/>
    <w:rsid w:val="04F82B4C"/>
    <w:rsid w:val="05094D59"/>
    <w:rsid w:val="050D7A89"/>
    <w:rsid w:val="05137986"/>
    <w:rsid w:val="051A0D14"/>
    <w:rsid w:val="051C4A8C"/>
    <w:rsid w:val="052A5C7E"/>
    <w:rsid w:val="05355B4E"/>
    <w:rsid w:val="05440D35"/>
    <w:rsid w:val="05542478"/>
    <w:rsid w:val="055565A5"/>
    <w:rsid w:val="05571F0C"/>
    <w:rsid w:val="056B77C2"/>
    <w:rsid w:val="056E3C57"/>
    <w:rsid w:val="05776166"/>
    <w:rsid w:val="0595609D"/>
    <w:rsid w:val="05997E8B"/>
    <w:rsid w:val="05C0366A"/>
    <w:rsid w:val="05C84C14"/>
    <w:rsid w:val="05D11D1B"/>
    <w:rsid w:val="05E05ABA"/>
    <w:rsid w:val="05EF21A1"/>
    <w:rsid w:val="05F652DD"/>
    <w:rsid w:val="05F76DBD"/>
    <w:rsid w:val="05F83EAE"/>
    <w:rsid w:val="0608596B"/>
    <w:rsid w:val="06155A2B"/>
    <w:rsid w:val="06233BF8"/>
    <w:rsid w:val="062F1921"/>
    <w:rsid w:val="06366C61"/>
    <w:rsid w:val="06383B48"/>
    <w:rsid w:val="063B53E6"/>
    <w:rsid w:val="063E7D85"/>
    <w:rsid w:val="063F6C84"/>
    <w:rsid w:val="0649065F"/>
    <w:rsid w:val="065D710A"/>
    <w:rsid w:val="0673692E"/>
    <w:rsid w:val="0687687D"/>
    <w:rsid w:val="068D4A69"/>
    <w:rsid w:val="06930D7E"/>
    <w:rsid w:val="069B6CCC"/>
    <w:rsid w:val="06A05249"/>
    <w:rsid w:val="06A50AB1"/>
    <w:rsid w:val="06AE7966"/>
    <w:rsid w:val="06B56F46"/>
    <w:rsid w:val="06C21663"/>
    <w:rsid w:val="06C421C6"/>
    <w:rsid w:val="06D27AF8"/>
    <w:rsid w:val="06D3561E"/>
    <w:rsid w:val="06DA075B"/>
    <w:rsid w:val="070954E4"/>
    <w:rsid w:val="071A149F"/>
    <w:rsid w:val="07247C28"/>
    <w:rsid w:val="07293586"/>
    <w:rsid w:val="07295285"/>
    <w:rsid w:val="072C06E1"/>
    <w:rsid w:val="072C404B"/>
    <w:rsid w:val="072D02F0"/>
    <w:rsid w:val="072E0AA7"/>
    <w:rsid w:val="07375B44"/>
    <w:rsid w:val="07550729"/>
    <w:rsid w:val="075F5104"/>
    <w:rsid w:val="07636392"/>
    <w:rsid w:val="07663572"/>
    <w:rsid w:val="076A5F83"/>
    <w:rsid w:val="076A6E78"/>
    <w:rsid w:val="07724E37"/>
    <w:rsid w:val="077614EF"/>
    <w:rsid w:val="07770C56"/>
    <w:rsid w:val="07921036"/>
    <w:rsid w:val="07B217BA"/>
    <w:rsid w:val="07B2451F"/>
    <w:rsid w:val="07B51313"/>
    <w:rsid w:val="07BC60B3"/>
    <w:rsid w:val="07C37441"/>
    <w:rsid w:val="07C43A23"/>
    <w:rsid w:val="07E51AAD"/>
    <w:rsid w:val="08161C67"/>
    <w:rsid w:val="08163A15"/>
    <w:rsid w:val="0817778D"/>
    <w:rsid w:val="08183C31"/>
    <w:rsid w:val="081B6C28"/>
    <w:rsid w:val="081C06EB"/>
    <w:rsid w:val="0865499C"/>
    <w:rsid w:val="08692164"/>
    <w:rsid w:val="088A62C2"/>
    <w:rsid w:val="088E3EF3"/>
    <w:rsid w:val="08931509"/>
    <w:rsid w:val="089332B7"/>
    <w:rsid w:val="08966904"/>
    <w:rsid w:val="08A92ADB"/>
    <w:rsid w:val="08A96637"/>
    <w:rsid w:val="08C47915"/>
    <w:rsid w:val="08D37B58"/>
    <w:rsid w:val="08F22718"/>
    <w:rsid w:val="08F3287C"/>
    <w:rsid w:val="08FA1588"/>
    <w:rsid w:val="08FB0FE2"/>
    <w:rsid w:val="08FF6B9F"/>
    <w:rsid w:val="090D408D"/>
    <w:rsid w:val="091F0FEF"/>
    <w:rsid w:val="091F45D0"/>
    <w:rsid w:val="092217DD"/>
    <w:rsid w:val="0923007D"/>
    <w:rsid w:val="092F2329"/>
    <w:rsid w:val="093A3733"/>
    <w:rsid w:val="093A7294"/>
    <w:rsid w:val="093C56FD"/>
    <w:rsid w:val="095E38C5"/>
    <w:rsid w:val="096B4234"/>
    <w:rsid w:val="09774987"/>
    <w:rsid w:val="098205B6"/>
    <w:rsid w:val="09896468"/>
    <w:rsid w:val="098F75E9"/>
    <w:rsid w:val="0995305F"/>
    <w:rsid w:val="099F7A3A"/>
    <w:rsid w:val="09A22646"/>
    <w:rsid w:val="09CF031F"/>
    <w:rsid w:val="09D71A8E"/>
    <w:rsid w:val="09E10052"/>
    <w:rsid w:val="09F47D86"/>
    <w:rsid w:val="09F75AC8"/>
    <w:rsid w:val="0A081A83"/>
    <w:rsid w:val="0A1E3055"/>
    <w:rsid w:val="0A234826"/>
    <w:rsid w:val="0A263993"/>
    <w:rsid w:val="0A2D3AC2"/>
    <w:rsid w:val="0A326B00"/>
    <w:rsid w:val="0A7315F2"/>
    <w:rsid w:val="0A7809B7"/>
    <w:rsid w:val="0A9E40F1"/>
    <w:rsid w:val="0AA01CBB"/>
    <w:rsid w:val="0AA755DF"/>
    <w:rsid w:val="0AAB7FE4"/>
    <w:rsid w:val="0AAE262A"/>
    <w:rsid w:val="0AB539B9"/>
    <w:rsid w:val="0AC27E84"/>
    <w:rsid w:val="0AC6110B"/>
    <w:rsid w:val="0ADF0A36"/>
    <w:rsid w:val="0AE147AE"/>
    <w:rsid w:val="0AE24082"/>
    <w:rsid w:val="0AF470A4"/>
    <w:rsid w:val="0AFB5144"/>
    <w:rsid w:val="0B0B1B75"/>
    <w:rsid w:val="0B120D44"/>
    <w:rsid w:val="0B226E42"/>
    <w:rsid w:val="0B36617C"/>
    <w:rsid w:val="0B4D1E43"/>
    <w:rsid w:val="0B61769D"/>
    <w:rsid w:val="0B6700E1"/>
    <w:rsid w:val="0B7F7B23"/>
    <w:rsid w:val="0B8213C1"/>
    <w:rsid w:val="0B84224B"/>
    <w:rsid w:val="0B882E7B"/>
    <w:rsid w:val="0B8C3FEE"/>
    <w:rsid w:val="0B92607E"/>
    <w:rsid w:val="0B9D1A98"/>
    <w:rsid w:val="0BA0299B"/>
    <w:rsid w:val="0BA17A99"/>
    <w:rsid w:val="0BA24792"/>
    <w:rsid w:val="0BA47589"/>
    <w:rsid w:val="0BA650B0"/>
    <w:rsid w:val="0BBE689D"/>
    <w:rsid w:val="0BC8771C"/>
    <w:rsid w:val="0BCD088E"/>
    <w:rsid w:val="0BCF0AAA"/>
    <w:rsid w:val="0BD27BF6"/>
    <w:rsid w:val="0BD7170D"/>
    <w:rsid w:val="0BD95485"/>
    <w:rsid w:val="0BEA2114"/>
    <w:rsid w:val="0BF00A21"/>
    <w:rsid w:val="0C040028"/>
    <w:rsid w:val="0C0F6D61"/>
    <w:rsid w:val="0C10632B"/>
    <w:rsid w:val="0C180B87"/>
    <w:rsid w:val="0C27052E"/>
    <w:rsid w:val="0C286B3C"/>
    <w:rsid w:val="0C3B3C7D"/>
    <w:rsid w:val="0C454647"/>
    <w:rsid w:val="0C590374"/>
    <w:rsid w:val="0C6160FC"/>
    <w:rsid w:val="0C6F5DE9"/>
    <w:rsid w:val="0C762CD4"/>
    <w:rsid w:val="0C7B478E"/>
    <w:rsid w:val="0C7C79E7"/>
    <w:rsid w:val="0C8353F1"/>
    <w:rsid w:val="0C8F3D96"/>
    <w:rsid w:val="0CAB2EAE"/>
    <w:rsid w:val="0CC24FC1"/>
    <w:rsid w:val="0CC46135"/>
    <w:rsid w:val="0CE340E1"/>
    <w:rsid w:val="0CEA36C2"/>
    <w:rsid w:val="0CF956B3"/>
    <w:rsid w:val="0D025925"/>
    <w:rsid w:val="0D2C5A88"/>
    <w:rsid w:val="0D31309F"/>
    <w:rsid w:val="0D366907"/>
    <w:rsid w:val="0D37715B"/>
    <w:rsid w:val="0D3F33D7"/>
    <w:rsid w:val="0D496C4D"/>
    <w:rsid w:val="0D5A25F6"/>
    <w:rsid w:val="0D5D5C42"/>
    <w:rsid w:val="0D611BD6"/>
    <w:rsid w:val="0D621C7D"/>
    <w:rsid w:val="0D6D0A82"/>
    <w:rsid w:val="0D7D62E4"/>
    <w:rsid w:val="0D7F4BB9"/>
    <w:rsid w:val="0D811BCF"/>
    <w:rsid w:val="0D990CCA"/>
    <w:rsid w:val="0DB26A52"/>
    <w:rsid w:val="0DB717F6"/>
    <w:rsid w:val="0DC66295"/>
    <w:rsid w:val="0DC83A03"/>
    <w:rsid w:val="0DD004FD"/>
    <w:rsid w:val="0DFE5E74"/>
    <w:rsid w:val="0E040FB1"/>
    <w:rsid w:val="0E0D58BA"/>
    <w:rsid w:val="0E3E0B6F"/>
    <w:rsid w:val="0E460A03"/>
    <w:rsid w:val="0E4F5ED2"/>
    <w:rsid w:val="0E73034D"/>
    <w:rsid w:val="0E884F40"/>
    <w:rsid w:val="0EA631EE"/>
    <w:rsid w:val="0EBE0962"/>
    <w:rsid w:val="0EC8767D"/>
    <w:rsid w:val="0ED14B39"/>
    <w:rsid w:val="0EF45763"/>
    <w:rsid w:val="0EFF16A6"/>
    <w:rsid w:val="0F067852"/>
    <w:rsid w:val="0F0E18EA"/>
    <w:rsid w:val="0F114F36"/>
    <w:rsid w:val="0F13775A"/>
    <w:rsid w:val="0F4C5F6E"/>
    <w:rsid w:val="0F5F45FE"/>
    <w:rsid w:val="0F676462"/>
    <w:rsid w:val="0F7077F0"/>
    <w:rsid w:val="0F7E4DC6"/>
    <w:rsid w:val="0F875445"/>
    <w:rsid w:val="0F8C6CB2"/>
    <w:rsid w:val="0F9A112B"/>
    <w:rsid w:val="0F9D0EBF"/>
    <w:rsid w:val="0FA4224E"/>
    <w:rsid w:val="0FBC1346"/>
    <w:rsid w:val="0FC57648"/>
    <w:rsid w:val="0FC96DB2"/>
    <w:rsid w:val="0FD7746D"/>
    <w:rsid w:val="0FDF10D4"/>
    <w:rsid w:val="0FF3288D"/>
    <w:rsid w:val="0FFA00C0"/>
    <w:rsid w:val="10090303"/>
    <w:rsid w:val="100B79A7"/>
    <w:rsid w:val="100D394F"/>
    <w:rsid w:val="101C0AA9"/>
    <w:rsid w:val="102E1829"/>
    <w:rsid w:val="103233B6"/>
    <w:rsid w:val="10337075"/>
    <w:rsid w:val="103C2486"/>
    <w:rsid w:val="1045133B"/>
    <w:rsid w:val="104B26C9"/>
    <w:rsid w:val="10584E98"/>
    <w:rsid w:val="10591332"/>
    <w:rsid w:val="106317C1"/>
    <w:rsid w:val="106D2F64"/>
    <w:rsid w:val="10857989"/>
    <w:rsid w:val="108B70E7"/>
    <w:rsid w:val="10B14C22"/>
    <w:rsid w:val="10B4026F"/>
    <w:rsid w:val="10B63710"/>
    <w:rsid w:val="10BA0616"/>
    <w:rsid w:val="10C1473A"/>
    <w:rsid w:val="10D80B07"/>
    <w:rsid w:val="10F10820"/>
    <w:rsid w:val="10F25B74"/>
    <w:rsid w:val="10F36FE9"/>
    <w:rsid w:val="1111121D"/>
    <w:rsid w:val="111C2F7A"/>
    <w:rsid w:val="111E393A"/>
    <w:rsid w:val="11270A41"/>
    <w:rsid w:val="112842FC"/>
    <w:rsid w:val="113257B6"/>
    <w:rsid w:val="11360C84"/>
    <w:rsid w:val="115210BA"/>
    <w:rsid w:val="116457F1"/>
    <w:rsid w:val="11665CA1"/>
    <w:rsid w:val="11700416"/>
    <w:rsid w:val="11763776"/>
    <w:rsid w:val="117B611C"/>
    <w:rsid w:val="119105B0"/>
    <w:rsid w:val="11930FEA"/>
    <w:rsid w:val="11A55E09"/>
    <w:rsid w:val="11D02E86"/>
    <w:rsid w:val="11DF756D"/>
    <w:rsid w:val="11F33019"/>
    <w:rsid w:val="12025750"/>
    <w:rsid w:val="12062D4C"/>
    <w:rsid w:val="120E362D"/>
    <w:rsid w:val="121E62E8"/>
    <w:rsid w:val="1222054A"/>
    <w:rsid w:val="12266F4A"/>
    <w:rsid w:val="12411FD6"/>
    <w:rsid w:val="124B69B1"/>
    <w:rsid w:val="125C0BBE"/>
    <w:rsid w:val="12614426"/>
    <w:rsid w:val="12830DE5"/>
    <w:rsid w:val="12900868"/>
    <w:rsid w:val="12967386"/>
    <w:rsid w:val="12AC38F3"/>
    <w:rsid w:val="12AD1419"/>
    <w:rsid w:val="12B502CE"/>
    <w:rsid w:val="12BE6295"/>
    <w:rsid w:val="12C549B5"/>
    <w:rsid w:val="12CF75E2"/>
    <w:rsid w:val="12D11CBB"/>
    <w:rsid w:val="12DD1CFF"/>
    <w:rsid w:val="12E06274"/>
    <w:rsid w:val="12E12E71"/>
    <w:rsid w:val="12E74FC1"/>
    <w:rsid w:val="12E84200"/>
    <w:rsid w:val="12E96F9A"/>
    <w:rsid w:val="12F11306"/>
    <w:rsid w:val="12FC5EFD"/>
    <w:rsid w:val="13031039"/>
    <w:rsid w:val="130C0DC8"/>
    <w:rsid w:val="131D659F"/>
    <w:rsid w:val="13257202"/>
    <w:rsid w:val="13382C11"/>
    <w:rsid w:val="134C0C32"/>
    <w:rsid w:val="13783846"/>
    <w:rsid w:val="138E2FF9"/>
    <w:rsid w:val="13951726"/>
    <w:rsid w:val="13AA5567"/>
    <w:rsid w:val="13B10A95"/>
    <w:rsid w:val="13B362F5"/>
    <w:rsid w:val="13BD3535"/>
    <w:rsid w:val="13D80718"/>
    <w:rsid w:val="13DB5B12"/>
    <w:rsid w:val="13E40E6B"/>
    <w:rsid w:val="13E41A8F"/>
    <w:rsid w:val="13E77A8F"/>
    <w:rsid w:val="13F310AE"/>
    <w:rsid w:val="14011A1D"/>
    <w:rsid w:val="14074B59"/>
    <w:rsid w:val="140C5536"/>
    <w:rsid w:val="1424395D"/>
    <w:rsid w:val="14270D58"/>
    <w:rsid w:val="142C636E"/>
    <w:rsid w:val="143376FC"/>
    <w:rsid w:val="14396509"/>
    <w:rsid w:val="14467430"/>
    <w:rsid w:val="145E6E6F"/>
    <w:rsid w:val="14777F31"/>
    <w:rsid w:val="147F2243"/>
    <w:rsid w:val="14900FF3"/>
    <w:rsid w:val="14A423A8"/>
    <w:rsid w:val="14DA401C"/>
    <w:rsid w:val="14DD2C3C"/>
    <w:rsid w:val="14E37374"/>
    <w:rsid w:val="14F52C04"/>
    <w:rsid w:val="14FB2910"/>
    <w:rsid w:val="14FE7179"/>
    <w:rsid w:val="15155054"/>
    <w:rsid w:val="15311E8E"/>
    <w:rsid w:val="153876C0"/>
    <w:rsid w:val="154C4F1A"/>
    <w:rsid w:val="154D49DF"/>
    <w:rsid w:val="155B33AF"/>
    <w:rsid w:val="157D5A20"/>
    <w:rsid w:val="15964C5A"/>
    <w:rsid w:val="159E5571"/>
    <w:rsid w:val="15A76263"/>
    <w:rsid w:val="15AC3C0A"/>
    <w:rsid w:val="15B605E5"/>
    <w:rsid w:val="15BD5E60"/>
    <w:rsid w:val="15D078F9"/>
    <w:rsid w:val="15D121F3"/>
    <w:rsid w:val="15DF5D8E"/>
    <w:rsid w:val="15E74EFF"/>
    <w:rsid w:val="1602382A"/>
    <w:rsid w:val="1603032F"/>
    <w:rsid w:val="16087E1D"/>
    <w:rsid w:val="16210154"/>
    <w:rsid w:val="162E2871"/>
    <w:rsid w:val="163559AE"/>
    <w:rsid w:val="163D6041"/>
    <w:rsid w:val="163F05DA"/>
    <w:rsid w:val="164D6A6F"/>
    <w:rsid w:val="165D4F05"/>
    <w:rsid w:val="165F676C"/>
    <w:rsid w:val="166149F5"/>
    <w:rsid w:val="167364D6"/>
    <w:rsid w:val="16783AEC"/>
    <w:rsid w:val="16794E4F"/>
    <w:rsid w:val="167B5D80"/>
    <w:rsid w:val="169E1486"/>
    <w:rsid w:val="16A56DF3"/>
    <w:rsid w:val="16A62408"/>
    <w:rsid w:val="16AD459B"/>
    <w:rsid w:val="16BC3B6C"/>
    <w:rsid w:val="16C10DC8"/>
    <w:rsid w:val="16C1147B"/>
    <w:rsid w:val="16C44F84"/>
    <w:rsid w:val="16C86822"/>
    <w:rsid w:val="16D231FD"/>
    <w:rsid w:val="16E42F30"/>
    <w:rsid w:val="16EE6E50"/>
    <w:rsid w:val="16F92E7F"/>
    <w:rsid w:val="171E4694"/>
    <w:rsid w:val="1720665E"/>
    <w:rsid w:val="172F2BDB"/>
    <w:rsid w:val="173C4B1A"/>
    <w:rsid w:val="174330D0"/>
    <w:rsid w:val="17465999"/>
    <w:rsid w:val="17502639"/>
    <w:rsid w:val="17514A69"/>
    <w:rsid w:val="17531C5D"/>
    <w:rsid w:val="17701D14"/>
    <w:rsid w:val="17735226"/>
    <w:rsid w:val="17982698"/>
    <w:rsid w:val="179B5CE4"/>
    <w:rsid w:val="179E7583"/>
    <w:rsid w:val="17A10E21"/>
    <w:rsid w:val="17A93D79"/>
    <w:rsid w:val="17D66D1D"/>
    <w:rsid w:val="18002E23"/>
    <w:rsid w:val="180E64B6"/>
    <w:rsid w:val="18131D1F"/>
    <w:rsid w:val="18292A8B"/>
    <w:rsid w:val="183F52C2"/>
    <w:rsid w:val="184A624E"/>
    <w:rsid w:val="186617A0"/>
    <w:rsid w:val="186D58D3"/>
    <w:rsid w:val="188379F5"/>
    <w:rsid w:val="18846779"/>
    <w:rsid w:val="18934C0E"/>
    <w:rsid w:val="189F624C"/>
    <w:rsid w:val="18BC5F12"/>
    <w:rsid w:val="18BC6018"/>
    <w:rsid w:val="18C15C1F"/>
    <w:rsid w:val="18D94D16"/>
    <w:rsid w:val="18EA20D6"/>
    <w:rsid w:val="19070EE9"/>
    <w:rsid w:val="19094ED0"/>
    <w:rsid w:val="1917583F"/>
    <w:rsid w:val="191B016B"/>
    <w:rsid w:val="1921046B"/>
    <w:rsid w:val="19263CD4"/>
    <w:rsid w:val="19277CCF"/>
    <w:rsid w:val="19425FB7"/>
    <w:rsid w:val="19524AC9"/>
    <w:rsid w:val="19561F76"/>
    <w:rsid w:val="19614284"/>
    <w:rsid w:val="19726F19"/>
    <w:rsid w:val="197607B7"/>
    <w:rsid w:val="19832ED4"/>
    <w:rsid w:val="19A74E14"/>
    <w:rsid w:val="19B42CAC"/>
    <w:rsid w:val="19B6484B"/>
    <w:rsid w:val="19D4440C"/>
    <w:rsid w:val="19F93196"/>
    <w:rsid w:val="1A11228E"/>
    <w:rsid w:val="1A1C66C0"/>
    <w:rsid w:val="1A226249"/>
    <w:rsid w:val="1A2E4BEE"/>
    <w:rsid w:val="1A330456"/>
    <w:rsid w:val="1A3D3083"/>
    <w:rsid w:val="1A42393B"/>
    <w:rsid w:val="1A44723C"/>
    <w:rsid w:val="1A4C776A"/>
    <w:rsid w:val="1A670100"/>
    <w:rsid w:val="1A736AA5"/>
    <w:rsid w:val="1A7C68D2"/>
    <w:rsid w:val="1A807414"/>
    <w:rsid w:val="1A846F04"/>
    <w:rsid w:val="1A86723E"/>
    <w:rsid w:val="1AA43102"/>
    <w:rsid w:val="1AAD45DE"/>
    <w:rsid w:val="1AB35C41"/>
    <w:rsid w:val="1AB55F47"/>
    <w:rsid w:val="1ABC669E"/>
    <w:rsid w:val="1ACE017F"/>
    <w:rsid w:val="1ADE4866"/>
    <w:rsid w:val="1AE03EC5"/>
    <w:rsid w:val="1AE23C2A"/>
    <w:rsid w:val="1B046F80"/>
    <w:rsid w:val="1B120C9F"/>
    <w:rsid w:val="1B1A1616"/>
    <w:rsid w:val="1B3267B5"/>
    <w:rsid w:val="1B40161D"/>
    <w:rsid w:val="1B441859"/>
    <w:rsid w:val="1B530684"/>
    <w:rsid w:val="1B5508A0"/>
    <w:rsid w:val="1B55264E"/>
    <w:rsid w:val="1B6606B1"/>
    <w:rsid w:val="1B8151F1"/>
    <w:rsid w:val="1B8A4407"/>
    <w:rsid w:val="1B8F790E"/>
    <w:rsid w:val="1BA1428D"/>
    <w:rsid w:val="1BA46514"/>
    <w:rsid w:val="1BB27AA1"/>
    <w:rsid w:val="1BB741F4"/>
    <w:rsid w:val="1BCF3C71"/>
    <w:rsid w:val="1BD078AD"/>
    <w:rsid w:val="1BD143CB"/>
    <w:rsid w:val="1BD73063"/>
    <w:rsid w:val="1BDA71DC"/>
    <w:rsid w:val="1BEF4851"/>
    <w:rsid w:val="1C1E0C92"/>
    <w:rsid w:val="1C1E6EE4"/>
    <w:rsid w:val="1C2C7853"/>
    <w:rsid w:val="1C314E69"/>
    <w:rsid w:val="1C4921B3"/>
    <w:rsid w:val="1C505E98"/>
    <w:rsid w:val="1C573145"/>
    <w:rsid w:val="1C5E7925"/>
    <w:rsid w:val="1C6E02BF"/>
    <w:rsid w:val="1C6E5776"/>
    <w:rsid w:val="1C752FA8"/>
    <w:rsid w:val="1C840CDA"/>
    <w:rsid w:val="1C844F99"/>
    <w:rsid w:val="1C9A2A0F"/>
    <w:rsid w:val="1C9F5222"/>
    <w:rsid w:val="1CA473E9"/>
    <w:rsid w:val="1CA94A00"/>
    <w:rsid w:val="1CB441B9"/>
    <w:rsid w:val="1CC66E16"/>
    <w:rsid w:val="1CD203FA"/>
    <w:rsid w:val="1CD24DCF"/>
    <w:rsid w:val="1CDE1366"/>
    <w:rsid w:val="1CE53CDF"/>
    <w:rsid w:val="1CE70309"/>
    <w:rsid w:val="1CE75C51"/>
    <w:rsid w:val="1CE8421E"/>
    <w:rsid w:val="1CEB326A"/>
    <w:rsid w:val="1CF75960"/>
    <w:rsid w:val="1CFD070F"/>
    <w:rsid w:val="1D002F0F"/>
    <w:rsid w:val="1D2624F4"/>
    <w:rsid w:val="1D3249F5"/>
    <w:rsid w:val="1D3D339A"/>
    <w:rsid w:val="1D5F6196"/>
    <w:rsid w:val="1D6132A5"/>
    <w:rsid w:val="1D630C4E"/>
    <w:rsid w:val="1D682B0D"/>
    <w:rsid w:val="1D6A0633"/>
    <w:rsid w:val="1D703222"/>
    <w:rsid w:val="1D724583"/>
    <w:rsid w:val="1D790491"/>
    <w:rsid w:val="1D7B77C2"/>
    <w:rsid w:val="1D7C655F"/>
    <w:rsid w:val="1D7F1C04"/>
    <w:rsid w:val="1D8316F5"/>
    <w:rsid w:val="1D864D41"/>
    <w:rsid w:val="1D890952"/>
    <w:rsid w:val="1D8E56D5"/>
    <w:rsid w:val="1D935D92"/>
    <w:rsid w:val="1D9A07EC"/>
    <w:rsid w:val="1DAA4ED3"/>
    <w:rsid w:val="1DB45D52"/>
    <w:rsid w:val="1DBA2C3C"/>
    <w:rsid w:val="1DC84414"/>
    <w:rsid w:val="1DD01D46"/>
    <w:rsid w:val="1DD23D4D"/>
    <w:rsid w:val="1DF3687A"/>
    <w:rsid w:val="1DFB128B"/>
    <w:rsid w:val="1DFC1B98"/>
    <w:rsid w:val="1E08121F"/>
    <w:rsid w:val="1E0F4D36"/>
    <w:rsid w:val="1E225C10"/>
    <w:rsid w:val="1E283E3B"/>
    <w:rsid w:val="1E4C5F8A"/>
    <w:rsid w:val="1E592455"/>
    <w:rsid w:val="1E7A43DA"/>
    <w:rsid w:val="1E7D7EF2"/>
    <w:rsid w:val="1EB31B66"/>
    <w:rsid w:val="1EB801F0"/>
    <w:rsid w:val="1EBA1146"/>
    <w:rsid w:val="1EC0241D"/>
    <w:rsid w:val="1ECC43DD"/>
    <w:rsid w:val="1EE75CB3"/>
    <w:rsid w:val="1EFA3C38"/>
    <w:rsid w:val="1EFF4DAB"/>
    <w:rsid w:val="1F2264C8"/>
    <w:rsid w:val="1F280AA0"/>
    <w:rsid w:val="1F3C0AD6"/>
    <w:rsid w:val="1F3D58D3"/>
    <w:rsid w:val="1F4711E8"/>
    <w:rsid w:val="1F4E7AE0"/>
    <w:rsid w:val="1F525822"/>
    <w:rsid w:val="1F7A7D72"/>
    <w:rsid w:val="1F975606"/>
    <w:rsid w:val="1F9C4E0B"/>
    <w:rsid w:val="1FA4561B"/>
    <w:rsid w:val="1FAF4A23"/>
    <w:rsid w:val="1FB43DE7"/>
    <w:rsid w:val="1FB913FE"/>
    <w:rsid w:val="1FC102B2"/>
    <w:rsid w:val="1FC96B9C"/>
    <w:rsid w:val="1FCF6E73"/>
    <w:rsid w:val="1FD004F5"/>
    <w:rsid w:val="1FD04999"/>
    <w:rsid w:val="1FE7539E"/>
    <w:rsid w:val="1FFD6DD2"/>
    <w:rsid w:val="2008398E"/>
    <w:rsid w:val="200A06C2"/>
    <w:rsid w:val="201B5C14"/>
    <w:rsid w:val="20484530"/>
    <w:rsid w:val="204F395D"/>
    <w:rsid w:val="20523600"/>
    <w:rsid w:val="20671BE0"/>
    <w:rsid w:val="206F41B2"/>
    <w:rsid w:val="207215AC"/>
    <w:rsid w:val="20765541"/>
    <w:rsid w:val="20796DDF"/>
    <w:rsid w:val="208970B8"/>
    <w:rsid w:val="20963CB8"/>
    <w:rsid w:val="209E23A2"/>
    <w:rsid w:val="20A81A1B"/>
    <w:rsid w:val="20B07FB6"/>
    <w:rsid w:val="20B35E4D"/>
    <w:rsid w:val="20B646FB"/>
    <w:rsid w:val="20B83463"/>
    <w:rsid w:val="20BD316F"/>
    <w:rsid w:val="20BD6CCC"/>
    <w:rsid w:val="20BE2A44"/>
    <w:rsid w:val="20D83B05"/>
    <w:rsid w:val="20DA787E"/>
    <w:rsid w:val="20E34258"/>
    <w:rsid w:val="21287BFA"/>
    <w:rsid w:val="213B74B1"/>
    <w:rsid w:val="21521B0A"/>
    <w:rsid w:val="21535882"/>
    <w:rsid w:val="215A2310"/>
    <w:rsid w:val="215D225D"/>
    <w:rsid w:val="215F7D83"/>
    <w:rsid w:val="21661111"/>
    <w:rsid w:val="21837F15"/>
    <w:rsid w:val="218617B3"/>
    <w:rsid w:val="21905E0C"/>
    <w:rsid w:val="21C422DC"/>
    <w:rsid w:val="21D73DBD"/>
    <w:rsid w:val="21DE318A"/>
    <w:rsid w:val="21E87D78"/>
    <w:rsid w:val="21EF5B80"/>
    <w:rsid w:val="21FC38B5"/>
    <w:rsid w:val="21FC7B27"/>
    <w:rsid w:val="21FF3314"/>
    <w:rsid w:val="220D3EE4"/>
    <w:rsid w:val="220D5A31"/>
    <w:rsid w:val="22146DBF"/>
    <w:rsid w:val="221E7C3E"/>
    <w:rsid w:val="22390498"/>
    <w:rsid w:val="22574EFE"/>
    <w:rsid w:val="22576990"/>
    <w:rsid w:val="225D4A8A"/>
    <w:rsid w:val="226A4C31"/>
    <w:rsid w:val="22950598"/>
    <w:rsid w:val="22CC769A"/>
    <w:rsid w:val="22E55733"/>
    <w:rsid w:val="22F470F8"/>
    <w:rsid w:val="22F47480"/>
    <w:rsid w:val="22FD3CF7"/>
    <w:rsid w:val="23007E1B"/>
    <w:rsid w:val="23144B9D"/>
    <w:rsid w:val="23370B16"/>
    <w:rsid w:val="23405992"/>
    <w:rsid w:val="235651B5"/>
    <w:rsid w:val="236C5BC2"/>
    <w:rsid w:val="237613B4"/>
    <w:rsid w:val="2383244E"/>
    <w:rsid w:val="239B0E1A"/>
    <w:rsid w:val="239B5C65"/>
    <w:rsid w:val="23AD1A2D"/>
    <w:rsid w:val="23AE5866"/>
    <w:rsid w:val="23B309DA"/>
    <w:rsid w:val="23CA1CE4"/>
    <w:rsid w:val="23DE1C48"/>
    <w:rsid w:val="23DE58D7"/>
    <w:rsid w:val="23E80503"/>
    <w:rsid w:val="23EB1DA2"/>
    <w:rsid w:val="240210CD"/>
    <w:rsid w:val="240E69D4"/>
    <w:rsid w:val="244D0366"/>
    <w:rsid w:val="24594F5D"/>
    <w:rsid w:val="246A772A"/>
    <w:rsid w:val="247D50F0"/>
    <w:rsid w:val="24831FDA"/>
    <w:rsid w:val="24883849"/>
    <w:rsid w:val="248C7444"/>
    <w:rsid w:val="249441E7"/>
    <w:rsid w:val="24973CD7"/>
    <w:rsid w:val="249917FE"/>
    <w:rsid w:val="24A9572A"/>
    <w:rsid w:val="24B134DC"/>
    <w:rsid w:val="24BB79C6"/>
    <w:rsid w:val="24BF09F7"/>
    <w:rsid w:val="24C20D54"/>
    <w:rsid w:val="24C85C3F"/>
    <w:rsid w:val="24CA5E5B"/>
    <w:rsid w:val="24CB4D99"/>
    <w:rsid w:val="24F15196"/>
    <w:rsid w:val="24F84776"/>
    <w:rsid w:val="24FA0C9D"/>
    <w:rsid w:val="250758A2"/>
    <w:rsid w:val="250864F5"/>
    <w:rsid w:val="252437BD"/>
    <w:rsid w:val="252D53FE"/>
    <w:rsid w:val="25333A00"/>
    <w:rsid w:val="25381017"/>
    <w:rsid w:val="254A0D4A"/>
    <w:rsid w:val="25637248"/>
    <w:rsid w:val="256C6F12"/>
    <w:rsid w:val="25710085"/>
    <w:rsid w:val="25E0613C"/>
    <w:rsid w:val="25E42F4C"/>
    <w:rsid w:val="25E92311"/>
    <w:rsid w:val="25EC2D81"/>
    <w:rsid w:val="25EE7927"/>
    <w:rsid w:val="25F901D4"/>
    <w:rsid w:val="25FC3DF2"/>
    <w:rsid w:val="25FD5DBC"/>
    <w:rsid w:val="261A071C"/>
    <w:rsid w:val="26284BE7"/>
    <w:rsid w:val="2629095F"/>
    <w:rsid w:val="263E7E71"/>
    <w:rsid w:val="26404627"/>
    <w:rsid w:val="26591245"/>
    <w:rsid w:val="266B541C"/>
    <w:rsid w:val="267267AA"/>
    <w:rsid w:val="26A15D1E"/>
    <w:rsid w:val="26A60202"/>
    <w:rsid w:val="26AA7247"/>
    <w:rsid w:val="26B20955"/>
    <w:rsid w:val="26B33D5C"/>
    <w:rsid w:val="26EA27E4"/>
    <w:rsid w:val="26F82986"/>
    <w:rsid w:val="26F834BE"/>
    <w:rsid w:val="27004655"/>
    <w:rsid w:val="27054F28"/>
    <w:rsid w:val="27076EF2"/>
    <w:rsid w:val="272F01F7"/>
    <w:rsid w:val="2744441F"/>
    <w:rsid w:val="27455C6D"/>
    <w:rsid w:val="274F2647"/>
    <w:rsid w:val="277057A2"/>
    <w:rsid w:val="277F2F2D"/>
    <w:rsid w:val="27806CA5"/>
    <w:rsid w:val="278109B5"/>
    <w:rsid w:val="278E13C2"/>
    <w:rsid w:val="278F179A"/>
    <w:rsid w:val="27A70388"/>
    <w:rsid w:val="27AE55C0"/>
    <w:rsid w:val="27B34984"/>
    <w:rsid w:val="27BB7CDD"/>
    <w:rsid w:val="27CE5C62"/>
    <w:rsid w:val="27D668C5"/>
    <w:rsid w:val="27F82CDF"/>
    <w:rsid w:val="27FB5720"/>
    <w:rsid w:val="27FE6547"/>
    <w:rsid w:val="281C69CE"/>
    <w:rsid w:val="2838132E"/>
    <w:rsid w:val="283B7AA0"/>
    <w:rsid w:val="283C1704"/>
    <w:rsid w:val="283D0017"/>
    <w:rsid w:val="286F7236"/>
    <w:rsid w:val="288F53F1"/>
    <w:rsid w:val="28942A08"/>
    <w:rsid w:val="289E3886"/>
    <w:rsid w:val="289E4E67"/>
    <w:rsid w:val="28A16ED3"/>
    <w:rsid w:val="28A54C15"/>
    <w:rsid w:val="28A640B8"/>
    <w:rsid w:val="28B15C7F"/>
    <w:rsid w:val="28BE1833"/>
    <w:rsid w:val="28C40E4A"/>
    <w:rsid w:val="28C42FAB"/>
    <w:rsid w:val="28CB54D7"/>
    <w:rsid w:val="28EC2844"/>
    <w:rsid w:val="290C6A42"/>
    <w:rsid w:val="29114058"/>
    <w:rsid w:val="29127DD1"/>
    <w:rsid w:val="291D29FD"/>
    <w:rsid w:val="29206EB8"/>
    <w:rsid w:val="29471828"/>
    <w:rsid w:val="294E7429"/>
    <w:rsid w:val="29595666"/>
    <w:rsid w:val="2967011C"/>
    <w:rsid w:val="29752839"/>
    <w:rsid w:val="29763EBB"/>
    <w:rsid w:val="297C1366"/>
    <w:rsid w:val="297D349C"/>
    <w:rsid w:val="2981444A"/>
    <w:rsid w:val="298567F4"/>
    <w:rsid w:val="29874881"/>
    <w:rsid w:val="298E56A9"/>
    <w:rsid w:val="29925BC5"/>
    <w:rsid w:val="29974020"/>
    <w:rsid w:val="299C7006"/>
    <w:rsid w:val="29A30A29"/>
    <w:rsid w:val="29A50C45"/>
    <w:rsid w:val="29B6075C"/>
    <w:rsid w:val="29C94933"/>
    <w:rsid w:val="29E325E0"/>
    <w:rsid w:val="2A097DB4"/>
    <w:rsid w:val="2A1022DB"/>
    <w:rsid w:val="2A110088"/>
    <w:rsid w:val="2A16744D"/>
    <w:rsid w:val="2A2E768C"/>
    <w:rsid w:val="2A2F26C1"/>
    <w:rsid w:val="2A3224D8"/>
    <w:rsid w:val="2A383867"/>
    <w:rsid w:val="2A452503"/>
    <w:rsid w:val="2A502F07"/>
    <w:rsid w:val="2A701253"/>
    <w:rsid w:val="2A7725E1"/>
    <w:rsid w:val="2A84085A"/>
    <w:rsid w:val="2A862824"/>
    <w:rsid w:val="2A97058D"/>
    <w:rsid w:val="2A992557"/>
    <w:rsid w:val="2AA2158F"/>
    <w:rsid w:val="2AAF1D7B"/>
    <w:rsid w:val="2AC33076"/>
    <w:rsid w:val="2AC82E3D"/>
    <w:rsid w:val="2AD72F5E"/>
    <w:rsid w:val="2AD76BDC"/>
    <w:rsid w:val="2AD96DF8"/>
    <w:rsid w:val="2ADC0696"/>
    <w:rsid w:val="2AE55339"/>
    <w:rsid w:val="2AEC6B2B"/>
    <w:rsid w:val="2AF53506"/>
    <w:rsid w:val="2AF552B4"/>
    <w:rsid w:val="2AFC6642"/>
    <w:rsid w:val="2B142C50"/>
    <w:rsid w:val="2B147E30"/>
    <w:rsid w:val="2B1B1BFA"/>
    <w:rsid w:val="2B261911"/>
    <w:rsid w:val="2B597F39"/>
    <w:rsid w:val="2B7B1C5D"/>
    <w:rsid w:val="2B844FB6"/>
    <w:rsid w:val="2BA936A8"/>
    <w:rsid w:val="2BB1742D"/>
    <w:rsid w:val="2BB60EE7"/>
    <w:rsid w:val="2BC25ADE"/>
    <w:rsid w:val="2BCE4483"/>
    <w:rsid w:val="2BD202AE"/>
    <w:rsid w:val="2BD575BF"/>
    <w:rsid w:val="2BD91C86"/>
    <w:rsid w:val="2BE574E7"/>
    <w:rsid w:val="2BEA0B91"/>
    <w:rsid w:val="2BEB7E79"/>
    <w:rsid w:val="2C0040C9"/>
    <w:rsid w:val="2C097269"/>
    <w:rsid w:val="2C122CAC"/>
    <w:rsid w:val="2C271DE5"/>
    <w:rsid w:val="2C2755A2"/>
    <w:rsid w:val="2C2A71DF"/>
    <w:rsid w:val="2C315A5A"/>
    <w:rsid w:val="2C35005E"/>
    <w:rsid w:val="2C351E0C"/>
    <w:rsid w:val="2C404F0E"/>
    <w:rsid w:val="2C4B1C25"/>
    <w:rsid w:val="2C5746BD"/>
    <w:rsid w:val="2C6C77F8"/>
    <w:rsid w:val="2C7B2FE8"/>
    <w:rsid w:val="2C9E20A7"/>
    <w:rsid w:val="2C9F1524"/>
    <w:rsid w:val="2CB46A7B"/>
    <w:rsid w:val="2CC6515A"/>
    <w:rsid w:val="2CCD473A"/>
    <w:rsid w:val="2CE81574"/>
    <w:rsid w:val="2CEB4BC0"/>
    <w:rsid w:val="2CF13815"/>
    <w:rsid w:val="2D145EC5"/>
    <w:rsid w:val="2D340315"/>
    <w:rsid w:val="2D4242CE"/>
    <w:rsid w:val="2D452523"/>
    <w:rsid w:val="2D4B38B1"/>
    <w:rsid w:val="2D645AF8"/>
    <w:rsid w:val="2D6A1F89"/>
    <w:rsid w:val="2D9631E2"/>
    <w:rsid w:val="2D9805C6"/>
    <w:rsid w:val="2D9E56F5"/>
    <w:rsid w:val="2D9E60D7"/>
    <w:rsid w:val="2DA07759"/>
    <w:rsid w:val="2DB4377E"/>
    <w:rsid w:val="2DB9081B"/>
    <w:rsid w:val="2DC25921"/>
    <w:rsid w:val="2DC53663"/>
    <w:rsid w:val="2DC93154"/>
    <w:rsid w:val="2DCC054E"/>
    <w:rsid w:val="2DD65871"/>
    <w:rsid w:val="2DE841CC"/>
    <w:rsid w:val="2DF733AA"/>
    <w:rsid w:val="2DFB0E33"/>
    <w:rsid w:val="2E073C7C"/>
    <w:rsid w:val="2E1D524D"/>
    <w:rsid w:val="2E247EF4"/>
    <w:rsid w:val="2E254102"/>
    <w:rsid w:val="2E37064E"/>
    <w:rsid w:val="2E5179AA"/>
    <w:rsid w:val="2E5E35C3"/>
    <w:rsid w:val="2E667F96"/>
    <w:rsid w:val="2E8226AB"/>
    <w:rsid w:val="2E9758C4"/>
    <w:rsid w:val="2EC658E5"/>
    <w:rsid w:val="2ED26038"/>
    <w:rsid w:val="2F012479"/>
    <w:rsid w:val="2F0F2DE8"/>
    <w:rsid w:val="2F124686"/>
    <w:rsid w:val="2F1513B0"/>
    <w:rsid w:val="2F230642"/>
    <w:rsid w:val="2F37233F"/>
    <w:rsid w:val="2F3E547B"/>
    <w:rsid w:val="2F42012A"/>
    <w:rsid w:val="2F432A92"/>
    <w:rsid w:val="2F4603E2"/>
    <w:rsid w:val="2F4D56BE"/>
    <w:rsid w:val="2F533E1E"/>
    <w:rsid w:val="2F566C69"/>
    <w:rsid w:val="2F5B427F"/>
    <w:rsid w:val="2F5F53F2"/>
    <w:rsid w:val="2F6548BF"/>
    <w:rsid w:val="2F73471F"/>
    <w:rsid w:val="2F7A2FCE"/>
    <w:rsid w:val="2F854E58"/>
    <w:rsid w:val="2FAD0853"/>
    <w:rsid w:val="2FC00586"/>
    <w:rsid w:val="2FC31E25"/>
    <w:rsid w:val="2FC71915"/>
    <w:rsid w:val="2FC836FA"/>
    <w:rsid w:val="2FD065E6"/>
    <w:rsid w:val="2FD96870"/>
    <w:rsid w:val="2FED01CE"/>
    <w:rsid w:val="2FF975F4"/>
    <w:rsid w:val="300264A9"/>
    <w:rsid w:val="3005243D"/>
    <w:rsid w:val="300541EB"/>
    <w:rsid w:val="300C557A"/>
    <w:rsid w:val="301F70F9"/>
    <w:rsid w:val="3042134B"/>
    <w:rsid w:val="304C4CA7"/>
    <w:rsid w:val="304F2E16"/>
    <w:rsid w:val="305453FB"/>
    <w:rsid w:val="30580BC9"/>
    <w:rsid w:val="305E1364"/>
    <w:rsid w:val="306E3B3E"/>
    <w:rsid w:val="3083092C"/>
    <w:rsid w:val="30841F53"/>
    <w:rsid w:val="30C145B6"/>
    <w:rsid w:val="30C3032E"/>
    <w:rsid w:val="30CC4D09"/>
    <w:rsid w:val="30CC6AB7"/>
    <w:rsid w:val="311B7F4D"/>
    <w:rsid w:val="311E2ED7"/>
    <w:rsid w:val="313E5C07"/>
    <w:rsid w:val="31490245"/>
    <w:rsid w:val="315619EE"/>
    <w:rsid w:val="315C449C"/>
    <w:rsid w:val="3161677C"/>
    <w:rsid w:val="31794E91"/>
    <w:rsid w:val="318533A3"/>
    <w:rsid w:val="318C6454"/>
    <w:rsid w:val="31A273ED"/>
    <w:rsid w:val="31B82709"/>
    <w:rsid w:val="31B82E65"/>
    <w:rsid w:val="31C559E0"/>
    <w:rsid w:val="31D05482"/>
    <w:rsid w:val="31E40DB8"/>
    <w:rsid w:val="31EF6F01"/>
    <w:rsid w:val="31F2079F"/>
    <w:rsid w:val="31F449CC"/>
    <w:rsid w:val="32047826"/>
    <w:rsid w:val="320F30FF"/>
    <w:rsid w:val="320F4EAD"/>
    <w:rsid w:val="321A6E8F"/>
    <w:rsid w:val="322070BA"/>
    <w:rsid w:val="32335040"/>
    <w:rsid w:val="32400B34"/>
    <w:rsid w:val="32495726"/>
    <w:rsid w:val="325E7BE3"/>
    <w:rsid w:val="326276D3"/>
    <w:rsid w:val="3265202B"/>
    <w:rsid w:val="32675C30"/>
    <w:rsid w:val="326B538F"/>
    <w:rsid w:val="328E2276"/>
    <w:rsid w:val="329B4993"/>
    <w:rsid w:val="329E6876"/>
    <w:rsid w:val="32B07CAF"/>
    <w:rsid w:val="32B31CDC"/>
    <w:rsid w:val="32C739DA"/>
    <w:rsid w:val="32D560F7"/>
    <w:rsid w:val="32FB79C5"/>
    <w:rsid w:val="32FF1264"/>
    <w:rsid w:val="3312386F"/>
    <w:rsid w:val="331A1D5C"/>
    <w:rsid w:val="331D35FA"/>
    <w:rsid w:val="332112B5"/>
    <w:rsid w:val="33266952"/>
    <w:rsid w:val="332C6A1F"/>
    <w:rsid w:val="333015F2"/>
    <w:rsid w:val="33305A23"/>
    <w:rsid w:val="33323549"/>
    <w:rsid w:val="33356B95"/>
    <w:rsid w:val="334B6320"/>
    <w:rsid w:val="334D0383"/>
    <w:rsid w:val="335C4122"/>
    <w:rsid w:val="33781BD8"/>
    <w:rsid w:val="33792F26"/>
    <w:rsid w:val="339A2E9C"/>
    <w:rsid w:val="339A4C4A"/>
    <w:rsid w:val="33A2497B"/>
    <w:rsid w:val="33CC5F8E"/>
    <w:rsid w:val="33D04B10"/>
    <w:rsid w:val="33D934D4"/>
    <w:rsid w:val="33F857B6"/>
    <w:rsid w:val="33FE2F6A"/>
    <w:rsid w:val="3402116D"/>
    <w:rsid w:val="34036C94"/>
    <w:rsid w:val="340E07E5"/>
    <w:rsid w:val="34235BF7"/>
    <w:rsid w:val="34272982"/>
    <w:rsid w:val="344B2F9B"/>
    <w:rsid w:val="34533777"/>
    <w:rsid w:val="345C05FB"/>
    <w:rsid w:val="346239BA"/>
    <w:rsid w:val="346516FC"/>
    <w:rsid w:val="346A1408"/>
    <w:rsid w:val="3471252D"/>
    <w:rsid w:val="348F0527"/>
    <w:rsid w:val="34BB7D1D"/>
    <w:rsid w:val="34C04B85"/>
    <w:rsid w:val="34C75F13"/>
    <w:rsid w:val="34C957E7"/>
    <w:rsid w:val="34CC14D2"/>
    <w:rsid w:val="34D663C5"/>
    <w:rsid w:val="34DD5737"/>
    <w:rsid w:val="34DE029F"/>
    <w:rsid w:val="34DF26A4"/>
    <w:rsid w:val="34EC3BCC"/>
    <w:rsid w:val="35004F81"/>
    <w:rsid w:val="351C625F"/>
    <w:rsid w:val="3529272A"/>
    <w:rsid w:val="352B1234"/>
    <w:rsid w:val="35415CC5"/>
    <w:rsid w:val="354C01C6"/>
    <w:rsid w:val="356946DE"/>
    <w:rsid w:val="357A11D7"/>
    <w:rsid w:val="358C5FA8"/>
    <w:rsid w:val="359758E5"/>
    <w:rsid w:val="359C2EFC"/>
    <w:rsid w:val="35A3428A"/>
    <w:rsid w:val="35C12962"/>
    <w:rsid w:val="35C15DF1"/>
    <w:rsid w:val="35C42453"/>
    <w:rsid w:val="36074A7F"/>
    <w:rsid w:val="361B02C4"/>
    <w:rsid w:val="36252EF1"/>
    <w:rsid w:val="363B0967"/>
    <w:rsid w:val="363C37FD"/>
    <w:rsid w:val="363D6091"/>
    <w:rsid w:val="364C7018"/>
    <w:rsid w:val="365B6913"/>
    <w:rsid w:val="3664544C"/>
    <w:rsid w:val="366652B8"/>
    <w:rsid w:val="366A2FFA"/>
    <w:rsid w:val="36722445"/>
    <w:rsid w:val="367479D5"/>
    <w:rsid w:val="36923549"/>
    <w:rsid w:val="369E16CD"/>
    <w:rsid w:val="36A04C6E"/>
    <w:rsid w:val="36B75FBF"/>
    <w:rsid w:val="36BD0C45"/>
    <w:rsid w:val="36BE1E78"/>
    <w:rsid w:val="36C83E63"/>
    <w:rsid w:val="36C941C4"/>
    <w:rsid w:val="36CE5337"/>
    <w:rsid w:val="36D6690A"/>
    <w:rsid w:val="36EE59D9"/>
    <w:rsid w:val="36FD3E6E"/>
    <w:rsid w:val="37020ED6"/>
    <w:rsid w:val="37080563"/>
    <w:rsid w:val="370E607B"/>
    <w:rsid w:val="371D6DB8"/>
    <w:rsid w:val="372501DF"/>
    <w:rsid w:val="37256F21"/>
    <w:rsid w:val="37265173"/>
    <w:rsid w:val="372E5DD5"/>
    <w:rsid w:val="373145C2"/>
    <w:rsid w:val="373B04F2"/>
    <w:rsid w:val="374153DF"/>
    <w:rsid w:val="37606725"/>
    <w:rsid w:val="37704640"/>
    <w:rsid w:val="3774310E"/>
    <w:rsid w:val="378114F3"/>
    <w:rsid w:val="379C71E3"/>
    <w:rsid w:val="37A83DDA"/>
    <w:rsid w:val="37B26A07"/>
    <w:rsid w:val="37B3452D"/>
    <w:rsid w:val="37D3697D"/>
    <w:rsid w:val="37D6523A"/>
    <w:rsid w:val="37D7646D"/>
    <w:rsid w:val="37E00298"/>
    <w:rsid w:val="37F511F2"/>
    <w:rsid w:val="38082E10"/>
    <w:rsid w:val="38213B8C"/>
    <w:rsid w:val="382C442F"/>
    <w:rsid w:val="382E6848"/>
    <w:rsid w:val="3833171E"/>
    <w:rsid w:val="38395838"/>
    <w:rsid w:val="384D597F"/>
    <w:rsid w:val="38584AC4"/>
    <w:rsid w:val="385C5BD0"/>
    <w:rsid w:val="386E2FB9"/>
    <w:rsid w:val="388C36FB"/>
    <w:rsid w:val="388D52AC"/>
    <w:rsid w:val="38AF6E19"/>
    <w:rsid w:val="38B302F9"/>
    <w:rsid w:val="38BF587F"/>
    <w:rsid w:val="38D64977"/>
    <w:rsid w:val="38E30E42"/>
    <w:rsid w:val="38F12CD3"/>
    <w:rsid w:val="38F92413"/>
    <w:rsid w:val="38F94775"/>
    <w:rsid w:val="38FB618B"/>
    <w:rsid w:val="390F7E89"/>
    <w:rsid w:val="391A2AB5"/>
    <w:rsid w:val="391B682D"/>
    <w:rsid w:val="392971ED"/>
    <w:rsid w:val="3930052B"/>
    <w:rsid w:val="39317DFF"/>
    <w:rsid w:val="39325651"/>
    <w:rsid w:val="393403C1"/>
    <w:rsid w:val="39351239"/>
    <w:rsid w:val="393B2A2C"/>
    <w:rsid w:val="394C53AA"/>
    <w:rsid w:val="39535FC7"/>
    <w:rsid w:val="3958538C"/>
    <w:rsid w:val="39587665"/>
    <w:rsid w:val="39697599"/>
    <w:rsid w:val="39875C71"/>
    <w:rsid w:val="398C14D9"/>
    <w:rsid w:val="39987E7E"/>
    <w:rsid w:val="39AE31FE"/>
    <w:rsid w:val="39C72511"/>
    <w:rsid w:val="39CE5CE6"/>
    <w:rsid w:val="39F77379"/>
    <w:rsid w:val="39F94DC1"/>
    <w:rsid w:val="39FC665F"/>
    <w:rsid w:val="3A033D18"/>
    <w:rsid w:val="3A06128C"/>
    <w:rsid w:val="3A064DE8"/>
    <w:rsid w:val="3A2160C5"/>
    <w:rsid w:val="3A22275E"/>
    <w:rsid w:val="3A253DB7"/>
    <w:rsid w:val="3A377880"/>
    <w:rsid w:val="3A3B13B5"/>
    <w:rsid w:val="3A3F02FA"/>
    <w:rsid w:val="3A461688"/>
    <w:rsid w:val="3A573895"/>
    <w:rsid w:val="3A60099C"/>
    <w:rsid w:val="3A687850"/>
    <w:rsid w:val="3A6F6E31"/>
    <w:rsid w:val="3A7B57D6"/>
    <w:rsid w:val="3A804B9A"/>
    <w:rsid w:val="3A826858"/>
    <w:rsid w:val="3A8323C1"/>
    <w:rsid w:val="3A8721A8"/>
    <w:rsid w:val="3A872856"/>
    <w:rsid w:val="3AAC3BE1"/>
    <w:rsid w:val="3AB42A96"/>
    <w:rsid w:val="3AB46F3A"/>
    <w:rsid w:val="3ACD3B57"/>
    <w:rsid w:val="3AD33C13"/>
    <w:rsid w:val="3AE710BD"/>
    <w:rsid w:val="3AED7D56"/>
    <w:rsid w:val="3B162F5E"/>
    <w:rsid w:val="3B220660"/>
    <w:rsid w:val="3B240BA5"/>
    <w:rsid w:val="3B2D45F6"/>
    <w:rsid w:val="3B3763D1"/>
    <w:rsid w:val="3B4047C9"/>
    <w:rsid w:val="3B443E1A"/>
    <w:rsid w:val="3B702E61"/>
    <w:rsid w:val="3B7A783B"/>
    <w:rsid w:val="3B7C19B6"/>
    <w:rsid w:val="3B9A6B59"/>
    <w:rsid w:val="3B9C3C56"/>
    <w:rsid w:val="3B9D7C6B"/>
    <w:rsid w:val="3BAC07EA"/>
    <w:rsid w:val="3BC44F5A"/>
    <w:rsid w:val="3BC54A8E"/>
    <w:rsid w:val="3BCB62E9"/>
    <w:rsid w:val="3BDA2F80"/>
    <w:rsid w:val="3BF35840"/>
    <w:rsid w:val="3BFB62BE"/>
    <w:rsid w:val="3BFC0DAC"/>
    <w:rsid w:val="3C006010"/>
    <w:rsid w:val="3C0D06AF"/>
    <w:rsid w:val="3C0F01DA"/>
    <w:rsid w:val="3C12216A"/>
    <w:rsid w:val="3C1E4386"/>
    <w:rsid w:val="3C2E5791"/>
    <w:rsid w:val="3C2F6E1E"/>
    <w:rsid w:val="3C3420E0"/>
    <w:rsid w:val="3C361C2B"/>
    <w:rsid w:val="3C3C2A3F"/>
    <w:rsid w:val="3C423427"/>
    <w:rsid w:val="3C4F64BA"/>
    <w:rsid w:val="3C636521"/>
    <w:rsid w:val="3C725642"/>
    <w:rsid w:val="3C7A2270"/>
    <w:rsid w:val="3C836736"/>
    <w:rsid w:val="3C885F88"/>
    <w:rsid w:val="3C974667"/>
    <w:rsid w:val="3CB44FCF"/>
    <w:rsid w:val="3CD70CBD"/>
    <w:rsid w:val="3CDA245A"/>
    <w:rsid w:val="3CEC2496"/>
    <w:rsid w:val="3CEF6007"/>
    <w:rsid w:val="3CF03B2D"/>
    <w:rsid w:val="3CF4361D"/>
    <w:rsid w:val="3CF90C34"/>
    <w:rsid w:val="3CF96E86"/>
    <w:rsid w:val="3CFB4907"/>
    <w:rsid w:val="3D0329CE"/>
    <w:rsid w:val="3D0575D8"/>
    <w:rsid w:val="3D197528"/>
    <w:rsid w:val="3D1E06B7"/>
    <w:rsid w:val="3D281519"/>
    <w:rsid w:val="3D314871"/>
    <w:rsid w:val="3D3F7862"/>
    <w:rsid w:val="3D475E43"/>
    <w:rsid w:val="3D566D98"/>
    <w:rsid w:val="3D58648B"/>
    <w:rsid w:val="3D7B3D3F"/>
    <w:rsid w:val="3D7D3613"/>
    <w:rsid w:val="3D8C5F4C"/>
    <w:rsid w:val="3D9866A0"/>
    <w:rsid w:val="3DA45043"/>
    <w:rsid w:val="3DD82F3F"/>
    <w:rsid w:val="3DE418E4"/>
    <w:rsid w:val="3DE6565C"/>
    <w:rsid w:val="3DE74F30"/>
    <w:rsid w:val="3DEE2762"/>
    <w:rsid w:val="3DEF7C28"/>
    <w:rsid w:val="3E261EFC"/>
    <w:rsid w:val="3E2754C1"/>
    <w:rsid w:val="3E2B306F"/>
    <w:rsid w:val="3E2C6DE7"/>
    <w:rsid w:val="3E2D5039"/>
    <w:rsid w:val="3E2F4372"/>
    <w:rsid w:val="3E317A73"/>
    <w:rsid w:val="3E371A14"/>
    <w:rsid w:val="3E3C7301"/>
    <w:rsid w:val="3E4405D4"/>
    <w:rsid w:val="3E570308"/>
    <w:rsid w:val="3E5B02DC"/>
    <w:rsid w:val="3E6B790F"/>
    <w:rsid w:val="3E88226F"/>
    <w:rsid w:val="3E8B1D5F"/>
    <w:rsid w:val="3E8B434B"/>
    <w:rsid w:val="3E8D5AD7"/>
    <w:rsid w:val="3ECF7E9E"/>
    <w:rsid w:val="3EDA0523"/>
    <w:rsid w:val="3EE078B7"/>
    <w:rsid w:val="3EEA2F2A"/>
    <w:rsid w:val="3EF17FCC"/>
    <w:rsid w:val="3EFB0C93"/>
    <w:rsid w:val="3F177A97"/>
    <w:rsid w:val="3F275BA2"/>
    <w:rsid w:val="3F293BE2"/>
    <w:rsid w:val="3F2F6B8F"/>
    <w:rsid w:val="3F310B59"/>
    <w:rsid w:val="3F312907"/>
    <w:rsid w:val="3F5970DA"/>
    <w:rsid w:val="3F6E5909"/>
    <w:rsid w:val="3F7153F9"/>
    <w:rsid w:val="3F84512C"/>
    <w:rsid w:val="3F892743"/>
    <w:rsid w:val="3F895A13"/>
    <w:rsid w:val="3F9B5438"/>
    <w:rsid w:val="3FA94B93"/>
    <w:rsid w:val="3FD10489"/>
    <w:rsid w:val="40041DC9"/>
    <w:rsid w:val="40121286"/>
    <w:rsid w:val="40204729"/>
    <w:rsid w:val="402B1A4C"/>
    <w:rsid w:val="403C22EF"/>
    <w:rsid w:val="4044666A"/>
    <w:rsid w:val="405745EF"/>
    <w:rsid w:val="405D7F41"/>
    <w:rsid w:val="40644F5E"/>
    <w:rsid w:val="407231D7"/>
    <w:rsid w:val="407A6407"/>
    <w:rsid w:val="408217BD"/>
    <w:rsid w:val="408C63B0"/>
    <w:rsid w:val="409524D6"/>
    <w:rsid w:val="40A35A86"/>
    <w:rsid w:val="40B3559D"/>
    <w:rsid w:val="40E1035D"/>
    <w:rsid w:val="40E63BC5"/>
    <w:rsid w:val="40E83499"/>
    <w:rsid w:val="40F5648E"/>
    <w:rsid w:val="4100653B"/>
    <w:rsid w:val="41024FB4"/>
    <w:rsid w:val="41270465"/>
    <w:rsid w:val="413C4872"/>
    <w:rsid w:val="41401527"/>
    <w:rsid w:val="41456BAB"/>
    <w:rsid w:val="41505924"/>
    <w:rsid w:val="415648A7"/>
    <w:rsid w:val="416C231C"/>
    <w:rsid w:val="4177481D"/>
    <w:rsid w:val="417A49E3"/>
    <w:rsid w:val="41801923"/>
    <w:rsid w:val="418F5E54"/>
    <w:rsid w:val="419D4283"/>
    <w:rsid w:val="41B96BE3"/>
    <w:rsid w:val="41C81AC5"/>
    <w:rsid w:val="41E22C62"/>
    <w:rsid w:val="41E33C60"/>
    <w:rsid w:val="41E36D2A"/>
    <w:rsid w:val="41F26F65"/>
    <w:rsid w:val="41FB36C5"/>
    <w:rsid w:val="41FF0DDE"/>
    <w:rsid w:val="4200449D"/>
    <w:rsid w:val="42076D18"/>
    <w:rsid w:val="42091DE0"/>
    <w:rsid w:val="42277FF1"/>
    <w:rsid w:val="423170C2"/>
    <w:rsid w:val="423A3BCC"/>
    <w:rsid w:val="423D7815"/>
    <w:rsid w:val="42472441"/>
    <w:rsid w:val="424E57D2"/>
    <w:rsid w:val="425126CC"/>
    <w:rsid w:val="4291098B"/>
    <w:rsid w:val="429F5DD9"/>
    <w:rsid w:val="42B26C49"/>
    <w:rsid w:val="42B932C1"/>
    <w:rsid w:val="42EB7271"/>
    <w:rsid w:val="42FF2D1C"/>
    <w:rsid w:val="431247FD"/>
    <w:rsid w:val="43281BA1"/>
    <w:rsid w:val="4339622E"/>
    <w:rsid w:val="43397FDC"/>
    <w:rsid w:val="433A6FE6"/>
    <w:rsid w:val="43480868"/>
    <w:rsid w:val="434A67A6"/>
    <w:rsid w:val="4350713C"/>
    <w:rsid w:val="436653E0"/>
    <w:rsid w:val="437B05F4"/>
    <w:rsid w:val="43913F0E"/>
    <w:rsid w:val="439B2A45"/>
    <w:rsid w:val="43A318F9"/>
    <w:rsid w:val="43A8301A"/>
    <w:rsid w:val="43AB7A8A"/>
    <w:rsid w:val="43B810E6"/>
    <w:rsid w:val="43B835F7"/>
    <w:rsid w:val="43C4431A"/>
    <w:rsid w:val="43D917BF"/>
    <w:rsid w:val="43DD7321"/>
    <w:rsid w:val="43EA39CC"/>
    <w:rsid w:val="44000AFA"/>
    <w:rsid w:val="44290050"/>
    <w:rsid w:val="44375DEA"/>
    <w:rsid w:val="4469669F"/>
    <w:rsid w:val="447A08AC"/>
    <w:rsid w:val="44842CDF"/>
    <w:rsid w:val="448D1AE4"/>
    <w:rsid w:val="44986F84"/>
    <w:rsid w:val="44A1718A"/>
    <w:rsid w:val="44B951CC"/>
    <w:rsid w:val="44CD14E0"/>
    <w:rsid w:val="44D073D9"/>
    <w:rsid w:val="44E01014"/>
    <w:rsid w:val="44F20B0B"/>
    <w:rsid w:val="44F52628"/>
    <w:rsid w:val="45060392"/>
    <w:rsid w:val="451F1453"/>
    <w:rsid w:val="45252F0E"/>
    <w:rsid w:val="452A0524"/>
    <w:rsid w:val="452E5F4C"/>
    <w:rsid w:val="453E18DA"/>
    <w:rsid w:val="453E7B2C"/>
    <w:rsid w:val="45604523"/>
    <w:rsid w:val="45612018"/>
    <w:rsid w:val="456652D4"/>
    <w:rsid w:val="456B42F8"/>
    <w:rsid w:val="456E38F8"/>
    <w:rsid w:val="4577128F"/>
    <w:rsid w:val="45877724"/>
    <w:rsid w:val="458946E9"/>
    <w:rsid w:val="4589785A"/>
    <w:rsid w:val="458A4B1F"/>
    <w:rsid w:val="45A007E6"/>
    <w:rsid w:val="45A47C0E"/>
    <w:rsid w:val="45A51959"/>
    <w:rsid w:val="45C67B21"/>
    <w:rsid w:val="45D4223E"/>
    <w:rsid w:val="45DC10F2"/>
    <w:rsid w:val="45DD1501"/>
    <w:rsid w:val="45EA7CB3"/>
    <w:rsid w:val="460348D1"/>
    <w:rsid w:val="4639477E"/>
    <w:rsid w:val="46577FD6"/>
    <w:rsid w:val="465B64BB"/>
    <w:rsid w:val="4662784A"/>
    <w:rsid w:val="466C06C8"/>
    <w:rsid w:val="467A2DE5"/>
    <w:rsid w:val="46961E04"/>
    <w:rsid w:val="46A46814"/>
    <w:rsid w:val="46D955A7"/>
    <w:rsid w:val="46F81F5C"/>
    <w:rsid w:val="47081408"/>
    <w:rsid w:val="47133957"/>
    <w:rsid w:val="47152B0E"/>
    <w:rsid w:val="471D19C3"/>
    <w:rsid w:val="47217705"/>
    <w:rsid w:val="474433F3"/>
    <w:rsid w:val="474F4272"/>
    <w:rsid w:val="47700ADD"/>
    <w:rsid w:val="47723ABC"/>
    <w:rsid w:val="477C3E4E"/>
    <w:rsid w:val="47881532"/>
    <w:rsid w:val="478A7058"/>
    <w:rsid w:val="47952C5F"/>
    <w:rsid w:val="47A07E0C"/>
    <w:rsid w:val="47A73CBB"/>
    <w:rsid w:val="47BB4657"/>
    <w:rsid w:val="47C02A7A"/>
    <w:rsid w:val="47CD163B"/>
    <w:rsid w:val="47DB7E51"/>
    <w:rsid w:val="47DD3B10"/>
    <w:rsid w:val="47F609C2"/>
    <w:rsid w:val="480F755D"/>
    <w:rsid w:val="4812529F"/>
    <w:rsid w:val="481806BC"/>
    <w:rsid w:val="481E5DAA"/>
    <w:rsid w:val="48521BEC"/>
    <w:rsid w:val="48561630"/>
    <w:rsid w:val="48643D4D"/>
    <w:rsid w:val="486E7BDD"/>
    <w:rsid w:val="4870272E"/>
    <w:rsid w:val="48710218"/>
    <w:rsid w:val="487F17C6"/>
    <w:rsid w:val="489F4D85"/>
    <w:rsid w:val="48A66E9F"/>
    <w:rsid w:val="48AA5EB9"/>
    <w:rsid w:val="48B325DE"/>
    <w:rsid w:val="48B80DAF"/>
    <w:rsid w:val="48BD345D"/>
    <w:rsid w:val="48C2073F"/>
    <w:rsid w:val="48DF69C7"/>
    <w:rsid w:val="48E05833"/>
    <w:rsid w:val="48F84495"/>
    <w:rsid w:val="48FA1FBB"/>
    <w:rsid w:val="49090450"/>
    <w:rsid w:val="491A24ED"/>
    <w:rsid w:val="491A265E"/>
    <w:rsid w:val="491C63D6"/>
    <w:rsid w:val="49201C6C"/>
    <w:rsid w:val="494B2817"/>
    <w:rsid w:val="49575660"/>
    <w:rsid w:val="49654661"/>
    <w:rsid w:val="496B110B"/>
    <w:rsid w:val="49706721"/>
    <w:rsid w:val="49783167"/>
    <w:rsid w:val="49865F45"/>
    <w:rsid w:val="49867CF3"/>
    <w:rsid w:val="498F3EDD"/>
    <w:rsid w:val="49A05D40"/>
    <w:rsid w:val="49A10689"/>
    <w:rsid w:val="49BC54C3"/>
    <w:rsid w:val="49CA7BE0"/>
    <w:rsid w:val="49CF3448"/>
    <w:rsid w:val="49DC7715"/>
    <w:rsid w:val="49DE7D7D"/>
    <w:rsid w:val="49E5377D"/>
    <w:rsid w:val="49EA2030"/>
    <w:rsid w:val="49F94F0F"/>
    <w:rsid w:val="49FA3644"/>
    <w:rsid w:val="49FC1D63"/>
    <w:rsid w:val="4A023139"/>
    <w:rsid w:val="4A0B01F8"/>
    <w:rsid w:val="4A113BB4"/>
    <w:rsid w:val="4A1830BB"/>
    <w:rsid w:val="4A2B078A"/>
    <w:rsid w:val="4A372D9B"/>
    <w:rsid w:val="4A3E412A"/>
    <w:rsid w:val="4A407C50"/>
    <w:rsid w:val="4A45370A"/>
    <w:rsid w:val="4A4831FA"/>
    <w:rsid w:val="4A5D0B28"/>
    <w:rsid w:val="4A6E0EB3"/>
    <w:rsid w:val="4A7B576F"/>
    <w:rsid w:val="4A8274FF"/>
    <w:rsid w:val="4A9449E8"/>
    <w:rsid w:val="4A985F30"/>
    <w:rsid w:val="4A9E1EBD"/>
    <w:rsid w:val="4AAE7501"/>
    <w:rsid w:val="4AB64608"/>
    <w:rsid w:val="4ABF34BD"/>
    <w:rsid w:val="4AC26B09"/>
    <w:rsid w:val="4AC40AD3"/>
    <w:rsid w:val="4AC43E11"/>
    <w:rsid w:val="4AC5484B"/>
    <w:rsid w:val="4AE83460"/>
    <w:rsid w:val="4AE9678B"/>
    <w:rsid w:val="4AF07B1A"/>
    <w:rsid w:val="4AF561A9"/>
    <w:rsid w:val="4AF97DF3"/>
    <w:rsid w:val="4B0233A9"/>
    <w:rsid w:val="4B0B4954"/>
    <w:rsid w:val="4B103600"/>
    <w:rsid w:val="4B1B7F09"/>
    <w:rsid w:val="4B226A37"/>
    <w:rsid w:val="4B2652EA"/>
    <w:rsid w:val="4B567A48"/>
    <w:rsid w:val="4B58746D"/>
    <w:rsid w:val="4B614574"/>
    <w:rsid w:val="4B741A9B"/>
    <w:rsid w:val="4B7A3887"/>
    <w:rsid w:val="4B8244EA"/>
    <w:rsid w:val="4B8E651F"/>
    <w:rsid w:val="4B985ABC"/>
    <w:rsid w:val="4B9C55AC"/>
    <w:rsid w:val="4BB70638"/>
    <w:rsid w:val="4BDD7E5D"/>
    <w:rsid w:val="4BE125DA"/>
    <w:rsid w:val="4C121D12"/>
    <w:rsid w:val="4C3E48B5"/>
    <w:rsid w:val="4C40062D"/>
    <w:rsid w:val="4C433C79"/>
    <w:rsid w:val="4C4A0649"/>
    <w:rsid w:val="4C673E0C"/>
    <w:rsid w:val="4C6E73CA"/>
    <w:rsid w:val="4C746529"/>
    <w:rsid w:val="4C7E3C6D"/>
    <w:rsid w:val="4C7E5ECA"/>
    <w:rsid w:val="4C876AA5"/>
    <w:rsid w:val="4C89011F"/>
    <w:rsid w:val="4CA74208"/>
    <w:rsid w:val="4CAA019C"/>
    <w:rsid w:val="4CB37051"/>
    <w:rsid w:val="4CC0176E"/>
    <w:rsid w:val="4CC76658"/>
    <w:rsid w:val="4CF907DC"/>
    <w:rsid w:val="4D0E00FB"/>
    <w:rsid w:val="4D176606"/>
    <w:rsid w:val="4D185106"/>
    <w:rsid w:val="4D1B0752"/>
    <w:rsid w:val="4D302450"/>
    <w:rsid w:val="4D3857A8"/>
    <w:rsid w:val="4D3B2BA3"/>
    <w:rsid w:val="4D3F08E5"/>
    <w:rsid w:val="4D423F31"/>
    <w:rsid w:val="4D4C4E9F"/>
    <w:rsid w:val="4D4E28D6"/>
    <w:rsid w:val="4D537EEC"/>
    <w:rsid w:val="4D5A1F9D"/>
    <w:rsid w:val="4D603F5E"/>
    <w:rsid w:val="4D61085B"/>
    <w:rsid w:val="4D6D74EB"/>
    <w:rsid w:val="4D73058E"/>
    <w:rsid w:val="4D782049"/>
    <w:rsid w:val="4D7F33D7"/>
    <w:rsid w:val="4D8F0C98"/>
    <w:rsid w:val="4D913ADD"/>
    <w:rsid w:val="4D9A3D6D"/>
    <w:rsid w:val="4DA44BEC"/>
    <w:rsid w:val="4DBC3FDA"/>
    <w:rsid w:val="4DCE1C69"/>
    <w:rsid w:val="4DCF5728"/>
    <w:rsid w:val="4DEC4FB0"/>
    <w:rsid w:val="4DEF3637"/>
    <w:rsid w:val="4DF80A94"/>
    <w:rsid w:val="4E075D8A"/>
    <w:rsid w:val="4E10402F"/>
    <w:rsid w:val="4E1D411F"/>
    <w:rsid w:val="4E235B10"/>
    <w:rsid w:val="4E2B2F88"/>
    <w:rsid w:val="4E451F2B"/>
    <w:rsid w:val="4E4B32B9"/>
    <w:rsid w:val="4E4C0A9C"/>
    <w:rsid w:val="4E5263F6"/>
    <w:rsid w:val="4E672CB6"/>
    <w:rsid w:val="4E880069"/>
    <w:rsid w:val="4E8C7B5A"/>
    <w:rsid w:val="4E9A3FFB"/>
    <w:rsid w:val="4EA36C51"/>
    <w:rsid w:val="4EAA72E7"/>
    <w:rsid w:val="4EB4559B"/>
    <w:rsid w:val="4EBB6D1F"/>
    <w:rsid w:val="4EC00FAD"/>
    <w:rsid w:val="4EC07803"/>
    <w:rsid w:val="4EC13E8C"/>
    <w:rsid w:val="4EDB463D"/>
    <w:rsid w:val="4EDB63EB"/>
    <w:rsid w:val="4EE94FAC"/>
    <w:rsid w:val="4EEC52B5"/>
    <w:rsid w:val="4EF37BD9"/>
    <w:rsid w:val="4EFB4CDF"/>
    <w:rsid w:val="4EFD45B3"/>
    <w:rsid w:val="4EFD5634"/>
    <w:rsid w:val="4EFE681A"/>
    <w:rsid w:val="4F147B4F"/>
    <w:rsid w:val="4F19773A"/>
    <w:rsid w:val="4F207F87"/>
    <w:rsid w:val="4F2558B8"/>
    <w:rsid w:val="4F2B4DD5"/>
    <w:rsid w:val="4F3D70A6"/>
    <w:rsid w:val="4F495A4B"/>
    <w:rsid w:val="4F4B17C3"/>
    <w:rsid w:val="4F4D7FF7"/>
    <w:rsid w:val="4F526DA9"/>
    <w:rsid w:val="4F581277"/>
    <w:rsid w:val="4F6603AB"/>
    <w:rsid w:val="4F8C25F6"/>
    <w:rsid w:val="4F9843DC"/>
    <w:rsid w:val="4F9A0054"/>
    <w:rsid w:val="4FA47125"/>
    <w:rsid w:val="4FBA06F6"/>
    <w:rsid w:val="4FC51622"/>
    <w:rsid w:val="4FC62A8C"/>
    <w:rsid w:val="4FDC241B"/>
    <w:rsid w:val="4FE20F0D"/>
    <w:rsid w:val="4FE51552"/>
    <w:rsid w:val="4FE65048"/>
    <w:rsid w:val="4FE6773D"/>
    <w:rsid w:val="50025D1B"/>
    <w:rsid w:val="50047BC4"/>
    <w:rsid w:val="500C17FB"/>
    <w:rsid w:val="500D6A78"/>
    <w:rsid w:val="500E27F0"/>
    <w:rsid w:val="50366961"/>
    <w:rsid w:val="50504C4B"/>
    <w:rsid w:val="505521CD"/>
    <w:rsid w:val="505969CF"/>
    <w:rsid w:val="50597F0F"/>
    <w:rsid w:val="506D39BB"/>
    <w:rsid w:val="507E1B4F"/>
    <w:rsid w:val="50874A7C"/>
    <w:rsid w:val="508D1967"/>
    <w:rsid w:val="508D3EE8"/>
    <w:rsid w:val="508D7BB9"/>
    <w:rsid w:val="509C6E7C"/>
    <w:rsid w:val="50B45146"/>
    <w:rsid w:val="50EE455E"/>
    <w:rsid w:val="50F85E93"/>
    <w:rsid w:val="51051E45"/>
    <w:rsid w:val="51133638"/>
    <w:rsid w:val="5116195C"/>
    <w:rsid w:val="511856D5"/>
    <w:rsid w:val="513E0EB3"/>
    <w:rsid w:val="5144296E"/>
    <w:rsid w:val="51556929"/>
    <w:rsid w:val="515E55B0"/>
    <w:rsid w:val="51621046"/>
    <w:rsid w:val="5162104E"/>
    <w:rsid w:val="51752B27"/>
    <w:rsid w:val="517F7502"/>
    <w:rsid w:val="518E1E3B"/>
    <w:rsid w:val="519531C9"/>
    <w:rsid w:val="51A927D1"/>
    <w:rsid w:val="51B82A14"/>
    <w:rsid w:val="51C27A56"/>
    <w:rsid w:val="51CF1732"/>
    <w:rsid w:val="51D84E64"/>
    <w:rsid w:val="51F223CA"/>
    <w:rsid w:val="51F24576"/>
    <w:rsid w:val="52285DEB"/>
    <w:rsid w:val="523B7B7B"/>
    <w:rsid w:val="52495D62"/>
    <w:rsid w:val="52552958"/>
    <w:rsid w:val="525E180D"/>
    <w:rsid w:val="52687F2F"/>
    <w:rsid w:val="5272350A"/>
    <w:rsid w:val="52880638"/>
    <w:rsid w:val="528A0854"/>
    <w:rsid w:val="52A336C4"/>
    <w:rsid w:val="52B45D6C"/>
    <w:rsid w:val="52B94C95"/>
    <w:rsid w:val="52BC07CA"/>
    <w:rsid w:val="52C378C2"/>
    <w:rsid w:val="52C5363A"/>
    <w:rsid w:val="52CB6E86"/>
    <w:rsid w:val="52EC506B"/>
    <w:rsid w:val="52F932E4"/>
    <w:rsid w:val="52FB52AE"/>
    <w:rsid w:val="53000283"/>
    <w:rsid w:val="53061DFB"/>
    <w:rsid w:val="53120B99"/>
    <w:rsid w:val="531445C2"/>
    <w:rsid w:val="53176806"/>
    <w:rsid w:val="531E7FD0"/>
    <w:rsid w:val="53311227"/>
    <w:rsid w:val="53510950"/>
    <w:rsid w:val="535A6E67"/>
    <w:rsid w:val="536A378A"/>
    <w:rsid w:val="536A4352"/>
    <w:rsid w:val="539F032F"/>
    <w:rsid w:val="53A039CC"/>
    <w:rsid w:val="53A05E55"/>
    <w:rsid w:val="53A1505A"/>
    <w:rsid w:val="53A1641D"/>
    <w:rsid w:val="53AA2830"/>
    <w:rsid w:val="53BA6DE3"/>
    <w:rsid w:val="53BF452D"/>
    <w:rsid w:val="53CE29C2"/>
    <w:rsid w:val="53E53868"/>
    <w:rsid w:val="54016D92"/>
    <w:rsid w:val="54063E08"/>
    <w:rsid w:val="540705B0"/>
    <w:rsid w:val="54176117"/>
    <w:rsid w:val="541C54DC"/>
    <w:rsid w:val="54210D44"/>
    <w:rsid w:val="542603BD"/>
    <w:rsid w:val="54297BF9"/>
    <w:rsid w:val="54330A77"/>
    <w:rsid w:val="543437E8"/>
    <w:rsid w:val="544E0067"/>
    <w:rsid w:val="544E765F"/>
    <w:rsid w:val="544F6146"/>
    <w:rsid w:val="545A57AA"/>
    <w:rsid w:val="54631EE1"/>
    <w:rsid w:val="547923A7"/>
    <w:rsid w:val="549A28A4"/>
    <w:rsid w:val="54A159E1"/>
    <w:rsid w:val="54B13B3B"/>
    <w:rsid w:val="54B5148C"/>
    <w:rsid w:val="54B95421"/>
    <w:rsid w:val="54BB2F47"/>
    <w:rsid w:val="54C94F38"/>
    <w:rsid w:val="54D65AC9"/>
    <w:rsid w:val="54E665A7"/>
    <w:rsid w:val="54ED0C26"/>
    <w:rsid w:val="54F73313"/>
    <w:rsid w:val="54F80955"/>
    <w:rsid w:val="54F84F90"/>
    <w:rsid w:val="5505219C"/>
    <w:rsid w:val="55173EF5"/>
    <w:rsid w:val="55195EBF"/>
    <w:rsid w:val="55222FC6"/>
    <w:rsid w:val="5527238A"/>
    <w:rsid w:val="5531145B"/>
    <w:rsid w:val="553900FD"/>
    <w:rsid w:val="555170A7"/>
    <w:rsid w:val="555B2034"/>
    <w:rsid w:val="55684751"/>
    <w:rsid w:val="556F3D31"/>
    <w:rsid w:val="5587536D"/>
    <w:rsid w:val="55935C72"/>
    <w:rsid w:val="559B174B"/>
    <w:rsid w:val="559D264C"/>
    <w:rsid w:val="55AF2D18"/>
    <w:rsid w:val="55B31E70"/>
    <w:rsid w:val="55BD2CEE"/>
    <w:rsid w:val="55C01FBB"/>
    <w:rsid w:val="55CE0CF4"/>
    <w:rsid w:val="55E335DF"/>
    <w:rsid w:val="55EF09CE"/>
    <w:rsid w:val="55F75258"/>
    <w:rsid w:val="56075D18"/>
    <w:rsid w:val="56206DD9"/>
    <w:rsid w:val="562E7748"/>
    <w:rsid w:val="56313224"/>
    <w:rsid w:val="56335624"/>
    <w:rsid w:val="563A60ED"/>
    <w:rsid w:val="56450EDB"/>
    <w:rsid w:val="56576C9F"/>
    <w:rsid w:val="566400FC"/>
    <w:rsid w:val="566969D2"/>
    <w:rsid w:val="566B62A7"/>
    <w:rsid w:val="566D0271"/>
    <w:rsid w:val="56752E66"/>
    <w:rsid w:val="567F2DAC"/>
    <w:rsid w:val="56835CE6"/>
    <w:rsid w:val="56921A85"/>
    <w:rsid w:val="56927CD7"/>
    <w:rsid w:val="56982E14"/>
    <w:rsid w:val="56A814DF"/>
    <w:rsid w:val="56B22A9C"/>
    <w:rsid w:val="56C02A96"/>
    <w:rsid w:val="56E147BB"/>
    <w:rsid w:val="56FA12EE"/>
    <w:rsid w:val="56FB1D20"/>
    <w:rsid w:val="570B7A8A"/>
    <w:rsid w:val="571701DC"/>
    <w:rsid w:val="572F3778"/>
    <w:rsid w:val="574865E8"/>
    <w:rsid w:val="574D0EB6"/>
    <w:rsid w:val="575B456D"/>
    <w:rsid w:val="57715B3F"/>
    <w:rsid w:val="577218B7"/>
    <w:rsid w:val="57945CD1"/>
    <w:rsid w:val="57A001D2"/>
    <w:rsid w:val="57B72A76"/>
    <w:rsid w:val="57BD6FD6"/>
    <w:rsid w:val="57C3426C"/>
    <w:rsid w:val="57CE1F93"/>
    <w:rsid w:val="57D75FB4"/>
    <w:rsid w:val="57DE484E"/>
    <w:rsid w:val="57ED42DD"/>
    <w:rsid w:val="57FE314A"/>
    <w:rsid w:val="5813658B"/>
    <w:rsid w:val="58204E76"/>
    <w:rsid w:val="582232DD"/>
    <w:rsid w:val="58287204"/>
    <w:rsid w:val="58395B7F"/>
    <w:rsid w:val="583C439E"/>
    <w:rsid w:val="583C795F"/>
    <w:rsid w:val="583F3E8F"/>
    <w:rsid w:val="58407D85"/>
    <w:rsid w:val="58524715"/>
    <w:rsid w:val="58577BD7"/>
    <w:rsid w:val="585A2A77"/>
    <w:rsid w:val="585D2567"/>
    <w:rsid w:val="586C27AA"/>
    <w:rsid w:val="587358E6"/>
    <w:rsid w:val="588743D1"/>
    <w:rsid w:val="5887701A"/>
    <w:rsid w:val="588B70D4"/>
    <w:rsid w:val="588C69A8"/>
    <w:rsid w:val="58A4109F"/>
    <w:rsid w:val="58AB1524"/>
    <w:rsid w:val="58AB32D2"/>
    <w:rsid w:val="58CC6F53"/>
    <w:rsid w:val="58CD4FF7"/>
    <w:rsid w:val="58EE4BE4"/>
    <w:rsid w:val="58F00CE5"/>
    <w:rsid w:val="59072D53"/>
    <w:rsid w:val="590F1AB3"/>
    <w:rsid w:val="59172F86"/>
    <w:rsid w:val="5918416F"/>
    <w:rsid w:val="591C1ADA"/>
    <w:rsid w:val="59351B2D"/>
    <w:rsid w:val="59486D73"/>
    <w:rsid w:val="595079D6"/>
    <w:rsid w:val="595C4E8E"/>
    <w:rsid w:val="596516D3"/>
    <w:rsid w:val="59657925"/>
    <w:rsid w:val="5967369D"/>
    <w:rsid w:val="59710D24"/>
    <w:rsid w:val="59851D75"/>
    <w:rsid w:val="598B6C60"/>
    <w:rsid w:val="598C4EB2"/>
    <w:rsid w:val="598D4786"/>
    <w:rsid w:val="59A3044D"/>
    <w:rsid w:val="59A70027"/>
    <w:rsid w:val="59AC3154"/>
    <w:rsid w:val="59B91A1F"/>
    <w:rsid w:val="59BB1895"/>
    <w:rsid w:val="59C0439F"/>
    <w:rsid w:val="59C100A3"/>
    <w:rsid w:val="59C63AE7"/>
    <w:rsid w:val="59D32AE1"/>
    <w:rsid w:val="59DB3743"/>
    <w:rsid w:val="59F161C6"/>
    <w:rsid w:val="59F82547"/>
    <w:rsid w:val="5A185705"/>
    <w:rsid w:val="5A2A4A71"/>
    <w:rsid w:val="5A551748"/>
    <w:rsid w:val="5A5D23AA"/>
    <w:rsid w:val="5A6B0F6B"/>
    <w:rsid w:val="5A755946"/>
    <w:rsid w:val="5A9D08D6"/>
    <w:rsid w:val="5AAE0E58"/>
    <w:rsid w:val="5AB1171C"/>
    <w:rsid w:val="5ABE2233"/>
    <w:rsid w:val="5AD07020"/>
    <w:rsid w:val="5ADC4ABF"/>
    <w:rsid w:val="5AEF0B6A"/>
    <w:rsid w:val="5B280C0A"/>
    <w:rsid w:val="5B2D4472"/>
    <w:rsid w:val="5B303F63"/>
    <w:rsid w:val="5B4041A6"/>
    <w:rsid w:val="5B434455"/>
    <w:rsid w:val="5B5378B5"/>
    <w:rsid w:val="5B557525"/>
    <w:rsid w:val="5B57504B"/>
    <w:rsid w:val="5B587539"/>
    <w:rsid w:val="5B5E63DA"/>
    <w:rsid w:val="5B602EE4"/>
    <w:rsid w:val="5B892838"/>
    <w:rsid w:val="5B8F2A37"/>
    <w:rsid w:val="5BAD110F"/>
    <w:rsid w:val="5BB64468"/>
    <w:rsid w:val="5BB749C5"/>
    <w:rsid w:val="5BC56459"/>
    <w:rsid w:val="5BC621D1"/>
    <w:rsid w:val="5BD91F04"/>
    <w:rsid w:val="5BDF5D95"/>
    <w:rsid w:val="5BE2700B"/>
    <w:rsid w:val="5BEE4B07"/>
    <w:rsid w:val="5BFE7528"/>
    <w:rsid w:val="5C004C3C"/>
    <w:rsid w:val="5C033404"/>
    <w:rsid w:val="5C0E2FD3"/>
    <w:rsid w:val="5C0F6CEC"/>
    <w:rsid w:val="5C130ECC"/>
    <w:rsid w:val="5C190553"/>
    <w:rsid w:val="5C2D6561"/>
    <w:rsid w:val="5C2F1BBF"/>
    <w:rsid w:val="5C4A4BB0"/>
    <w:rsid w:val="5C5B500F"/>
    <w:rsid w:val="5C653798"/>
    <w:rsid w:val="5C78171D"/>
    <w:rsid w:val="5C7D0879"/>
    <w:rsid w:val="5C841E70"/>
    <w:rsid w:val="5C877BB2"/>
    <w:rsid w:val="5C8A31FF"/>
    <w:rsid w:val="5CB0535B"/>
    <w:rsid w:val="5CB464A7"/>
    <w:rsid w:val="5CC11316"/>
    <w:rsid w:val="5CDD3C76"/>
    <w:rsid w:val="5CFE60C6"/>
    <w:rsid w:val="5D0559D2"/>
    <w:rsid w:val="5D086F45"/>
    <w:rsid w:val="5D0D455B"/>
    <w:rsid w:val="5D1458EA"/>
    <w:rsid w:val="5D46181B"/>
    <w:rsid w:val="5D4810F0"/>
    <w:rsid w:val="5D4B321B"/>
    <w:rsid w:val="5D705409"/>
    <w:rsid w:val="5D722610"/>
    <w:rsid w:val="5D83037A"/>
    <w:rsid w:val="5D891708"/>
    <w:rsid w:val="5D893676"/>
    <w:rsid w:val="5D9920D5"/>
    <w:rsid w:val="5DAB5B22"/>
    <w:rsid w:val="5DE006C1"/>
    <w:rsid w:val="5DE64900"/>
    <w:rsid w:val="5DF3427A"/>
    <w:rsid w:val="5DF539F8"/>
    <w:rsid w:val="5E023994"/>
    <w:rsid w:val="5E0A5EF3"/>
    <w:rsid w:val="5E0B036F"/>
    <w:rsid w:val="5E0E5956"/>
    <w:rsid w:val="5E1824ED"/>
    <w:rsid w:val="5E2467F1"/>
    <w:rsid w:val="5E2C0A11"/>
    <w:rsid w:val="5E2D4789"/>
    <w:rsid w:val="5E421FE3"/>
    <w:rsid w:val="5E501E1C"/>
    <w:rsid w:val="5E541D16"/>
    <w:rsid w:val="5E716445"/>
    <w:rsid w:val="5E800D5D"/>
    <w:rsid w:val="5E9345EC"/>
    <w:rsid w:val="5E9F11E3"/>
    <w:rsid w:val="5EA70098"/>
    <w:rsid w:val="5EAD5C4E"/>
    <w:rsid w:val="5EC0115A"/>
    <w:rsid w:val="5EC944B2"/>
    <w:rsid w:val="5ECF303B"/>
    <w:rsid w:val="5ED54C05"/>
    <w:rsid w:val="5EE74938"/>
    <w:rsid w:val="5F0059FA"/>
    <w:rsid w:val="5F011E9E"/>
    <w:rsid w:val="5F0439DA"/>
    <w:rsid w:val="5F0D674E"/>
    <w:rsid w:val="5F1020E1"/>
    <w:rsid w:val="5F1119B5"/>
    <w:rsid w:val="5F16266E"/>
    <w:rsid w:val="5F1A2B43"/>
    <w:rsid w:val="5F393B78"/>
    <w:rsid w:val="5F3A0F0C"/>
    <w:rsid w:val="5F3A7D58"/>
    <w:rsid w:val="5F4A22D5"/>
    <w:rsid w:val="5F50072F"/>
    <w:rsid w:val="5F555D46"/>
    <w:rsid w:val="5F595873"/>
    <w:rsid w:val="5F5A335C"/>
    <w:rsid w:val="5F5C0E82"/>
    <w:rsid w:val="5F5D32FE"/>
    <w:rsid w:val="5F5F084E"/>
    <w:rsid w:val="5F7D704B"/>
    <w:rsid w:val="5F8D3732"/>
    <w:rsid w:val="5FA4497F"/>
    <w:rsid w:val="5FAB1E0A"/>
    <w:rsid w:val="5FB32A6C"/>
    <w:rsid w:val="5FB54A36"/>
    <w:rsid w:val="5FB837BB"/>
    <w:rsid w:val="5FBC7B73"/>
    <w:rsid w:val="5FBE1B3D"/>
    <w:rsid w:val="5FC92290"/>
    <w:rsid w:val="5FF10BCD"/>
    <w:rsid w:val="5FF4730D"/>
    <w:rsid w:val="601B08C3"/>
    <w:rsid w:val="60395667"/>
    <w:rsid w:val="60397415"/>
    <w:rsid w:val="603A68FA"/>
    <w:rsid w:val="608F7035"/>
    <w:rsid w:val="609E54CA"/>
    <w:rsid w:val="60A46F85"/>
    <w:rsid w:val="60AC2F06"/>
    <w:rsid w:val="60AC5E39"/>
    <w:rsid w:val="60AD570E"/>
    <w:rsid w:val="60B528A1"/>
    <w:rsid w:val="60B61B60"/>
    <w:rsid w:val="60CC028A"/>
    <w:rsid w:val="60CC405A"/>
    <w:rsid w:val="60CF2809"/>
    <w:rsid w:val="60D82A65"/>
    <w:rsid w:val="60DA5D98"/>
    <w:rsid w:val="60F8107F"/>
    <w:rsid w:val="61291238"/>
    <w:rsid w:val="614E5143"/>
    <w:rsid w:val="61806912"/>
    <w:rsid w:val="61903065"/>
    <w:rsid w:val="61970898"/>
    <w:rsid w:val="619C1A0A"/>
    <w:rsid w:val="61A3723C"/>
    <w:rsid w:val="61A42FB4"/>
    <w:rsid w:val="61BB5DDF"/>
    <w:rsid w:val="61C96577"/>
    <w:rsid w:val="61D72450"/>
    <w:rsid w:val="61DA0784"/>
    <w:rsid w:val="61E215D8"/>
    <w:rsid w:val="61FD78F3"/>
    <w:rsid w:val="6200468F"/>
    <w:rsid w:val="62115844"/>
    <w:rsid w:val="621B3775"/>
    <w:rsid w:val="6220088D"/>
    <w:rsid w:val="62265778"/>
    <w:rsid w:val="62364782"/>
    <w:rsid w:val="624A590A"/>
    <w:rsid w:val="6252656D"/>
    <w:rsid w:val="625E13B5"/>
    <w:rsid w:val="62783DA4"/>
    <w:rsid w:val="627E3175"/>
    <w:rsid w:val="628250A4"/>
    <w:rsid w:val="628D57F7"/>
    <w:rsid w:val="6299063F"/>
    <w:rsid w:val="629E17B2"/>
    <w:rsid w:val="62BB05B6"/>
    <w:rsid w:val="62C61A53"/>
    <w:rsid w:val="62CF4061"/>
    <w:rsid w:val="62D8228A"/>
    <w:rsid w:val="62DA2495"/>
    <w:rsid w:val="62DC5BE1"/>
    <w:rsid w:val="62EB2331"/>
    <w:rsid w:val="62EB25D2"/>
    <w:rsid w:val="62EE098B"/>
    <w:rsid w:val="62F92E8C"/>
    <w:rsid w:val="632443AD"/>
    <w:rsid w:val="634405AB"/>
    <w:rsid w:val="634E4F86"/>
    <w:rsid w:val="63534C92"/>
    <w:rsid w:val="63624ED5"/>
    <w:rsid w:val="637E1813"/>
    <w:rsid w:val="6381058E"/>
    <w:rsid w:val="63936E3D"/>
    <w:rsid w:val="6394356A"/>
    <w:rsid w:val="63972DD1"/>
    <w:rsid w:val="639D5F0D"/>
    <w:rsid w:val="63A11837"/>
    <w:rsid w:val="63A772E9"/>
    <w:rsid w:val="63A948B2"/>
    <w:rsid w:val="63AD3661"/>
    <w:rsid w:val="63B658CE"/>
    <w:rsid w:val="63C61B2C"/>
    <w:rsid w:val="63D40BE9"/>
    <w:rsid w:val="63E41705"/>
    <w:rsid w:val="63E678B4"/>
    <w:rsid w:val="63EF1609"/>
    <w:rsid w:val="63F83144"/>
    <w:rsid w:val="640A036F"/>
    <w:rsid w:val="64102431"/>
    <w:rsid w:val="641C6E32"/>
    <w:rsid w:val="6429154F"/>
    <w:rsid w:val="642D134C"/>
    <w:rsid w:val="643B2CAC"/>
    <w:rsid w:val="643C3F5A"/>
    <w:rsid w:val="643E149E"/>
    <w:rsid w:val="64504E16"/>
    <w:rsid w:val="64542A70"/>
    <w:rsid w:val="64550596"/>
    <w:rsid w:val="64561B5C"/>
    <w:rsid w:val="645A795A"/>
    <w:rsid w:val="646F78AA"/>
    <w:rsid w:val="6478035A"/>
    <w:rsid w:val="647E5D3F"/>
    <w:rsid w:val="64A01811"/>
    <w:rsid w:val="64A5243A"/>
    <w:rsid w:val="64C33752"/>
    <w:rsid w:val="64C625F3"/>
    <w:rsid w:val="64E831B8"/>
    <w:rsid w:val="64EA0B0D"/>
    <w:rsid w:val="64EA6F30"/>
    <w:rsid w:val="64EF2799"/>
    <w:rsid w:val="64F1206D"/>
    <w:rsid w:val="64F531DE"/>
    <w:rsid w:val="64F93501"/>
    <w:rsid w:val="64FB738F"/>
    <w:rsid w:val="65200BA4"/>
    <w:rsid w:val="65206DF6"/>
    <w:rsid w:val="652C54F6"/>
    <w:rsid w:val="652C7549"/>
    <w:rsid w:val="6530528B"/>
    <w:rsid w:val="65373578"/>
    <w:rsid w:val="65393535"/>
    <w:rsid w:val="654900FB"/>
    <w:rsid w:val="655645C6"/>
    <w:rsid w:val="65705687"/>
    <w:rsid w:val="65A13A80"/>
    <w:rsid w:val="65B512EC"/>
    <w:rsid w:val="65C37EAD"/>
    <w:rsid w:val="65C43C25"/>
    <w:rsid w:val="65E41D35"/>
    <w:rsid w:val="65FD5337"/>
    <w:rsid w:val="660758C0"/>
    <w:rsid w:val="66081D64"/>
    <w:rsid w:val="660A5ADC"/>
    <w:rsid w:val="660D3812"/>
    <w:rsid w:val="66124991"/>
    <w:rsid w:val="6615153D"/>
    <w:rsid w:val="662B7800"/>
    <w:rsid w:val="663366B5"/>
    <w:rsid w:val="664B7760"/>
    <w:rsid w:val="665C3E5E"/>
    <w:rsid w:val="66644AC0"/>
    <w:rsid w:val="666E4839"/>
    <w:rsid w:val="667411A7"/>
    <w:rsid w:val="66794A10"/>
    <w:rsid w:val="667C4500"/>
    <w:rsid w:val="667E3DD4"/>
    <w:rsid w:val="668D264C"/>
    <w:rsid w:val="6692787F"/>
    <w:rsid w:val="66AF5D8A"/>
    <w:rsid w:val="66CB4B3F"/>
    <w:rsid w:val="66CF63DE"/>
    <w:rsid w:val="66DE0D17"/>
    <w:rsid w:val="66F622B5"/>
    <w:rsid w:val="66FE4F15"/>
    <w:rsid w:val="67002A3B"/>
    <w:rsid w:val="671F124A"/>
    <w:rsid w:val="672524A2"/>
    <w:rsid w:val="673C7C4B"/>
    <w:rsid w:val="67446DCC"/>
    <w:rsid w:val="674548F2"/>
    <w:rsid w:val="67492634"/>
    <w:rsid w:val="67566AFF"/>
    <w:rsid w:val="677511F0"/>
    <w:rsid w:val="677956E9"/>
    <w:rsid w:val="677A0D05"/>
    <w:rsid w:val="677A33C6"/>
    <w:rsid w:val="67813E44"/>
    <w:rsid w:val="67917B37"/>
    <w:rsid w:val="679715F1"/>
    <w:rsid w:val="67A00003"/>
    <w:rsid w:val="67B83316"/>
    <w:rsid w:val="67C11080"/>
    <w:rsid w:val="67C543FE"/>
    <w:rsid w:val="67EC27B5"/>
    <w:rsid w:val="67F22050"/>
    <w:rsid w:val="68071BA7"/>
    <w:rsid w:val="680D0A96"/>
    <w:rsid w:val="68190258"/>
    <w:rsid w:val="681F6961"/>
    <w:rsid w:val="68336E40"/>
    <w:rsid w:val="683706DE"/>
    <w:rsid w:val="68610A2F"/>
    <w:rsid w:val="686E1C26"/>
    <w:rsid w:val="68805514"/>
    <w:rsid w:val="6884144A"/>
    <w:rsid w:val="688B3837"/>
    <w:rsid w:val="689773CF"/>
    <w:rsid w:val="68BD1CB7"/>
    <w:rsid w:val="68C006D4"/>
    <w:rsid w:val="68C31F72"/>
    <w:rsid w:val="68C33D20"/>
    <w:rsid w:val="68D45F2D"/>
    <w:rsid w:val="68D93544"/>
    <w:rsid w:val="68FB5860"/>
    <w:rsid w:val="69074555"/>
    <w:rsid w:val="690F7A5F"/>
    <w:rsid w:val="691E01A2"/>
    <w:rsid w:val="69236EB5"/>
    <w:rsid w:val="692677D0"/>
    <w:rsid w:val="69316E2F"/>
    <w:rsid w:val="693E3CEF"/>
    <w:rsid w:val="694C01BA"/>
    <w:rsid w:val="694E2071"/>
    <w:rsid w:val="6973399B"/>
    <w:rsid w:val="69766163"/>
    <w:rsid w:val="697A3B33"/>
    <w:rsid w:val="69820BD6"/>
    <w:rsid w:val="69831701"/>
    <w:rsid w:val="698D41C4"/>
    <w:rsid w:val="699F29DF"/>
    <w:rsid w:val="69A566EB"/>
    <w:rsid w:val="69A753F0"/>
    <w:rsid w:val="69B8584F"/>
    <w:rsid w:val="69CE5072"/>
    <w:rsid w:val="69D44760"/>
    <w:rsid w:val="69D87C9F"/>
    <w:rsid w:val="69DF4B8A"/>
    <w:rsid w:val="69FA7C16"/>
    <w:rsid w:val="69FC398E"/>
    <w:rsid w:val="6A1811F2"/>
    <w:rsid w:val="6A222B1B"/>
    <w:rsid w:val="6A2D2598"/>
    <w:rsid w:val="6A3273AF"/>
    <w:rsid w:val="6A415844"/>
    <w:rsid w:val="6A462E5B"/>
    <w:rsid w:val="6A4946F9"/>
    <w:rsid w:val="6A4F0C02"/>
    <w:rsid w:val="6A520EC7"/>
    <w:rsid w:val="6A674B7F"/>
    <w:rsid w:val="6A7563F7"/>
    <w:rsid w:val="6A7736B9"/>
    <w:rsid w:val="6A9C6F1F"/>
    <w:rsid w:val="6AAB21D8"/>
    <w:rsid w:val="6AAD4726"/>
    <w:rsid w:val="6AB278EE"/>
    <w:rsid w:val="6ABC311D"/>
    <w:rsid w:val="6ACA3A8C"/>
    <w:rsid w:val="6AD16115"/>
    <w:rsid w:val="6ADA35A3"/>
    <w:rsid w:val="6ADF0BB9"/>
    <w:rsid w:val="6AF87E20"/>
    <w:rsid w:val="6AFB6E09"/>
    <w:rsid w:val="6B0853DB"/>
    <w:rsid w:val="6B0A0A91"/>
    <w:rsid w:val="6B0B16A4"/>
    <w:rsid w:val="6B0C558D"/>
    <w:rsid w:val="6B122D3D"/>
    <w:rsid w:val="6B1C0FBC"/>
    <w:rsid w:val="6B20119B"/>
    <w:rsid w:val="6B322639"/>
    <w:rsid w:val="6B365F20"/>
    <w:rsid w:val="6B426526"/>
    <w:rsid w:val="6B4849B1"/>
    <w:rsid w:val="6B517D09"/>
    <w:rsid w:val="6B67752D"/>
    <w:rsid w:val="6B7B2FD8"/>
    <w:rsid w:val="6BA600FD"/>
    <w:rsid w:val="6BAF2C82"/>
    <w:rsid w:val="6BBF2EC5"/>
    <w:rsid w:val="6BC77FCB"/>
    <w:rsid w:val="6BD520F9"/>
    <w:rsid w:val="6BFB5EC7"/>
    <w:rsid w:val="6BFF59B7"/>
    <w:rsid w:val="6C122297"/>
    <w:rsid w:val="6C164AAF"/>
    <w:rsid w:val="6C1721B9"/>
    <w:rsid w:val="6C1B3E73"/>
    <w:rsid w:val="6C1E609A"/>
    <w:rsid w:val="6C21592D"/>
    <w:rsid w:val="6C305B70"/>
    <w:rsid w:val="6C382C77"/>
    <w:rsid w:val="6C4258A4"/>
    <w:rsid w:val="6C59340F"/>
    <w:rsid w:val="6C636C38"/>
    <w:rsid w:val="6C77554D"/>
    <w:rsid w:val="6C97799E"/>
    <w:rsid w:val="6CFA7F2C"/>
    <w:rsid w:val="6D01750D"/>
    <w:rsid w:val="6D0472F1"/>
    <w:rsid w:val="6D0D09E5"/>
    <w:rsid w:val="6D2E310C"/>
    <w:rsid w:val="6D3C0545"/>
    <w:rsid w:val="6D4A7ED7"/>
    <w:rsid w:val="6D5239D8"/>
    <w:rsid w:val="6D524C8F"/>
    <w:rsid w:val="6D5533B5"/>
    <w:rsid w:val="6D6830E8"/>
    <w:rsid w:val="6D692938"/>
    <w:rsid w:val="6D6F4477"/>
    <w:rsid w:val="6D726375"/>
    <w:rsid w:val="6D7777CF"/>
    <w:rsid w:val="6D7E0B5E"/>
    <w:rsid w:val="6D853549"/>
    <w:rsid w:val="6D8B2DDA"/>
    <w:rsid w:val="6DA95E85"/>
    <w:rsid w:val="6DB34098"/>
    <w:rsid w:val="6DB545B6"/>
    <w:rsid w:val="6DC742B3"/>
    <w:rsid w:val="6DE02FB4"/>
    <w:rsid w:val="6E02353D"/>
    <w:rsid w:val="6E1312A6"/>
    <w:rsid w:val="6E2366E8"/>
    <w:rsid w:val="6E245261"/>
    <w:rsid w:val="6E2E7E8E"/>
    <w:rsid w:val="6E35746E"/>
    <w:rsid w:val="6E462757"/>
    <w:rsid w:val="6E511DCE"/>
    <w:rsid w:val="6E514CED"/>
    <w:rsid w:val="6E555E43"/>
    <w:rsid w:val="6E6543DB"/>
    <w:rsid w:val="6E7206C2"/>
    <w:rsid w:val="6E801271"/>
    <w:rsid w:val="6E816E67"/>
    <w:rsid w:val="6E8664D3"/>
    <w:rsid w:val="6E911DF5"/>
    <w:rsid w:val="6E9C129B"/>
    <w:rsid w:val="6EB10AB4"/>
    <w:rsid w:val="6EB1286D"/>
    <w:rsid w:val="6EB12BB4"/>
    <w:rsid w:val="6EB5235D"/>
    <w:rsid w:val="6EB563D5"/>
    <w:rsid w:val="6EBA5BC5"/>
    <w:rsid w:val="6ED6057E"/>
    <w:rsid w:val="6ED92677"/>
    <w:rsid w:val="6F113E05"/>
    <w:rsid w:val="6F141779"/>
    <w:rsid w:val="6F225983"/>
    <w:rsid w:val="6F287EEA"/>
    <w:rsid w:val="6F347726"/>
    <w:rsid w:val="6F387877"/>
    <w:rsid w:val="6F3B56CB"/>
    <w:rsid w:val="6F3B7325"/>
    <w:rsid w:val="6F547DC8"/>
    <w:rsid w:val="6F572DF1"/>
    <w:rsid w:val="6F6049BF"/>
    <w:rsid w:val="6F6D70DC"/>
    <w:rsid w:val="6F6F4C02"/>
    <w:rsid w:val="6F775864"/>
    <w:rsid w:val="6F7915DC"/>
    <w:rsid w:val="6F7F4719"/>
    <w:rsid w:val="6F8C57B4"/>
    <w:rsid w:val="6F8F2BAE"/>
    <w:rsid w:val="6FA128E1"/>
    <w:rsid w:val="6FB40867"/>
    <w:rsid w:val="6FBD2D10"/>
    <w:rsid w:val="6FBE2607"/>
    <w:rsid w:val="6FCF56A0"/>
    <w:rsid w:val="6FD35191"/>
    <w:rsid w:val="6FD607DD"/>
    <w:rsid w:val="6FD9207B"/>
    <w:rsid w:val="6FE26830"/>
    <w:rsid w:val="6FF06983"/>
    <w:rsid w:val="6FFC5590"/>
    <w:rsid w:val="700215D2"/>
    <w:rsid w:val="700C0852"/>
    <w:rsid w:val="701403FF"/>
    <w:rsid w:val="70180B2E"/>
    <w:rsid w:val="70184849"/>
    <w:rsid w:val="70251764"/>
    <w:rsid w:val="7036571F"/>
    <w:rsid w:val="703D62BE"/>
    <w:rsid w:val="704863BD"/>
    <w:rsid w:val="70666005"/>
    <w:rsid w:val="706D1DD0"/>
    <w:rsid w:val="707D50FC"/>
    <w:rsid w:val="70856B87"/>
    <w:rsid w:val="70952446"/>
    <w:rsid w:val="70A02B99"/>
    <w:rsid w:val="70AA0426"/>
    <w:rsid w:val="70CB51B5"/>
    <w:rsid w:val="70D01A23"/>
    <w:rsid w:val="70D527EE"/>
    <w:rsid w:val="70F120D5"/>
    <w:rsid w:val="70F829D5"/>
    <w:rsid w:val="70FC6F48"/>
    <w:rsid w:val="710475CC"/>
    <w:rsid w:val="7113780F"/>
    <w:rsid w:val="7114334A"/>
    <w:rsid w:val="711A294B"/>
    <w:rsid w:val="711F4406"/>
    <w:rsid w:val="71381023"/>
    <w:rsid w:val="71431EA2"/>
    <w:rsid w:val="7148570A"/>
    <w:rsid w:val="714F075C"/>
    <w:rsid w:val="715B5300"/>
    <w:rsid w:val="716E0F7F"/>
    <w:rsid w:val="718D75C1"/>
    <w:rsid w:val="719A3A8C"/>
    <w:rsid w:val="719B7F30"/>
    <w:rsid w:val="71A66989"/>
    <w:rsid w:val="71D27F8A"/>
    <w:rsid w:val="71D40D4C"/>
    <w:rsid w:val="71DC40A5"/>
    <w:rsid w:val="720216C8"/>
    <w:rsid w:val="720A0C12"/>
    <w:rsid w:val="721E646B"/>
    <w:rsid w:val="722A477D"/>
    <w:rsid w:val="72312642"/>
    <w:rsid w:val="724A3704"/>
    <w:rsid w:val="72553024"/>
    <w:rsid w:val="72695938"/>
    <w:rsid w:val="727A7B45"/>
    <w:rsid w:val="72A66B8C"/>
    <w:rsid w:val="72A77130"/>
    <w:rsid w:val="72BF75BE"/>
    <w:rsid w:val="72C2329A"/>
    <w:rsid w:val="72C9287B"/>
    <w:rsid w:val="72E64E33"/>
    <w:rsid w:val="72E70F53"/>
    <w:rsid w:val="730E64E0"/>
    <w:rsid w:val="73122968"/>
    <w:rsid w:val="731F5D5E"/>
    <w:rsid w:val="73474AFA"/>
    <w:rsid w:val="73591E51"/>
    <w:rsid w:val="73665FD1"/>
    <w:rsid w:val="736E6C15"/>
    <w:rsid w:val="737F44AC"/>
    <w:rsid w:val="738069EA"/>
    <w:rsid w:val="739D061E"/>
    <w:rsid w:val="739E7864"/>
    <w:rsid w:val="73BC418E"/>
    <w:rsid w:val="73C51AD5"/>
    <w:rsid w:val="73D2324E"/>
    <w:rsid w:val="73DB2D1F"/>
    <w:rsid w:val="7400407A"/>
    <w:rsid w:val="74031679"/>
    <w:rsid w:val="74085625"/>
    <w:rsid w:val="740A4EF9"/>
    <w:rsid w:val="741E793C"/>
    <w:rsid w:val="742C1313"/>
    <w:rsid w:val="743F72AA"/>
    <w:rsid w:val="7448091B"/>
    <w:rsid w:val="745D0AEF"/>
    <w:rsid w:val="745D1945"/>
    <w:rsid w:val="745E3944"/>
    <w:rsid w:val="74943DE4"/>
    <w:rsid w:val="74A569D0"/>
    <w:rsid w:val="74A94712"/>
    <w:rsid w:val="74A964C0"/>
    <w:rsid w:val="74C74B98"/>
    <w:rsid w:val="74CD7642"/>
    <w:rsid w:val="74D86DA5"/>
    <w:rsid w:val="74DF76ED"/>
    <w:rsid w:val="74FA6D1C"/>
    <w:rsid w:val="75014EDC"/>
    <w:rsid w:val="750F0896"/>
    <w:rsid w:val="75137DDD"/>
    <w:rsid w:val="7521074C"/>
    <w:rsid w:val="75232716"/>
    <w:rsid w:val="75265D63"/>
    <w:rsid w:val="752E2E69"/>
    <w:rsid w:val="75387844"/>
    <w:rsid w:val="75414C6A"/>
    <w:rsid w:val="75475CD9"/>
    <w:rsid w:val="757403D4"/>
    <w:rsid w:val="75761479"/>
    <w:rsid w:val="75812F99"/>
    <w:rsid w:val="7590142E"/>
    <w:rsid w:val="75932CCC"/>
    <w:rsid w:val="75952EE8"/>
    <w:rsid w:val="75B15931"/>
    <w:rsid w:val="75B4336E"/>
    <w:rsid w:val="75C40610"/>
    <w:rsid w:val="75D25EEA"/>
    <w:rsid w:val="75F07ABA"/>
    <w:rsid w:val="76165DD7"/>
    <w:rsid w:val="761A3AB4"/>
    <w:rsid w:val="761D5D57"/>
    <w:rsid w:val="761F20FC"/>
    <w:rsid w:val="76234F69"/>
    <w:rsid w:val="7635099D"/>
    <w:rsid w:val="764D5571"/>
    <w:rsid w:val="764F12E9"/>
    <w:rsid w:val="768F7938"/>
    <w:rsid w:val="769E7B7B"/>
    <w:rsid w:val="769F401E"/>
    <w:rsid w:val="76B4114C"/>
    <w:rsid w:val="76BC0D84"/>
    <w:rsid w:val="76C05D43"/>
    <w:rsid w:val="76E90029"/>
    <w:rsid w:val="76F0487A"/>
    <w:rsid w:val="76FF2D0F"/>
    <w:rsid w:val="771F6F0D"/>
    <w:rsid w:val="772C162A"/>
    <w:rsid w:val="774C5829"/>
    <w:rsid w:val="776E39F1"/>
    <w:rsid w:val="77762421"/>
    <w:rsid w:val="77846D70"/>
    <w:rsid w:val="77874CE6"/>
    <w:rsid w:val="77AC5755"/>
    <w:rsid w:val="77B5517C"/>
    <w:rsid w:val="77B56B1F"/>
    <w:rsid w:val="77BF5FFA"/>
    <w:rsid w:val="77C11D73"/>
    <w:rsid w:val="77C83101"/>
    <w:rsid w:val="77C931C7"/>
    <w:rsid w:val="77F24622"/>
    <w:rsid w:val="77F268A2"/>
    <w:rsid w:val="77FE4D75"/>
    <w:rsid w:val="78014865"/>
    <w:rsid w:val="780F09F4"/>
    <w:rsid w:val="78125FAE"/>
    <w:rsid w:val="78191BAF"/>
    <w:rsid w:val="7820118F"/>
    <w:rsid w:val="78213868"/>
    <w:rsid w:val="782642CC"/>
    <w:rsid w:val="78284301"/>
    <w:rsid w:val="783C5278"/>
    <w:rsid w:val="78437F0B"/>
    <w:rsid w:val="78454752"/>
    <w:rsid w:val="78462278"/>
    <w:rsid w:val="784E569C"/>
    <w:rsid w:val="78564BB1"/>
    <w:rsid w:val="785E75C1"/>
    <w:rsid w:val="78650950"/>
    <w:rsid w:val="78670681"/>
    <w:rsid w:val="78917997"/>
    <w:rsid w:val="78A90480"/>
    <w:rsid w:val="78AF606F"/>
    <w:rsid w:val="78B1727C"/>
    <w:rsid w:val="78BE4504"/>
    <w:rsid w:val="78C11EFC"/>
    <w:rsid w:val="78C733B9"/>
    <w:rsid w:val="78CE665B"/>
    <w:rsid w:val="78D21D5D"/>
    <w:rsid w:val="792A5EF1"/>
    <w:rsid w:val="79404F19"/>
    <w:rsid w:val="798219D5"/>
    <w:rsid w:val="799139C7"/>
    <w:rsid w:val="79AD13B9"/>
    <w:rsid w:val="79B576B5"/>
    <w:rsid w:val="79DD6C0C"/>
    <w:rsid w:val="79F35234"/>
    <w:rsid w:val="79F857F4"/>
    <w:rsid w:val="7A0423EA"/>
    <w:rsid w:val="7A083C89"/>
    <w:rsid w:val="7A0A57D4"/>
    <w:rsid w:val="7A212F9C"/>
    <w:rsid w:val="7A2E40A6"/>
    <w:rsid w:val="7A364017"/>
    <w:rsid w:val="7A545120"/>
    <w:rsid w:val="7A5E7D4D"/>
    <w:rsid w:val="7A715CD2"/>
    <w:rsid w:val="7A8265E1"/>
    <w:rsid w:val="7A88301C"/>
    <w:rsid w:val="7AAD2A82"/>
    <w:rsid w:val="7AB67B89"/>
    <w:rsid w:val="7AC35E02"/>
    <w:rsid w:val="7ACA53E2"/>
    <w:rsid w:val="7ACA7190"/>
    <w:rsid w:val="7ADD76F1"/>
    <w:rsid w:val="7ADE3215"/>
    <w:rsid w:val="7AE75083"/>
    <w:rsid w:val="7AFB1A3F"/>
    <w:rsid w:val="7B0F29AD"/>
    <w:rsid w:val="7B272834"/>
    <w:rsid w:val="7B2965AD"/>
    <w:rsid w:val="7B2F16E9"/>
    <w:rsid w:val="7B3E0D5B"/>
    <w:rsid w:val="7B4927AB"/>
    <w:rsid w:val="7B4F7695"/>
    <w:rsid w:val="7B5D1DB2"/>
    <w:rsid w:val="7B6018A2"/>
    <w:rsid w:val="7B6273C9"/>
    <w:rsid w:val="7B686D42"/>
    <w:rsid w:val="7B841746"/>
    <w:rsid w:val="7B95154C"/>
    <w:rsid w:val="7BA2519A"/>
    <w:rsid w:val="7BB11D97"/>
    <w:rsid w:val="7BB67714"/>
    <w:rsid w:val="7BC41E31"/>
    <w:rsid w:val="7BD219B7"/>
    <w:rsid w:val="7BDA1655"/>
    <w:rsid w:val="7BEC3136"/>
    <w:rsid w:val="7C0B3044"/>
    <w:rsid w:val="7C2611A3"/>
    <w:rsid w:val="7C26489A"/>
    <w:rsid w:val="7C2A204E"/>
    <w:rsid w:val="7C372603"/>
    <w:rsid w:val="7C5C02BC"/>
    <w:rsid w:val="7C6C5AC7"/>
    <w:rsid w:val="7C720017"/>
    <w:rsid w:val="7C725D31"/>
    <w:rsid w:val="7C8B24DE"/>
    <w:rsid w:val="7C8B6690"/>
    <w:rsid w:val="7C914409"/>
    <w:rsid w:val="7CA26617"/>
    <w:rsid w:val="7CA71744"/>
    <w:rsid w:val="7CC14D00"/>
    <w:rsid w:val="7CC6544B"/>
    <w:rsid w:val="7CE00EED"/>
    <w:rsid w:val="7CE04A49"/>
    <w:rsid w:val="7CEA1D6C"/>
    <w:rsid w:val="7CEA3B1A"/>
    <w:rsid w:val="7CF6426C"/>
    <w:rsid w:val="7CFE75C5"/>
    <w:rsid w:val="7D0239FF"/>
    <w:rsid w:val="7D052701"/>
    <w:rsid w:val="7D1B0177"/>
    <w:rsid w:val="7D1C3F08"/>
    <w:rsid w:val="7D2D1C58"/>
    <w:rsid w:val="7D342FE7"/>
    <w:rsid w:val="7D562F5D"/>
    <w:rsid w:val="7D5E40CD"/>
    <w:rsid w:val="7D641B1E"/>
    <w:rsid w:val="7D7A4E9D"/>
    <w:rsid w:val="7D8C3370"/>
    <w:rsid w:val="7D8D630F"/>
    <w:rsid w:val="7D8E2D62"/>
    <w:rsid w:val="7D9C34D3"/>
    <w:rsid w:val="7D9D0B8C"/>
    <w:rsid w:val="7D9D7EFC"/>
    <w:rsid w:val="7DB87774"/>
    <w:rsid w:val="7DCD56F2"/>
    <w:rsid w:val="7DDC7906"/>
    <w:rsid w:val="7DDF73F6"/>
    <w:rsid w:val="7DE8404F"/>
    <w:rsid w:val="7DEB0E0C"/>
    <w:rsid w:val="7DEB5D9B"/>
    <w:rsid w:val="7DFC1D56"/>
    <w:rsid w:val="7E017EB4"/>
    <w:rsid w:val="7E282B4B"/>
    <w:rsid w:val="7E37507B"/>
    <w:rsid w:val="7E3C03A5"/>
    <w:rsid w:val="7E503E50"/>
    <w:rsid w:val="7E517ECE"/>
    <w:rsid w:val="7E5F5E8A"/>
    <w:rsid w:val="7E6873EC"/>
    <w:rsid w:val="7E6B6EDC"/>
    <w:rsid w:val="7E7C0C17"/>
    <w:rsid w:val="7E7E09BD"/>
    <w:rsid w:val="7E8B1BA5"/>
    <w:rsid w:val="7E8B1E8D"/>
    <w:rsid w:val="7E8B4FA0"/>
    <w:rsid w:val="7E905016"/>
    <w:rsid w:val="7EAD1C7E"/>
    <w:rsid w:val="7EB10D93"/>
    <w:rsid w:val="7ED00AED"/>
    <w:rsid w:val="7ED36CC2"/>
    <w:rsid w:val="7EE8052D"/>
    <w:rsid w:val="7F001CE7"/>
    <w:rsid w:val="7F0A0AFC"/>
    <w:rsid w:val="7F295B7B"/>
    <w:rsid w:val="7F323E4B"/>
    <w:rsid w:val="7F3B68AE"/>
    <w:rsid w:val="7F65392B"/>
    <w:rsid w:val="7F6556D9"/>
    <w:rsid w:val="7F7033DA"/>
    <w:rsid w:val="7F74591C"/>
    <w:rsid w:val="7F761695"/>
    <w:rsid w:val="7F7D2A23"/>
    <w:rsid w:val="7F802513"/>
    <w:rsid w:val="7F967826"/>
    <w:rsid w:val="7FA25D23"/>
    <w:rsid w:val="7FC7180E"/>
    <w:rsid w:val="7FDF36DE"/>
    <w:rsid w:val="7FE47E50"/>
    <w:rsid w:val="7FFC4290"/>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9"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nhideWhenUsed="0" w:uiPriority="99"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qFormat="1" w:unhideWhenUsed="0"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3"/>
    <w:basedOn w:val="1"/>
    <w:next w:val="1"/>
    <w:qFormat/>
    <w:locked/>
    <w:uiPriority w:val="0"/>
    <w:pPr>
      <w:keepNext/>
      <w:keepLines/>
      <w:numPr>
        <w:ilvl w:val="2"/>
        <w:numId w:val="1"/>
      </w:numPr>
      <w:spacing w:before="260" w:after="260" w:line="416" w:lineRule="auto"/>
      <w:outlineLvl w:val="2"/>
    </w:pPr>
    <w:rPr>
      <w:b/>
      <w:bCs/>
      <w:sz w:val="32"/>
      <w:szCs w:val="32"/>
    </w:rPr>
  </w:style>
  <w:style w:type="paragraph" w:styleId="7">
    <w:name w:val="heading 4"/>
    <w:basedOn w:val="1"/>
    <w:next w:val="1"/>
    <w:link w:val="44"/>
    <w:qFormat/>
    <w:locked/>
    <w:uiPriority w:val="9"/>
    <w:pPr>
      <w:keepNext/>
      <w:keepLines/>
      <w:spacing w:before="280" w:after="290" w:line="372" w:lineRule="auto"/>
      <w:outlineLvl w:val="3"/>
    </w:pPr>
    <w:rPr>
      <w:rFonts w:ascii="Arial" w:hAnsi="Arial" w:eastAsia="黑体"/>
      <w:b/>
    </w:rPr>
  </w:style>
  <w:style w:type="paragraph" w:styleId="8">
    <w:name w:val="heading 5"/>
    <w:basedOn w:val="1"/>
    <w:next w:val="1"/>
    <w:link w:val="45"/>
    <w:qFormat/>
    <w:locked/>
    <w:uiPriority w:val="0"/>
    <w:pPr>
      <w:keepNext/>
      <w:keepLines/>
      <w:numPr>
        <w:ilvl w:val="4"/>
        <w:numId w:val="1"/>
      </w:numPr>
      <w:spacing w:before="280" w:after="290" w:line="376" w:lineRule="auto"/>
      <w:outlineLvl w:val="4"/>
    </w:pPr>
    <w:rPr>
      <w:b/>
      <w:bCs/>
      <w:sz w:val="28"/>
      <w:szCs w:val="28"/>
    </w:rPr>
  </w:style>
  <w:style w:type="character" w:default="1" w:styleId="33">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rFonts w:ascii="Times New Roman" w:hAnsi="Times New Roman"/>
      <w:color w:val="000000"/>
      <w:szCs w:val="24"/>
    </w:rPr>
  </w:style>
  <w:style w:type="paragraph" w:customStyle="1" w:styleId="3">
    <w:name w:val="纯文本1"/>
    <w:basedOn w:val="1"/>
    <w:qFormat/>
    <w:uiPriority w:val="0"/>
    <w:pPr>
      <w:adjustRightInd w:val="0"/>
    </w:pPr>
    <w:rPr>
      <w:rFonts w:ascii="宋体" w:hAnsi="Courier New"/>
      <w:szCs w:val="20"/>
    </w:rPr>
  </w:style>
  <w:style w:type="paragraph" w:styleId="4">
    <w:name w:val="List 3"/>
    <w:basedOn w:val="1"/>
    <w:next w:val="1"/>
    <w:qFormat/>
    <w:locked/>
    <w:uiPriority w:val="0"/>
    <w:pPr>
      <w:autoSpaceDE w:val="0"/>
      <w:autoSpaceDN w:val="0"/>
      <w:adjustRightInd w:val="0"/>
      <w:spacing w:line="288" w:lineRule="auto"/>
      <w:ind w:left="1260" w:hanging="420"/>
      <w:jc w:val="left"/>
      <w:textAlignment w:val="baseline"/>
    </w:pPr>
    <w:rPr>
      <w:kern w:val="0"/>
      <w:szCs w:val="20"/>
    </w:rPr>
  </w:style>
  <w:style w:type="paragraph" w:styleId="9">
    <w:name w:val="Normal Indent"/>
    <w:basedOn w:val="1"/>
    <w:next w:val="1"/>
    <w:qFormat/>
    <w:locked/>
    <w:uiPriority w:val="99"/>
    <w:pPr>
      <w:ind w:firstLine="420" w:firstLineChars="200"/>
    </w:pPr>
    <w:rPr>
      <w:sz w:val="21"/>
    </w:rPr>
  </w:style>
  <w:style w:type="paragraph" w:styleId="10">
    <w:name w:val="caption"/>
    <w:basedOn w:val="1"/>
    <w:next w:val="1"/>
    <w:qFormat/>
    <w:locked/>
    <w:uiPriority w:val="0"/>
    <w:pPr>
      <w:spacing w:before="120" w:line="360" w:lineRule="auto"/>
      <w:jc w:val="center"/>
    </w:pPr>
    <w:rPr>
      <w:rFonts w:eastAsia="黑体"/>
      <w:szCs w:val="20"/>
    </w:rPr>
  </w:style>
  <w:style w:type="paragraph" w:styleId="11">
    <w:name w:val="annotation text"/>
    <w:basedOn w:val="1"/>
    <w:link w:val="46"/>
    <w:semiHidden/>
    <w:qFormat/>
    <w:uiPriority w:val="0"/>
    <w:pPr>
      <w:jc w:val="left"/>
    </w:pPr>
    <w:rPr>
      <w:kern w:val="0"/>
      <w:szCs w:val="20"/>
    </w:rPr>
  </w:style>
  <w:style w:type="paragraph" w:styleId="12">
    <w:name w:val="Salutation"/>
    <w:basedOn w:val="1"/>
    <w:next w:val="1"/>
    <w:qFormat/>
    <w:locked/>
    <w:uiPriority w:val="0"/>
    <w:rPr>
      <w:sz w:val="28"/>
      <w:szCs w:val="20"/>
    </w:rPr>
  </w:style>
  <w:style w:type="paragraph" w:styleId="13">
    <w:name w:val="Body Text"/>
    <w:basedOn w:val="1"/>
    <w:next w:val="1"/>
    <w:link w:val="47"/>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43"/>
    <w:qFormat/>
    <w:uiPriority w:val="0"/>
    <w:pPr>
      <w:spacing w:after="120"/>
      <w:ind w:left="420" w:leftChars="200"/>
    </w:pPr>
    <w:rPr>
      <w:kern w:val="0"/>
      <w:szCs w:val="20"/>
    </w:rPr>
  </w:style>
  <w:style w:type="paragraph" w:styleId="15">
    <w:name w:val="Body Text Indent 2"/>
    <w:basedOn w:val="1"/>
    <w:next w:val="1"/>
    <w:qFormat/>
    <w:locked/>
    <w:uiPriority w:val="0"/>
    <w:pPr>
      <w:ind w:firstLine="560" w:firstLineChars="200"/>
    </w:pPr>
    <w:rPr>
      <w:rFonts w:ascii="宋体" w:hAnsi="宋体"/>
      <w:sz w:val="28"/>
      <w:szCs w:val="20"/>
    </w:rPr>
  </w:style>
  <w:style w:type="paragraph" w:styleId="16">
    <w:name w:val="Plain Text"/>
    <w:basedOn w:val="1"/>
    <w:next w:val="12"/>
    <w:unhideWhenUsed/>
    <w:qFormat/>
    <w:locked/>
    <w:uiPriority w:val="99"/>
    <w:rPr>
      <w:rFonts w:ascii="宋体" w:hAnsi="Courier New" w:cs="Courier New"/>
      <w:szCs w:val="21"/>
    </w:rPr>
  </w:style>
  <w:style w:type="paragraph" w:styleId="17">
    <w:name w:val="List Bullet 5"/>
    <w:basedOn w:val="1"/>
    <w:qFormat/>
    <w:locked/>
    <w:uiPriority w:val="0"/>
    <w:pPr>
      <w:numPr>
        <w:ilvl w:val="0"/>
        <w:numId w:val="2"/>
      </w:numPr>
    </w:pPr>
  </w:style>
  <w:style w:type="paragraph" w:styleId="18">
    <w:name w:val="Date"/>
    <w:basedOn w:val="1"/>
    <w:next w:val="1"/>
    <w:link w:val="48"/>
    <w:qFormat/>
    <w:uiPriority w:val="0"/>
    <w:pPr>
      <w:ind w:left="100" w:leftChars="2500"/>
    </w:pPr>
    <w:rPr>
      <w:kern w:val="0"/>
      <w:szCs w:val="20"/>
    </w:rPr>
  </w:style>
  <w:style w:type="paragraph" w:styleId="19">
    <w:name w:val="Balloon Text"/>
    <w:basedOn w:val="1"/>
    <w:link w:val="49"/>
    <w:semiHidden/>
    <w:qFormat/>
    <w:uiPriority w:val="0"/>
    <w:rPr>
      <w:kern w:val="0"/>
      <w:sz w:val="18"/>
      <w:szCs w:val="20"/>
    </w:rPr>
  </w:style>
  <w:style w:type="paragraph" w:styleId="20">
    <w:name w:val="footer"/>
    <w:basedOn w:val="1"/>
    <w:link w:val="50"/>
    <w:qFormat/>
    <w:uiPriority w:val="99"/>
    <w:pPr>
      <w:tabs>
        <w:tab w:val="center" w:pos="4153"/>
        <w:tab w:val="right" w:pos="8306"/>
      </w:tabs>
      <w:snapToGrid w:val="0"/>
      <w:jc w:val="left"/>
    </w:pPr>
    <w:rPr>
      <w:kern w:val="0"/>
      <w:sz w:val="18"/>
      <w:szCs w:val="20"/>
    </w:rPr>
  </w:style>
  <w:style w:type="paragraph" w:styleId="21">
    <w:name w:val="header"/>
    <w:basedOn w:val="1"/>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index heading"/>
    <w:basedOn w:val="1"/>
    <w:next w:val="23"/>
    <w:qFormat/>
    <w:locked/>
    <w:uiPriority w:val="0"/>
  </w:style>
  <w:style w:type="paragraph" w:styleId="23">
    <w:name w:val="index 1"/>
    <w:basedOn w:val="1"/>
    <w:next w:val="1"/>
    <w:qFormat/>
    <w:locked/>
    <w:uiPriority w:val="0"/>
    <w:pPr>
      <w:jc w:val="center"/>
    </w:pPr>
    <w:rPr>
      <w:rFonts w:eastAsia="黑体"/>
      <w:color w:val="000000"/>
      <w:sz w:val="21"/>
    </w:rPr>
  </w:style>
  <w:style w:type="paragraph" w:styleId="24">
    <w:name w:val="table of figures"/>
    <w:basedOn w:val="1"/>
    <w:next w:val="1"/>
    <w:semiHidden/>
    <w:qFormat/>
    <w:locked/>
    <w:uiPriority w:val="99"/>
    <w:pPr>
      <w:ind w:left="200" w:leftChars="200" w:hanging="200" w:hangingChars="200"/>
    </w:pPr>
    <w:rPr>
      <w:rFonts w:ascii="Calibri" w:hAnsi="Calibri" w:cs="Calibri"/>
    </w:rPr>
  </w:style>
  <w:style w:type="paragraph" w:styleId="25">
    <w:name w:val="Body Text 2"/>
    <w:basedOn w:val="1"/>
    <w:next w:val="1"/>
    <w:qFormat/>
    <w:locked/>
    <w:uiPriority w:val="0"/>
    <w:rPr>
      <w:sz w:val="28"/>
    </w:rPr>
  </w:style>
  <w:style w:type="paragraph" w:styleId="26">
    <w:name w:val="Normal (Web)"/>
    <w:basedOn w:val="1"/>
    <w:link w:val="52"/>
    <w:qFormat/>
    <w:uiPriority w:val="0"/>
    <w:pPr>
      <w:widowControl/>
      <w:spacing w:before="100" w:beforeAutospacing="1" w:after="100" w:afterAutospacing="1"/>
      <w:jc w:val="left"/>
    </w:pPr>
    <w:rPr>
      <w:rFonts w:ascii="宋体" w:hAnsi="宋体"/>
      <w:kern w:val="0"/>
      <w:szCs w:val="20"/>
    </w:rPr>
  </w:style>
  <w:style w:type="paragraph" w:styleId="27">
    <w:name w:val="annotation subject"/>
    <w:basedOn w:val="11"/>
    <w:next w:val="11"/>
    <w:link w:val="53"/>
    <w:semiHidden/>
    <w:qFormat/>
    <w:uiPriority w:val="0"/>
    <w:rPr>
      <w:b/>
    </w:rPr>
  </w:style>
  <w:style w:type="paragraph" w:styleId="28">
    <w:name w:val="Body Text First Indent"/>
    <w:basedOn w:val="13"/>
    <w:next w:val="1"/>
    <w:qFormat/>
    <w:locked/>
    <w:uiPriority w:val="99"/>
    <w:pPr>
      <w:spacing w:after="120" w:line="240" w:lineRule="auto"/>
      <w:ind w:firstLine="420" w:firstLineChars="100"/>
    </w:pPr>
    <w:rPr>
      <w:sz w:val="21"/>
      <w:szCs w:val="21"/>
    </w:rPr>
  </w:style>
  <w:style w:type="paragraph" w:styleId="29">
    <w:name w:val="Body Text First Indent 2"/>
    <w:basedOn w:val="14"/>
    <w:next w:val="1"/>
    <w:qFormat/>
    <w:locked/>
    <w:uiPriority w:val="0"/>
    <w:pPr>
      <w:ind w:firstLine="42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2">
    <w:name w:val="Table Grid 5"/>
    <w:basedOn w:val="30"/>
    <w:qFormat/>
    <w:locked/>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34">
    <w:name w:val="Strong"/>
    <w:basedOn w:val="33"/>
    <w:qFormat/>
    <w:locked/>
    <w:uiPriority w:val="0"/>
    <w:rPr>
      <w:b/>
    </w:rPr>
  </w:style>
  <w:style w:type="character" w:styleId="35">
    <w:name w:val="page number"/>
    <w:qFormat/>
    <w:locked/>
    <w:uiPriority w:val="0"/>
  </w:style>
  <w:style w:type="character" w:styleId="36">
    <w:name w:val="Emphasis"/>
    <w:basedOn w:val="33"/>
    <w:qFormat/>
    <w:locked/>
    <w:uiPriority w:val="0"/>
    <w:rPr>
      <w:i/>
    </w:rPr>
  </w:style>
  <w:style w:type="character" w:styleId="37">
    <w:name w:val="Hyperlink"/>
    <w:basedOn w:val="33"/>
    <w:qFormat/>
    <w:locked/>
    <w:uiPriority w:val="0"/>
    <w:rPr>
      <w:color w:val="0000FF"/>
      <w:u w:val="single"/>
    </w:rPr>
  </w:style>
  <w:style w:type="character" w:styleId="38">
    <w:name w:val="annotation reference"/>
    <w:basedOn w:val="33"/>
    <w:semiHidden/>
    <w:qFormat/>
    <w:uiPriority w:val="0"/>
    <w:rPr>
      <w:sz w:val="21"/>
    </w:rPr>
  </w:style>
  <w:style w:type="paragraph" w:customStyle="1" w:styleId="39">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0">
    <w:name w:val="A-正文"/>
    <w:basedOn w:val="1"/>
    <w:qFormat/>
    <w:uiPriority w:val="0"/>
    <w:pPr>
      <w:spacing w:line="560" w:lineRule="exact"/>
      <w:ind w:firstLine="560" w:firstLineChars="200"/>
    </w:pPr>
    <w:rPr>
      <w:rFonts w:eastAsia="仿宋_GB2312"/>
      <w:kern w:val="0"/>
    </w:rPr>
  </w:style>
  <w:style w:type="paragraph" w:customStyle="1" w:styleId="41">
    <w:name w:val="1正文段落"/>
    <w:basedOn w:val="1"/>
    <w:qFormat/>
    <w:uiPriority w:val="99"/>
    <w:pPr>
      <w:spacing w:line="360" w:lineRule="auto"/>
      <w:ind w:firstLine="480" w:firstLineChars="200"/>
      <w:jc w:val="left"/>
    </w:pPr>
    <w:rPr>
      <w:kern w:val="0"/>
    </w:rPr>
  </w:style>
  <w:style w:type="paragraph" w:customStyle="1" w:styleId="42">
    <w:name w:val="正文首行缩进 21"/>
    <w:basedOn w:val="14"/>
    <w:next w:val="1"/>
    <w:qFormat/>
    <w:uiPriority w:val="99"/>
    <w:pPr>
      <w:tabs>
        <w:tab w:val="left" w:pos="420"/>
        <w:tab w:val="left" w:pos="870"/>
        <w:tab w:val="left" w:pos="3150"/>
      </w:tabs>
      <w:autoSpaceDE w:val="0"/>
      <w:autoSpaceDN w:val="0"/>
      <w:spacing w:beforeLines="25" w:line="336" w:lineRule="auto"/>
      <w:ind w:firstLine="527"/>
      <w:textAlignment w:val="baseline"/>
    </w:pPr>
    <w:rPr>
      <w:rFonts w:hAnsi="Calibri"/>
    </w:rPr>
  </w:style>
  <w:style w:type="character" w:customStyle="1" w:styleId="43">
    <w:name w:val="正文文本缩进 字符"/>
    <w:link w:val="14"/>
    <w:semiHidden/>
    <w:qFormat/>
    <w:locked/>
    <w:uiPriority w:val="0"/>
    <w:rPr>
      <w:rFonts w:ascii="Times New Roman" w:hAnsi="Times New Roman" w:eastAsia="宋体"/>
      <w:sz w:val="24"/>
    </w:rPr>
  </w:style>
  <w:style w:type="character" w:customStyle="1" w:styleId="44">
    <w:name w:val="标题 4 字符"/>
    <w:link w:val="7"/>
    <w:qFormat/>
    <w:uiPriority w:val="0"/>
    <w:rPr>
      <w:rFonts w:ascii="Calibri Light" w:hAnsi="Calibri Light" w:eastAsia="宋体" w:cs="Times New Roman"/>
      <w:b/>
      <w:bCs/>
      <w:kern w:val="2"/>
      <w:sz w:val="28"/>
      <w:szCs w:val="28"/>
    </w:rPr>
  </w:style>
  <w:style w:type="character" w:customStyle="1" w:styleId="45">
    <w:name w:val="标题 5 字符"/>
    <w:link w:val="8"/>
    <w:qFormat/>
    <w:uiPriority w:val="0"/>
    <w:rPr>
      <w:rFonts w:hint="eastAsia" w:ascii="宋体" w:hAnsi="宋体" w:eastAsia="宋体" w:cs="宋体"/>
      <w:b/>
      <w:bCs/>
      <w:kern w:val="2"/>
      <w:sz w:val="24"/>
      <w:szCs w:val="24"/>
      <w:lang w:val="zh-CN" w:bidi="zh-CN"/>
    </w:rPr>
  </w:style>
  <w:style w:type="character" w:customStyle="1" w:styleId="46">
    <w:name w:val="批注文字 字符"/>
    <w:link w:val="11"/>
    <w:qFormat/>
    <w:locked/>
    <w:uiPriority w:val="0"/>
    <w:rPr>
      <w:rFonts w:ascii="Times New Roman" w:hAnsi="Times New Roman" w:eastAsia="宋体"/>
      <w:sz w:val="24"/>
    </w:rPr>
  </w:style>
  <w:style w:type="character" w:customStyle="1" w:styleId="47">
    <w:name w:val="正文文本 字符2"/>
    <w:link w:val="13"/>
    <w:qFormat/>
    <w:locked/>
    <w:uiPriority w:val="0"/>
    <w:rPr>
      <w:sz w:val="18"/>
    </w:rPr>
  </w:style>
  <w:style w:type="character" w:customStyle="1" w:styleId="48">
    <w:name w:val="日期 字符1"/>
    <w:link w:val="18"/>
    <w:qFormat/>
    <w:locked/>
    <w:uiPriority w:val="0"/>
    <w:rPr>
      <w:rFonts w:ascii="Times New Roman" w:hAnsi="Times New Roman" w:eastAsia="宋体"/>
      <w:sz w:val="24"/>
    </w:rPr>
  </w:style>
  <w:style w:type="character" w:customStyle="1" w:styleId="49">
    <w:name w:val="批注框文本 字符"/>
    <w:link w:val="19"/>
    <w:semiHidden/>
    <w:qFormat/>
    <w:locked/>
    <w:uiPriority w:val="0"/>
    <w:rPr>
      <w:rFonts w:ascii="Times New Roman" w:hAnsi="Times New Roman" w:eastAsia="宋体"/>
      <w:sz w:val="18"/>
    </w:rPr>
  </w:style>
  <w:style w:type="character" w:customStyle="1" w:styleId="50">
    <w:name w:val="页脚 字符1"/>
    <w:link w:val="20"/>
    <w:qFormat/>
    <w:locked/>
    <w:uiPriority w:val="99"/>
    <w:rPr>
      <w:sz w:val="18"/>
    </w:rPr>
  </w:style>
  <w:style w:type="character" w:customStyle="1" w:styleId="51">
    <w:name w:val="页眉 字符"/>
    <w:link w:val="21"/>
    <w:qFormat/>
    <w:locked/>
    <w:uiPriority w:val="0"/>
    <w:rPr>
      <w:sz w:val="18"/>
    </w:rPr>
  </w:style>
  <w:style w:type="character" w:customStyle="1" w:styleId="52">
    <w:name w:val="普通(网站) 字符"/>
    <w:link w:val="26"/>
    <w:qFormat/>
    <w:locked/>
    <w:uiPriority w:val="0"/>
    <w:rPr>
      <w:rFonts w:ascii="宋体" w:hAnsi="宋体" w:eastAsia="宋体"/>
      <w:sz w:val="24"/>
    </w:rPr>
  </w:style>
  <w:style w:type="character" w:customStyle="1" w:styleId="53">
    <w:name w:val="批注主题 字符"/>
    <w:link w:val="27"/>
    <w:semiHidden/>
    <w:qFormat/>
    <w:locked/>
    <w:uiPriority w:val="0"/>
    <w:rPr>
      <w:rFonts w:ascii="Times New Roman" w:hAnsi="Times New Roman" w:eastAsia="宋体"/>
      <w:b/>
      <w:kern w:val="2"/>
      <w:sz w:val="24"/>
    </w:rPr>
  </w:style>
  <w:style w:type="character" w:customStyle="1" w:styleId="54">
    <w:name w:val="正文文本 字符"/>
    <w:qFormat/>
    <w:uiPriority w:val="0"/>
    <w:rPr>
      <w:kern w:val="2"/>
      <w:sz w:val="24"/>
      <w:szCs w:val="24"/>
    </w:rPr>
  </w:style>
  <w:style w:type="character" w:customStyle="1" w:styleId="55">
    <w:name w:val="批注文字 字符1"/>
    <w:semiHidden/>
    <w:qFormat/>
    <w:uiPriority w:val="0"/>
    <w:rPr>
      <w:rFonts w:ascii="Times New Roman" w:hAnsi="Times New Roman" w:eastAsia="宋体"/>
      <w:sz w:val="24"/>
    </w:rPr>
  </w:style>
  <w:style w:type="character" w:customStyle="1" w:styleId="56">
    <w:name w:val="日期 字符"/>
    <w:semiHidden/>
    <w:qFormat/>
    <w:uiPriority w:val="0"/>
    <w:rPr>
      <w:rFonts w:ascii="Times New Roman" w:hAnsi="Times New Roman" w:eastAsia="宋体"/>
      <w:sz w:val="24"/>
    </w:rPr>
  </w:style>
  <w:style w:type="character" w:customStyle="1" w:styleId="57">
    <w:name w:val="表格 Char"/>
    <w:link w:val="58"/>
    <w:qFormat/>
    <w:locked/>
    <w:uiPriority w:val="0"/>
    <w:rPr>
      <w:rFonts w:ascii="宋体"/>
      <w:sz w:val="21"/>
    </w:rPr>
  </w:style>
  <w:style w:type="paragraph" w:customStyle="1" w:styleId="58">
    <w:name w:val="表格"/>
    <w:basedOn w:val="1"/>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9">
    <w:name w:val="页脚 字符"/>
    <w:qFormat/>
    <w:uiPriority w:val="99"/>
  </w:style>
  <w:style w:type="character" w:customStyle="1" w:styleId="60">
    <w:name w:val="正文文本 字符1"/>
    <w:semiHidden/>
    <w:qFormat/>
    <w:uiPriority w:val="0"/>
    <w:rPr>
      <w:rFonts w:ascii="Times New Roman" w:hAnsi="Times New Roman" w:eastAsia="宋体"/>
      <w:sz w:val="24"/>
    </w:rPr>
  </w:style>
  <w:style w:type="paragraph" w:customStyle="1" w:styleId="61">
    <w:name w:val="！正文"/>
    <w:basedOn w:val="1"/>
    <w:qFormat/>
    <w:uiPriority w:val="0"/>
    <w:pPr>
      <w:ind w:firstLine="480"/>
    </w:pPr>
    <w:rPr>
      <w:rFonts w:cs="宋体"/>
      <w:sz w:val="21"/>
      <w:szCs w:val="20"/>
    </w:rPr>
  </w:style>
  <w:style w:type="paragraph" w:customStyle="1" w:styleId="62">
    <w:name w:val="正文首行缩进1"/>
    <w:basedOn w:val="13"/>
    <w:qFormat/>
    <w:uiPriority w:val="0"/>
    <w:pPr>
      <w:spacing w:before="100" w:beforeAutospacing="1"/>
      <w:ind w:firstLine="420" w:firstLineChars="100"/>
    </w:pPr>
    <w:rPr>
      <w:rFonts w:ascii="Calibri" w:hAnsi="Calibri"/>
      <w:szCs w:val="21"/>
    </w:rPr>
  </w:style>
  <w:style w:type="paragraph" w:customStyle="1" w:styleId="63">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64">
    <w:name w:val="A标准格式"/>
    <w:basedOn w:val="1"/>
    <w:qFormat/>
    <w:uiPriority w:val="0"/>
    <w:pPr>
      <w:spacing w:line="440" w:lineRule="exact"/>
      <w:ind w:firstLine="480" w:firstLineChars="200"/>
    </w:pPr>
  </w:style>
  <w:style w:type="paragraph" w:customStyle="1" w:styleId="65">
    <w:name w:val="24磅正文"/>
    <w:basedOn w:val="1"/>
    <w:qFormat/>
    <w:uiPriority w:val="0"/>
    <w:pPr>
      <w:spacing w:line="480" w:lineRule="exact"/>
      <w:ind w:firstLine="480" w:firstLineChars="200"/>
    </w:pPr>
  </w:style>
  <w:style w:type="paragraph" w:customStyle="1" w:styleId="66">
    <w:name w:val="正文文字"/>
    <w:basedOn w:val="1"/>
    <w:qFormat/>
    <w:uiPriority w:val="0"/>
    <w:pPr>
      <w:spacing w:line="560" w:lineRule="exact"/>
      <w:ind w:firstLine="200" w:firstLineChars="200"/>
    </w:pPr>
    <w:rPr>
      <w:szCs w:val="20"/>
    </w:rPr>
  </w:style>
  <w:style w:type="paragraph" w:customStyle="1" w:styleId="6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1]正文"/>
    <w:basedOn w:val="1"/>
    <w:qFormat/>
    <w:uiPriority w:val="0"/>
    <w:pPr>
      <w:autoSpaceDE w:val="0"/>
      <w:autoSpaceDN w:val="0"/>
      <w:ind w:firstLine="200" w:firstLineChars="200"/>
    </w:pPr>
    <w:rPr>
      <w:color w:val="000000"/>
      <w:kern w:val="0"/>
      <w:szCs w:val="22"/>
      <w:lang w:val="zh-CN"/>
    </w:rPr>
  </w:style>
  <w:style w:type="paragraph" w:customStyle="1" w:styleId="69">
    <w:name w:val="Default1"/>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70">
    <w:name w:val="表格内容自定"/>
    <w:basedOn w:val="1"/>
    <w:qFormat/>
    <w:uiPriority w:val="0"/>
    <w:pPr>
      <w:spacing w:line="280" w:lineRule="exact"/>
      <w:jc w:val="center"/>
    </w:pPr>
    <w:rPr>
      <w:kern w:val="0"/>
      <w:sz w:val="18"/>
      <w:szCs w:val="21"/>
    </w:rPr>
  </w:style>
  <w:style w:type="paragraph" w:customStyle="1" w:styleId="71">
    <w:name w:val="*正文"/>
    <w:qFormat/>
    <w:uiPriority w:val="0"/>
    <w:pPr>
      <w:spacing w:line="360" w:lineRule="auto"/>
      <w:ind w:firstLine="200" w:firstLineChars="200"/>
      <w:jc w:val="both"/>
      <w:textAlignment w:val="baseline"/>
    </w:pPr>
    <w:rPr>
      <w:rFonts w:ascii="Times New Roman" w:hAnsi="Times New Roman" w:eastAsia="宋体" w:cs="Times New Roman"/>
      <w:color w:val="000000"/>
      <w:sz w:val="24"/>
      <w:szCs w:val="22"/>
      <w:lang w:val="en-US" w:eastAsia="zh-CN" w:bidi="ar-SA"/>
    </w:rPr>
  </w:style>
  <w:style w:type="paragraph" w:customStyle="1" w:styleId="72">
    <w:name w:val="Table Paragraph"/>
    <w:basedOn w:val="1"/>
    <w:qFormat/>
    <w:uiPriority w:val="0"/>
    <w:pPr>
      <w:jc w:val="center"/>
    </w:pPr>
    <w:rPr>
      <w:rFonts w:ascii="宋体" w:hAnsi="宋体" w:cs="宋体"/>
      <w:sz w:val="21"/>
      <w:szCs w:val="21"/>
    </w:rPr>
  </w:style>
  <w:style w:type="paragraph" w:customStyle="1" w:styleId="73">
    <w:name w:val="无间隔1"/>
    <w:basedOn w:val="1"/>
    <w:qFormat/>
    <w:uiPriority w:val="0"/>
    <w:pPr>
      <w:widowControl/>
      <w:jc w:val="left"/>
    </w:pPr>
    <w:rPr>
      <w:rFonts w:ascii="Cambria" w:hAnsi="Cambria"/>
      <w:kern w:val="0"/>
      <w:sz w:val="22"/>
      <w:szCs w:val="22"/>
      <w:lang w:eastAsia="en-US" w:bidi="en-US"/>
    </w:rPr>
  </w:style>
  <w:style w:type="paragraph" w:customStyle="1" w:styleId="74">
    <w:name w:val="p0"/>
    <w:basedOn w:val="1"/>
    <w:qFormat/>
    <w:uiPriority w:val="0"/>
    <w:pPr>
      <w:widowControl/>
      <w:spacing w:before="100" w:beforeAutospacing="1" w:after="100" w:afterAutospacing="1"/>
      <w:jc w:val="left"/>
    </w:pPr>
    <w:rPr>
      <w:rFonts w:ascii="宋体" w:hAnsi="宋体" w:cs="宋体"/>
      <w:kern w:val="0"/>
    </w:rPr>
  </w:style>
  <w:style w:type="paragraph" w:customStyle="1" w:styleId="75">
    <w:name w:val="表格内容"/>
    <w:basedOn w:val="76"/>
    <w:next w:val="1"/>
    <w:qFormat/>
    <w:uiPriority w:val="0"/>
    <w:pPr>
      <w:spacing w:line="240" w:lineRule="atLeast"/>
    </w:pPr>
    <w:rPr>
      <w:szCs w:val="20"/>
    </w:rPr>
  </w:style>
  <w:style w:type="paragraph" w:customStyle="1" w:styleId="76">
    <w:name w:val="表格标题"/>
    <w:basedOn w:val="1"/>
    <w:next w:val="75"/>
    <w:qFormat/>
    <w:uiPriority w:val="0"/>
    <w:pPr>
      <w:jc w:val="center"/>
    </w:pPr>
    <w:rPr>
      <w:b/>
    </w:rPr>
  </w:style>
  <w:style w:type="paragraph" w:customStyle="1" w:styleId="77">
    <w:name w:val="新格式表"/>
    <w:basedOn w:val="1"/>
    <w:qFormat/>
    <w:uiPriority w:val="0"/>
    <w:pPr>
      <w:adjustRightInd w:val="0"/>
      <w:snapToGrid w:val="0"/>
      <w:spacing w:line="0" w:lineRule="atLeast"/>
      <w:jc w:val="center"/>
    </w:pPr>
    <w:rPr>
      <w:kern w:val="0"/>
      <w:szCs w:val="21"/>
    </w:rPr>
  </w:style>
  <w:style w:type="paragraph" w:customStyle="1" w:styleId="7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79">
    <w:name w:val="表格内文字"/>
    <w:basedOn w:val="1"/>
    <w:qFormat/>
    <w:uiPriority w:val="0"/>
    <w:pPr>
      <w:tabs>
        <w:tab w:val="left" w:pos="0"/>
      </w:tabs>
      <w:adjustRightInd w:val="0"/>
      <w:snapToGrid w:val="0"/>
      <w:jc w:val="center"/>
    </w:pPr>
    <w:rPr>
      <w:kern w:val="0"/>
    </w:rPr>
  </w:style>
  <w:style w:type="paragraph" w:customStyle="1" w:styleId="80">
    <w:name w:val="表内容"/>
    <w:basedOn w:val="65"/>
    <w:next w:val="1"/>
    <w:qFormat/>
    <w:uiPriority w:val="0"/>
    <w:pPr>
      <w:spacing w:line="360" w:lineRule="exact"/>
      <w:ind w:firstLine="0" w:firstLineChars="0"/>
      <w:jc w:val="center"/>
    </w:pPr>
    <w:rPr>
      <w:szCs w:val="21"/>
    </w:rPr>
  </w:style>
  <w:style w:type="paragraph" w:customStyle="1" w:styleId="81">
    <w:name w:val="正文 + 仿宋_GB2312"/>
    <w:basedOn w:val="1"/>
    <w:qFormat/>
    <w:uiPriority w:val="99"/>
    <w:pPr>
      <w:ind w:firstLine="480" w:firstLineChars="200"/>
    </w:pPr>
    <w:rPr>
      <w:rFonts w:ascii="仿宋_GB2312" w:hAnsi="Calibri" w:eastAsia="仿宋_GB2312"/>
    </w:rPr>
  </w:style>
  <w:style w:type="paragraph" w:customStyle="1" w:styleId="82">
    <w:name w:val="胡正文"/>
    <w:basedOn w:val="1"/>
    <w:qFormat/>
    <w:uiPriority w:val="0"/>
    <w:pPr>
      <w:spacing w:line="360" w:lineRule="auto"/>
      <w:ind w:firstLine="200" w:firstLineChars="200"/>
      <w:jc w:val="left"/>
    </w:pPr>
    <w:rPr>
      <w:rFonts w:ascii="宋体" w:hAnsi="宋体"/>
      <w:szCs w:val="28"/>
    </w:rPr>
  </w:style>
  <w:style w:type="paragraph" w:customStyle="1" w:styleId="83">
    <w:name w:val="4表格标题"/>
    <w:basedOn w:val="1"/>
    <w:qFormat/>
    <w:uiPriority w:val="0"/>
    <w:pPr>
      <w:numPr>
        <w:ilvl w:val="3"/>
        <w:numId w:val="3"/>
      </w:numPr>
      <w:spacing w:line="360" w:lineRule="auto"/>
      <w:jc w:val="center"/>
    </w:pPr>
    <w:rPr>
      <w:rFonts w:ascii="gbsnu54" w:hAnsi="gbsnu54" w:cs="gbsnu54"/>
      <w:b/>
      <w:bCs/>
      <w:color w:val="000000"/>
      <w:kern w:val="0"/>
      <w:szCs w:val="16"/>
    </w:rPr>
  </w:style>
  <w:style w:type="paragraph" w:customStyle="1" w:styleId="84">
    <w:name w:val="无间隔2"/>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BodyText1I2"/>
    <w:basedOn w:val="86"/>
    <w:next w:val="1"/>
    <w:qFormat/>
    <w:uiPriority w:val="0"/>
    <w:pPr>
      <w:tabs>
        <w:tab w:val="left" w:pos="0"/>
      </w:tabs>
      <w:ind w:left="420" w:leftChars="200" w:firstLine="210" w:firstLineChars="200"/>
    </w:pPr>
    <w:rPr>
      <w:sz w:val="21"/>
    </w:rPr>
  </w:style>
  <w:style w:type="paragraph" w:customStyle="1" w:styleId="86">
    <w:name w:val="BodyTextIndent"/>
    <w:basedOn w:val="1"/>
    <w:next w:val="87"/>
    <w:qFormat/>
    <w:uiPriority w:val="0"/>
    <w:pPr>
      <w:tabs>
        <w:tab w:val="left" w:pos="0"/>
      </w:tabs>
      <w:spacing w:line="360" w:lineRule="auto"/>
      <w:ind w:firstLine="570"/>
      <w:textAlignment w:val="baseline"/>
    </w:pPr>
    <w:rPr>
      <w:sz w:val="28"/>
      <w:szCs w:val="20"/>
    </w:rPr>
  </w:style>
  <w:style w:type="paragraph" w:customStyle="1" w:styleId="87">
    <w:name w:val="BodyTextIndent2"/>
    <w:basedOn w:val="1"/>
    <w:next w:val="85"/>
    <w:qFormat/>
    <w:uiPriority w:val="0"/>
    <w:pPr>
      <w:spacing w:line="500" w:lineRule="exact"/>
      <w:ind w:firstLine="480"/>
      <w:textAlignment w:val="baseline"/>
    </w:pPr>
    <w:rPr>
      <w:rFonts w:eastAsia="楷体_GB2312"/>
      <w:sz w:val="28"/>
    </w:rPr>
  </w:style>
  <w:style w:type="character" w:customStyle="1" w:styleId="88">
    <w:name w:val="font31"/>
    <w:basedOn w:val="33"/>
    <w:qFormat/>
    <w:uiPriority w:val="0"/>
    <w:rPr>
      <w:rFonts w:hint="default" w:ascii="Times New Roman" w:hAnsi="Times New Roman" w:cs="Times New Roman"/>
      <w:color w:val="000000"/>
      <w:sz w:val="24"/>
      <w:szCs w:val="24"/>
      <w:u w:val="none"/>
    </w:rPr>
  </w:style>
  <w:style w:type="character" w:customStyle="1" w:styleId="89">
    <w:name w:val="font21"/>
    <w:basedOn w:val="33"/>
    <w:qFormat/>
    <w:uiPriority w:val="0"/>
    <w:rPr>
      <w:rFonts w:hint="eastAsia" w:ascii="宋体" w:hAnsi="宋体" w:eastAsia="宋体" w:cs="宋体"/>
      <w:color w:val="000000"/>
      <w:sz w:val="24"/>
      <w:szCs w:val="24"/>
      <w:u w:val="none"/>
    </w:rPr>
  </w:style>
  <w:style w:type="paragraph" w:customStyle="1" w:styleId="90">
    <w:name w:val="A正文"/>
    <w:basedOn w:val="1"/>
    <w:next w:val="13"/>
    <w:qFormat/>
    <w:uiPriority w:val="0"/>
    <w:pPr>
      <w:spacing w:line="360" w:lineRule="auto"/>
      <w:ind w:firstLine="200" w:firstLineChars="200"/>
    </w:pPr>
    <w:rPr>
      <w:lang w:val="zh-CN"/>
    </w:rPr>
  </w:style>
  <w:style w:type="paragraph" w:customStyle="1" w:styleId="91">
    <w:name w:val="正文 首行缩进"/>
    <w:basedOn w:val="1"/>
    <w:qFormat/>
    <w:uiPriority w:val="0"/>
    <w:pPr>
      <w:spacing w:line="360" w:lineRule="auto"/>
      <w:ind w:firstLine="200" w:firstLineChars="200"/>
    </w:pPr>
    <w:rPr>
      <w:rFonts w:cs="宋体"/>
      <w:kern w:val="0"/>
      <w:szCs w:val="20"/>
    </w:rPr>
  </w:style>
  <w:style w:type="paragraph" w:customStyle="1" w:styleId="92">
    <w:name w:val="表头"/>
    <w:basedOn w:val="93"/>
    <w:next w:val="1"/>
    <w:qFormat/>
    <w:uiPriority w:val="0"/>
    <w:pPr>
      <w:keepNext/>
      <w:spacing w:line="100" w:lineRule="atLeast"/>
    </w:pPr>
    <w:rPr>
      <w:b/>
      <w:sz w:val="21"/>
    </w:rPr>
  </w:style>
  <w:style w:type="paragraph" w:customStyle="1" w:styleId="93">
    <w:name w:val="表中文字"/>
    <w:basedOn w:val="1"/>
    <w:qFormat/>
    <w:uiPriority w:val="0"/>
    <w:pPr>
      <w:adjustRightInd w:val="0"/>
      <w:snapToGrid w:val="0"/>
      <w:jc w:val="center"/>
    </w:pPr>
    <w:rPr>
      <w:bCs/>
      <w:sz w:val="18"/>
    </w:rPr>
  </w:style>
  <w:style w:type="paragraph" w:customStyle="1" w:styleId="94">
    <w:name w:val="正文11"/>
    <w:qFormat/>
    <w:uiPriority w:val="0"/>
    <w:pPr>
      <w:jc w:val="both"/>
    </w:pPr>
    <w:rPr>
      <w:rFonts w:ascii="Calibri" w:hAnsi="Calibri" w:eastAsia="宋体" w:cs="Calibri"/>
      <w:kern w:val="2"/>
      <w:sz w:val="21"/>
      <w:szCs w:val="21"/>
      <w:lang w:val="en-US" w:eastAsia="zh-CN" w:bidi="ar-SA"/>
    </w:rPr>
  </w:style>
  <w:style w:type="table" w:customStyle="1" w:styleId="95">
    <w:name w:val="Table Normal"/>
    <w:basedOn w:val="30"/>
    <w:semiHidden/>
    <w:unhideWhenUsed/>
    <w:qFormat/>
    <w:uiPriority w:val="0"/>
    <w:tblPr>
      <w:tblCellMar>
        <w:left w:w="0" w:type="dxa"/>
        <w:right w:w="0" w:type="dxa"/>
      </w:tblCellMar>
    </w:tblPr>
  </w:style>
  <w:style w:type="paragraph" w:customStyle="1" w:styleId="96">
    <w:name w:val="6表内容"/>
    <w:basedOn w:val="1"/>
    <w:qFormat/>
    <w:uiPriority w:val="0"/>
    <w:pPr>
      <w:jc w:val="center"/>
    </w:pPr>
    <w:rPr>
      <w:rFonts w:cs="宋体"/>
      <w:color w:val="000000"/>
      <w:szCs w:val="20"/>
    </w:rPr>
  </w:style>
  <w:style w:type="paragraph" w:styleId="97">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8">
    <w:name w:val="Table caption|1"/>
    <w:basedOn w:val="1"/>
    <w:qFormat/>
    <w:uiPriority w:val="0"/>
    <w:rPr>
      <w:rFonts w:ascii="宋体" w:hAnsi="宋体" w:cs="宋体"/>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oleObject" Target="embeddings/oleObject1.bin"/><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64</Pages>
  <Words>34285</Words>
  <Characters>37939</Characters>
  <Lines>363</Lines>
  <Paragraphs>102</Paragraphs>
  <TotalTime>4</TotalTime>
  <ScaleCrop>false</ScaleCrop>
  <LinksUpToDate>false</LinksUpToDate>
  <CharactersWithSpaces>38146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周慧</cp:lastModifiedBy>
  <cp:lastPrinted>2020-12-29T02:43:00Z</cp:lastPrinted>
  <dcterms:modified xsi:type="dcterms:W3CDTF">2026-05-27T08:40:04Z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45B67696EA554DA19033B9F38D6F1459_13</vt:lpwstr>
  </property>
  <property fmtid="{D5CDD505-2E9C-101B-9397-08002B2CF9AE}" pid="4" name="KSOTemplateDocerSaveRecord">
    <vt:lpwstr>eyJoZGlkIjoiYzUzY2QyZThkNjk1ZTIwYjczNGU1ZjYxNTJiOTk3YzAiLCJ1c2VySWQiOiIxMjkzOTQxNjI1In0=</vt:lpwstr>
  </property>
</Properties>
</file>