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B239FC">
      <w:pPr>
        <w:jc w:val="both"/>
        <w:rPr>
          <w:rFonts w:hint="default" w:ascii="Times New Roman" w:hAnsi="Times New Roman" w:cs="Times New Roman"/>
          <w:b/>
          <w:bCs/>
          <w:color w:val="auto"/>
          <w:sz w:val="52"/>
          <w:szCs w:val="52"/>
        </w:rPr>
      </w:pPr>
      <w:r>
        <w:rPr>
          <w:rFonts w:hint="default" w:ascii="Times New Roman" w:hAnsi="Times New Roman" w:cs="Times New Roman" w:eastAsiaTheme="minorEastAsia"/>
          <w:b/>
          <w:bCs/>
          <w:color w:val="auto"/>
          <w:sz w:val="52"/>
          <w:szCs w:val="52"/>
          <w:lang w:eastAsia="zh-CN"/>
        </w:rPr>
        <w:drawing>
          <wp:inline distT="0" distB="0" distL="114300" distR="114300">
            <wp:extent cx="1080135" cy="347980"/>
            <wp:effectExtent l="0" t="0" r="5715" b="13970"/>
            <wp:docPr id="21" name="图片 21" descr="173467181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34671812419"/>
                    <pic:cNvPicPr>
                      <a:picLocks noChangeAspect="1"/>
                    </pic:cNvPicPr>
                  </pic:nvPicPr>
                  <pic:blipFill>
                    <a:blip r:embed="rId7"/>
                    <a:stretch>
                      <a:fillRect/>
                    </a:stretch>
                  </pic:blipFill>
                  <pic:spPr>
                    <a:xfrm>
                      <a:off x="0" y="0"/>
                      <a:ext cx="1080135" cy="347980"/>
                    </a:xfrm>
                    <a:prstGeom prst="rect">
                      <a:avLst/>
                    </a:prstGeom>
                  </pic:spPr>
                </pic:pic>
              </a:graphicData>
            </a:graphic>
          </wp:inline>
        </w:drawing>
      </w:r>
    </w:p>
    <w:p w14:paraId="752963BB">
      <w:pPr>
        <w:jc w:val="center"/>
        <w:rPr>
          <w:rFonts w:hint="default" w:ascii="Times New Roman" w:hAnsi="Times New Roman" w:cs="Times New Roman"/>
          <w:b/>
          <w:bCs/>
          <w:color w:val="auto"/>
          <w:sz w:val="52"/>
          <w:szCs w:val="52"/>
        </w:rPr>
      </w:pPr>
    </w:p>
    <w:p w14:paraId="40556F83">
      <w:pPr>
        <w:jc w:val="center"/>
        <w:rPr>
          <w:rFonts w:hint="default" w:ascii="Times New Roman" w:hAnsi="Times New Roman" w:cs="Times New Roman"/>
          <w:b/>
          <w:bCs/>
          <w:color w:val="auto"/>
          <w:sz w:val="52"/>
          <w:szCs w:val="52"/>
        </w:rPr>
      </w:pPr>
    </w:p>
    <w:p w14:paraId="63DCEDDD">
      <w:pPr>
        <w:jc w:val="center"/>
        <w:rPr>
          <w:rFonts w:hint="default" w:ascii="Times New Roman" w:hAnsi="Times New Roman" w:cs="Times New Roman"/>
          <w:b/>
          <w:bCs/>
          <w:color w:val="auto"/>
          <w:sz w:val="52"/>
          <w:szCs w:val="52"/>
        </w:rPr>
      </w:pPr>
      <w:r>
        <w:rPr>
          <w:rFonts w:hint="default" w:ascii="Times New Roman" w:hAnsi="Times New Roman" w:cs="Times New Roman"/>
          <w:b/>
          <w:bCs/>
          <w:color w:val="auto"/>
          <w:sz w:val="52"/>
          <w:szCs w:val="52"/>
        </w:rPr>
        <w:t>建设项目环境影响报告表</w:t>
      </w:r>
    </w:p>
    <w:p w14:paraId="492F07B6">
      <w:pPr>
        <w:jc w:val="center"/>
        <w:rPr>
          <w:rFonts w:hint="default" w:ascii="Times New Roman" w:hAnsi="Times New Roman" w:cs="Times New Roman"/>
          <w:color w:val="auto"/>
          <w:sz w:val="44"/>
          <w:szCs w:val="44"/>
        </w:rPr>
      </w:pPr>
      <w:r>
        <w:rPr>
          <w:rFonts w:hint="default" w:ascii="Times New Roman" w:hAnsi="Times New Roman" w:cs="Times New Roman"/>
          <w:color w:val="auto"/>
          <w:sz w:val="44"/>
          <w:szCs w:val="44"/>
        </w:rPr>
        <w:t>（污染影响类）</w:t>
      </w:r>
    </w:p>
    <w:p w14:paraId="04C0C9F5">
      <w:pPr>
        <w:pStyle w:val="11"/>
        <w:rPr>
          <w:rFonts w:hint="default" w:ascii="Times New Roman" w:hAnsi="Times New Roman" w:cs="Times New Roman"/>
          <w:color w:val="auto"/>
        </w:rPr>
      </w:pPr>
    </w:p>
    <w:p w14:paraId="3CC5B73B">
      <w:pPr>
        <w:jc w:val="center"/>
        <w:rPr>
          <w:rFonts w:hint="default" w:ascii="Times New Roman" w:hAnsi="Times New Roman" w:cs="Times New Roman"/>
          <w:color w:val="auto"/>
          <w:sz w:val="44"/>
          <w:szCs w:val="44"/>
        </w:rPr>
      </w:pPr>
    </w:p>
    <w:p w14:paraId="7F56DB98">
      <w:pPr>
        <w:pStyle w:val="38"/>
        <w:rPr>
          <w:rFonts w:hint="default" w:ascii="Times New Roman" w:hAnsi="Times New Roman" w:cs="Times New Roman"/>
          <w:color w:val="auto"/>
          <w:sz w:val="44"/>
          <w:szCs w:val="44"/>
        </w:rPr>
      </w:pPr>
    </w:p>
    <w:p w14:paraId="033271C2">
      <w:pPr>
        <w:pStyle w:val="38"/>
        <w:rPr>
          <w:rFonts w:hint="default" w:ascii="Times New Roman" w:hAnsi="Times New Roman" w:cs="Times New Roman"/>
          <w:color w:val="auto"/>
          <w:sz w:val="44"/>
          <w:szCs w:val="44"/>
        </w:rPr>
      </w:pPr>
    </w:p>
    <w:p w14:paraId="55174948">
      <w:pPr>
        <w:pStyle w:val="38"/>
        <w:rPr>
          <w:rFonts w:hint="default" w:ascii="Times New Roman" w:hAnsi="Times New Roman" w:cs="Times New Roman"/>
          <w:color w:val="auto"/>
          <w:sz w:val="44"/>
          <w:szCs w:val="44"/>
        </w:rPr>
      </w:pPr>
    </w:p>
    <w:p w14:paraId="245E45F3">
      <w:pPr>
        <w:pStyle w:val="38"/>
        <w:rPr>
          <w:rFonts w:hint="default" w:ascii="Times New Roman" w:hAnsi="Times New Roman" w:cs="Times New Roman"/>
          <w:color w:val="auto"/>
          <w:sz w:val="44"/>
          <w:szCs w:val="44"/>
        </w:rPr>
      </w:pPr>
    </w:p>
    <w:p w14:paraId="28A3125E">
      <w:pPr>
        <w:pStyle w:val="38"/>
        <w:rPr>
          <w:rFonts w:hint="default" w:ascii="Times New Roman" w:hAnsi="Times New Roman" w:cs="Times New Roman"/>
          <w:color w:val="auto"/>
          <w:sz w:val="44"/>
          <w:szCs w:val="44"/>
        </w:rPr>
      </w:pPr>
    </w:p>
    <w:p w14:paraId="13CA7056">
      <w:pPr>
        <w:pStyle w:val="38"/>
        <w:rPr>
          <w:rFonts w:hint="default" w:ascii="Times New Roman" w:hAnsi="Times New Roman" w:cs="Times New Roman"/>
          <w:color w:val="auto"/>
          <w:sz w:val="44"/>
          <w:szCs w:val="44"/>
        </w:rPr>
      </w:pPr>
    </w:p>
    <w:p w14:paraId="0EF93EFA">
      <w:pPr>
        <w:pStyle w:val="38"/>
        <w:rPr>
          <w:rFonts w:hint="default" w:ascii="Times New Roman" w:hAnsi="Times New Roman" w:cs="Times New Roman"/>
          <w:color w:val="auto"/>
          <w:sz w:val="44"/>
          <w:szCs w:val="44"/>
        </w:rPr>
      </w:pPr>
    </w:p>
    <w:p w14:paraId="0748D588">
      <w:pPr>
        <w:rPr>
          <w:rFonts w:hint="default" w:ascii="Times New Roman" w:hAnsi="Times New Roman" w:cs="Times New Roman"/>
          <w:color w:val="auto"/>
          <w:sz w:val="24"/>
          <w:u w:val="single"/>
        </w:rPr>
      </w:pPr>
      <w:r>
        <w:rPr>
          <w:rFonts w:hint="default" w:ascii="Times New Roman" w:hAnsi="Times New Roman" w:cs="Times New Roman"/>
          <w:color w:val="auto"/>
          <w:sz w:val="28"/>
          <w:szCs w:val="28"/>
        </w:rPr>
        <w:t>项目名称：</w:t>
      </w:r>
      <w:r>
        <w:rPr>
          <w:rFonts w:hint="default" w:ascii="Times New Roman" w:hAnsi="Times New Roman" w:cs="Times New Roman"/>
          <w:color w:val="auto"/>
          <w:sz w:val="28"/>
          <w:szCs w:val="28"/>
          <w:u w:val="single"/>
        </w:rPr>
        <w:t xml:space="preserve"> </w:t>
      </w:r>
      <w:r>
        <w:rPr>
          <w:rFonts w:hint="eastAsia" w:ascii="Times New Roman" w:hAnsi="Times New Roman" w:cs="Times New Roman"/>
          <w:color w:val="auto"/>
          <w:sz w:val="28"/>
          <w:szCs w:val="28"/>
          <w:u w:val="single"/>
          <w:lang w:val="en-US" w:eastAsia="zh-CN"/>
        </w:rPr>
        <w:t>宿州美膳新材料有限公司年产100000套密胺餐具项目</w:t>
      </w:r>
      <w:r>
        <w:rPr>
          <w:rFonts w:hint="default" w:ascii="Times New Roman" w:hAnsi="Times New Roman" w:cs="Times New Roman"/>
          <w:color w:val="auto"/>
          <w:sz w:val="28"/>
          <w:szCs w:val="28"/>
          <w:u w:val="single"/>
        </w:rPr>
        <w:t xml:space="preserve">    </w:t>
      </w:r>
      <w:r>
        <w:rPr>
          <w:rFonts w:hint="default" w:ascii="Times New Roman" w:hAnsi="Times New Roman" w:cs="Times New Roman"/>
          <w:color w:val="auto"/>
          <w:sz w:val="24"/>
          <w:u w:val="single"/>
        </w:rPr>
        <w:t xml:space="preserve">    </w:t>
      </w:r>
    </w:p>
    <w:p w14:paraId="20CEC57A">
      <w:pPr>
        <w:rPr>
          <w:rFonts w:hint="default" w:ascii="Times New Roman" w:hAnsi="Times New Roman" w:cs="Times New Roman" w:eastAsiaTheme="minorEastAsia"/>
          <w:color w:val="auto"/>
          <w:sz w:val="28"/>
          <w:szCs w:val="28"/>
          <w:lang w:val="en-US" w:eastAsia="zh-CN"/>
        </w:rPr>
      </w:pPr>
      <w:r>
        <w:rPr>
          <w:rFonts w:hint="default" w:ascii="Times New Roman" w:hAnsi="Times New Roman" w:cs="Times New Roman"/>
          <w:color w:val="auto"/>
          <w:sz w:val="28"/>
          <w:szCs w:val="28"/>
        </w:rPr>
        <w:t>建设单位（盖章）：</w:t>
      </w:r>
      <w:r>
        <w:rPr>
          <w:rFonts w:hint="default" w:ascii="Times New Roman" w:hAnsi="Times New Roman" w:cs="Times New Roman"/>
          <w:color w:val="auto"/>
          <w:sz w:val="28"/>
          <w:szCs w:val="28"/>
          <w:u w:val="single"/>
        </w:rPr>
        <w:t xml:space="preserve">        </w:t>
      </w:r>
      <w:r>
        <w:rPr>
          <w:rFonts w:hint="eastAsia" w:ascii="Times New Roman" w:hAnsi="Times New Roman" w:cs="Times New Roman"/>
          <w:color w:val="auto"/>
          <w:sz w:val="28"/>
          <w:szCs w:val="28"/>
          <w:u w:val="single"/>
          <w:lang w:val="en-US" w:eastAsia="zh-CN"/>
        </w:rPr>
        <w:t>宿州美膳新材料有限公司</w:t>
      </w:r>
      <w:r>
        <w:rPr>
          <w:rFonts w:hint="default" w:ascii="Times New Roman" w:hAnsi="Times New Roman" w:cs="Times New Roman"/>
          <w:color w:val="auto"/>
          <w:sz w:val="28"/>
          <w:szCs w:val="28"/>
          <w:u w:val="single"/>
        </w:rPr>
        <w:t xml:space="preserve">          </w:t>
      </w:r>
      <w:r>
        <w:rPr>
          <w:rFonts w:hint="eastAsia" w:ascii="Times New Roman" w:hAnsi="Times New Roman" w:cs="Times New Roman"/>
          <w:color w:val="auto"/>
          <w:sz w:val="28"/>
          <w:szCs w:val="28"/>
          <w:u w:val="single"/>
          <w:lang w:val="en-US" w:eastAsia="zh-CN"/>
        </w:rPr>
        <w:t xml:space="preserve">  </w:t>
      </w:r>
    </w:p>
    <w:p w14:paraId="1A3522E7">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编制日期：</w:t>
      </w:r>
      <w:r>
        <w:rPr>
          <w:rFonts w:hint="default" w:ascii="Times New Roman" w:hAnsi="Times New Roman" w:cs="Times New Roman"/>
          <w:color w:val="auto"/>
          <w:sz w:val="28"/>
          <w:szCs w:val="28"/>
          <w:u w:val="single"/>
        </w:rPr>
        <w:t xml:space="preserve">                  202</w:t>
      </w:r>
      <w:r>
        <w:rPr>
          <w:rFonts w:hint="eastAsia" w:ascii="Times New Roman" w:hAnsi="Times New Roman" w:cs="Times New Roman"/>
          <w:color w:val="auto"/>
          <w:sz w:val="28"/>
          <w:szCs w:val="28"/>
          <w:u w:val="single"/>
          <w:lang w:val="en-US" w:eastAsia="zh-CN"/>
        </w:rPr>
        <w:t>6</w:t>
      </w:r>
      <w:r>
        <w:rPr>
          <w:rFonts w:hint="default" w:ascii="Times New Roman" w:hAnsi="Times New Roman" w:cs="Times New Roman"/>
          <w:color w:val="auto"/>
          <w:sz w:val="28"/>
          <w:szCs w:val="28"/>
          <w:u w:val="single"/>
        </w:rPr>
        <w:t>年</w:t>
      </w:r>
      <w:r>
        <w:rPr>
          <w:rFonts w:hint="eastAsia" w:ascii="Times New Roman" w:hAnsi="Times New Roman" w:cs="Times New Roman"/>
          <w:color w:val="auto"/>
          <w:sz w:val="28"/>
          <w:szCs w:val="28"/>
          <w:u w:val="single"/>
          <w:lang w:val="en-US" w:eastAsia="zh-CN"/>
        </w:rPr>
        <w:t>06</w:t>
      </w:r>
      <w:r>
        <w:rPr>
          <w:rFonts w:hint="default" w:ascii="Times New Roman" w:hAnsi="Times New Roman" w:cs="Times New Roman"/>
          <w:color w:val="auto"/>
          <w:sz w:val="28"/>
          <w:szCs w:val="28"/>
          <w:u w:val="single"/>
        </w:rPr>
        <w:t xml:space="preserve">月                    </w:t>
      </w:r>
    </w:p>
    <w:p w14:paraId="41D0EC1B">
      <w:pPr>
        <w:jc w:val="center"/>
        <w:rPr>
          <w:rFonts w:hint="default" w:ascii="Times New Roman" w:hAnsi="Times New Roman" w:cs="Times New Roman"/>
          <w:color w:val="auto"/>
          <w:sz w:val="28"/>
          <w:szCs w:val="28"/>
        </w:rPr>
      </w:pPr>
    </w:p>
    <w:p w14:paraId="6D1E1274">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中华人民共和国生态环境部制</w:t>
      </w:r>
    </w:p>
    <w:p w14:paraId="5D9BA50A">
      <w:pPr>
        <w:jc w:val="left"/>
        <w:rPr>
          <w:rFonts w:hint="default" w:ascii="Times New Roman" w:hAnsi="Times New Roman" w:cs="Times New Roman"/>
          <w:b/>
          <w:bCs/>
          <w:color w:val="auto"/>
          <w:sz w:val="28"/>
          <w:szCs w:val="28"/>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27B7F2A">
      <w:pPr>
        <w:jc w:val="left"/>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一、建设项目基本情况</w:t>
      </w:r>
    </w:p>
    <w:tbl>
      <w:tblPr>
        <w:tblStyle w:val="32"/>
        <w:tblW w:w="102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2700"/>
        <w:gridCol w:w="2144"/>
        <w:gridCol w:w="3670"/>
      </w:tblGrid>
      <w:tr w14:paraId="36B50F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2D800DCC">
            <w:pPr>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建设项目名称</w:t>
            </w:r>
          </w:p>
        </w:tc>
        <w:tc>
          <w:tcPr>
            <w:tcW w:w="8514" w:type="dxa"/>
            <w:gridSpan w:val="3"/>
            <w:vAlign w:val="center"/>
          </w:tcPr>
          <w:p w14:paraId="7F1E3329">
            <w:pPr>
              <w:jc w:val="center"/>
              <w:rPr>
                <w:rFonts w:hint="default" w:ascii="Times New Roman" w:hAnsi="Times New Roman" w:cs="Times New Roman" w:eastAsiaTheme="minorEastAsia"/>
                <w:color w:val="auto"/>
                <w:sz w:val="24"/>
                <w:lang w:eastAsia="zh-CN"/>
              </w:rPr>
            </w:pPr>
            <w:r>
              <w:rPr>
                <w:rFonts w:hint="eastAsia" w:ascii="Times New Roman" w:hAnsi="Times New Roman" w:cs="Times New Roman"/>
                <w:color w:val="auto"/>
                <w:sz w:val="24"/>
                <w:lang w:val="en-US" w:eastAsia="zh-CN"/>
              </w:rPr>
              <w:t>宿州美膳新材料有限公司年产100000套密胺餐具项目</w:t>
            </w:r>
          </w:p>
        </w:tc>
      </w:tr>
      <w:tr w14:paraId="269083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541141E1">
            <w:pPr>
              <w:jc w:val="center"/>
              <w:rPr>
                <w:rFonts w:hint="default" w:ascii="Times New Roman" w:hAnsi="Times New Roman" w:cs="Times New Roman"/>
                <w:color w:val="auto"/>
                <w:sz w:val="24"/>
              </w:rPr>
            </w:pPr>
            <w:r>
              <w:rPr>
                <w:rFonts w:hint="default" w:ascii="Times New Roman" w:hAnsi="Times New Roman" w:cs="Times New Roman"/>
                <w:color w:val="auto"/>
                <w:sz w:val="24"/>
              </w:rPr>
              <w:t>项目代码</w:t>
            </w:r>
          </w:p>
        </w:tc>
        <w:tc>
          <w:tcPr>
            <w:tcW w:w="8514" w:type="dxa"/>
            <w:gridSpan w:val="3"/>
            <w:vAlign w:val="center"/>
          </w:tcPr>
          <w:p w14:paraId="38C2A007">
            <w:pPr>
              <w:jc w:val="center"/>
              <w:rPr>
                <w:rFonts w:hint="default"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val="en-US" w:eastAsia="zh-CN"/>
              </w:rPr>
              <w:t>2512-341324-04-05-107085</w:t>
            </w:r>
          </w:p>
        </w:tc>
      </w:tr>
      <w:tr w14:paraId="49D25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788D7602">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建设单位</w:t>
            </w:r>
          </w:p>
          <w:p w14:paraId="76158572">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联系人</w:t>
            </w:r>
          </w:p>
        </w:tc>
        <w:tc>
          <w:tcPr>
            <w:tcW w:w="2700" w:type="dxa"/>
            <w:vAlign w:val="center"/>
          </w:tcPr>
          <w:p w14:paraId="6973557C">
            <w:pPr>
              <w:jc w:val="center"/>
              <w:rPr>
                <w:rFonts w:hint="default" w:ascii="Times New Roman" w:hAnsi="Times New Roman" w:cs="Times New Roman" w:eastAsiaTheme="minorEastAsia"/>
                <w:color w:val="auto"/>
                <w:sz w:val="24"/>
                <w:highlight w:val="none"/>
                <w:lang w:eastAsia="zh-CN"/>
              </w:rPr>
            </w:pPr>
          </w:p>
        </w:tc>
        <w:tc>
          <w:tcPr>
            <w:tcW w:w="2144" w:type="dxa"/>
            <w:vAlign w:val="center"/>
          </w:tcPr>
          <w:p w14:paraId="5E4AB8D3">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联系方式</w:t>
            </w:r>
          </w:p>
        </w:tc>
        <w:tc>
          <w:tcPr>
            <w:tcW w:w="3670" w:type="dxa"/>
            <w:vAlign w:val="center"/>
          </w:tcPr>
          <w:p w14:paraId="1A59349A">
            <w:pPr>
              <w:jc w:val="center"/>
              <w:rPr>
                <w:rFonts w:hint="default" w:ascii="Times New Roman" w:hAnsi="Times New Roman" w:cs="Times New Roman" w:eastAsiaTheme="minorEastAsia"/>
                <w:color w:val="auto"/>
                <w:sz w:val="24"/>
                <w:lang w:val="en-US" w:eastAsia="zh-CN"/>
              </w:rPr>
            </w:pPr>
            <w:bookmarkStart w:id="35" w:name="_GoBack"/>
            <w:bookmarkEnd w:id="35"/>
          </w:p>
        </w:tc>
      </w:tr>
      <w:tr w14:paraId="299F84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691" w:type="dxa"/>
            <w:vAlign w:val="center"/>
          </w:tcPr>
          <w:p w14:paraId="79557EC0">
            <w:pPr>
              <w:jc w:val="center"/>
              <w:rPr>
                <w:rFonts w:hint="default" w:ascii="Times New Roman" w:hAnsi="Times New Roman" w:cs="Times New Roman"/>
                <w:color w:val="auto"/>
                <w:sz w:val="24"/>
              </w:rPr>
            </w:pPr>
            <w:r>
              <w:rPr>
                <w:rFonts w:hint="default" w:ascii="Times New Roman" w:hAnsi="Times New Roman" w:cs="Times New Roman"/>
                <w:color w:val="auto"/>
                <w:sz w:val="24"/>
              </w:rPr>
              <w:t>建设地点</w:t>
            </w:r>
          </w:p>
        </w:tc>
        <w:tc>
          <w:tcPr>
            <w:tcW w:w="8514" w:type="dxa"/>
            <w:gridSpan w:val="3"/>
            <w:vAlign w:val="center"/>
          </w:tcPr>
          <w:p w14:paraId="65FB22CE">
            <w:pPr>
              <w:jc w:val="center"/>
              <w:rPr>
                <w:rFonts w:hint="default"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val="en-US" w:eastAsia="zh-CN"/>
              </w:rPr>
              <w:t>安徽省宿州市泗县泗水街道唐河路与赤山路交汇处东150米绿朗光电智慧产业园6栋2号</w:t>
            </w:r>
          </w:p>
        </w:tc>
      </w:tr>
      <w:tr w14:paraId="3AD6D5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44E9714E">
            <w:pPr>
              <w:jc w:val="center"/>
              <w:rPr>
                <w:rFonts w:hint="default" w:ascii="Times New Roman" w:hAnsi="Times New Roman" w:cs="Times New Roman"/>
                <w:color w:val="auto"/>
                <w:sz w:val="24"/>
              </w:rPr>
            </w:pPr>
            <w:r>
              <w:rPr>
                <w:rFonts w:hint="default" w:ascii="Times New Roman" w:hAnsi="Times New Roman" w:cs="Times New Roman"/>
                <w:color w:val="auto"/>
                <w:sz w:val="24"/>
              </w:rPr>
              <w:t>地理坐标</w:t>
            </w:r>
          </w:p>
        </w:tc>
        <w:tc>
          <w:tcPr>
            <w:tcW w:w="8514" w:type="dxa"/>
            <w:gridSpan w:val="3"/>
            <w:vAlign w:val="center"/>
          </w:tcPr>
          <w:p w14:paraId="33FC1D60">
            <w:pPr>
              <w:jc w:val="center"/>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u w:val="single"/>
                <w:lang w:val="en-US" w:eastAsia="zh-CN"/>
              </w:rPr>
              <w:t>117</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度</w:t>
            </w:r>
            <w:r>
              <w:rPr>
                <w:rFonts w:hint="default" w:ascii="Times New Roman" w:hAnsi="Times New Roman" w:cs="Times New Roman"/>
                <w:color w:val="auto"/>
                <w:sz w:val="24"/>
                <w:u w:val="single"/>
              </w:rPr>
              <w:t xml:space="preserve"> </w:t>
            </w:r>
            <w:r>
              <w:rPr>
                <w:rFonts w:hint="eastAsia" w:ascii="Times New Roman" w:hAnsi="Times New Roman" w:cs="Times New Roman"/>
                <w:color w:val="auto"/>
                <w:sz w:val="24"/>
                <w:u w:val="single"/>
                <w:lang w:val="en-US" w:eastAsia="zh-CN"/>
              </w:rPr>
              <w:t>54</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分</w:t>
            </w:r>
            <w:r>
              <w:rPr>
                <w:rFonts w:hint="default" w:ascii="Times New Roman" w:hAnsi="Times New Roman" w:cs="Times New Roman"/>
                <w:color w:val="auto"/>
                <w:sz w:val="24"/>
                <w:u w:val="single"/>
              </w:rPr>
              <w:t xml:space="preserve">  </w:t>
            </w:r>
            <w:r>
              <w:rPr>
                <w:rFonts w:hint="eastAsia" w:ascii="Times New Roman" w:hAnsi="Times New Roman" w:cs="Times New Roman"/>
                <w:color w:val="auto"/>
                <w:sz w:val="24"/>
                <w:u w:val="single"/>
                <w:lang w:val="en-US" w:eastAsia="zh-CN"/>
              </w:rPr>
              <w:t>57.004</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秒，</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u w:val="single"/>
                <w:lang w:val="en-US" w:eastAsia="zh-CN"/>
              </w:rPr>
              <w:t>33</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度</w:t>
            </w:r>
            <w:r>
              <w:rPr>
                <w:rFonts w:hint="default" w:ascii="Times New Roman" w:hAnsi="Times New Roman" w:cs="Times New Roman"/>
                <w:color w:val="auto"/>
                <w:sz w:val="24"/>
                <w:u w:val="single"/>
              </w:rPr>
              <w:t xml:space="preserve">  </w:t>
            </w:r>
            <w:r>
              <w:rPr>
                <w:rFonts w:hint="eastAsia" w:ascii="Times New Roman" w:hAnsi="Times New Roman" w:cs="Times New Roman"/>
                <w:color w:val="auto"/>
                <w:sz w:val="24"/>
                <w:u w:val="single"/>
                <w:lang w:val="en-US" w:eastAsia="zh-CN"/>
              </w:rPr>
              <w:t>27</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分</w:t>
            </w:r>
            <w:r>
              <w:rPr>
                <w:rFonts w:hint="default" w:ascii="Times New Roman" w:hAnsi="Times New Roman" w:cs="Times New Roman"/>
                <w:color w:val="auto"/>
                <w:sz w:val="24"/>
                <w:u w:val="single"/>
              </w:rPr>
              <w:t xml:space="preserve"> </w:t>
            </w:r>
            <w:r>
              <w:rPr>
                <w:rFonts w:hint="eastAsia" w:ascii="Times New Roman" w:hAnsi="Times New Roman" w:cs="Times New Roman"/>
                <w:color w:val="auto"/>
                <w:sz w:val="24"/>
                <w:u w:val="single"/>
                <w:lang w:val="en-US" w:eastAsia="zh-CN"/>
              </w:rPr>
              <w:t>33.928</w:t>
            </w:r>
            <w:r>
              <w:rPr>
                <w:rFonts w:hint="default" w:ascii="Times New Roman" w:hAnsi="Times New Roman" w:cs="Times New Roman"/>
                <w:color w:val="auto"/>
                <w:sz w:val="24"/>
                <w:u w:val="single"/>
              </w:rPr>
              <w:t xml:space="preserve"> </w:t>
            </w:r>
            <w:r>
              <w:rPr>
                <w:rFonts w:hint="default" w:ascii="Times New Roman" w:hAnsi="Times New Roman" w:cs="Times New Roman"/>
                <w:color w:val="auto"/>
                <w:sz w:val="24"/>
              </w:rPr>
              <w:t>秒）</w:t>
            </w:r>
          </w:p>
        </w:tc>
      </w:tr>
      <w:tr w14:paraId="79429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32B7AC8B">
            <w:pPr>
              <w:jc w:val="center"/>
              <w:rPr>
                <w:rFonts w:hint="default" w:ascii="Times New Roman" w:hAnsi="Times New Roman" w:cs="Times New Roman"/>
                <w:color w:val="auto"/>
                <w:sz w:val="24"/>
              </w:rPr>
            </w:pPr>
            <w:r>
              <w:rPr>
                <w:rFonts w:hint="default" w:ascii="Times New Roman" w:hAnsi="Times New Roman" w:cs="Times New Roman"/>
                <w:color w:val="auto"/>
                <w:sz w:val="24"/>
              </w:rPr>
              <w:t>国民经济</w:t>
            </w:r>
          </w:p>
          <w:p w14:paraId="44D7A7E1">
            <w:pPr>
              <w:jc w:val="center"/>
              <w:rPr>
                <w:rFonts w:hint="default" w:ascii="Times New Roman" w:hAnsi="Times New Roman" w:cs="Times New Roman"/>
                <w:color w:val="auto"/>
                <w:sz w:val="24"/>
              </w:rPr>
            </w:pPr>
            <w:r>
              <w:rPr>
                <w:rFonts w:hint="default" w:ascii="Times New Roman" w:hAnsi="Times New Roman" w:cs="Times New Roman"/>
                <w:color w:val="auto"/>
                <w:sz w:val="24"/>
              </w:rPr>
              <w:t>行业类别</w:t>
            </w:r>
          </w:p>
        </w:tc>
        <w:tc>
          <w:tcPr>
            <w:tcW w:w="2700" w:type="dxa"/>
            <w:vAlign w:val="center"/>
          </w:tcPr>
          <w:p w14:paraId="4D73426C">
            <w:pPr>
              <w:jc w:val="center"/>
              <w:rPr>
                <w:rFonts w:hint="default"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eastAsia="zh-CN"/>
              </w:rPr>
              <w:t>日用塑料制品制造【</w:t>
            </w:r>
            <w:r>
              <w:rPr>
                <w:rFonts w:hint="eastAsia" w:ascii="Times New Roman" w:hAnsi="Times New Roman" w:cs="Times New Roman"/>
                <w:color w:val="auto"/>
                <w:sz w:val="24"/>
                <w:lang w:val="en-US" w:eastAsia="zh-CN"/>
              </w:rPr>
              <w:t>C</w:t>
            </w:r>
            <w:r>
              <w:rPr>
                <w:rFonts w:hint="eastAsia" w:ascii="Times New Roman" w:hAnsi="Times New Roman" w:cs="Times New Roman"/>
                <w:color w:val="auto"/>
                <w:sz w:val="24"/>
                <w:lang w:eastAsia="zh-CN"/>
              </w:rPr>
              <w:t>2927】</w:t>
            </w:r>
          </w:p>
        </w:tc>
        <w:tc>
          <w:tcPr>
            <w:tcW w:w="2144" w:type="dxa"/>
            <w:vAlign w:val="center"/>
          </w:tcPr>
          <w:p w14:paraId="08B8BB32">
            <w:pPr>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14:paraId="31951AEC">
            <w:pPr>
              <w:jc w:val="center"/>
              <w:rPr>
                <w:rFonts w:hint="default" w:ascii="Times New Roman" w:hAnsi="Times New Roman" w:cs="Times New Roman"/>
                <w:color w:val="auto"/>
                <w:sz w:val="24"/>
              </w:rPr>
            </w:pPr>
            <w:r>
              <w:rPr>
                <w:rFonts w:hint="default" w:ascii="Times New Roman" w:hAnsi="Times New Roman" w:cs="Times New Roman"/>
                <w:color w:val="auto"/>
                <w:sz w:val="24"/>
              </w:rPr>
              <w:t>行业类别</w:t>
            </w:r>
          </w:p>
        </w:tc>
        <w:tc>
          <w:tcPr>
            <w:tcW w:w="3670" w:type="dxa"/>
            <w:vAlign w:val="center"/>
          </w:tcPr>
          <w:p w14:paraId="2D6BD96A">
            <w:pPr>
              <w:jc w:val="left"/>
              <w:rPr>
                <w:rFonts w:hint="default" w:ascii="Times New Roman" w:hAnsi="Times New Roman" w:cs="Times New Roman"/>
                <w:color w:val="auto"/>
                <w:sz w:val="24"/>
              </w:rPr>
            </w:pPr>
            <w:r>
              <w:rPr>
                <w:rFonts w:hint="default" w:ascii="Times New Roman" w:hAnsi="Times New Roman" w:eastAsia="宋体" w:cs="Times New Roman"/>
                <w:b w:val="0"/>
                <w:bCs w:val="0"/>
                <w:color w:val="auto"/>
                <w:sz w:val="24"/>
              </w:rPr>
              <w:t>“</w:t>
            </w:r>
            <w:r>
              <w:rPr>
                <w:rFonts w:hint="eastAsia" w:ascii="Times New Roman" w:hAnsi="Times New Roman" w:eastAsia="宋体" w:cs="Times New Roman"/>
                <w:b w:val="0"/>
                <w:bCs w:val="0"/>
                <w:color w:val="auto"/>
                <w:sz w:val="24"/>
                <w:lang w:val="en-US" w:eastAsia="zh-CN"/>
              </w:rPr>
              <w:t>二十六</w:t>
            </w:r>
            <w:r>
              <w:rPr>
                <w:rFonts w:hint="default" w:ascii="Times New Roman" w:hAnsi="Times New Roman" w:eastAsia="宋体" w:cs="Times New Roman"/>
                <w:b w:val="0"/>
                <w:bCs w:val="0"/>
                <w:color w:val="auto"/>
                <w:sz w:val="24"/>
                <w:lang w:eastAsia="zh-CN"/>
              </w:rPr>
              <w:t>、</w:t>
            </w:r>
            <w:r>
              <w:rPr>
                <w:rFonts w:hint="eastAsia" w:ascii="Times New Roman" w:hAnsi="Times New Roman" w:eastAsia="宋体" w:cs="Times New Roman"/>
                <w:b w:val="0"/>
                <w:bCs w:val="0"/>
                <w:color w:val="auto"/>
                <w:sz w:val="24"/>
                <w:lang w:val="en-US" w:eastAsia="zh-CN"/>
              </w:rPr>
              <w:t>橡胶和塑料制品业29</w:t>
            </w:r>
            <w:r>
              <w:rPr>
                <w:rFonts w:hint="default" w:ascii="Times New Roman" w:hAnsi="Times New Roman" w:eastAsia="宋体" w:cs="Times New Roman"/>
                <w:b w:val="0"/>
                <w:bCs w:val="0"/>
                <w:color w:val="auto"/>
                <w:sz w:val="24"/>
                <w:lang w:val="en-US" w:eastAsia="zh-CN"/>
              </w:rPr>
              <w:t>-</w:t>
            </w:r>
            <w:r>
              <w:rPr>
                <w:rFonts w:hint="eastAsia" w:ascii="Times New Roman" w:hAnsi="Times New Roman" w:eastAsia="宋体" w:cs="Times New Roman"/>
                <w:b w:val="0"/>
                <w:bCs w:val="0"/>
                <w:color w:val="auto"/>
                <w:sz w:val="24"/>
                <w:lang w:val="en-US" w:eastAsia="zh-CN"/>
              </w:rPr>
              <w:t>53-塑料制品业292</w:t>
            </w:r>
            <w:r>
              <w:rPr>
                <w:rFonts w:hint="default" w:ascii="Times New Roman" w:hAnsi="Times New Roman" w:eastAsia="宋体" w:cs="Times New Roman"/>
                <w:b w:val="0"/>
                <w:bCs w:val="0"/>
                <w:color w:val="auto"/>
                <w:sz w:val="24"/>
              </w:rPr>
              <w:t>”</w:t>
            </w:r>
          </w:p>
        </w:tc>
      </w:tr>
      <w:tr w14:paraId="29AE42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757423E7">
            <w:pPr>
              <w:jc w:val="center"/>
              <w:rPr>
                <w:rFonts w:hint="default" w:ascii="Times New Roman" w:hAnsi="Times New Roman" w:cs="Times New Roman"/>
                <w:color w:val="auto"/>
                <w:sz w:val="24"/>
              </w:rPr>
            </w:pPr>
            <w:r>
              <w:rPr>
                <w:rFonts w:hint="default" w:ascii="Times New Roman" w:hAnsi="Times New Roman" w:cs="Times New Roman"/>
                <w:color w:val="auto"/>
                <w:sz w:val="24"/>
              </w:rPr>
              <w:t>建设性质</w:t>
            </w:r>
          </w:p>
        </w:tc>
        <w:tc>
          <w:tcPr>
            <w:tcW w:w="2700" w:type="dxa"/>
            <w:vAlign w:val="center"/>
          </w:tcPr>
          <w:p w14:paraId="237E38B6">
            <w:pP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新建（</w:t>
            </w:r>
            <w:r>
              <w:rPr>
                <w:rFonts w:hint="default" w:ascii="Times New Roman" w:hAnsi="Times New Roman" w:eastAsia="宋体" w:cs="Times New Roman"/>
                <w:b w:val="0"/>
                <w:bCs w:val="0"/>
                <w:color w:val="auto"/>
                <w:sz w:val="24"/>
              </w:rPr>
              <w:t>迁建</w:t>
            </w:r>
            <w:r>
              <w:rPr>
                <w:rFonts w:hint="default" w:ascii="Times New Roman" w:hAnsi="Times New Roman" w:eastAsia="宋体" w:cs="Times New Roman"/>
                <w:color w:val="auto"/>
                <w:sz w:val="24"/>
              </w:rPr>
              <w:t>）</w:t>
            </w:r>
          </w:p>
          <w:p w14:paraId="54D8560A">
            <w:pP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改建</w:t>
            </w:r>
          </w:p>
          <w:p w14:paraId="7BF0C5F3">
            <w:pP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扩建</w:t>
            </w:r>
          </w:p>
          <w:p w14:paraId="6AE3CBD0">
            <w:pPr>
              <w:rPr>
                <w:rFonts w:hint="default" w:ascii="Times New Roman" w:hAnsi="Times New Roman" w:cs="Times New Roman"/>
                <w:color w:val="auto"/>
                <w:sz w:val="24"/>
              </w:rPr>
            </w:pPr>
            <w:r>
              <w:rPr>
                <w:rFonts w:hint="default" w:ascii="Times New Roman" w:hAnsi="Times New Roman" w:eastAsia="宋体" w:cs="Times New Roman"/>
                <w:color w:val="auto"/>
                <w:sz w:val="24"/>
              </w:rPr>
              <w:t>□技术改造</w:t>
            </w:r>
          </w:p>
        </w:tc>
        <w:tc>
          <w:tcPr>
            <w:tcW w:w="2144" w:type="dxa"/>
            <w:vAlign w:val="center"/>
          </w:tcPr>
          <w:p w14:paraId="689F6EB9">
            <w:pPr>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14:paraId="605F6767">
            <w:pPr>
              <w:jc w:val="center"/>
              <w:rPr>
                <w:rFonts w:hint="default" w:ascii="Times New Roman" w:hAnsi="Times New Roman" w:cs="Times New Roman"/>
                <w:color w:val="auto"/>
                <w:sz w:val="24"/>
              </w:rPr>
            </w:pPr>
            <w:r>
              <w:rPr>
                <w:rFonts w:hint="default" w:ascii="Times New Roman" w:hAnsi="Times New Roman" w:cs="Times New Roman"/>
                <w:color w:val="auto"/>
                <w:sz w:val="24"/>
              </w:rPr>
              <w:t>申报情形</w:t>
            </w:r>
          </w:p>
        </w:tc>
        <w:tc>
          <w:tcPr>
            <w:tcW w:w="3670" w:type="dxa"/>
            <w:vAlign w:val="center"/>
          </w:tcPr>
          <w:p w14:paraId="458EFE07">
            <w:pPr>
              <w:rPr>
                <w:rFonts w:hint="default" w:ascii="Times New Roman" w:hAnsi="Times New Roman" w:cs="Times New Roman"/>
                <w:color w:val="auto"/>
                <w:sz w:val="24"/>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首次申报项目</w:t>
            </w:r>
          </w:p>
          <w:p w14:paraId="0937A350">
            <w:pP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□不予批准后再次申报项目</w:t>
            </w:r>
          </w:p>
          <w:p w14:paraId="6D0EEF4B">
            <w:pP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□超五年重新审核项目</w:t>
            </w:r>
          </w:p>
          <w:p w14:paraId="41AA3D54">
            <w:pPr>
              <w:rPr>
                <w:rFonts w:hint="default" w:ascii="Times New Roman" w:hAnsi="Times New Roman"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重大变动重</w:t>
            </w:r>
            <w:r>
              <w:rPr>
                <w:rFonts w:hint="default" w:ascii="Times New Roman" w:hAnsi="Times New Roman" w:cs="Times New Roman"/>
                <w:color w:val="auto"/>
                <w:sz w:val="24"/>
              </w:rPr>
              <w:t>新报批项目</w:t>
            </w:r>
          </w:p>
        </w:tc>
      </w:tr>
      <w:tr w14:paraId="6B3938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691" w:type="dxa"/>
            <w:vAlign w:val="center"/>
          </w:tcPr>
          <w:p w14:paraId="1B0FF05D">
            <w:pPr>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项目审批（核准/备案）部门</w:t>
            </w:r>
          </w:p>
          <w:p w14:paraId="773E4FAC">
            <w:pPr>
              <w:jc w:val="center"/>
              <w:rPr>
                <w:rFonts w:hint="default" w:ascii="Times New Roman" w:hAnsi="Times New Roman" w:cs="Times New Roman"/>
                <w:color w:val="auto"/>
                <w:sz w:val="24"/>
              </w:rPr>
            </w:pPr>
            <w:r>
              <w:rPr>
                <w:rFonts w:hint="default" w:ascii="Times New Roman" w:hAnsi="Times New Roman" w:cs="Times New Roman"/>
                <w:color w:val="auto"/>
                <w:sz w:val="24"/>
              </w:rPr>
              <w:t>（选填）</w:t>
            </w:r>
          </w:p>
        </w:tc>
        <w:tc>
          <w:tcPr>
            <w:tcW w:w="2700" w:type="dxa"/>
            <w:vAlign w:val="center"/>
          </w:tcPr>
          <w:p w14:paraId="04A05804">
            <w:pPr>
              <w:jc w:val="center"/>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泗县发展和改革委员会</w:t>
            </w:r>
          </w:p>
        </w:tc>
        <w:tc>
          <w:tcPr>
            <w:tcW w:w="2144" w:type="dxa"/>
            <w:vAlign w:val="center"/>
          </w:tcPr>
          <w:p w14:paraId="1AA74AB8">
            <w:pPr>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w:t>
            </w:r>
          </w:p>
          <w:p w14:paraId="5BD0CB5A">
            <w:pPr>
              <w:jc w:val="center"/>
              <w:rPr>
                <w:rFonts w:hint="default" w:ascii="Times New Roman" w:hAnsi="Times New Roman" w:cs="Times New Roman"/>
                <w:color w:val="auto"/>
                <w:sz w:val="24"/>
              </w:rPr>
            </w:pPr>
            <w:r>
              <w:rPr>
                <w:rFonts w:hint="default" w:ascii="Times New Roman" w:hAnsi="Times New Roman" w:cs="Times New Roman"/>
                <w:color w:val="auto"/>
                <w:sz w:val="24"/>
              </w:rPr>
              <w:t>（核准/备案）文号</w:t>
            </w:r>
          </w:p>
          <w:p w14:paraId="2A027D0A">
            <w:pPr>
              <w:jc w:val="center"/>
              <w:rPr>
                <w:rFonts w:hint="default" w:ascii="Times New Roman" w:hAnsi="Times New Roman" w:cs="Times New Roman"/>
                <w:color w:val="auto"/>
                <w:sz w:val="24"/>
              </w:rPr>
            </w:pPr>
            <w:r>
              <w:rPr>
                <w:rFonts w:hint="default" w:ascii="Times New Roman" w:hAnsi="Times New Roman" w:cs="Times New Roman"/>
                <w:color w:val="auto"/>
                <w:sz w:val="24"/>
              </w:rPr>
              <w:t>（选填）</w:t>
            </w:r>
          </w:p>
        </w:tc>
        <w:tc>
          <w:tcPr>
            <w:tcW w:w="3670" w:type="dxa"/>
            <w:vAlign w:val="center"/>
          </w:tcPr>
          <w:p w14:paraId="077C0A9D">
            <w:pPr>
              <w:jc w:val="center"/>
              <w:rPr>
                <w:rFonts w:hint="default" w:ascii="Times New Roman" w:hAnsi="Times New Roman" w:cs="Times New Roman"/>
                <w:color w:val="auto"/>
                <w:sz w:val="24"/>
              </w:rPr>
            </w:pPr>
            <w:r>
              <w:rPr>
                <w:rFonts w:hint="default" w:ascii="Times New Roman" w:hAnsi="Times New Roman" w:eastAsia="宋体" w:cs="Times New Roman"/>
                <w:color w:val="auto"/>
                <w:sz w:val="24"/>
                <w:lang w:val="en-US" w:eastAsia="zh-CN"/>
              </w:rPr>
              <w:t>泗发改备案【2025】</w:t>
            </w:r>
            <w:r>
              <w:rPr>
                <w:rFonts w:hint="eastAsia" w:ascii="Times New Roman" w:hAnsi="Times New Roman" w:eastAsia="宋体" w:cs="Times New Roman"/>
                <w:color w:val="auto"/>
                <w:sz w:val="24"/>
                <w:lang w:val="en-US" w:eastAsia="zh-CN"/>
              </w:rPr>
              <w:t>256</w:t>
            </w:r>
            <w:r>
              <w:rPr>
                <w:rFonts w:hint="default" w:ascii="Times New Roman" w:hAnsi="Times New Roman" w:eastAsia="宋体" w:cs="Times New Roman"/>
                <w:color w:val="auto"/>
                <w:sz w:val="24"/>
                <w:lang w:val="en-US" w:eastAsia="zh-CN"/>
              </w:rPr>
              <w:t>号</w:t>
            </w:r>
          </w:p>
        </w:tc>
      </w:tr>
      <w:tr w14:paraId="3EB67E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34EC448D">
            <w:pPr>
              <w:jc w:val="center"/>
              <w:rPr>
                <w:rFonts w:hint="default" w:ascii="Times New Roman" w:hAnsi="Times New Roman" w:cs="Times New Roman"/>
                <w:color w:val="auto"/>
                <w:sz w:val="24"/>
              </w:rPr>
            </w:pPr>
            <w:r>
              <w:rPr>
                <w:rFonts w:hint="default" w:ascii="Times New Roman" w:hAnsi="Times New Roman" w:cs="Times New Roman"/>
                <w:color w:val="auto"/>
                <w:sz w:val="24"/>
              </w:rPr>
              <w:t>总投资</w:t>
            </w:r>
          </w:p>
          <w:p w14:paraId="0EDA7A54">
            <w:pPr>
              <w:jc w:val="center"/>
              <w:rPr>
                <w:rFonts w:hint="default" w:ascii="Times New Roman" w:hAnsi="Times New Roman" w:cs="Times New Roman"/>
                <w:color w:val="auto"/>
                <w:sz w:val="24"/>
              </w:rPr>
            </w:pPr>
            <w:r>
              <w:rPr>
                <w:rFonts w:hint="default" w:ascii="Times New Roman" w:hAnsi="Times New Roman" w:cs="Times New Roman"/>
                <w:color w:val="auto"/>
                <w:sz w:val="24"/>
              </w:rPr>
              <w:t>（万元）</w:t>
            </w:r>
          </w:p>
        </w:tc>
        <w:tc>
          <w:tcPr>
            <w:tcW w:w="2700" w:type="dxa"/>
            <w:vAlign w:val="center"/>
          </w:tcPr>
          <w:p w14:paraId="23DDDFA9">
            <w:pPr>
              <w:jc w:val="center"/>
              <w:rPr>
                <w:rFonts w:hint="default"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lang w:val="en-US" w:eastAsia="zh-CN"/>
              </w:rPr>
              <w:t>000</w:t>
            </w:r>
          </w:p>
        </w:tc>
        <w:tc>
          <w:tcPr>
            <w:tcW w:w="2144" w:type="dxa"/>
            <w:vAlign w:val="center"/>
          </w:tcPr>
          <w:p w14:paraId="4E355805">
            <w:pPr>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环保投资（万元）</w:t>
            </w:r>
          </w:p>
        </w:tc>
        <w:tc>
          <w:tcPr>
            <w:tcW w:w="3670" w:type="dxa"/>
            <w:vAlign w:val="center"/>
          </w:tcPr>
          <w:p w14:paraId="13A0B23B">
            <w:pPr>
              <w:jc w:val="center"/>
              <w:rPr>
                <w:rFonts w:hint="default"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val="en-US" w:eastAsia="zh-CN"/>
              </w:rPr>
              <w:t>50</w:t>
            </w:r>
          </w:p>
        </w:tc>
      </w:tr>
      <w:tr w14:paraId="1B2834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01B7A07C">
            <w:pPr>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环保投资占比（%）</w:t>
            </w:r>
          </w:p>
        </w:tc>
        <w:tc>
          <w:tcPr>
            <w:tcW w:w="2700" w:type="dxa"/>
            <w:vAlign w:val="center"/>
          </w:tcPr>
          <w:p w14:paraId="3688105A">
            <w:pPr>
              <w:jc w:val="center"/>
              <w:rPr>
                <w:rFonts w:hint="default"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val="en-US" w:eastAsia="zh-CN"/>
              </w:rPr>
              <w:t>5.0</w:t>
            </w:r>
          </w:p>
        </w:tc>
        <w:tc>
          <w:tcPr>
            <w:tcW w:w="2144" w:type="dxa"/>
            <w:vAlign w:val="center"/>
          </w:tcPr>
          <w:p w14:paraId="79394DED">
            <w:pPr>
              <w:jc w:val="center"/>
              <w:rPr>
                <w:rFonts w:hint="default" w:ascii="Times New Roman" w:hAnsi="Times New Roman" w:cs="Times New Roman"/>
                <w:color w:val="auto"/>
                <w:sz w:val="24"/>
              </w:rPr>
            </w:pPr>
            <w:r>
              <w:rPr>
                <w:rFonts w:hint="default" w:ascii="Times New Roman" w:hAnsi="Times New Roman" w:cs="Times New Roman"/>
                <w:color w:val="auto"/>
                <w:sz w:val="24"/>
              </w:rPr>
              <w:t>施工工期</w:t>
            </w:r>
          </w:p>
        </w:tc>
        <w:tc>
          <w:tcPr>
            <w:tcW w:w="3670" w:type="dxa"/>
            <w:vAlign w:val="center"/>
          </w:tcPr>
          <w:p w14:paraId="4547A8E7">
            <w:pPr>
              <w:jc w:val="center"/>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个月</w:t>
            </w:r>
          </w:p>
        </w:tc>
      </w:tr>
      <w:tr w14:paraId="7630D5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vAlign w:val="center"/>
          </w:tcPr>
          <w:p w14:paraId="00EF294C">
            <w:pPr>
              <w:jc w:val="center"/>
              <w:rPr>
                <w:rFonts w:hint="default" w:ascii="Times New Roman" w:hAnsi="Times New Roman" w:cs="Times New Roman"/>
                <w:color w:val="auto"/>
                <w:sz w:val="24"/>
              </w:rPr>
            </w:pPr>
            <w:r>
              <w:rPr>
                <w:rFonts w:hint="default" w:ascii="Times New Roman" w:hAnsi="Times New Roman" w:cs="Times New Roman"/>
                <w:color w:val="auto"/>
                <w:sz w:val="24"/>
              </w:rPr>
              <w:t>是否开工建设</w:t>
            </w:r>
          </w:p>
        </w:tc>
        <w:tc>
          <w:tcPr>
            <w:tcW w:w="2700" w:type="dxa"/>
            <w:vAlign w:val="center"/>
          </w:tcPr>
          <w:p w14:paraId="47579F3C">
            <w:pP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否</w:t>
            </w:r>
          </w:p>
          <w:p w14:paraId="470AFFEC">
            <w:pPr>
              <w:rPr>
                <w:rFonts w:hint="default" w:ascii="Times New Roman" w:hAnsi="Times New Roman"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是</w:t>
            </w:r>
          </w:p>
        </w:tc>
        <w:tc>
          <w:tcPr>
            <w:tcW w:w="2144" w:type="dxa"/>
            <w:vAlign w:val="center"/>
          </w:tcPr>
          <w:p w14:paraId="5BA07299">
            <w:pPr>
              <w:jc w:val="center"/>
              <w:rPr>
                <w:rFonts w:hint="default" w:ascii="Times New Roman" w:hAnsi="Times New Roman" w:cs="Times New Roman"/>
                <w:color w:val="auto"/>
                <w:sz w:val="24"/>
              </w:rPr>
            </w:pPr>
            <w:r>
              <w:rPr>
                <w:rFonts w:hint="default" w:ascii="Times New Roman" w:hAnsi="Times New Roman" w:cs="Times New Roman"/>
                <w:color w:val="auto"/>
                <w:sz w:val="24"/>
              </w:rPr>
              <w:t>用地（用海）面积（m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tc>
        <w:tc>
          <w:tcPr>
            <w:tcW w:w="3670" w:type="dxa"/>
            <w:vAlign w:val="center"/>
          </w:tcPr>
          <w:p w14:paraId="6234C679">
            <w:pPr>
              <w:jc w:val="center"/>
              <w:rPr>
                <w:rFonts w:hint="default" w:ascii="Times New Roman" w:hAnsi="Times New Roman" w:cs="Times New Roman" w:eastAsiaTheme="minorEastAsia"/>
                <w:color w:val="auto"/>
                <w:sz w:val="24"/>
                <w:lang w:val="en-US" w:eastAsia="zh-CN"/>
              </w:rPr>
            </w:pPr>
            <w:r>
              <w:rPr>
                <w:rFonts w:hint="eastAsia" w:ascii="Times New Roman" w:hAnsi="Times New Roman" w:cs="Times New Roman"/>
                <w:color w:val="auto"/>
                <w:sz w:val="24"/>
                <w:lang w:val="en-US" w:eastAsia="zh-CN"/>
              </w:rPr>
              <w:t>1500</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租赁</w:t>
            </w:r>
            <w:r>
              <w:rPr>
                <w:rFonts w:hint="default" w:ascii="Times New Roman" w:hAnsi="Times New Roman" w:cs="Times New Roman"/>
                <w:color w:val="auto"/>
                <w:sz w:val="24"/>
                <w:lang w:val="en-US" w:eastAsia="zh-CN"/>
              </w:rPr>
              <w:t>面积）</w:t>
            </w:r>
          </w:p>
        </w:tc>
      </w:tr>
      <w:tr w14:paraId="4FC163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691" w:type="dxa"/>
            <w:vAlign w:val="center"/>
          </w:tcPr>
          <w:p w14:paraId="36850BFC">
            <w:pPr>
              <w:jc w:val="center"/>
              <w:rPr>
                <w:rFonts w:hint="default" w:ascii="Times New Roman" w:hAnsi="Times New Roman" w:cs="Times New Roman"/>
                <w:color w:val="auto"/>
                <w:sz w:val="24"/>
              </w:rPr>
            </w:pPr>
            <w:r>
              <w:rPr>
                <w:rFonts w:hint="default" w:ascii="Times New Roman" w:hAnsi="Times New Roman" w:cs="Times New Roman"/>
                <w:color w:val="auto"/>
                <w:sz w:val="24"/>
              </w:rPr>
              <w:t>专项评价设置情况</w:t>
            </w:r>
          </w:p>
        </w:tc>
        <w:tc>
          <w:tcPr>
            <w:tcW w:w="8514" w:type="dxa"/>
            <w:gridSpan w:val="3"/>
            <w:vAlign w:val="center"/>
          </w:tcPr>
          <w:p w14:paraId="3EBFADDD">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表1.1  专项评价设置原则表</w:t>
            </w:r>
          </w:p>
          <w:tbl>
            <w:tblPr>
              <w:tblStyle w:val="32"/>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3439"/>
              <w:gridCol w:w="3806"/>
            </w:tblGrid>
            <w:tr w14:paraId="4975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5" w:type="dxa"/>
                  <w:vAlign w:val="center"/>
                </w:tcPr>
                <w:p w14:paraId="3C283CD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专项评价的类别</w:t>
                  </w:r>
                </w:p>
              </w:tc>
              <w:tc>
                <w:tcPr>
                  <w:tcW w:w="3439" w:type="dxa"/>
                  <w:vAlign w:val="center"/>
                </w:tcPr>
                <w:p w14:paraId="754EB31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设置原则</w:t>
                  </w:r>
                </w:p>
              </w:tc>
              <w:tc>
                <w:tcPr>
                  <w:tcW w:w="3806" w:type="dxa"/>
                  <w:vAlign w:val="center"/>
                </w:tcPr>
                <w:p w14:paraId="2DAA233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w:t>
                  </w:r>
                </w:p>
              </w:tc>
            </w:tr>
            <w:tr w14:paraId="339B0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atLeast"/>
                <w:jc w:val="center"/>
              </w:trPr>
              <w:tc>
                <w:tcPr>
                  <w:tcW w:w="1145" w:type="dxa"/>
                  <w:vAlign w:val="center"/>
                </w:tcPr>
                <w:p w14:paraId="0C39595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w:t>
                  </w:r>
                </w:p>
              </w:tc>
              <w:tc>
                <w:tcPr>
                  <w:tcW w:w="3439" w:type="dxa"/>
                  <w:vAlign w:val="center"/>
                </w:tcPr>
                <w:p w14:paraId="73613CB0">
                  <w:pPr>
                    <w:ind w:firstLine="420" w:firstLineChars="20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排放废气含有毒有害污染物</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、二噁英、苯并[a]芘、氰化物、氯气</w:t>
                  </w:r>
                  <w:r>
                    <w:rPr>
                      <w:rFonts w:hint="default" w:ascii="Times New Roman" w:hAnsi="Times New Roman" w:cs="Times New Roman"/>
                      <w:b/>
                      <w:bCs/>
                      <w:color w:val="auto"/>
                      <w:sz w:val="21"/>
                      <w:szCs w:val="21"/>
                    </w:rPr>
                    <w:t>且</w:t>
                  </w:r>
                  <w:r>
                    <w:rPr>
                      <w:rFonts w:hint="default" w:ascii="Times New Roman" w:hAnsi="Times New Roman" w:cs="Times New Roman"/>
                      <w:color w:val="auto"/>
                      <w:sz w:val="21"/>
                      <w:szCs w:val="21"/>
                    </w:rPr>
                    <w:t>厂界外500米范围内有环境空气保护目</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标的建设项目。</w:t>
                  </w:r>
                </w:p>
              </w:tc>
              <w:tc>
                <w:tcPr>
                  <w:tcW w:w="3806" w:type="dxa"/>
                  <w:vAlign w:val="center"/>
                </w:tcPr>
                <w:p w14:paraId="7905A3DF">
                  <w:pPr>
                    <w:ind w:firstLine="420" w:firstLineChars="20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本项目运营期主要废气污染物为</w:t>
                  </w:r>
                  <w:r>
                    <w:rPr>
                      <w:rFonts w:hint="default" w:ascii="Times New Roman" w:hAnsi="Times New Roman" w:cs="Times New Roman"/>
                      <w:color w:val="auto"/>
                      <w:sz w:val="21"/>
                      <w:szCs w:val="21"/>
                      <w:lang w:val="en-US" w:eastAsia="zh-CN"/>
                    </w:rPr>
                    <w:t>颗粒物</w:t>
                  </w:r>
                  <w:r>
                    <w:rPr>
                      <w:rFonts w:hint="eastAsia" w:ascii="Times New Roman" w:hAnsi="Times New Roman" w:cs="Times New Roman"/>
                      <w:color w:val="auto"/>
                      <w:sz w:val="21"/>
                      <w:szCs w:val="21"/>
                      <w:lang w:val="en-US" w:eastAsia="zh-CN"/>
                    </w:rPr>
                    <w:t>、非甲烷总烃、甲醛，涉及</w:t>
                  </w:r>
                  <w:r>
                    <w:rPr>
                      <w:rFonts w:hint="default" w:ascii="Times New Roman" w:hAnsi="Times New Roman" w:cs="Times New Roman"/>
                      <w:color w:val="auto"/>
                      <w:sz w:val="21"/>
                      <w:szCs w:val="21"/>
                    </w:rPr>
                    <w:t>有毒有害污染物</w:t>
                  </w:r>
                  <w:r>
                    <w:rPr>
                      <w:rFonts w:hint="eastAsia" w:ascii="Times New Roman" w:hAnsi="Times New Roman" w:cs="Times New Roman"/>
                      <w:color w:val="auto"/>
                      <w:sz w:val="21"/>
                      <w:szCs w:val="21"/>
                      <w:lang w:val="en-US" w:eastAsia="zh-CN"/>
                    </w:rPr>
                    <w:t>中甲醛排放，但</w:t>
                  </w:r>
                  <w:r>
                    <w:rPr>
                      <w:rFonts w:hint="default" w:ascii="Times New Roman" w:hAnsi="Times New Roman" w:cs="Times New Roman"/>
                      <w:color w:val="auto"/>
                      <w:sz w:val="21"/>
                      <w:szCs w:val="21"/>
                      <w:lang w:val="en-US" w:eastAsia="zh-CN"/>
                    </w:rPr>
                    <w:t>厂界外500米范围内</w:t>
                  </w:r>
                  <w:r>
                    <w:rPr>
                      <w:rFonts w:hint="eastAsia" w:ascii="Times New Roman" w:hAnsi="Times New Roman" w:cs="Times New Roman"/>
                      <w:color w:val="auto"/>
                      <w:sz w:val="21"/>
                      <w:szCs w:val="21"/>
                      <w:lang w:val="en-US" w:eastAsia="zh-CN"/>
                    </w:rPr>
                    <w:t>无</w:t>
                  </w:r>
                  <w:r>
                    <w:rPr>
                      <w:rFonts w:hint="default" w:ascii="Times New Roman" w:hAnsi="Times New Roman" w:cs="Times New Roman"/>
                      <w:color w:val="auto"/>
                      <w:sz w:val="21"/>
                      <w:szCs w:val="21"/>
                      <w:lang w:val="en-US" w:eastAsia="zh-CN"/>
                    </w:rPr>
                    <w:t>环境空气保护目标</w:t>
                  </w:r>
                  <w:r>
                    <w:rPr>
                      <w:rFonts w:hint="default" w:ascii="Times New Roman" w:hAnsi="Times New Roman" w:cs="Times New Roman"/>
                      <w:color w:val="auto"/>
                      <w:sz w:val="21"/>
                      <w:szCs w:val="21"/>
                      <w:lang w:eastAsia="zh-CN"/>
                    </w:rPr>
                    <w:t>，故</w:t>
                  </w:r>
                  <w:r>
                    <w:rPr>
                      <w:rFonts w:hint="default" w:ascii="Times New Roman" w:hAnsi="Times New Roman" w:cs="Times New Roman"/>
                      <w:b/>
                      <w:bCs/>
                      <w:color w:val="auto"/>
                      <w:sz w:val="21"/>
                      <w:szCs w:val="21"/>
                    </w:rPr>
                    <w:t>无需</w:t>
                  </w:r>
                  <w:r>
                    <w:rPr>
                      <w:rFonts w:hint="default" w:ascii="Times New Roman" w:hAnsi="Times New Roman" w:cs="Times New Roman"/>
                      <w:color w:val="auto"/>
                      <w:sz w:val="21"/>
                      <w:szCs w:val="21"/>
                    </w:rPr>
                    <w:t>设置</w:t>
                  </w:r>
                  <w:r>
                    <w:rPr>
                      <w:rFonts w:hint="default" w:ascii="Times New Roman" w:hAnsi="Times New Roman" w:cs="Times New Roman"/>
                      <w:color w:val="auto"/>
                      <w:sz w:val="21"/>
                      <w:szCs w:val="21"/>
                      <w:lang w:eastAsia="zh-CN"/>
                    </w:rPr>
                    <w:t>大气专项评价。</w:t>
                  </w:r>
                </w:p>
              </w:tc>
            </w:tr>
            <w:tr w14:paraId="051A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14:paraId="5BD6327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w:t>
                  </w:r>
                </w:p>
              </w:tc>
              <w:tc>
                <w:tcPr>
                  <w:tcW w:w="3439" w:type="dxa"/>
                  <w:vAlign w:val="center"/>
                </w:tcPr>
                <w:p w14:paraId="157E5D00">
                  <w:pPr>
                    <w:ind w:firstLine="420" w:firstLineChars="20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新增工业废水直排建设项目（槽罐车外送污水处理厂的除外）；新增废水直排的污水集中处理厂。</w:t>
                  </w:r>
                </w:p>
              </w:tc>
              <w:tc>
                <w:tcPr>
                  <w:tcW w:w="3806" w:type="dxa"/>
                  <w:vAlign w:val="center"/>
                </w:tcPr>
                <w:p w14:paraId="5588892E">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本</w:t>
                  </w:r>
                  <w:r>
                    <w:rPr>
                      <w:rFonts w:hint="default" w:ascii="Times New Roman" w:hAnsi="Times New Roman" w:cs="Times New Roman"/>
                      <w:color w:val="auto"/>
                      <w:sz w:val="21"/>
                      <w:szCs w:val="21"/>
                      <w:lang w:eastAsia="zh-CN"/>
                    </w:rPr>
                    <w:t>项目运营期无生产性废水产生及排放，</w:t>
                  </w:r>
                  <w:r>
                    <w:rPr>
                      <w:rFonts w:hint="eastAsia" w:ascii="Times New Roman" w:hAnsi="Times New Roman" w:cs="Times New Roman"/>
                      <w:color w:val="auto"/>
                      <w:sz w:val="21"/>
                      <w:szCs w:val="21"/>
                      <w:lang w:eastAsia="zh-CN"/>
                    </w:rPr>
                    <w:t>职工生活污水依托园区现有“化粪池”处理后达到《污水综合排放标准》（GB8978-1996）表4中三级标准限值及泗县工业污水处理厂接管限值后排入泗县工业污水处理厂处理达《城镇污水处理厂污染物排放标准》（GB18918-2002）表1中一级标准A标准后排入石梁河。</w:t>
                  </w:r>
                  <w:r>
                    <w:rPr>
                      <w:rFonts w:hint="default" w:ascii="Times New Roman" w:hAnsi="Times New Roman" w:cs="Times New Roman"/>
                      <w:color w:val="auto"/>
                      <w:sz w:val="21"/>
                      <w:szCs w:val="21"/>
                      <w:lang w:val="en-US" w:eastAsia="zh-CN"/>
                    </w:rPr>
                    <w:t>故</w:t>
                  </w:r>
                  <w:r>
                    <w:rPr>
                      <w:rFonts w:hint="default" w:ascii="Times New Roman" w:hAnsi="Times New Roman" w:cs="Times New Roman"/>
                      <w:b/>
                      <w:bCs/>
                      <w:color w:val="auto"/>
                      <w:sz w:val="21"/>
                      <w:szCs w:val="21"/>
                      <w:lang w:eastAsia="zh-CN"/>
                    </w:rPr>
                    <w:t>无需</w:t>
                  </w:r>
                  <w:r>
                    <w:rPr>
                      <w:rFonts w:hint="default" w:ascii="Times New Roman" w:hAnsi="Times New Roman" w:cs="Times New Roman"/>
                      <w:color w:val="auto"/>
                      <w:sz w:val="21"/>
                      <w:szCs w:val="21"/>
                      <w:lang w:eastAsia="zh-CN"/>
                    </w:rPr>
                    <w:t>设置地表水专项评价。</w:t>
                  </w:r>
                </w:p>
              </w:tc>
            </w:tr>
            <w:tr w14:paraId="41AC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14:paraId="02E1B0F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w:t>
                  </w:r>
                </w:p>
              </w:tc>
              <w:tc>
                <w:tcPr>
                  <w:tcW w:w="3439" w:type="dxa"/>
                  <w:vAlign w:val="center"/>
                </w:tcPr>
                <w:p w14:paraId="7601B403">
                  <w:pPr>
                    <w:ind w:firstLine="420" w:firstLineChars="20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有毒有害和易燃易爆危险物质存储量超过临界量</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的建设项目。</w:t>
                  </w:r>
                </w:p>
              </w:tc>
              <w:tc>
                <w:tcPr>
                  <w:tcW w:w="3806" w:type="dxa"/>
                  <w:vAlign w:val="center"/>
                </w:tcPr>
                <w:p w14:paraId="69F309E3">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本项目运营期</w:t>
                  </w:r>
                  <w:r>
                    <w:rPr>
                      <w:rFonts w:hint="eastAsia" w:ascii="Times New Roman" w:hAnsi="Times New Roman" w:cs="Times New Roman"/>
                      <w:color w:val="auto"/>
                      <w:sz w:val="21"/>
                      <w:szCs w:val="21"/>
                      <w:lang w:val="en-US" w:eastAsia="zh-CN"/>
                    </w:rPr>
                    <w:t>涉及</w:t>
                  </w:r>
                  <w:r>
                    <w:rPr>
                      <w:rFonts w:hint="default" w:ascii="Times New Roman" w:hAnsi="Times New Roman" w:cs="Times New Roman"/>
                      <w:color w:val="auto"/>
                      <w:sz w:val="21"/>
                      <w:szCs w:val="21"/>
                      <w:lang w:eastAsia="zh-CN"/>
                    </w:rPr>
                    <w:t>有毒有害和易燃易爆危险物质</w:t>
                  </w:r>
                  <w:r>
                    <w:rPr>
                      <w:rFonts w:hint="eastAsia" w:ascii="Times New Roman" w:hAnsi="Times New Roman" w:cs="Times New Roman"/>
                      <w:color w:val="auto"/>
                      <w:sz w:val="21"/>
                      <w:szCs w:val="21"/>
                      <w:lang w:val="en-US" w:eastAsia="zh-CN"/>
                    </w:rPr>
                    <w:t>较少，</w:t>
                  </w:r>
                  <w:r>
                    <w:rPr>
                      <w:rFonts w:hint="default" w:ascii="Times New Roman" w:hAnsi="Times New Roman" w:cs="Times New Roman"/>
                      <w:color w:val="auto"/>
                      <w:sz w:val="21"/>
                      <w:szCs w:val="21"/>
                    </w:rPr>
                    <w:t>存储量</w:t>
                  </w:r>
                  <w:r>
                    <w:rPr>
                      <w:rFonts w:hint="eastAsia" w:ascii="Times New Roman" w:hAnsi="Times New Roman" w:cs="Times New Roman"/>
                      <w:color w:val="auto"/>
                      <w:sz w:val="21"/>
                      <w:szCs w:val="21"/>
                      <w:lang w:val="en-US" w:eastAsia="zh-CN"/>
                    </w:rPr>
                    <w:t>未</w:t>
                  </w:r>
                  <w:r>
                    <w:rPr>
                      <w:rFonts w:hint="default" w:ascii="Times New Roman" w:hAnsi="Times New Roman" w:cs="Times New Roman"/>
                      <w:color w:val="auto"/>
                      <w:sz w:val="21"/>
                      <w:szCs w:val="21"/>
                    </w:rPr>
                    <w:t>超过临界量</w:t>
                  </w:r>
                  <w:r>
                    <w:rPr>
                      <w:rFonts w:hint="default" w:ascii="Times New Roman" w:hAnsi="Times New Roman" w:cs="Times New Roman"/>
                      <w:color w:val="auto"/>
                      <w:sz w:val="21"/>
                      <w:szCs w:val="21"/>
                      <w:lang w:eastAsia="zh-CN"/>
                    </w:rPr>
                    <w:t>，故</w:t>
                  </w:r>
                  <w:r>
                    <w:rPr>
                      <w:rFonts w:hint="default" w:ascii="Times New Roman" w:hAnsi="Times New Roman" w:cs="Times New Roman"/>
                      <w:b/>
                      <w:bCs/>
                      <w:color w:val="auto"/>
                      <w:sz w:val="21"/>
                      <w:szCs w:val="21"/>
                      <w:lang w:val="en-US" w:eastAsia="zh-CN"/>
                    </w:rPr>
                    <w:t>无</w:t>
                  </w:r>
                  <w:r>
                    <w:rPr>
                      <w:rFonts w:hint="default" w:ascii="Times New Roman" w:hAnsi="Times New Roman" w:cs="Times New Roman"/>
                      <w:b/>
                      <w:bCs/>
                      <w:color w:val="auto"/>
                      <w:sz w:val="21"/>
                      <w:szCs w:val="21"/>
                    </w:rPr>
                    <w:t>需</w:t>
                  </w:r>
                  <w:r>
                    <w:rPr>
                      <w:rFonts w:hint="default" w:ascii="Times New Roman" w:hAnsi="Times New Roman" w:cs="Times New Roman"/>
                      <w:color w:val="auto"/>
                      <w:sz w:val="21"/>
                      <w:szCs w:val="21"/>
                    </w:rPr>
                    <w:t>设置</w:t>
                  </w:r>
                  <w:r>
                    <w:rPr>
                      <w:rFonts w:hint="default" w:ascii="Times New Roman" w:hAnsi="Times New Roman" w:cs="Times New Roman"/>
                      <w:color w:val="auto"/>
                      <w:sz w:val="21"/>
                      <w:szCs w:val="21"/>
                      <w:lang w:eastAsia="zh-CN"/>
                    </w:rPr>
                    <w:t>环境风险专项评价。</w:t>
                  </w:r>
                </w:p>
              </w:tc>
            </w:tr>
            <w:tr w14:paraId="0590B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14:paraId="049892F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w:t>
                  </w:r>
                </w:p>
              </w:tc>
              <w:tc>
                <w:tcPr>
                  <w:tcW w:w="3439" w:type="dxa"/>
                  <w:vAlign w:val="center"/>
                </w:tcPr>
                <w:p w14:paraId="64287A25">
                  <w:pPr>
                    <w:ind w:firstLine="420" w:firstLineChars="20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取水口下游500米范围内有重要水生生物的自然产卵场、索饵场、越冬场和洄游通道的新增河道取水的污染类建设项目。</w:t>
                  </w:r>
                </w:p>
              </w:tc>
              <w:tc>
                <w:tcPr>
                  <w:tcW w:w="3806" w:type="dxa"/>
                  <w:vAlign w:val="center"/>
                </w:tcPr>
                <w:p w14:paraId="3C0627EC">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不涉及，</w:t>
                  </w:r>
                  <w:r>
                    <w:rPr>
                      <w:rFonts w:hint="default" w:ascii="Times New Roman" w:hAnsi="Times New Roman" w:cs="Times New Roman"/>
                      <w:b/>
                      <w:bCs/>
                      <w:color w:val="auto"/>
                      <w:sz w:val="21"/>
                      <w:szCs w:val="21"/>
                    </w:rPr>
                    <w:t>无需</w:t>
                  </w:r>
                  <w:r>
                    <w:rPr>
                      <w:rFonts w:hint="default" w:ascii="Times New Roman" w:hAnsi="Times New Roman" w:cs="Times New Roman"/>
                      <w:color w:val="auto"/>
                      <w:sz w:val="21"/>
                      <w:szCs w:val="21"/>
                    </w:rPr>
                    <w:t>设置</w:t>
                  </w:r>
                  <w:r>
                    <w:rPr>
                      <w:rFonts w:hint="default" w:ascii="Times New Roman" w:hAnsi="Times New Roman" w:cs="Times New Roman"/>
                      <w:color w:val="auto"/>
                      <w:sz w:val="21"/>
                      <w:szCs w:val="21"/>
                      <w:lang w:eastAsia="zh-CN"/>
                    </w:rPr>
                    <w:t>生态专项评价。</w:t>
                  </w:r>
                </w:p>
              </w:tc>
            </w:tr>
            <w:tr w14:paraId="20340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5" w:type="dxa"/>
                  <w:vAlign w:val="center"/>
                </w:tcPr>
                <w:p w14:paraId="3DAA924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海洋</w:t>
                  </w:r>
                </w:p>
              </w:tc>
              <w:tc>
                <w:tcPr>
                  <w:tcW w:w="3439" w:type="dxa"/>
                  <w:vAlign w:val="center"/>
                </w:tcPr>
                <w:p w14:paraId="0A073B6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直接向海排放污染物的海洋工程建设项目。</w:t>
                  </w:r>
                </w:p>
              </w:tc>
              <w:tc>
                <w:tcPr>
                  <w:tcW w:w="3806" w:type="dxa"/>
                  <w:vAlign w:val="center"/>
                </w:tcPr>
                <w:p w14:paraId="5A3261E3">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不涉及，</w:t>
                  </w:r>
                  <w:r>
                    <w:rPr>
                      <w:rFonts w:hint="default" w:ascii="Times New Roman" w:hAnsi="Times New Roman" w:cs="Times New Roman"/>
                      <w:b/>
                      <w:bCs/>
                      <w:color w:val="auto"/>
                      <w:sz w:val="21"/>
                      <w:szCs w:val="21"/>
                    </w:rPr>
                    <w:t>无需</w:t>
                  </w:r>
                  <w:r>
                    <w:rPr>
                      <w:rFonts w:hint="default" w:ascii="Times New Roman" w:hAnsi="Times New Roman" w:cs="Times New Roman"/>
                      <w:color w:val="auto"/>
                      <w:sz w:val="21"/>
                      <w:szCs w:val="21"/>
                    </w:rPr>
                    <w:t>设置</w:t>
                  </w:r>
                  <w:r>
                    <w:rPr>
                      <w:rFonts w:hint="default" w:ascii="Times New Roman" w:hAnsi="Times New Roman" w:cs="Times New Roman"/>
                      <w:color w:val="auto"/>
                      <w:sz w:val="21"/>
                      <w:szCs w:val="21"/>
                      <w:lang w:eastAsia="zh-CN"/>
                    </w:rPr>
                    <w:t>海洋专项评价。</w:t>
                  </w:r>
                </w:p>
              </w:tc>
            </w:tr>
            <w:tr w14:paraId="55968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0" w:type="dxa"/>
                  <w:gridSpan w:val="3"/>
                  <w:vAlign w:val="center"/>
                </w:tcPr>
                <w:p w14:paraId="36C690E7">
                  <w:pPr>
                    <w:ind w:firstLine="422" w:firstLineChars="200"/>
                    <w:jc w:val="both"/>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注：</w:t>
                  </w:r>
                  <w:r>
                    <w:rPr>
                      <w:rFonts w:hint="default" w:ascii="Times New Roman" w:hAnsi="Times New Roman" w:cs="Times New Roman"/>
                      <w:color w:val="auto"/>
                      <w:sz w:val="21"/>
                      <w:szCs w:val="21"/>
                    </w:rPr>
                    <w:t>1.废气中有毒有害污染物指纳入《有毒有害大气污染物名录》的污染物（不包括无排放标准的污染物）。</w:t>
                  </w:r>
                </w:p>
                <w:p w14:paraId="3E84855D">
                  <w:pPr>
                    <w:ind w:firstLine="840" w:firstLineChars="40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2.环境空气保护目标指自然保护区、风景名胜区、居住区、文化区和农村地区中人群较集中的区域。</w:t>
                  </w:r>
                </w:p>
                <w:p w14:paraId="52D8E68C">
                  <w:pPr>
                    <w:ind w:firstLine="840" w:firstLineChars="40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3.临界量及其计算方法可参考《建设项目环境风险评价技术导则》</w:t>
                  </w:r>
                  <w:r>
                    <w:rPr>
                      <w:rFonts w:hint="default" w:ascii="Times New Roman" w:hAnsi="Times New Roman" w:cs="Times New Roman" w:eastAsiaTheme="minorEastAsia"/>
                      <w:color w:val="auto"/>
                      <w:sz w:val="21"/>
                      <w:szCs w:val="21"/>
                    </w:rPr>
                    <w:t>（</w:t>
                  </w:r>
                  <w:r>
                    <w:rPr>
                      <w:rFonts w:hint="default" w:ascii="Times New Roman" w:hAnsi="Times New Roman" w:cs="Times New Roman"/>
                      <w:color w:val="auto"/>
                      <w:sz w:val="21"/>
                      <w:szCs w:val="21"/>
                    </w:rPr>
                    <w:t>HJ</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169-2018）附录B、附录C。</w:t>
                  </w:r>
                </w:p>
              </w:tc>
            </w:tr>
          </w:tbl>
          <w:p w14:paraId="5BE5D027">
            <w:pPr>
              <w:pStyle w:val="46"/>
              <w:ind w:firstLine="0" w:firstLineChars="0"/>
              <w:rPr>
                <w:rFonts w:hint="default" w:ascii="Times New Roman" w:hAnsi="Times New Roman" w:cs="Times New Roman"/>
                <w:color w:val="auto"/>
              </w:rPr>
            </w:pPr>
          </w:p>
        </w:tc>
      </w:tr>
      <w:tr w14:paraId="1430C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1" w:type="dxa"/>
            <w:vAlign w:val="center"/>
          </w:tcPr>
          <w:p w14:paraId="0C508625">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规划情况</w:t>
            </w:r>
          </w:p>
        </w:tc>
        <w:tc>
          <w:tcPr>
            <w:tcW w:w="8514" w:type="dxa"/>
            <w:gridSpan w:val="3"/>
            <w:vAlign w:val="center"/>
          </w:tcPr>
          <w:p w14:paraId="47FF8B8B">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eastAsiaTheme="minorEastAsia"/>
                <w:b w:val="0"/>
                <w:bCs w:val="0"/>
                <w:sz w:val="24"/>
                <w:szCs w:val="24"/>
                <w:lang w:val="en-US" w:eastAsia="zh-CN"/>
              </w:rPr>
            </w:pPr>
            <w:r>
              <w:rPr>
                <w:rFonts w:hint="default" w:ascii="Times New Roman" w:hAnsi="Times New Roman" w:cs="Times New Roman" w:eastAsiaTheme="minorEastAsia"/>
                <w:b w:val="0"/>
                <w:bCs w:val="0"/>
                <w:sz w:val="24"/>
                <w:szCs w:val="24"/>
                <w:lang w:val="en-US" w:eastAsia="zh-CN"/>
              </w:rPr>
              <w:t>规划名称：《安徽泗县经济开发区总体发展规划(2013-2030)》；</w:t>
            </w:r>
          </w:p>
          <w:p w14:paraId="0769894D">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eastAsiaTheme="minorEastAsia"/>
                <w:b w:val="0"/>
                <w:bCs w:val="0"/>
                <w:sz w:val="24"/>
                <w:szCs w:val="24"/>
                <w:lang w:val="en-US" w:eastAsia="zh-CN"/>
              </w:rPr>
            </w:pPr>
            <w:r>
              <w:rPr>
                <w:rFonts w:hint="default" w:ascii="Times New Roman" w:hAnsi="Times New Roman" w:cs="Times New Roman" w:eastAsiaTheme="minorEastAsia"/>
                <w:b w:val="0"/>
                <w:bCs w:val="0"/>
                <w:sz w:val="24"/>
                <w:szCs w:val="24"/>
                <w:lang w:val="en-US" w:eastAsia="zh-CN"/>
              </w:rPr>
              <w:t>审批机关：安徽省人民政府；</w:t>
            </w:r>
          </w:p>
          <w:p w14:paraId="2F8678C8">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eastAsiaTheme="minorEastAsia"/>
                <w:b w:val="0"/>
                <w:bCs w:val="0"/>
                <w:sz w:val="24"/>
                <w:szCs w:val="24"/>
                <w:lang w:val="en-US" w:eastAsia="zh-CN"/>
              </w:rPr>
              <w:t>审批文件名称和文号：《安徽省人民政府关于设立安徽泗县经济开发区的批复》（皖政秘[2006]136号）；《安徽省人民政府关于同意安徽泗县经济开发区扩区的批复》（皖政秘[2014]124号）</w:t>
            </w:r>
          </w:p>
        </w:tc>
      </w:tr>
      <w:tr w14:paraId="7A5B74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1" w:type="dxa"/>
            <w:vAlign w:val="center"/>
          </w:tcPr>
          <w:p w14:paraId="52872C15">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cs="Times New Roman" w:eastAsiaTheme="minorEastAsia"/>
                <w:b w:val="0"/>
                <w:bCs w:val="0"/>
                <w:sz w:val="24"/>
                <w:szCs w:val="24"/>
                <w:lang w:val="en-US" w:eastAsia="zh-CN"/>
              </w:rPr>
            </w:pPr>
            <w:r>
              <w:rPr>
                <w:rFonts w:hint="default" w:ascii="Times New Roman" w:hAnsi="Times New Roman" w:cs="Times New Roman" w:eastAsiaTheme="minorEastAsia"/>
                <w:b w:val="0"/>
                <w:bCs w:val="0"/>
                <w:sz w:val="24"/>
                <w:szCs w:val="24"/>
                <w:lang w:val="en-US" w:eastAsia="zh-CN"/>
              </w:rPr>
              <w:t>规划环境影响评价情况</w:t>
            </w:r>
          </w:p>
        </w:tc>
        <w:tc>
          <w:tcPr>
            <w:tcW w:w="8514" w:type="dxa"/>
            <w:gridSpan w:val="3"/>
            <w:vAlign w:val="center"/>
          </w:tcPr>
          <w:p w14:paraId="5E2EE264">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cs="Times New Roman" w:eastAsiaTheme="minorEastAsia"/>
                <w:b w:val="0"/>
                <w:bCs w:val="0"/>
                <w:sz w:val="24"/>
                <w:szCs w:val="24"/>
                <w:lang w:val="en-US" w:eastAsia="zh-CN"/>
              </w:rPr>
            </w:pPr>
            <w:r>
              <w:rPr>
                <w:rFonts w:hint="eastAsia" w:ascii="Times New Roman" w:hAnsi="Times New Roman" w:cs="Times New Roman" w:eastAsiaTheme="minorEastAsia"/>
                <w:b w:val="0"/>
                <w:bCs w:val="0"/>
                <w:sz w:val="24"/>
                <w:szCs w:val="24"/>
                <w:lang w:val="en-US" w:eastAsia="zh-CN"/>
              </w:rPr>
              <w:t>规划环境影响评价文件名称：《安徽泗县经济开发区总体发展规划环境影响报告书》</w:t>
            </w:r>
          </w:p>
          <w:p w14:paraId="0FCF3DE7">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cs="Times New Roman" w:eastAsiaTheme="minorEastAsia"/>
                <w:b w:val="0"/>
                <w:bCs w:val="0"/>
                <w:sz w:val="24"/>
                <w:szCs w:val="24"/>
                <w:lang w:val="en-US" w:eastAsia="zh-CN"/>
              </w:rPr>
            </w:pPr>
            <w:r>
              <w:rPr>
                <w:rFonts w:hint="eastAsia" w:ascii="Times New Roman" w:hAnsi="Times New Roman" w:cs="Times New Roman" w:eastAsiaTheme="minorEastAsia"/>
                <w:b w:val="0"/>
                <w:bCs w:val="0"/>
                <w:sz w:val="24"/>
                <w:szCs w:val="24"/>
                <w:lang w:val="en-US" w:eastAsia="zh-CN"/>
              </w:rPr>
              <w:t>审查机关：安徽省环境保护厅</w:t>
            </w:r>
          </w:p>
          <w:p w14:paraId="33D6EB60">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cs="Times New Roman" w:eastAsiaTheme="minorEastAsia"/>
                <w:b w:val="0"/>
                <w:bCs w:val="0"/>
                <w:sz w:val="24"/>
                <w:szCs w:val="24"/>
                <w:lang w:val="en-US" w:eastAsia="zh-CN"/>
              </w:rPr>
            </w:pPr>
            <w:r>
              <w:rPr>
                <w:rFonts w:hint="eastAsia" w:ascii="Times New Roman" w:hAnsi="Times New Roman" w:cs="Times New Roman" w:eastAsiaTheme="minorEastAsia"/>
                <w:b w:val="0"/>
                <w:bCs w:val="0"/>
                <w:sz w:val="24"/>
                <w:szCs w:val="24"/>
                <w:lang w:val="en-US" w:eastAsia="zh-CN"/>
              </w:rPr>
              <w:t>审查文件名称及文号：《安徽省环保厅关于安徽泗县经济开发区总体发展规划环境影响报告书审查意见的函》皖环函（[2014]645 号）</w:t>
            </w:r>
          </w:p>
          <w:p w14:paraId="25943226">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cs="Times New Roman" w:eastAsiaTheme="minorEastAsia"/>
                <w:b w:val="0"/>
                <w:bCs w:val="0"/>
                <w:sz w:val="24"/>
                <w:szCs w:val="24"/>
                <w:lang w:val="en-US" w:eastAsia="zh-CN"/>
              </w:rPr>
            </w:pPr>
            <w:r>
              <w:rPr>
                <w:rFonts w:hint="eastAsia" w:ascii="Times New Roman" w:hAnsi="Times New Roman" w:cs="Times New Roman" w:eastAsiaTheme="minorEastAsia"/>
                <w:b w:val="0"/>
                <w:bCs w:val="0"/>
                <w:sz w:val="24"/>
                <w:szCs w:val="24"/>
                <w:lang w:val="en-US" w:eastAsia="zh-CN"/>
              </w:rPr>
              <w:t>规划环境影响评价文件名称：《安徽泗县经济开发区总体发展环境影响跟踪评价报告书》</w:t>
            </w:r>
          </w:p>
          <w:p w14:paraId="3375F22E">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cs="Times New Roman" w:eastAsiaTheme="minorEastAsia"/>
                <w:b w:val="0"/>
                <w:bCs w:val="0"/>
                <w:sz w:val="24"/>
                <w:szCs w:val="24"/>
                <w:lang w:val="en-US" w:eastAsia="zh-CN"/>
              </w:rPr>
            </w:pPr>
            <w:r>
              <w:rPr>
                <w:rFonts w:hint="eastAsia" w:ascii="Times New Roman" w:hAnsi="Times New Roman" w:cs="Times New Roman" w:eastAsiaTheme="minorEastAsia"/>
                <w:b w:val="0"/>
                <w:bCs w:val="0"/>
                <w:sz w:val="24"/>
                <w:szCs w:val="24"/>
                <w:lang w:val="en-US" w:eastAsia="zh-CN"/>
              </w:rPr>
              <w:t>审查机关：宿州市生态环境局；</w:t>
            </w:r>
          </w:p>
          <w:p w14:paraId="7425BB0D">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cs="Times New Roman" w:eastAsiaTheme="minorEastAsia"/>
                <w:b w:val="0"/>
                <w:bCs w:val="0"/>
                <w:sz w:val="24"/>
                <w:szCs w:val="24"/>
                <w:lang w:val="en-US" w:eastAsia="zh-CN"/>
              </w:rPr>
            </w:pPr>
            <w:r>
              <w:rPr>
                <w:rFonts w:hint="eastAsia" w:ascii="Times New Roman" w:hAnsi="Times New Roman" w:cs="Times New Roman" w:eastAsiaTheme="minorEastAsia"/>
                <w:b w:val="0"/>
                <w:bCs w:val="0"/>
                <w:sz w:val="24"/>
                <w:szCs w:val="24"/>
                <w:lang w:val="en-US" w:eastAsia="zh-CN"/>
              </w:rPr>
              <w:t>审查文件名称及文号：《宿州市生态环境局关于安徽泗县经济开发区总体发展规划环境影响跟踪评价报告书的审查意见》（宿环函[2020]101号）</w:t>
            </w:r>
          </w:p>
        </w:tc>
      </w:tr>
      <w:tr w14:paraId="258FED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8" w:hRule="atLeast"/>
          <w:jc w:val="center"/>
        </w:trPr>
        <w:tc>
          <w:tcPr>
            <w:tcW w:w="1691" w:type="dxa"/>
            <w:vAlign w:val="center"/>
          </w:tcPr>
          <w:p w14:paraId="568DEF26">
            <w:pPr>
              <w:jc w:val="center"/>
              <w:rPr>
                <w:rFonts w:hint="default" w:ascii="Times New Roman" w:hAnsi="Times New Roman" w:cs="Times New Roman"/>
                <w:color w:val="auto"/>
                <w:sz w:val="24"/>
              </w:rPr>
            </w:pPr>
            <w:r>
              <w:rPr>
                <w:rFonts w:hint="default" w:ascii="Times New Roman" w:hAnsi="Times New Roman" w:cs="Times New Roman"/>
                <w:color w:val="auto"/>
                <w:sz w:val="24"/>
              </w:rPr>
              <w:t>规划及规划环境影响评价符合性分析</w:t>
            </w:r>
          </w:p>
        </w:tc>
        <w:tc>
          <w:tcPr>
            <w:tcW w:w="8514" w:type="dxa"/>
            <w:gridSpan w:val="3"/>
            <w:vAlign w:val="center"/>
          </w:tcPr>
          <w:p w14:paraId="3C1C14D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一</w:t>
            </w:r>
            <w:r>
              <w:rPr>
                <w:rFonts w:hint="eastAsia" w:ascii="Times New Roman" w:hAnsi="Times New Roman" w:eastAsia="宋体" w:cs="Times New Roman"/>
                <w:b/>
                <w:bCs/>
                <w:sz w:val="24"/>
                <w:szCs w:val="24"/>
                <w:highlight w:val="none"/>
                <w:lang w:val="en-US" w:eastAsia="zh-CN"/>
              </w:rPr>
              <w:t>、</w:t>
            </w:r>
            <w:r>
              <w:rPr>
                <w:rFonts w:hint="default" w:ascii="Times New Roman" w:hAnsi="Times New Roman" w:eastAsia="宋体" w:cs="Times New Roman"/>
                <w:b/>
                <w:bCs/>
                <w:sz w:val="24"/>
                <w:szCs w:val="24"/>
                <w:highlight w:val="none"/>
              </w:rPr>
              <w:t>本项目</w:t>
            </w:r>
            <w:r>
              <w:rPr>
                <w:rFonts w:hint="eastAsia" w:ascii="Times New Roman" w:hAnsi="Times New Roman" w:eastAsia="宋体" w:cs="Times New Roman"/>
                <w:b/>
                <w:bCs/>
                <w:sz w:val="24"/>
                <w:szCs w:val="24"/>
                <w:highlight w:val="none"/>
              </w:rPr>
              <w:t>与</w:t>
            </w:r>
            <w:r>
              <w:rPr>
                <w:rFonts w:hint="default" w:ascii="Times New Roman" w:hAnsi="Times New Roman" w:eastAsia="宋体" w:cs="Times New Roman"/>
                <w:b/>
                <w:bCs/>
                <w:sz w:val="24"/>
                <w:szCs w:val="24"/>
                <w:highlight w:val="none"/>
              </w:rPr>
              <w:t>泗</w:t>
            </w:r>
            <w:r>
              <w:rPr>
                <w:rFonts w:hint="default" w:ascii="Times New Roman" w:hAnsi="Times New Roman" w:cs="Times New Roman"/>
                <w:b/>
                <w:bCs/>
                <w:sz w:val="24"/>
                <w:szCs w:val="24"/>
                <w:highlight w:val="none"/>
              </w:rPr>
              <w:t>县经济开发区规划</w:t>
            </w:r>
            <w:r>
              <w:rPr>
                <w:rFonts w:hint="eastAsia" w:ascii="Times New Roman" w:hAnsi="Times New Roman" w:eastAsia="宋体" w:cs="Times New Roman"/>
                <w:b/>
                <w:bCs/>
                <w:sz w:val="24"/>
                <w:szCs w:val="24"/>
                <w:highlight w:val="none"/>
              </w:rPr>
              <w:t>的符合性</w:t>
            </w:r>
            <w:r>
              <w:rPr>
                <w:rFonts w:hint="default" w:ascii="Times New Roman" w:hAnsi="Times New Roman" w:eastAsia="宋体" w:cs="Times New Roman"/>
                <w:b/>
                <w:bCs/>
                <w:sz w:val="24"/>
                <w:szCs w:val="24"/>
                <w:highlight w:val="none"/>
              </w:rPr>
              <w:t>分析</w:t>
            </w:r>
          </w:p>
          <w:p w14:paraId="1024CC5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val="0"/>
                <w:sz w:val="24"/>
                <w:szCs w:val="24"/>
                <w:highlight w:val="none"/>
              </w:rPr>
            </w:pPr>
            <w:r>
              <w:rPr>
                <w:rFonts w:hint="default" w:ascii="Times New Roman" w:hAnsi="Times New Roman" w:cs="Times New Roman"/>
                <w:b w:val="0"/>
                <w:bCs w:val="0"/>
                <w:sz w:val="24"/>
                <w:szCs w:val="24"/>
                <w:highlight w:val="none"/>
              </w:rPr>
              <w:t>1、泗县经济开发区规划范围及主导产业</w:t>
            </w:r>
          </w:p>
          <w:p w14:paraId="10BC993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FF"/>
                <w:sz w:val="24"/>
                <w:szCs w:val="24"/>
                <w:highlight w:val="none"/>
              </w:rPr>
            </w:pPr>
            <w:r>
              <w:rPr>
                <w:rFonts w:hint="default" w:ascii="Times New Roman" w:hAnsi="Times New Roman" w:cs="Times New Roman"/>
                <w:kern w:val="0"/>
                <w:sz w:val="24"/>
                <w:szCs w:val="24"/>
                <w:highlight w:val="none"/>
              </w:rPr>
              <w:t>根据安徽泗县经济开发区总体发展规划，安徽泗县经济开发区的规划范围为原批复和扩区的全部范围，四至界限：东至东三环路；西至西三环路；南至新汴河；北至古汴河。规划总面积约18km</w:t>
            </w:r>
            <w:r>
              <w:rPr>
                <w:rFonts w:hint="default" w:ascii="Times New Roman" w:hAnsi="Times New Roman" w:cs="Times New Roman"/>
                <w:kern w:val="0"/>
                <w:sz w:val="24"/>
                <w:szCs w:val="24"/>
                <w:highlight w:val="none"/>
                <w:vertAlign w:val="superscript"/>
              </w:rPr>
              <w:t>2</w:t>
            </w:r>
            <w:r>
              <w:rPr>
                <w:rFonts w:hint="default" w:ascii="Times New Roman" w:hAnsi="Times New Roman" w:cs="Times New Roman"/>
                <w:kern w:val="0"/>
                <w:sz w:val="24"/>
                <w:szCs w:val="24"/>
                <w:highlight w:val="none"/>
              </w:rPr>
              <w:t>。主导产业为机械电子、纺织服装、农产品加工。</w:t>
            </w:r>
          </w:p>
          <w:p w14:paraId="1922B866">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sz w:val="24"/>
                <w:szCs w:val="24"/>
                <w:highlight w:val="none"/>
                <w:lang w:val="en-US" w:eastAsia="zh-CN" w:bidi="ar"/>
              </w:rPr>
              <w:t>2、</w:t>
            </w:r>
            <w:r>
              <w:rPr>
                <w:rFonts w:hint="default" w:ascii="Times New Roman" w:hAnsi="Times New Roman" w:eastAsia="宋体" w:cs="Times New Roman"/>
                <w:b w:val="0"/>
                <w:bCs w:val="0"/>
                <w:sz w:val="24"/>
                <w:szCs w:val="24"/>
                <w:highlight w:val="none"/>
                <w:lang w:bidi="ar"/>
              </w:rPr>
              <w:t>本项目用</w:t>
            </w:r>
            <w:r>
              <w:rPr>
                <w:rFonts w:hint="default" w:ascii="Times New Roman" w:hAnsi="Times New Roman" w:eastAsia="宋体" w:cs="Times New Roman"/>
                <w:b w:val="0"/>
                <w:bCs w:val="0"/>
                <w:color w:val="auto"/>
                <w:sz w:val="24"/>
                <w:szCs w:val="24"/>
                <w:highlight w:val="none"/>
                <w:lang w:bidi="ar"/>
              </w:rPr>
              <w:t>地</w:t>
            </w:r>
            <w:r>
              <w:rPr>
                <w:rFonts w:hint="default" w:ascii="Times New Roman" w:hAnsi="Times New Roman" w:cs="Times New Roman"/>
                <w:b w:val="0"/>
                <w:bCs w:val="0"/>
                <w:color w:val="auto"/>
                <w:kern w:val="0"/>
                <w:sz w:val="24"/>
                <w:szCs w:val="24"/>
                <w:highlight w:val="none"/>
              </w:rPr>
              <w:t>性质</w:t>
            </w:r>
            <w:r>
              <w:rPr>
                <w:rFonts w:hint="default" w:ascii="Times New Roman" w:hAnsi="Times New Roman" w:cs="Times New Roman"/>
                <w:b w:val="0"/>
                <w:bCs w:val="0"/>
                <w:color w:val="auto"/>
                <w:sz w:val="24"/>
                <w:szCs w:val="24"/>
                <w:highlight w:val="none"/>
                <w:lang w:bidi="ar"/>
              </w:rPr>
              <w:t>符合性分析</w:t>
            </w:r>
          </w:p>
          <w:p w14:paraId="2506DDB6">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szCs w:val="24"/>
                <w:highlight w:val="none"/>
              </w:rPr>
              <w:t>本项目</w:t>
            </w:r>
            <w:r>
              <w:rPr>
                <w:rFonts w:hint="eastAsia" w:ascii="Times New Roman" w:hAnsi="Times New Roman" w:cs="Times New Roman"/>
                <w:color w:val="auto"/>
                <w:kern w:val="0"/>
                <w:sz w:val="24"/>
                <w:szCs w:val="24"/>
                <w:highlight w:val="none"/>
                <w:lang w:val="en-US" w:eastAsia="zh-CN"/>
              </w:rPr>
              <w:t>租赁厂房</w:t>
            </w:r>
            <w:r>
              <w:rPr>
                <w:rFonts w:hint="default" w:ascii="Times New Roman" w:hAnsi="Times New Roman" w:cs="Times New Roman"/>
                <w:color w:val="auto"/>
                <w:kern w:val="0"/>
                <w:sz w:val="24"/>
                <w:szCs w:val="24"/>
                <w:highlight w:val="none"/>
                <w:lang w:val="en-US" w:eastAsia="zh-CN"/>
              </w:rPr>
              <w:t>面积</w:t>
            </w:r>
            <w:r>
              <w:rPr>
                <w:rFonts w:hint="eastAsia" w:ascii="Times New Roman" w:hAnsi="Times New Roman" w:cs="Times New Roman"/>
                <w:color w:val="auto"/>
                <w:kern w:val="0"/>
                <w:sz w:val="24"/>
                <w:szCs w:val="24"/>
                <w:highlight w:val="none"/>
                <w:lang w:val="en-US" w:eastAsia="zh-CN"/>
              </w:rPr>
              <w:t>1500</w:t>
            </w:r>
            <w:r>
              <w:rPr>
                <w:rFonts w:hint="default" w:ascii="Times New Roman" w:hAnsi="Times New Roman" w:cs="Times New Roman"/>
                <w:color w:val="auto"/>
                <w:kern w:val="0"/>
                <w:sz w:val="24"/>
                <w:szCs w:val="24"/>
                <w:highlight w:val="none"/>
                <w:lang w:val="en-US" w:eastAsia="zh-CN"/>
              </w:rPr>
              <w:t>平方米，位于</w:t>
            </w:r>
            <w:r>
              <w:rPr>
                <w:rFonts w:hint="eastAsia" w:ascii="Times New Roman" w:hAnsi="Times New Roman" w:cs="Times New Roman"/>
                <w:sz w:val="24"/>
                <w:szCs w:val="24"/>
                <w:highlight w:val="none"/>
                <w:lang w:val="en-US" w:eastAsia="zh-CN"/>
              </w:rPr>
              <w:t>安徽省宿州市泗县泗水街道唐河路与赤山路交汇处东150米绿朗光电智慧产业园6栋2号</w:t>
            </w:r>
            <w:r>
              <w:rPr>
                <w:rFonts w:hint="default" w:ascii="Times New Roman" w:hAnsi="Times New Roman" w:cs="Times New Roman"/>
                <w:b w:val="0"/>
                <w:bCs w:val="0"/>
                <w:kern w:val="0"/>
                <w:sz w:val="24"/>
                <w:szCs w:val="24"/>
                <w:highlight w:val="none"/>
                <w:lang w:val="en-US" w:eastAsia="zh-CN"/>
              </w:rPr>
              <w:t>，</w:t>
            </w:r>
            <w:r>
              <w:rPr>
                <w:rFonts w:hint="eastAsia" w:ascii="Times New Roman" w:hAnsi="Times New Roman" w:cs="Times New Roman"/>
                <w:color w:val="auto"/>
                <w:kern w:val="0"/>
                <w:sz w:val="24"/>
                <w:szCs w:val="24"/>
                <w:highlight w:val="none"/>
                <w:lang w:val="en-US" w:eastAsia="zh-CN"/>
              </w:rPr>
              <w:t>依托园区现有</w:t>
            </w:r>
            <w:r>
              <w:rPr>
                <w:rFonts w:hint="default" w:ascii="Times New Roman" w:hAnsi="Times New Roman" w:cs="Times New Roman"/>
                <w:color w:val="auto"/>
                <w:kern w:val="0"/>
                <w:sz w:val="24"/>
                <w:szCs w:val="24"/>
                <w:highlight w:val="none"/>
                <w:lang w:val="en-US" w:eastAsia="zh-CN"/>
              </w:rPr>
              <w:t>厂房及其配套设施</w:t>
            </w:r>
            <w:r>
              <w:rPr>
                <w:rFonts w:hint="eastAsia" w:ascii="Times New Roman" w:hAnsi="Times New Roman" w:cs="Times New Roman"/>
                <w:color w:val="auto"/>
                <w:kern w:val="0"/>
                <w:sz w:val="24"/>
                <w:szCs w:val="24"/>
                <w:highlight w:val="none"/>
                <w:lang w:val="en-US" w:eastAsia="zh-CN"/>
              </w:rPr>
              <w:t>建设本项目</w:t>
            </w:r>
            <w:r>
              <w:rPr>
                <w:rFonts w:hint="default" w:ascii="Times New Roman" w:hAnsi="Times New Roman" w:cs="Times New Roman"/>
                <w:color w:val="auto"/>
                <w:kern w:val="0"/>
                <w:sz w:val="24"/>
                <w:szCs w:val="24"/>
                <w:highlight w:val="none"/>
              </w:rPr>
              <w:t>。</w:t>
            </w:r>
            <w:r>
              <w:rPr>
                <w:rFonts w:hint="default" w:ascii="Times New Roman" w:hAnsi="Times New Roman" w:cs="Times New Roman"/>
                <w:color w:val="auto"/>
                <w:sz w:val="24"/>
                <w:szCs w:val="24"/>
                <w:highlight w:val="none"/>
              </w:rPr>
              <w:t>根据泗县经济开发区规划，本项目占地为工业用地，</w:t>
            </w:r>
            <w:r>
              <w:rPr>
                <w:rFonts w:hint="default" w:ascii="Times New Roman" w:hAnsi="Times New Roman" w:eastAsia="宋体" w:cs="Times New Roman"/>
                <w:color w:val="auto"/>
                <w:sz w:val="24"/>
                <w:szCs w:val="24"/>
                <w:highlight w:val="none"/>
              </w:rPr>
              <w:t>因此</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szCs w:val="24"/>
                <w:highlight w:val="none"/>
              </w:rPr>
              <w:t>用地性质符合要求。</w:t>
            </w:r>
          </w:p>
          <w:p w14:paraId="65AFC59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b w:val="0"/>
                <w:bCs w:val="0"/>
                <w:color w:val="auto"/>
                <w:kern w:val="0"/>
                <w:sz w:val="24"/>
                <w:szCs w:val="24"/>
                <w:highlight w:val="none"/>
                <w:lang w:val="en-US" w:eastAsia="zh-CN"/>
              </w:rPr>
              <w:t>3、</w:t>
            </w:r>
            <w:r>
              <w:rPr>
                <w:rFonts w:hint="default" w:ascii="Times New Roman" w:hAnsi="Times New Roman" w:eastAsia="宋体" w:cs="Times New Roman"/>
                <w:color w:val="auto"/>
                <w:sz w:val="24"/>
                <w:szCs w:val="24"/>
                <w:highlight w:val="none"/>
              </w:rPr>
              <w:t>本项目与</w:t>
            </w:r>
            <w:r>
              <w:rPr>
                <w:rFonts w:hint="default" w:ascii="Times New Roman" w:hAnsi="Times New Roman" w:eastAsia="宋体" w:cs="Times New Roman"/>
                <w:b w:val="0"/>
                <w:bCs w:val="0"/>
                <w:sz w:val="24"/>
                <w:szCs w:val="24"/>
                <w:highlight w:val="none"/>
              </w:rPr>
              <w:t>泗</w:t>
            </w:r>
            <w:r>
              <w:rPr>
                <w:rFonts w:hint="default" w:ascii="Times New Roman" w:hAnsi="Times New Roman" w:cs="Times New Roman"/>
                <w:b w:val="0"/>
                <w:bCs w:val="0"/>
                <w:sz w:val="24"/>
                <w:szCs w:val="24"/>
                <w:highlight w:val="none"/>
              </w:rPr>
              <w:t>县经济</w:t>
            </w:r>
            <w:r>
              <w:rPr>
                <w:rFonts w:hint="default" w:ascii="Times New Roman" w:hAnsi="Times New Roman" w:cs="Times New Roman"/>
                <w:b w:val="0"/>
                <w:bCs w:val="0"/>
                <w:color w:val="auto"/>
                <w:kern w:val="0"/>
                <w:sz w:val="24"/>
                <w:szCs w:val="24"/>
                <w:highlight w:val="none"/>
              </w:rPr>
              <w:t>开发区</w:t>
            </w:r>
            <w:r>
              <w:rPr>
                <w:rFonts w:hint="default" w:ascii="Times New Roman" w:hAnsi="Times New Roman" w:eastAsia="宋体" w:cs="Times New Roman"/>
                <w:color w:val="auto"/>
                <w:sz w:val="24"/>
                <w:szCs w:val="24"/>
                <w:highlight w:val="none"/>
              </w:rPr>
              <w:t>主导产业</w:t>
            </w:r>
            <w:r>
              <w:rPr>
                <w:rFonts w:hint="default" w:ascii="Times New Roman" w:hAnsi="Times New Roman" w:cs="Times New Roman"/>
                <w:b w:val="0"/>
                <w:bCs w:val="0"/>
                <w:color w:val="auto"/>
                <w:sz w:val="24"/>
                <w:szCs w:val="24"/>
                <w:highlight w:val="none"/>
              </w:rPr>
              <w:t>符合性</w:t>
            </w:r>
            <w:r>
              <w:rPr>
                <w:rFonts w:hint="default" w:ascii="Times New Roman" w:hAnsi="Times New Roman" w:eastAsia="宋体" w:cs="Times New Roman"/>
                <w:color w:val="auto"/>
                <w:sz w:val="24"/>
                <w:szCs w:val="24"/>
                <w:highlight w:val="none"/>
              </w:rPr>
              <w:t>分析</w:t>
            </w:r>
          </w:p>
          <w:p w14:paraId="67D4DD9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根据《安徽泗县经济开发区总体发展规划(2013-2030)》，泗县经济开发区主导产业定位：规划区内构建“3+1”的重点产业体系，其中三大主导产业包括：重点做大做强机械电子这一首位主导产业；发展壮大纺织服装业；巩固提升农副产品深加工产业。根据规划，泗县经济开发区优先鼓励与规划主导产业结构相符合的工业项目和与开发区产业有产业链相配套的企业；能耗、高污染型行业禁止入区，其他行业选择性入区；新建20蒸吨以下锅炉禁止入区；食品加工类严格限制酿造类；纺织服装禁止新建印染类和制革类项目。</w:t>
            </w:r>
          </w:p>
          <w:p w14:paraId="2DFE158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bCs/>
                <w:kern w:val="0"/>
                <w:sz w:val="24"/>
                <w:szCs w:val="24"/>
                <w:highlight w:val="none"/>
              </w:rPr>
            </w:pPr>
            <w:r>
              <w:rPr>
                <w:rFonts w:hint="default" w:ascii="Times New Roman" w:hAnsi="Times New Roman" w:cs="Times New Roman"/>
                <w:sz w:val="24"/>
                <w:szCs w:val="24"/>
                <w:highlight w:val="none"/>
              </w:rPr>
              <w:t>本项目国民经济行业类别为</w:t>
            </w:r>
            <w:r>
              <w:rPr>
                <w:rFonts w:hint="eastAsia" w:ascii="Times New Roman" w:hAnsi="Times New Roman" w:cs="Times New Roman"/>
                <w:color w:val="auto"/>
                <w:sz w:val="24"/>
                <w:lang w:eastAsia="zh-CN"/>
              </w:rPr>
              <w:t>日用塑料制品制造【</w:t>
            </w:r>
            <w:r>
              <w:rPr>
                <w:rFonts w:hint="eastAsia" w:ascii="Times New Roman" w:hAnsi="Times New Roman" w:cs="Times New Roman"/>
                <w:color w:val="auto"/>
                <w:sz w:val="24"/>
                <w:lang w:val="en-US" w:eastAsia="zh-CN"/>
              </w:rPr>
              <w:t>C</w:t>
            </w:r>
            <w:r>
              <w:rPr>
                <w:rFonts w:hint="eastAsia" w:ascii="Times New Roman" w:hAnsi="Times New Roman" w:cs="Times New Roman"/>
                <w:color w:val="auto"/>
                <w:sz w:val="24"/>
                <w:lang w:eastAsia="zh-CN"/>
              </w:rPr>
              <w:t>2927】</w:t>
            </w:r>
            <w:r>
              <w:rPr>
                <w:rFonts w:hint="default"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不属于园区禁止入区的</w:t>
            </w:r>
            <w:r>
              <w:rPr>
                <w:rFonts w:hint="default" w:ascii="Times New Roman" w:hAnsi="Times New Roman" w:cs="Times New Roman"/>
                <w:sz w:val="24"/>
                <w:szCs w:val="24"/>
                <w:highlight w:val="none"/>
              </w:rPr>
              <w:t>能耗、高污染型行业</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属于其他行业，不涉及锅炉，不属于食品加工类行业、纺织服装类，且本项目已于2025年11月27日取得了泗县发展和改革委员会下达的《宿州美膳新材料有限公司年产100000套密胺餐具项目备案表》（项目代码：2512-341324-04-05-107085）</w:t>
            </w:r>
            <w:r>
              <w:rPr>
                <w:rFonts w:hint="default" w:ascii="Times New Roman" w:hAnsi="Times New Roman" w:cs="Times New Roman"/>
                <w:sz w:val="24"/>
                <w:szCs w:val="24"/>
                <w:highlight w:val="none"/>
              </w:rPr>
              <w:t>，因此，本项目</w:t>
            </w:r>
            <w:r>
              <w:rPr>
                <w:rFonts w:hint="eastAsia" w:ascii="Times New Roman" w:hAnsi="Times New Roman" w:cs="Times New Roman"/>
                <w:sz w:val="24"/>
                <w:szCs w:val="24"/>
                <w:highlight w:val="none"/>
                <w:lang w:val="en-US" w:eastAsia="zh-CN"/>
              </w:rPr>
              <w:t>符合园区规划</w:t>
            </w:r>
            <w:r>
              <w:rPr>
                <w:rFonts w:hint="default" w:ascii="Times New Roman" w:hAnsi="Times New Roman" w:cs="Times New Roman"/>
                <w:kern w:val="0"/>
                <w:sz w:val="24"/>
                <w:szCs w:val="24"/>
                <w:highlight w:val="none"/>
              </w:rPr>
              <w:t>。</w:t>
            </w:r>
          </w:p>
          <w:p w14:paraId="2CDE65F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
                <w:bCs/>
                <w:sz w:val="24"/>
                <w:szCs w:val="24"/>
                <w:highlight w:val="none"/>
              </w:rPr>
            </w:pPr>
            <w:r>
              <w:rPr>
                <w:rFonts w:hint="default" w:ascii="Times New Roman" w:hAnsi="Times New Roman" w:eastAsia="宋体" w:cs="Times New Roman"/>
                <w:sz w:val="24"/>
                <w:szCs w:val="24"/>
                <w:highlight w:val="none"/>
              </w:rPr>
              <w:t>二</w:t>
            </w:r>
            <w:r>
              <w:rPr>
                <w:rFonts w:hint="default" w:ascii="Times New Roman" w:hAnsi="Times New Roman" w:cs="Times New Roman"/>
                <w:b/>
                <w:bCs/>
                <w:sz w:val="24"/>
                <w:szCs w:val="24"/>
                <w:highlight w:val="none"/>
                <w:lang w:bidi="ar"/>
              </w:rPr>
              <w:t>、</w:t>
            </w:r>
            <w:r>
              <w:rPr>
                <w:rFonts w:hint="default" w:ascii="Times New Roman" w:hAnsi="Times New Roman" w:cs="Times New Roman"/>
                <w:b/>
                <w:bCs/>
                <w:color w:val="000000"/>
                <w:kern w:val="0"/>
                <w:sz w:val="24"/>
                <w:szCs w:val="24"/>
                <w:highlight w:val="none"/>
              </w:rPr>
              <w:t>本项目</w:t>
            </w:r>
            <w:r>
              <w:rPr>
                <w:rFonts w:hint="default" w:ascii="Times New Roman" w:hAnsi="Times New Roman" w:cs="Times New Roman"/>
                <w:b/>
                <w:bCs/>
                <w:sz w:val="24"/>
                <w:szCs w:val="24"/>
                <w:highlight w:val="none"/>
                <w:lang w:bidi="ar"/>
              </w:rPr>
              <w:t>与</w:t>
            </w:r>
            <w:r>
              <w:rPr>
                <w:rFonts w:hint="default" w:ascii="Times New Roman" w:hAnsi="Times New Roman" w:cs="Times New Roman"/>
                <w:b/>
                <w:bCs/>
                <w:sz w:val="24"/>
                <w:szCs w:val="24"/>
                <w:highlight w:val="none"/>
              </w:rPr>
              <w:t>安徽省环保厅关于安徽泗县经济开发区总体发展规划环境影响报告书审查意见的函</w:t>
            </w:r>
            <w:r>
              <w:rPr>
                <w:rFonts w:hint="default" w:ascii="Times New Roman" w:hAnsi="Times New Roman" w:cs="Times New Roman"/>
                <w:b/>
                <w:bCs/>
                <w:sz w:val="24"/>
                <w:szCs w:val="24"/>
                <w:highlight w:val="none"/>
                <w:lang w:bidi="ar"/>
              </w:rPr>
              <w:t>的符合性</w:t>
            </w:r>
          </w:p>
          <w:p w14:paraId="116649CC">
            <w:pPr>
              <w:pStyle w:val="4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sz w:val="24"/>
                <w:szCs w:val="24"/>
                <w:highlight w:val="none"/>
              </w:rPr>
              <w:t>根据《安徽省环保厅关于安徽泗县经济开发区总体发展规划环境影响报告书审查意见的函》（皖环函[2014]645号），本项目与审查意见相符性分析见下表</w:t>
            </w:r>
            <w:r>
              <w:rPr>
                <w:rFonts w:hint="eastAsia" w:ascii="Times New Roman" w:hAnsi="Times New Roman" w:cs="Times New Roman"/>
                <w:sz w:val="24"/>
                <w:szCs w:val="24"/>
                <w:highlight w:val="none"/>
                <w:lang w:val="en-US" w:eastAsia="zh-CN"/>
              </w:rPr>
              <w:t>1.2</w:t>
            </w:r>
            <w:r>
              <w:rPr>
                <w:rFonts w:hint="default" w:ascii="Times New Roman" w:hAnsi="Times New Roman" w:cs="Times New Roman"/>
                <w:sz w:val="24"/>
                <w:szCs w:val="24"/>
                <w:highlight w:val="none"/>
              </w:rPr>
              <w:t>。</w:t>
            </w:r>
          </w:p>
          <w:p w14:paraId="62381F20">
            <w:pPr>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highlight w:val="none"/>
                <w:lang w:bidi="ar"/>
              </w:rPr>
              <w:t>表</w:t>
            </w:r>
            <w:r>
              <w:rPr>
                <w:rFonts w:hint="eastAsia" w:ascii="Times New Roman" w:hAnsi="Times New Roman" w:cs="Times New Roman"/>
                <w:b/>
                <w:bCs/>
                <w:highlight w:val="none"/>
                <w:lang w:val="en-US" w:eastAsia="zh-CN" w:bidi="ar"/>
              </w:rPr>
              <w:t>1.2</w:t>
            </w:r>
            <w:r>
              <w:rPr>
                <w:rFonts w:hint="default" w:ascii="Times New Roman" w:hAnsi="Times New Roman" w:cs="Times New Roman"/>
                <w:b/>
                <w:bCs/>
                <w:highlight w:val="none"/>
                <w:lang w:bidi="ar"/>
              </w:rPr>
              <w:t xml:space="preserve">  项目与规划环评审查意见</w:t>
            </w:r>
            <w:r>
              <w:rPr>
                <w:rFonts w:hint="default" w:ascii="宋体" w:hAnsi="宋体" w:cs="宋体"/>
                <w:b/>
                <w:bCs/>
                <w:highlight w:val="none"/>
              </w:rPr>
              <w:t>的</w:t>
            </w:r>
            <w:r>
              <w:rPr>
                <w:rFonts w:hint="default" w:ascii="Times New Roman" w:hAnsi="Times New Roman" w:cs="Times New Roman"/>
                <w:b/>
                <w:bCs/>
                <w:highlight w:val="none"/>
              </w:rPr>
              <w:t>函</w:t>
            </w:r>
            <w:r>
              <w:rPr>
                <w:rFonts w:hint="default" w:ascii="Times New Roman" w:hAnsi="Times New Roman" w:cs="Times New Roman"/>
                <w:b/>
                <w:bCs/>
                <w:highlight w:val="none"/>
                <w:lang w:bidi="ar"/>
              </w:rPr>
              <w:t>符合性分析</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3998"/>
              <w:gridCol w:w="2899"/>
              <w:gridCol w:w="773"/>
            </w:tblGrid>
            <w:tr w14:paraId="08114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10F08AED">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1"/>
                      <w:szCs w:val="21"/>
                      <w:highlight w:val="none"/>
                      <w:lang w:bidi="ar"/>
                    </w:rPr>
                  </w:pPr>
                  <w:r>
                    <w:rPr>
                      <w:rFonts w:hint="default" w:ascii="Times New Roman" w:hAnsi="Times New Roman" w:cs="Times New Roman"/>
                      <w:b/>
                      <w:bCs/>
                      <w:sz w:val="21"/>
                      <w:szCs w:val="21"/>
                      <w:highlight w:val="none"/>
                      <w:lang w:bidi="ar"/>
                    </w:rPr>
                    <w:t>序号</w:t>
                  </w:r>
                </w:p>
              </w:tc>
              <w:tc>
                <w:tcPr>
                  <w:tcW w:w="2412" w:type="pct"/>
                  <w:noWrap w:val="0"/>
                  <w:vAlign w:val="center"/>
                </w:tcPr>
                <w:p w14:paraId="0C42B51B">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1"/>
                      <w:szCs w:val="21"/>
                      <w:highlight w:val="none"/>
                      <w:lang w:bidi="ar"/>
                    </w:rPr>
                  </w:pPr>
                  <w:r>
                    <w:rPr>
                      <w:rFonts w:hint="default" w:ascii="Times New Roman" w:hAnsi="Times New Roman" w:cs="Times New Roman"/>
                      <w:b/>
                      <w:bCs/>
                      <w:sz w:val="21"/>
                      <w:szCs w:val="21"/>
                      <w:highlight w:val="none"/>
                      <w:lang w:bidi="ar"/>
                    </w:rPr>
                    <w:t>审查意见</w:t>
                  </w:r>
                </w:p>
              </w:tc>
              <w:tc>
                <w:tcPr>
                  <w:tcW w:w="1749" w:type="pct"/>
                  <w:noWrap w:val="0"/>
                  <w:vAlign w:val="center"/>
                </w:tcPr>
                <w:p w14:paraId="1704B24D">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1"/>
                      <w:szCs w:val="21"/>
                      <w:highlight w:val="none"/>
                      <w:lang w:bidi="ar"/>
                    </w:rPr>
                  </w:pPr>
                  <w:r>
                    <w:rPr>
                      <w:rFonts w:hint="default" w:ascii="Times New Roman" w:hAnsi="Times New Roman" w:cs="Times New Roman"/>
                      <w:b/>
                      <w:bCs/>
                      <w:sz w:val="21"/>
                      <w:szCs w:val="21"/>
                      <w:highlight w:val="none"/>
                      <w:lang w:bidi="ar"/>
                    </w:rPr>
                    <w:t>本项目</w:t>
                  </w:r>
                </w:p>
              </w:tc>
              <w:tc>
                <w:tcPr>
                  <w:tcW w:w="466" w:type="pct"/>
                  <w:noWrap w:val="0"/>
                  <w:vAlign w:val="center"/>
                </w:tcPr>
                <w:p w14:paraId="1EDC243C">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1"/>
                      <w:szCs w:val="21"/>
                      <w:highlight w:val="none"/>
                      <w:lang w:bidi="ar"/>
                    </w:rPr>
                  </w:pPr>
                  <w:r>
                    <w:rPr>
                      <w:rFonts w:hint="default" w:ascii="Times New Roman" w:hAnsi="Times New Roman" w:cs="Times New Roman"/>
                      <w:b/>
                      <w:bCs/>
                      <w:sz w:val="21"/>
                      <w:szCs w:val="21"/>
                      <w:highlight w:val="none"/>
                      <w:lang w:bidi="ar"/>
                    </w:rPr>
                    <w:t>符合性</w:t>
                  </w:r>
                </w:p>
              </w:tc>
            </w:tr>
            <w:tr w14:paraId="2C9F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480E239D">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1</w:t>
                  </w:r>
                </w:p>
              </w:tc>
              <w:tc>
                <w:tcPr>
                  <w:tcW w:w="2412" w:type="pct"/>
                  <w:noWrap w:val="0"/>
                  <w:vAlign w:val="center"/>
                </w:tcPr>
                <w:p w14:paraId="04BBC06A">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严格项目行业准入和资源环境准入。禁止负面清单中行业企业入驻；新入区项目应按照规划功能布局入驻。优化调整开发区空间布局、组团结构，设置生态隔离措施，减轻和避免各功能区之间、项目之间的相互影响。</w:t>
                  </w:r>
                </w:p>
              </w:tc>
              <w:tc>
                <w:tcPr>
                  <w:tcW w:w="1749" w:type="pct"/>
                  <w:noWrap w:val="0"/>
                  <w:vAlign w:val="center"/>
                </w:tcPr>
                <w:p w14:paraId="3688EB60">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sz w:val="21"/>
                      <w:szCs w:val="21"/>
                      <w:highlight w:val="none"/>
                      <w:lang w:val="en-US" w:eastAsia="zh-CN" w:bidi="ar"/>
                    </w:rPr>
                  </w:pPr>
                  <w:r>
                    <w:rPr>
                      <w:rFonts w:hint="eastAsia" w:ascii="Times New Roman" w:hAnsi="Times New Roman" w:cs="Times New Roman"/>
                      <w:sz w:val="21"/>
                      <w:szCs w:val="21"/>
                      <w:highlight w:val="none"/>
                      <w:lang w:val="en-US" w:eastAsia="zh-CN" w:bidi="ar"/>
                    </w:rPr>
                    <w:t>本项目</w:t>
                  </w:r>
                  <w:r>
                    <w:rPr>
                      <w:rFonts w:hint="default" w:ascii="Times New Roman" w:hAnsi="Times New Roman" w:cs="Times New Roman"/>
                      <w:sz w:val="21"/>
                      <w:szCs w:val="21"/>
                      <w:highlight w:val="none"/>
                      <w:lang w:bidi="ar"/>
                    </w:rPr>
                    <w:t>不属于园区禁止入区的能耗、高污染型行业，属于其他行业，不涉及锅炉，不属于食品加工类行业、纺织服装类，不属于负面清单中的行业企业</w:t>
                  </w:r>
                  <w:r>
                    <w:rPr>
                      <w:rFonts w:hint="eastAsia" w:ascii="Times New Roman" w:hAnsi="Times New Roman" w:cs="Times New Roman"/>
                      <w:sz w:val="21"/>
                      <w:szCs w:val="21"/>
                      <w:highlight w:val="none"/>
                      <w:lang w:eastAsia="zh-CN" w:bidi="ar"/>
                    </w:rPr>
                    <w:t>，</w:t>
                  </w:r>
                  <w:r>
                    <w:rPr>
                      <w:rFonts w:hint="eastAsia" w:ascii="Times New Roman" w:hAnsi="Times New Roman" w:cs="Times New Roman"/>
                      <w:sz w:val="21"/>
                      <w:szCs w:val="21"/>
                      <w:highlight w:val="none"/>
                      <w:lang w:val="en-US" w:eastAsia="zh-CN" w:bidi="ar"/>
                    </w:rPr>
                    <w:t>符合园区规划。</w:t>
                  </w:r>
                </w:p>
              </w:tc>
              <w:tc>
                <w:tcPr>
                  <w:tcW w:w="466" w:type="pct"/>
                  <w:noWrap w:val="0"/>
                  <w:vAlign w:val="center"/>
                </w:tcPr>
                <w:p w14:paraId="0A66742A">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符合</w:t>
                  </w:r>
                </w:p>
              </w:tc>
            </w:tr>
            <w:tr w14:paraId="7561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35B6961F">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2</w:t>
                  </w:r>
                </w:p>
              </w:tc>
              <w:tc>
                <w:tcPr>
                  <w:tcW w:w="2412" w:type="pct"/>
                  <w:noWrap w:val="0"/>
                  <w:vAlign w:val="center"/>
                </w:tcPr>
                <w:p w14:paraId="53ED3DB7">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强化水资源管理，积极推进企业内、企业间水资源梯级利用和企业用水总量控制，切实提高水资源利用率。严禁建设国家明令禁止的项目，严格控制高耗水、高耗能、污水排放量大的项目建设；已建和拟入区建设项目应严格执行水环境保护相关标准和要求。开发区内企业不得自行开采地下水用于工业生产。排查现有企业自备水井的取水合法性；加快推进雨污管网、中水回用和集中供热等基础设施建设。强化园区污水收集，做好污水处理厂的运营和管理，确保稳定达标排放</w:t>
                  </w:r>
                </w:p>
              </w:tc>
              <w:tc>
                <w:tcPr>
                  <w:tcW w:w="1749" w:type="pct"/>
                  <w:noWrap w:val="0"/>
                  <w:vAlign w:val="center"/>
                </w:tcPr>
                <w:p w14:paraId="14A1CF5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highlight w:val="none"/>
                      <w:lang w:eastAsia="zh-CN" w:bidi="ar"/>
                    </w:rPr>
                  </w:pPr>
                  <w:r>
                    <w:rPr>
                      <w:rFonts w:hint="default" w:ascii="Times New Roman" w:hAnsi="Times New Roman" w:cs="Times New Roman"/>
                      <w:sz w:val="21"/>
                      <w:szCs w:val="21"/>
                      <w:highlight w:val="none"/>
                      <w:lang w:bidi="ar"/>
                    </w:rPr>
                    <w:t>本项目用水来自园区自来水管网，不自建备用水井，项目不属于国家明令禁止的项目，项目不属于高耗能、污水排放量大的项目，项</w:t>
                  </w:r>
                  <w:r>
                    <w:rPr>
                      <w:rFonts w:hint="default" w:ascii="Times New Roman" w:hAnsi="Times New Roman" w:eastAsia="宋体" w:cs="Times New Roman"/>
                      <w:sz w:val="21"/>
                      <w:szCs w:val="21"/>
                      <w:highlight w:val="none"/>
                      <w:lang w:bidi="ar"/>
                    </w:rPr>
                    <w:t>目产生的</w:t>
                  </w:r>
                  <w:r>
                    <w:rPr>
                      <w:rFonts w:hint="eastAsia" w:ascii="Times New Roman" w:hAnsi="Times New Roman" w:eastAsia="宋体" w:cs="Times New Roman"/>
                      <w:sz w:val="21"/>
                      <w:szCs w:val="21"/>
                      <w:highlight w:val="none"/>
                      <w:lang w:eastAsia="zh-CN" w:bidi="ar"/>
                    </w:rPr>
                    <w:t>职工生活污水依托园区现有“化粪池”处理后达到《污水综合排放标准》（GB8978-1996）表4中三级标准限值及泗县工业污水处理厂接管限值后排入泗县工业污水处理厂处理达《城镇污水处理厂污染物排放标准》（GB18918-2002）表1中一级标准A标准后排入石梁河。</w:t>
                  </w:r>
                </w:p>
              </w:tc>
              <w:tc>
                <w:tcPr>
                  <w:tcW w:w="466" w:type="pct"/>
                  <w:noWrap w:val="0"/>
                  <w:vAlign w:val="center"/>
                </w:tcPr>
                <w:p w14:paraId="0243E311">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符合</w:t>
                  </w:r>
                </w:p>
              </w:tc>
            </w:tr>
            <w:tr w14:paraId="356A2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40A20489">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3</w:t>
                  </w:r>
                </w:p>
              </w:tc>
              <w:tc>
                <w:tcPr>
                  <w:tcW w:w="2412" w:type="pct"/>
                  <w:noWrap w:val="0"/>
                  <w:vAlign w:val="center"/>
                </w:tcPr>
                <w:p w14:paraId="2B05F56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bidi="ar"/>
                    </w:rPr>
                  </w:pPr>
                  <w:r>
                    <w:rPr>
                      <w:rFonts w:hint="default" w:ascii="Times New Roman" w:hAnsi="Times New Roman" w:eastAsia="宋体" w:cs="Times New Roman"/>
                      <w:sz w:val="21"/>
                      <w:szCs w:val="21"/>
                      <w:highlight w:val="none"/>
                      <w:lang w:bidi="ar"/>
                    </w:rPr>
                    <w:t>进一步优化发展重点，严格控制非主导产业项目入区。对不符合开发区产业定位和环保要求以及容易引起突发性环境风险的项目应禁止入区建设。建立并实施不符合规划、产业准入和环保准入条件的项目退出机制。大力推进园区产业升级改造工程，通过关、停、并、转、迁，加速转型或淘汰不符合工业用地性质、产业定位及环保要求的企业</w:t>
                  </w:r>
                </w:p>
              </w:tc>
              <w:tc>
                <w:tcPr>
                  <w:tcW w:w="1749" w:type="pct"/>
                  <w:noWrap w:val="0"/>
                  <w:vAlign w:val="center"/>
                </w:tcPr>
                <w:p w14:paraId="6C402EC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highlight w:val="none"/>
                      <w:lang w:val="en-US" w:eastAsia="zh-CN" w:bidi="ar"/>
                    </w:rPr>
                  </w:pPr>
                  <w:r>
                    <w:rPr>
                      <w:rFonts w:hint="eastAsia" w:ascii="Times New Roman" w:hAnsi="Times New Roman" w:eastAsia="宋体" w:cs="Times New Roman"/>
                      <w:sz w:val="21"/>
                      <w:szCs w:val="21"/>
                      <w:highlight w:val="none"/>
                      <w:lang w:val="en-US" w:eastAsia="zh-CN" w:bidi="ar"/>
                    </w:rPr>
                    <w:t>本项目不属于</w:t>
                  </w:r>
                  <w:r>
                    <w:rPr>
                      <w:rFonts w:hint="default" w:ascii="Times New Roman" w:hAnsi="Times New Roman" w:eastAsia="宋体" w:cs="Times New Roman"/>
                      <w:sz w:val="21"/>
                      <w:szCs w:val="21"/>
                      <w:highlight w:val="none"/>
                      <w:lang w:bidi="ar"/>
                    </w:rPr>
                    <w:t>容易引起突发性环境风险的项目</w:t>
                  </w:r>
                  <w:r>
                    <w:rPr>
                      <w:rFonts w:hint="eastAsia" w:ascii="Times New Roman" w:hAnsi="Times New Roman" w:eastAsia="宋体" w:cs="Times New Roman"/>
                      <w:sz w:val="21"/>
                      <w:szCs w:val="21"/>
                      <w:highlight w:val="none"/>
                      <w:lang w:eastAsia="zh-CN" w:bidi="ar"/>
                    </w:rPr>
                    <w:t>，</w:t>
                  </w:r>
                  <w:r>
                    <w:rPr>
                      <w:rFonts w:hint="eastAsia" w:ascii="Times New Roman" w:hAnsi="Times New Roman" w:eastAsia="宋体" w:cs="Times New Roman"/>
                      <w:sz w:val="21"/>
                      <w:szCs w:val="21"/>
                      <w:highlight w:val="none"/>
                      <w:lang w:val="en-US" w:eastAsia="zh-CN" w:bidi="ar"/>
                    </w:rPr>
                    <w:t>本项目符合</w:t>
                  </w:r>
                  <w:r>
                    <w:rPr>
                      <w:rFonts w:hint="default" w:ascii="Times New Roman" w:hAnsi="Times New Roman" w:eastAsia="宋体" w:cs="Times New Roman"/>
                      <w:sz w:val="21"/>
                      <w:szCs w:val="21"/>
                      <w:highlight w:val="none"/>
                      <w:lang w:bidi="ar"/>
                    </w:rPr>
                    <w:t>规划、产业准入和环保准入条件</w:t>
                  </w:r>
                  <w:r>
                    <w:rPr>
                      <w:rFonts w:hint="eastAsia" w:ascii="Times New Roman" w:hAnsi="Times New Roman" w:eastAsia="宋体" w:cs="Times New Roman"/>
                      <w:sz w:val="21"/>
                      <w:szCs w:val="21"/>
                      <w:highlight w:val="none"/>
                      <w:lang w:eastAsia="zh-CN" w:bidi="ar"/>
                    </w:rPr>
                    <w:t>。</w:t>
                  </w:r>
                </w:p>
              </w:tc>
              <w:tc>
                <w:tcPr>
                  <w:tcW w:w="466" w:type="pct"/>
                  <w:noWrap w:val="0"/>
                  <w:vAlign w:val="center"/>
                </w:tcPr>
                <w:p w14:paraId="356B4AAA">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符合</w:t>
                  </w:r>
                </w:p>
              </w:tc>
            </w:tr>
            <w:tr w14:paraId="5F264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45C81EB2">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4</w:t>
                  </w:r>
                </w:p>
              </w:tc>
              <w:tc>
                <w:tcPr>
                  <w:tcW w:w="2412" w:type="pct"/>
                  <w:noWrap w:val="0"/>
                  <w:vAlign w:val="center"/>
                </w:tcPr>
                <w:p w14:paraId="7C6289DA">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加快实施产业结构调整与升级，夯实主导产业定位，逐步实现产业转型；建立产业引入清单管理，严格执行环境准入制度。引进项目的生产工艺、设备、污染治理技术及单位产品污染物排放和资源利用率均需达到同行业国内先进水平。</w:t>
                  </w:r>
                </w:p>
              </w:tc>
              <w:tc>
                <w:tcPr>
                  <w:tcW w:w="1749" w:type="pct"/>
                  <w:noWrap w:val="0"/>
                  <w:vAlign w:val="center"/>
                </w:tcPr>
                <w:p w14:paraId="5ADE2B7B">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本项目使用的生产工艺、设备、污染治理技术及单位产品污染物排放标准和资源利用率均可达到同行业国内先进水平</w:t>
                  </w:r>
                </w:p>
              </w:tc>
              <w:tc>
                <w:tcPr>
                  <w:tcW w:w="466" w:type="pct"/>
                  <w:noWrap w:val="0"/>
                  <w:vAlign w:val="center"/>
                </w:tcPr>
                <w:p w14:paraId="5D4EDA4E">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符合</w:t>
                  </w:r>
                </w:p>
              </w:tc>
            </w:tr>
            <w:tr w14:paraId="0C771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385CB498">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5</w:t>
                  </w:r>
                </w:p>
              </w:tc>
              <w:tc>
                <w:tcPr>
                  <w:tcW w:w="2412" w:type="pct"/>
                  <w:noWrap w:val="0"/>
                  <w:vAlign w:val="center"/>
                </w:tcPr>
                <w:p w14:paraId="6CD9A32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highlight w:val="none"/>
                      <w:lang w:bidi="ar"/>
                    </w:rPr>
                  </w:pPr>
                  <w:r>
                    <w:rPr>
                      <w:rFonts w:hint="eastAsia" w:ascii="Times New Roman" w:hAnsi="Times New Roman" w:eastAsia="宋体" w:cs="Times New Roman"/>
                      <w:sz w:val="21"/>
                      <w:szCs w:val="21"/>
                      <w:highlight w:val="none"/>
                      <w:lang w:bidi="ar"/>
                    </w:rPr>
                    <w:t>扎实推进节能减排工作。应采取工艺改造、节水管理等措施控制和减少现有企业的资源消耗水平及污染物排放强度。加强挥发性有机物防治，园区现有主要VOCs及异味废气排放企业开展综合治理工作，加强日常监测、监督管理和预防控制</w:t>
                  </w:r>
                </w:p>
              </w:tc>
              <w:tc>
                <w:tcPr>
                  <w:tcW w:w="1749" w:type="pct"/>
                  <w:noWrap w:val="0"/>
                  <w:vAlign w:val="center"/>
                </w:tcPr>
                <w:p w14:paraId="4705081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val="en-US" w:eastAsia="zh-CN" w:bidi="ar"/>
                    </w:rPr>
                  </w:pPr>
                  <w:r>
                    <w:rPr>
                      <w:rFonts w:hint="eastAsia" w:ascii="Times New Roman" w:hAnsi="Times New Roman" w:eastAsia="宋体" w:cs="Times New Roman"/>
                      <w:sz w:val="21"/>
                      <w:szCs w:val="21"/>
                      <w:highlight w:val="none"/>
                      <w:lang w:bidi="ar"/>
                    </w:rPr>
                    <w:t>本项目所用的能源为电和水，且不突破当地资源利用上限要求，项目</w:t>
                  </w:r>
                  <w:r>
                    <w:rPr>
                      <w:rFonts w:hint="eastAsia" w:ascii="Times New Roman" w:hAnsi="Times New Roman" w:eastAsia="宋体" w:cs="Times New Roman"/>
                      <w:sz w:val="21"/>
                      <w:szCs w:val="21"/>
                      <w:highlight w:val="none"/>
                      <w:lang w:val="en-US" w:eastAsia="zh-CN" w:bidi="ar"/>
                    </w:rPr>
                    <w:t>挥发性有机</w:t>
                  </w:r>
                  <w:r>
                    <w:rPr>
                      <w:rFonts w:hint="eastAsia" w:ascii="Times New Roman" w:hAnsi="Times New Roman" w:eastAsia="宋体" w:cs="Times New Roman"/>
                      <w:sz w:val="21"/>
                      <w:szCs w:val="21"/>
                      <w:highlight w:val="none"/>
                      <w:lang w:bidi="ar"/>
                    </w:rPr>
                    <w:t>废气采取集气罩+</w:t>
                  </w:r>
                  <w:r>
                    <w:rPr>
                      <w:rFonts w:hint="eastAsia" w:ascii="Times New Roman" w:hAnsi="Times New Roman" w:eastAsia="宋体" w:cs="Times New Roman"/>
                      <w:sz w:val="21"/>
                      <w:szCs w:val="21"/>
                      <w:highlight w:val="none"/>
                      <w:lang w:eastAsia="zh-CN" w:bidi="ar"/>
                    </w:rPr>
                    <w:t>两级活性炭</w:t>
                  </w:r>
                  <w:r>
                    <w:rPr>
                      <w:rFonts w:hint="eastAsia" w:ascii="Times New Roman" w:hAnsi="Times New Roman" w:eastAsia="宋体" w:cs="Times New Roman"/>
                      <w:sz w:val="21"/>
                      <w:szCs w:val="21"/>
                      <w:highlight w:val="none"/>
                      <w:lang w:bidi="ar"/>
                    </w:rPr>
                    <w:t>吸附处理，处理效率为90%</w:t>
                  </w:r>
                  <w:r>
                    <w:rPr>
                      <w:rFonts w:hint="eastAsia" w:ascii="Times New Roman" w:hAnsi="Times New Roman" w:eastAsia="宋体" w:cs="Times New Roman"/>
                      <w:sz w:val="21"/>
                      <w:szCs w:val="21"/>
                      <w:highlight w:val="none"/>
                      <w:lang w:eastAsia="zh-CN" w:bidi="ar"/>
                    </w:rPr>
                    <w:t>，</w:t>
                  </w:r>
                  <w:r>
                    <w:rPr>
                      <w:rFonts w:hint="eastAsia" w:ascii="Times New Roman" w:hAnsi="Times New Roman" w:eastAsia="宋体" w:cs="Times New Roman"/>
                      <w:sz w:val="21"/>
                      <w:szCs w:val="21"/>
                      <w:highlight w:val="none"/>
                      <w:lang w:val="en-US" w:eastAsia="zh-CN" w:bidi="ar"/>
                    </w:rPr>
                    <w:t>废气可达标排放。</w:t>
                  </w:r>
                </w:p>
              </w:tc>
              <w:tc>
                <w:tcPr>
                  <w:tcW w:w="466" w:type="pct"/>
                  <w:noWrap w:val="0"/>
                  <w:vAlign w:val="center"/>
                </w:tcPr>
                <w:p w14:paraId="62876FA4">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符合</w:t>
                  </w:r>
                </w:p>
              </w:tc>
            </w:tr>
            <w:tr w14:paraId="2C290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pct"/>
                  <w:noWrap w:val="0"/>
                  <w:vAlign w:val="center"/>
                </w:tcPr>
                <w:p w14:paraId="14E2B224">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6</w:t>
                  </w:r>
                </w:p>
              </w:tc>
              <w:tc>
                <w:tcPr>
                  <w:tcW w:w="2412" w:type="pct"/>
                  <w:noWrap w:val="0"/>
                  <w:vAlign w:val="center"/>
                </w:tcPr>
                <w:p w14:paraId="52E7365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bidi="ar"/>
                    </w:rPr>
                  </w:pPr>
                  <w:r>
                    <w:rPr>
                      <w:rFonts w:hint="default" w:ascii="Times New Roman" w:hAnsi="Times New Roman" w:eastAsia="宋体" w:cs="Times New Roman"/>
                      <w:sz w:val="21"/>
                      <w:szCs w:val="21"/>
                      <w:highlight w:val="none"/>
                      <w:lang w:bidi="ar"/>
                    </w:rPr>
                    <w:t>严格落实污染物排放总量控制要求，采取有效措施减少粉尘、挥发性有机物、化学需氧量、氨氮、总氮、总磷等污染物的排放量，切实维护区域环境质量和生态功能。</w:t>
                  </w:r>
                </w:p>
              </w:tc>
              <w:tc>
                <w:tcPr>
                  <w:tcW w:w="1749" w:type="pct"/>
                  <w:noWrap w:val="0"/>
                  <w:vAlign w:val="center"/>
                </w:tcPr>
                <w:p w14:paraId="34F97EA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bidi="ar"/>
                    </w:rPr>
                  </w:pPr>
                  <w:r>
                    <w:rPr>
                      <w:rFonts w:hint="default" w:ascii="Times New Roman" w:hAnsi="Times New Roman" w:eastAsia="宋体" w:cs="Times New Roman"/>
                      <w:sz w:val="21"/>
                      <w:szCs w:val="21"/>
                      <w:highlight w:val="none"/>
                      <w:lang w:bidi="ar"/>
                    </w:rPr>
                    <w:t>本项目总量已经得</w:t>
                  </w:r>
                  <w:r>
                    <w:rPr>
                      <w:rFonts w:hint="eastAsia" w:ascii="Times New Roman" w:hAnsi="Times New Roman" w:eastAsia="宋体" w:cs="Times New Roman"/>
                      <w:sz w:val="21"/>
                      <w:szCs w:val="21"/>
                      <w:highlight w:val="none"/>
                      <w:lang w:val="en-US" w:eastAsia="zh-CN" w:bidi="ar"/>
                    </w:rPr>
                    <w:t>到</w:t>
                  </w:r>
                  <w:r>
                    <w:rPr>
                      <w:rFonts w:hint="default" w:ascii="Times New Roman" w:hAnsi="Times New Roman" w:eastAsia="宋体" w:cs="Times New Roman"/>
                      <w:sz w:val="21"/>
                      <w:szCs w:val="21"/>
                      <w:highlight w:val="none"/>
                      <w:lang w:bidi="ar"/>
                    </w:rPr>
                    <w:t>宿州市生态环境局审批批准</w:t>
                  </w:r>
                  <w:r>
                    <w:rPr>
                      <w:rFonts w:hint="eastAsia" w:ascii="Times New Roman" w:hAnsi="Times New Roman" w:eastAsia="宋体" w:cs="Times New Roman"/>
                      <w:sz w:val="21"/>
                      <w:szCs w:val="21"/>
                      <w:highlight w:val="none"/>
                      <w:lang w:bidi="ar"/>
                    </w:rPr>
                    <w:t>，</w:t>
                  </w:r>
                  <w:r>
                    <w:rPr>
                      <w:rFonts w:hint="default" w:ascii="Times New Roman" w:hAnsi="Times New Roman" w:eastAsia="宋体" w:cs="Times New Roman"/>
                      <w:sz w:val="21"/>
                      <w:szCs w:val="21"/>
                      <w:highlight w:val="none"/>
                      <w:lang w:bidi="ar"/>
                    </w:rPr>
                    <w:t>满足宿州市生态环境局总量标准</w:t>
                  </w:r>
                  <w:r>
                    <w:rPr>
                      <w:rFonts w:hint="eastAsia" w:ascii="Times New Roman" w:hAnsi="Times New Roman" w:eastAsia="宋体" w:cs="Times New Roman"/>
                      <w:sz w:val="21"/>
                      <w:szCs w:val="21"/>
                      <w:highlight w:val="none"/>
                      <w:lang w:bidi="ar"/>
                    </w:rPr>
                    <w:t>。</w:t>
                  </w:r>
                </w:p>
              </w:tc>
              <w:tc>
                <w:tcPr>
                  <w:tcW w:w="466" w:type="pct"/>
                  <w:noWrap w:val="0"/>
                  <w:vAlign w:val="center"/>
                </w:tcPr>
                <w:p w14:paraId="1D4F589A">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符合</w:t>
                  </w:r>
                </w:p>
              </w:tc>
            </w:tr>
          </w:tbl>
          <w:p w14:paraId="02B58D3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sz w:val="24"/>
                <w:szCs w:val="24"/>
                <w:highlight w:val="none"/>
                <w:lang w:eastAsia="zh-CN"/>
              </w:rPr>
            </w:pPr>
            <w:r>
              <w:rPr>
                <w:rFonts w:hint="default" w:ascii="宋体" w:hAnsi="宋体" w:eastAsia="宋体" w:cs="宋体"/>
                <w:sz w:val="24"/>
                <w:szCs w:val="24"/>
                <w:highlight w:val="none"/>
              </w:rPr>
              <w:t>三、</w:t>
            </w:r>
            <w:r>
              <w:rPr>
                <w:rFonts w:hint="default" w:ascii="Times New Roman" w:hAnsi="Times New Roman" w:cs="Times New Roman"/>
                <w:b/>
                <w:bCs/>
                <w:color w:val="000000"/>
                <w:kern w:val="0"/>
                <w:sz w:val="24"/>
                <w:szCs w:val="24"/>
                <w:highlight w:val="none"/>
              </w:rPr>
              <w:t>本项目</w:t>
            </w:r>
            <w:r>
              <w:rPr>
                <w:rFonts w:hint="default" w:ascii="Times New Roman" w:hAnsi="Times New Roman" w:cs="Times New Roman"/>
                <w:b/>
                <w:bCs/>
                <w:sz w:val="24"/>
                <w:szCs w:val="24"/>
                <w:highlight w:val="none"/>
                <w:lang w:bidi="ar"/>
              </w:rPr>
              <w:t>与</w:t>
            </w:r>
            <w:r>
              <w:rPr>
                <w:rFonts w:hint="eastAsia" w:ascii="Times New Roman" w:hAnsi="Times New Roman" w:cs="Times New Roman"/>
                <w:b/>
                <w:bCs/>
                <w:sz w:val="24"/>
                <w:szCs w:val="24"/>
                <w:highlight w:val="none"/>
                <w:lang w:eastAsia="zh-CN" w:bidi="ar"/>
              </w:rPr>
              <w:t>《</w:t>
            </w:r>
            <w:r>
              <w:rPr>
                <w:rFonts w:hint="default" w:ascii="Times New Roman" w:hAnsi="Times New Roman" w:cs="Times New Roman"/>
                <w:b/>
                <w:bCs/>
                <w:kern w:val="0"/>
                <w:sz w:val="24"/>
                <w:szCs w:val="24"/>
                <w:highlight w:val="none"/>
              </w:rPr>
              <w:t>宿州市生</w:t>
            </w:r>
            <w:r>
              <w:rPr>
                <w:rFonts w:hint="eastAsia" w:ascii="宋体" w:hAnsi="宋体" w:cs="宋体"/>
                <w:b/>
                <w:bCs/>
                <w:kern w:val="0"/>
                <w:sz w:val="24"/>
                <w:szCs w:val="24"/>
                <w:highlight w:val="none"/>
              </w:rPr>
              <w:t>态环境局关于安徽泗县经济开发区总体发展规划环境影响跟踪评价报告书的审查意见</w:t>
            </w:r>
            <w:r>
              <w:rPr>
                <w:rFonts w:hint="eastAsia" w:ascii="Times New Roman" w:hAnsi="Times New Roman" w:cs="Times New Roman"/>
                <w:b/>
                <w:bCs/>
                <w:sz w:val="24"/>
                <w:szCs w:val="24"/>
                <w:highlight w:val="none"/>
                <w:lang w:eastAsia="zh-CN" w:bidi="ar"/>
              </w:rPr>
              <w:t>》</w:t>
            </w:r>
            <w:r>
              <w:rPr>
                <w:rFonts w:hint="default" w:ascii="Times New Roman" w:hAnsi="Times New Roman" w:cs="Times New Roman"/>
                <w:b/>
                <w:bCs/>
                <w:sz w:val="24"/>
                <w:szCs w:val="24"/>
                <w:highlight w:val="none"/>
                <w:lang w:bidi="ar"/>
              </w:rPr>
              <w:t>的符合性</w:t>
            </w:r>
          </w:p>
          <w:p w14:paraId="3FF1A8C5">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sz w:val="24"/>
                <w:szCs w:val="32"/>
                <w:highlight w:val="none"/>
                <w:lang w:bidi="ar"/>
              </w:rPr>
            </w:pPr>
            <w:r>
              <w:rPr>
                <w:rFonts w:hint="default" w:ascii="Times New Roman" w:hAnsi="Times New Roman" w:cs="Times New Roman"/>
                <w:sz w:val="24"/>
                <w:szCs w:val="32"/>
                <w:highlight w:val="none"/>
              </w:rPr>
              <w:t>根据《</w:t>
            </w:r>
            <w:r>
              <w:rPr>
                <w:rFonts w:hint="default" w:ascii="Times New Roman" w:hAnsi="Times New Roman" w:cs="Times New Roman"/>
                <w:kern w:val="0"/>
                <w:sz w:val="24"/>
                <w:szCs w:val="32"/>
                <w:highlight w:val="none"/>
              </w:rPr>
              <w:t>宿州市生</w:t>
            </w:r>
            <w:r>
              <w:rPr>
                <w:rFonts w:hint="eastAsia" w:ascii="宋体" w:hAnsi="宋体" w:cs="宋体"/>
                <w:kern w:val="0"/>
                <w:sz w:val="24"/>
                <w:szCs w:val="32"/>
                <w:highlight w:val="none"/>
              </w:rPr>
              <w:t>态环境局关于安徽泗县经济开发区总体发展规划环境影响跟踪评价报告书的审查意见</w:t>
            </w:r>
            <w:r>
              <w:rPr>
                <w:rFonts w:hint="eastAsia" w:ascii="Times New Roman" w:hAnsi="Times New Roman" w:cs="Times New Roman"/>
                <w:sz w:val="24"/>
                <w:szCs w:val="32"/>
                <w:highlight w:val="none"/>
              </w:rPr>
              <w:t>》宿环函[2020]101号</w:t>
            </w:r>
            <w:r>
              <w:rPr>
                <w:rFonts w:hint="default" w:ascii="Times New Roman" w:hAnsi="Times New Roman" w:cs="Times New Roman"/>
                <w:sz w:val="24"/>
                <w:szCs w:val="32"/>
                <w:highlight w:val="none"/>
              </w:rPr>
              <w:t>，本项目与审查意见相符性分析见下表</w:t>
            </w:r>
            <w:r>
              <w:rPr>
                <w:rFonts w:hint="eastAsia" w:ascii="Times New Roman" w:hAnsi="Times New Roman" w:cs="Times New Roman"/>
                <w:sz w:val="24"/>
                <w:szCs w:val="32"/>
                <w:highlight w:val="none"/>
                <w:lang w:val="en-US" w:eastAsia="zh-CN"/>
              </w:rPr>
              <w:t>1.3</w:t>
            </w:r>
            <w:r>
              <w:rPr>
                <w:rFonts w:hint="default" w:ascii="Times New Roman" w:hAnsi="Times New Roman" w:cs="Times New Roman"/>
                <w:sz w:val="24"/>
                <w:szCs w:val="32"/>
                <w:highlight w:val="none"/>
              </w:rPr>
              <w:t>。</w:t>
            </w:r>
          </w:p>
          <w:p w14:paraId="6B1CD458">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highlight w:val="none"/>
                <w:lang w:bidi="ar"/>
              </w:rPr>
            </w:pPr>
            <w:r>
              <w:rPr>
                <w:rFonts w:hint="default" w:ascii="Times New Roman" w:hAnsi="Times New Roman" w:cs="Times New Roman"/>
                <w:b/>
                <w:bCs/>
                <w:highlight w:val="none"/>
                <w:lang w:bidi="ar"/>
              </w:rPr>
              <w:t>表</w:t>
            </w:r>
            <w:r>
              <w:rPr>
                <w:rFonts w:hint="eastAsia" w:ascii="Times New Roman" w:hAnsi="Times New Roman" w:cs="Times New Roman"/>
                <w:b/>
                <w:bCs/>
                <w:highlight w:val="none"/>
                <w:lang w:val="en-US" w:eastAsia="zh-CN" w:bidi="ar"/>
              </w:rPr>
              <w:t>1.3</w:t>
            </w:r>
            <w:r>
              <w:rPr>
                <w:rFonts w:hint="default" w:ascii="Times New Roman" w:hAnsi="Times New Roman" w:cs="Times New Roman"/>
                <w:b/>
                <w:bCs/>
                <w:highlight w:val="none"/>
                <w:lang w:bidi="ar"/>
              </w:rPr>
              <w:t xml:space="preserve">  项目与</w:t>
            </w:r>
            <w:r>
              <w:rPr>
                <w:rFonts w:hint="eastAsia" w:ascii="宋体" w:hAnsi="宋体" w:cs="宋体"/>
                <w:b/>
                <w:bCs/>
                <w:kern w:val="0"/>
                <w:highlight w:val="none"/>
              </w:rPr>
              <w:t>跟踪评价</w:t>
            </w:r>
            <w:r>
              <w:rPr>
                <w:rFonts w:hint="default" w:ascii="Times New Roman" w:hAnsi="Times New Roman" w:cs="Times New Roman"/>
                <w:b/>
                <w:bCs/>
                <w:highlight w:val="none"/>
                <w:lang w:bidi="ar"/>
              </w:rPr>
              <w:t>审查意见符合性分析</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4054"/>
              <w:gridCol w:w="2972"/>
              <w:gridCol w:w="671"/>
            </w:tblGrid>
            <w:tr w14:paraId="5591D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noWrap w:val="0"/>
                  <w:vAlign w:val="center"/>
                </w:tcPr>
                <w:p w14:paraId="755531C1">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highlight w:val="none"/>
                    </w:rPr>
                  </w:pPr>
                  <w:r>
                    <w:rPr>
                      <w:rFonts w:hint="default" w:ascii="Times New Roman" w:hAnsi="Times New Roman" w:cs="Times New Roman"/>
                      <w:b/>
                      <w:bCs/>
                      <w:sz w:val="21"/>
                      <w:szCs w:val="21"/>
                      <w:highlight w:val="none"/>
                      <w:lang w:bidi="ar"/>
                    </w:rPr>
                    <w:t>序号</w:t>
                  </w:r>
                </w:p>
              </w:tc>
              <w:tc>
                <w:tcPr>
                  <w:tcW w:w="2446" w:type="pct"/>
                  <w:noWrap w:val="0"/>
                  <w:vAlign w:val="center"/>
                </w:tcPr>
                <w:p w14:paraId="44E2EF14">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highlight w:val="none"/>
                    </w:rPr>
                  </w:pPr>
                  <w:r>
                    <w:rPr>
                      <w:rFonts w:hint="default" w:ascii="Times New Roman" w:hAnsi="Times New Roman" w:cs="Times New Roman"/>
                      <w:b/>
                      <w:bCs/>
                      <w:sz w:val="21"/>
                      <w:szCs w:val="21"/>
                      <w:highlight w:val="none"/>
                      <w:lang w:bidi="ar"/>
                    </w:rPr>
                    <w:t>审查意见</w:t>
                  </w:r>
                </w:p>
              </w:tc>
              <w:tc>
                <w:tcPr>
                  <w:tcW w:w="1793" w:type="pct"/>
                  <w:noWrap w:val="0"/>
                  <w:vAlign w:val="center"/>
                </w:tcPr>
                <w:p w14:paraId="7BDBCF72">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highlight w:val="none"/>
                    </w:rPr>
                  </w:pPr>
                  <w:r>
                    <w:rPr>
                      <w:rFonts w:hint="default" w:ascii="Times New Roman" w:hAnsi="Times New Roman" w:cs="Times New Roman"/>
                      <w:b/>
                      <w:bCs/>
                      <w:sz w:val="21"/>
                      <w:szCs w:val="21"/>
                      <w:highlight w:val="none"/>
                      <w:lang w:bidi="ar"/>
                    </w:rPr>
                    <w:t>本项目</w:t>
                  </w:r>
                </w:p>
              </w:tc>
              <w:tc>
                <w:tcPr>
                  <w:tcW w:w="405" w:type="pct"/>
                  <w:noWrap w:val="0"/>
                  <w:vAlign w:val="center"/>
                </w:tcPr>
                <w:p w14:paraId="12622112">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highlight w:val="none"/>
                    </w:rPr>
                  </w:pPr>
                  <w:r>
                    <w:rPr>
                      <w:rFonts w:hint="default" w:ascii="Times New Roman" w:hAnsi="Times New Roman" w:cs="Times New Roman"/>
                      <w:b/>
                      <w:bCs/>
                      <w:sz w:val="21"/>
                      <w:szCs w:val="21"/>
                      <w:highlight w:val="none"/>
                      <w:lang w:bidi="ar"/>
                    </w:rPr>
                    <w:t>符合性</w:t>
                  </w:r>
                </w:p>
              </w:tc>
            </w:tr>
            <w:tr w14:paraId="5D8E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noWrap w:val="0"/>
                  <w:vAlign w:val="center"/>
                </w:tcPr>
                <w:p w14:paraId="5BAEA2AE">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1</w:t>
                  </w:r>
                </w:p>
              </w:tc>
              <w:tc>
                <w:tcPr>
                  <w:tcW w:w="2446" w:type="pct"/>
                  <w:noWrap w:val="0"/>
                  <w:vAlign w:val="center"/>
                </w:tcPr>
                <w:p w14:paraId="302D032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highlight w:val="none"/>
                    </w:rPr>
                  </w:pPr>
                  <w:r>
                    <w:rPr>
                      <w:rFonts w:hint="default" w:ascii="Times New Roman" w:hAnsi="Times New Roman" w:cs="Times New Roman"/>
                      <w:color w:val="000000"/>
                      <w:sz w:val="21"/>
                      <w:szCs w:val="21"/>
                      <w:highlight w:val="none"/>
                      <w:lang w:bidi="ar"/>
                    </w:rPr>
                    <w:t>根据现状功能分区，适当调整优化产业布局</w:t>
                  </w:r>
                  <w:r>
                    <w:rPr>
                      <w:rFonts w:hint="eastAsia" w:ascii="Times New Roman" w:hAnsi="Times New Roman" w:cs="Times New Roman"/>
                      <w:color w:val="000000"/>
                      <w:sz w:val="21"/>
                      <w:szCs w:val="21"/>
                      <w:highlight w:val="none"/>
                      <w:lang w:bidi="ar"/>
                    </w:rPr>
                    <w:t>，</w:t>
                  </w:r>
                  <w:r>
                    <w:rPr>
                      <w:rFonts w:hint="default" w:ascii="Times New Roman" w:hAnsi="Times New Roman" w:cs="Times New Roman"/>
                      <w:color w:val="000000"/>
                      <w:sz w:val="21"/>
                      <w:szCs w:val="21"/>
                      <w:highlight w:val="none"/>
                      <w:lang w:bidi="ar"/>
                    </w:rPr>
                    <w:t>针对现有产业布局较为杂乱的情况，要采取措施逐步进行调整或搬迁</w:t>
                  </w:r>
                  <w:r>
                    <w:rPr>
                      <w:rFonts w:hint="eastAsia" w:ascii="Times New Roman" w:hAnsi="Times New Roman" w:cs="Times New Roman"/>
                      <w:color w:val="000000"/>
                      <w:sz w:val="21"/>
                      <w:szCs w:val="21"/>
                      <w:highlight w:val="none"/>
                      <w:lang w:bidi="ar"/>
                    </w:rPr>
                    <w:t>，</w:t>
                  </w:r>
                  <w:r>
                    <w:rPr>
                      <w:rFonts w:hint="default" w:ascii="Times New Roman" w:hAnsi="Times New Roman" w:cs="Times New Roman"/>
                      <w:color w:val="000000"/>
                      <w:sz w:val="21"/>
                      <w:szCs w:val="21"/>
                      <w:highlight w:val="none"/>
                      <w:lang w:bidi="ar"/>
                    </w:rPr>
                    <w:t>对不能调整和搬迁的应严格控制企业规模</w:t>
                  </w:r>
                  <w:r>
                    <w:rPr>
                      <w:rFonts w:hint="eastAsia" w:ascii="Times New Roman" w:hAnsi="Times New Roman" w:cs="Times New Roman"/>
                      <w:color w:val="000000"/>
                      <w:sz w:val="21"/>
                      <w:szCs w:val="21"/>
                      <w:highlight w:val="none"/>
                      <w:lang w:bidi="ar"/>
                    </w:rPr>
                    <w:t>，</w:t>
                  </w:r>
                  <w:r>
                    <w:rPr>
                      <w:rFonts w:hint="default" w:ascii="Times New Roman" w:hAnsi="Times New Roman" w:cs="Times New Roman"/>
                      <w:color w:val="000000"/>
                      <w:sz w:val="21"/>
                      <w:szCs w:val="21"/>
                      <w:highlight w:val="none"/>
                      <w:lang w:bidi="ar"/>
                    </w:rPr>
                    <w:t>未来逐步进行产业升级调整</w:t>
                  </w:r>
                </w:p>
              </w:tc>
              <w:tc>
                <w:tcPr>
                  <w:tcW w:w="1793" w:type="pct"/>
                  <w:noWrap w:val="0"/>
                  <w:vAlign w:val="center"/>
                </w:tcPr>
                <w:p w14:paraId="409EBF4F">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kern w:val="0"/>
                      <w:highlight w:val="none"/>
                      <w:lang w:val="en-US" w:eastAsia="zh-CN"/>
                    </w:rPr>
                  </w:pPr>
                  <w:r>
                    <w:rPr>
                      <w:kern w:val="0"/>
                      <w:sz w:val="21"/>
                      <w:szCs w:val="21"/>
                      <w:highlight w:val="none"/>
                    </w:rPr>
                    <w:t>本</w:t>
                  </w:r>
                  <w:r>
                    <w:rPr>
                      <w:rFonts w:hint="eastAsia"/>
                      <w:kern w:val="0"/>
                      <w:sz w:val="21"/>
                      <w:szCs w:val="21"/>
                      <w:highlight w:val="none"/>
                      <w:lang w:val="en-US" w:eastAsia="zh-CN"/>
                    </w:rPr>
                    <w:t>项目符合园区产业布局。</w:t>
                  </w:r>
                </w:p>
              </w:tc>
              <w:tc>
                <w:tcPr>
                  <w:tcW w:w="405" w:type="pct"/>
                  <w:noWrap w:val="0"/>
                  <w:vAlign w:val="center"/>
                </w:tcPr>
                <w:p w14:paraId="52AF0D81">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highlight w:val="none"/>
                    </w:rPr>
                  </w:pPr>
                  <w:r>
                    <w:rPr>
                      <w:rFonts w:hint="default" w:ascii="Times New Roman" w:hAnsi="Times New Roman" w:cs="Times New Roman"/>
                      <w:sz w:val="21"/>
                      <w:szCs w:val="21"/>
                      <w:highlight w:val="none"/>
                      <w:lang w:bidi="ar"/>
                    </w:rPr>
                    <w:t>符合</w:t>
                  </w:r>
                </w:p>
              </w:tc>
            </w:tr>
            <w:tr w14:paraId="4589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5" w:type="pct"/>
                  <w:noWrap w:val="0"/>
                  <w:vAlign w:val="center"/>
                </w:tcPr>
                <w:p w14:paraId="7B08CE4A">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2</w:t>
                  </w:r>
                </w:p>
              </w:tc>
              <w:tc>
                <w:tcPr>
                  <w:tcW w:w="2446" w:type="pct"/>
                  <w:noWrap w:val="0"/>
                  <w:vAlign w:val="center"/>
                </w:tcPr>
                <w:p w14:paraId="069E1DB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highlight w:val="none"/>
                    </w:rPr>
                  </w:pPr>
                  <w:r>
                    <w:rPr>
                      <w:rFonts w:hint="default" w:ascii="Times New Roman" w:hAnsi="Times New Roman" w:cs="Times New Roman"/>
                      <w:color w:val="auto"/>
                      <w:sz w:val="21"/>
                      <w:szCs w:val="21"/>
                      <w:highlight w:val="none"/>
                      <w:lang w:bidi="ar"/>
                    </w:rPr>
                    <w:t>严格项目行业准入和资源环境准入。禁止负面清单中行业企业入驻</w:t>
                  </w:r>
                  <w:r>
                    <w:rPr>
                      <w:rFonts w:hint="eastAsia" w:ascii="Times New Roman" w:hAnsi="Times New Roman" w:cs="Times New Roman"/>
                      <w:color w:val="auto"/>
                      <w:sz w:val="21"/>
                      <w:szCs w:val="21"/>
                      <w:highlight w:val="none"/>
                      <w:lang w:eastAsia="zh-CN" w:bidi="ar"/>
                    </w:rPr>
                    <w:t>；</w:t>
                  </w:r>
                  <w:r>
                    <w:rPr>
                      <w:rFonts w:hint="default" w:ascii="Times New Roman" w:hAnsi="Times New Roman" w:cs="Times New Roman"/>
                      <w:color w:val="auto"/>
                      <w:sz w:val="21"/>
                      <w:szCs w:val="21"/>
                      <w:highlight w:val="none"/>
                      <w:lang w:bidi="ar"/>
                    </w:rPr>
                    <w:t>新入区项目应按照规划功能布局入驻。优化调整开发区空间布局、组团结构，设置生态隔离措施，减轻和避免各功能区之间、项目之间的相互影响。</w:t>
                  </w:r>
                </w:p>
              </w:tc>
              <w:tc>
                <w:tcPr>
                  <w:tcW w:w="1793" w:type="pct"/>
                  <w:noWrap w:val="0"/>
                  <w:vAlign w:val="center"/>
                </w:tcPr>
                <w:p w14:paraId="14B5E91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highlight w:val="none"/>
                    </w:rPr>
                  </w:pPr>
                  <w:r>
                    <w:rPr>
                      <w:rFonts w:hint="eastAsia" w:ascii="Times New Roman" w:hAnsi="Times New Roman" w:cs="Times New Roman"/>
                      <w:sz w:val="21"/>
                      <w:szCs w:val="21"/>
                      <w:highlight w:val="none"/>
                      <w:lang w:val="en-US" w:eastAsia="zh-CN" w:bidi="ar"/>
                    </w:rPr>
                    <w:t>本项目</w:t>
                  </w:r>
                  <w:r>
                    <w:rPr>
                      <w:rFonts w:hint="default" w:ascii="Times New Roman" w:hAnsi="Times New Roman" w:cs="Times New Roman"/>
                      <w:sz w:val="21"/>
                      <w:szCs w:val="21"/>
                      <w:highlight w:val="none"/>
                      <w:lang w:bidi="ar"/>
                    </w:rPr>
                    <w:t>不属于园区禁止入区的能耗、高污染型行业，属于其他行业，不涉及锅炉，不属于食品加工类行业、纺织服装类，不属于负面清单中的行业企业</w:t>
                  </w:r>
                  <w:r>
                    <w:rPr>
                      <w:rFonts w:hint="eastAsia" w:ascii="Times New Roman" w:hAnsi="Times New Roman" w:cs="Times New Roman"/>
                      <w:sz w:val="21"/>
                      <w:szCs w:val="21"/>
                      <w:highlight w:val="none"/>
                      <w:lang w:eastAsia="zh-CN" w:bidi="ar"/>
                    </w:rPr>
                    <w:t>，</w:t>
                  </w:r>
                  <w:r>
                    <w:rPr>
                      <w:rFonts w:hint="eastAsia" w:ascii="Times New Roman" w:hAnsi="Times New Roman" w:cs="Times New Roman"/>
                      <w:sz w:val="21"/>
                      <w:szCs w:val="21"/>
                      <w:highlight w:val="none"/>
                      <w:lang w:val="en-US" w:eastAsia="zh-CN" w:bidi="ar"/>
                    </w:rPr>
                    <w:t>符合园区规划。</w:t>
                  </w:r>
                </w:p>
              </w:tc>
              <w:tc>
                <w:tcPr>
                  <w:tcW w:w="405" w:type="pct"/>
                  <w:noWrap w:val="0"/>
                  <w:vAlign w:val="center"/>
                </w:tcPr>
                <w:p w14:paraId="6948C3E7">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highlight w:val="none"/>
                    </w:rPr>
                  </w:pPr>
                  <w:r>
                    <w:rPr>
                      <w:rFonts w:hint="default" w:ascii="Times New Roman" w:hAnsi="Times New Roman" w:cs="Times New Roman"/>
                      <w:sz w:val="21"/>
                      <w:szCs w:val="21"/>
                      <w:highlight w:val="none"/>
                      <w:lang w:bidi="ar"/>
                    </w:rPr>
                    <w:t>符合</w:t>
                  </w:r>
                </w:p>
              </w:tc>
            </w:tr>
            <w:tr w14:paraId="2073A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noWrap w:val="0"/>
                  <w:vAlign w:val="center"/>
                </w:tcPr>
                <w:p w14:paraId="241C2F57">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3</w:t>
                  </w:r>
                </w:p>
              </w:tc>
              <w:tc>
                <w:tcPr>
                  <w:tcW w:w="2446" w:type="pct"/>
                  <w:noWrap w:val="0"/>
                  <w:vAlign w:val="center"/>
                </w:tcPr>
                <w:p w14:paraId="4DE0424F">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highlight w:val="none"/>
                    </w:rPr>
                  </w:pPr>
                  <w:r>
                    <w:rPr>
                      <w:rFonts w:hint="default" w:ascii="Times New Roman" w:hAnsi="Times New Roman" w:cs="Times New Roman"/>
                      <w:sz w:val="21"/>
                      <w:szCs w:val="21"/>
                      <w:highlight w:val="none"/>
                      <w:lang w:bidi="ar"/>
                    </w:rPr>
                    <w:t>强化水资源管理，积极推进企业内、企业间水资源梯级利用和企业用水总量控制</w:t>
                  </w:r>
                  <w:r>
                    <w:rPr>
                      <w:rFonts w:hint="eastAsia" w:ascii="Times New Roman" w:hAnsi="Times New Roman" w:cs="Times New Roman"/>
                      <w:sz w:val="21"/>
                      <w:szCs w:val="21"/>
                      <w:highlight w:val="none"/>
                      <w:lang w:bidi="ar"/>
                    </w:rPr>
                    <w:t>，</w:t>
                  </w:r>
                  <w:r>
                    <w:rPr>
                      <w:rFonts w:hint="default" w:ascii="Times New Roman" w:hAnsi="Times New Roman" w:cs="Times New Roman"/>
                      <w:sz w:val="21"/>
                      <w:szCs w:val="21"/>
                      <w:highlight w:val="none"/>
                      <w:lang w:bidi="ar"/>
                    </w:rPr>
                    <w:t>切实提高水资源利用率。严禁建设国家明令禁止的项目，严格控制高耗水、高耗能污水排放量大的项目建设</w:t>
                  </w:r>
                  <w:r>
                    <w:rPr>
                      <w:rFonts w:hint="eastAsia" w:ascii="Times New Roman" w:hAnsi="Times New Roman" w:cs="Times New Roman"/>
                      <w:sz w:val="21"/>
                      <w:szCs w:val="21"/>
                      <w:highlight w:val="none"/>
                      <w:lang w:eastAsia="zh-CN" w:bidi="ar"/>
                    </w:rPr>
                    <w:t>；</w:t>
                  </w:r>
                  <w:r>
                    <w:rPr>
                      <w:rFonts w:hint="default" w:ascii="Times New Roman" w:hAnsi="Times New Roman" w:cs="Times New Roman"/>
                      <w:sz w:val="21"/>
                      <w:szCs w:val="21"/>
                      <w:highlight w:val="none"/>
                      <w:lang w:bidi="ar"/>
                    </w:rPr>
                    <w:t>已建和拟入区建设项目应严格执行水环境保护相关标准和要求。开发区内企业不得自行开采地下水用于工业生产。排查现有企业自备水井的取水合法性</w:t>
                  </w:r>
                  <w:r>
                    <w:rPr>
                      <w:rFonts w:hint="eastAsia" w:ascii="Times New Roman" w:hAnsi="Times New Roman" w:cs="Times New Roman"/>
                      <w:sz w:val="21"/>
                      <w:szCs w:val="21"/>
                      <w:highlight w:val="none"/>
                      <w:lang w:eastAsia="zh-CN" w:bidi="ar"/>
                    </w:rPr>
                    <w:t>；</w:t>
                  </w:r>
                  <w:r>
                    <w:rPr>
                      <w:rFonts w:hint="default" w:ascii="Times New Roman" w:hAnsi="Times New Roman" w:cs="Times New Roman"/>
                      <w:sz w:val="21"/>
                      <w:szCs w:val="21"/>
                      <w:highlight w:val="none"/>
                      <w:lang w:bidi="ar"/>
                    </w:rPr>
                    <w:t>加快推进雨污管网、中水回用和集中供热等基础设施建设。强化园区污水收集</w:t>
                  </w:r>
                  <w:r>
                    <w:rPr>
                      <w:rFonts w:hint="eastAsia" w:ascii="Times New Roman" w:hAnsi="Times New Roman" w:cs="Times New Roman"/>
                      <w:sz w:val="21"/>
                      <w:szCs w:val="21"/>
                      <w:highlight w:val="none"/>
                      <w:lang w:eastAsia="zh-CN" w:bidi="ar"/>
                    </w:rPr>
                    <w:t>，</w:t>
                  </w:r>
                  <w:r>
                    <w:rPr>
                      <w:rFonts w:hint="default" w:ascii="Times New Roman" w:hAnsi="Times New Roman" w:cs="Times New Roman"/>
                      <w:sz w:val="21"/>
                      <w:szCs w:val="21"/>
                      <w:highlight w:val="none"/>
                      <w:lang w:bidi="ar"/>
                    </w:rPr>
                    <w:t>做好污水处理厂的运营和管理，确保稳定达标排放。</w:t>
                  </w:r>
                </w:p>
              </w:tc>
              <w:tc>
                <w:tcPr>
                  <w:tcW w:w="1793" w:type="pct"/>
                  <w:noWrap w:val="0"/>
                  <w:vAlign w:val="center"/>
                </w:tcPr>
                <w:p w14:paraId="467DB4D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highlight w:val="none"/>
                      <w:lang w:eastAsia="zh-CN"/>
                    </w:rPr>
                  </w:pPr>
                  <w:r>
                    <w:rPr>
                      <w:rFonts w:hint="default" w:ascii="Times New Roman" w:hAnsi="Times New Roman" w:cs="Times New Roman"/>
                      <w:sz w:val="21"/>
                      <w:szCs w:val="21"/>
                      <w:highlight w:val="none"/>
                      <w:lang w:bidi="ar"/>
                    </w:rPr>
                    <w:t>本项目用水来自园区自来水管网，不自建备用水井，项目不属于国家明令禁止的项目，项目不属于高耗能、污水排放量大的项目，项</w:t>
                  </w:r>
                  <w:r>
                    <w:rPr>
                      <w:rFonts w:hint="default" w:ascii="Times New Roman" w:hAnsi="Times New Roman" w:eastAsia="宋体" w:cs="Times New Roman"/>
                      <w:sz w:val="21"/>
                      <w:szCs w:val="21"/>
                      <w:highlight w:val="none"/>
                      <w:lang w:bidi="ar"/>
                    </w:rPr>
                    <w:t>目产生的</w:t>
                  </w:r>
                  <w:r>
                    <w:rPr>
                      <w:rFonts w:hint="eastAsia" w:ascii="Times New Roman" w:hAnsi="Times New Roman" w:eastAsia="宋体" w:cs="Times New Roman"/>
                      <w:sz w:val="21"/>
                      <w:szCs w:val="21"/>
                      <w:highlight w:val="none"/>
                      <w:lang w:eastAsia="zh-CN" w:bidi="ar"/>
                    </w:rPr>
                    <w:t>职工生活污水依托园区现有“化粪池”处理后达到《污水综合排放标准》（GB8978-1996）表4中三级标准限值及泗县工业污水处理厂接管限值后排入泗县工业污水处理厂处理达《城镇污水处理厂污染物排放标准》（GB18918-2002）表1中一级标准A标准后排入石梁河。</w:t>
                  </w:r>
                </w:p>
              </w:tc>
              <w:tc>
                <w:tcPr>
                  <w:tcW w:w="405" w:type="pct"/>
                  <w:noWrap w:val="0"/>
                  <w:vAlign w:val="center"/>
                </w:tcPr>
                <w:p w14:paraId="7914BDD1">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highlight w:val="none"/>
                    </w:rPr>
                  </w:pPr>
                  <w:r>
                    <w:rPr>
                      <w:rFonts w:hint="default" w:ascii="Times New Roman" w:hAnsi="Times New Roman" w:cs="Times New Roman"/>
                      <w:sz w:val="21"/>
                      <w:szCs w:val="21"/>
                      <w:highlight w:val="none"/>
                      <w:lang w:bidi="ar"/>
                    </w:rPr>
                    <w:t>符合</w:t>
                  </w:r>
                </w:p>
              </w:tc>
            </w:tr>
            <w:tr w14:paraId="60C1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355" w:type="pct"/>
                  <w:noWrap w:val="0"/>
                  <w:vAlign w:val="center"/>
                </w:tcPr>
                <w:p w14:paraId="64430B86">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4</w:t>
                  </w:r>
                </w:p>
              </w:tc>
              <w:tc>
                <w:tcPr>
                  <w:tcW w:w="2446" w:type="pct"/>
                  <w:noWrap w:val="0"/>
                  <w:vAlign w:val="center"/>
                </w:tcPr>
                <w:p w14:paraId="49B15C6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bidi="ar"/>
                    </w:rPr>
                  </w:pPr>
                  <w:r>
                    <w:rPr>
                      <w:rFonts w:hint="default" w:ascii="Times New Roman" w:hAnsi="Times New Roman" w:eastAsia="宋体" w:cs="Times New Roman"/>
                      <w:sz w:val="21"/>
                      <w:szCs w:val="21"/>
                      <w:highlight w:val="none"/>
                      <w:lang w:bidi="ar"/>
                    </w:rPr>
                    <w:t>在规划确定的开发区产业定位总体框架下,根据当地环境容量和资源情况，进一步优化发展重点，严格控制非主导产业项目入区。对不符合开发区产业定位和环保要求以及容易引起突发性环境风险的项目应禁止入区建设。建立并实施不符合规划、产业准入和环保准入条件项目的退出机制。大力推进园区产业升级改造工程，通过关、停、并、转、迁，加速转型或淘汰不符合工业用地性质、产业定位及环保要求的企业。</w:t>
                  </w:r>
                </w:p>
              </w:tc>
              <w:tc>
                <w:tcPr>
                  <w:tcW w:w="1793" w:type="pct"/>
                  <w:noWrap w:val="0"/>
                  <w:vAlign w:val="center"/>
                </w:tcPr>
                <w:p w14:paraId="719BC11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bidi="ar"/>
                    </w:rPr>
                  </w:pPr>
                  <w:r>
                    <w:rPr>
                      <w:rFonts w:hint="eastAsia" w:ascii="Times New Roman" w:hAnsi="Times New Roman" w:eastAsia="宋体" w:cs="Times New Roman"/>
                      <w:sz w:val="21"/>
                      <w:szCs w:val="21"/>
                      <w:highlight w:val="none"/>
                      <w:lang w:val="en-US" w:eastAsia="zh-CN" w:bidi="ar"/>
                    </w:rPr>
                    <w:t>本项目不属于</w:t>
                  </w:r>
                  <w:r>
                    <w:rPr>
                      <w:rFonts w:hint="default" w:ascii="Times New Roman" w:hAnsi="Times New Roman" w:eastAsia="宋体" w:cs="Times New Roman"/>
                      <w:sz w:val="21"/>
                      <w:szCs w:val="21"/>
                      <w:highlight w:val="none"/>
                      <w:lang w:bidi="ar"/>
                    </w:rPr>
                    <w:t>容易引起突发性环境风险的项目</w:t>
                  </w:r>
                  <w:r>
                    <w:rPr>
                      <w:rFonts w:hint="eastAsia" w:ascii="Times New Roman" w:hAnsi="Times New Roman" w:eastAsia="宋体" w:cs="Times New Roman"/>
                      <w:sz w:val="21"/>
                      <w:szCs w:val="21"/>
                      <w:highlight w:val="none"/>
                      <w:lang w:eastAsia="zh-CN" w:bidi="ar"/>
                    </w:rPr>
                    <w:t>，</w:t>
                  </w:r>
                  <w:r>
                    <w:rPr>
                      <w:rFonts w:hint="eastAsia" w:ascii="Times New Roman" w:hAnsi="Times New Roman" w:eastAsia="宋体" w:cs="Times New Roman"/>
                      <w:sz w:val="21"/>
                      <w:szCs w:val="21"/>
                      <w:highlight w:val="none"/>
                      <w:lang w:val="en-US" w:eastAsia="zh-CN" w:bidi="ar"/>
                    </w:rPr>
                    <w:t>本项目符合</w:t>
                  </w:r>
                  <w:r>
                    <w:rPr>
                      <w:rFonts w:hint="default" w:ascii="Times New Roman" w:hAnsi="Times New Roman" w:eastAsia="宋体" w:cs="Times New Roman"/>
                      <w:sz w:val="21"/>
                      <w:szCs w:val="21"/>
                      <w:highlight w:val="none"/>
                      <w:lang w:bidi="ar"/>
                    </w:rPr>
                    <w:t>规划、产业准入和环保准入条件</w:t>
                  </w:r>
                  <w:r>
                    <w:rPr>
                      <w:rFonts w:hint="eastAsia" w:ascii="Times New Roman" w:hAnsi="Times New Roman" w:eastAsia="宋体" w:cs="Times New Roman"/>
                      <w:sz w:val="21"/>
                      <w:szCs w:val="21"/>
                      <w:highlight w:val="none"/>
                      <w:lang w:eastAsia="zh-CN" w:bidi="ar"/>
                    </w:rPr>
                    <w:t>。</w:t>
                  </w:r>
                </w:p>
              </w:tc>
              <w:tc>
                <w:tcPr>
                  <w:tcW w:w="405" w:type="pct"/>
                  <w:noWrap w:val="0"/>
                  <w:vAlign w:val="center"/>
                </w:tcPr>
                <w:p w14:paraId="2A002ABE">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符合</w:t>
                  </w:r>
                </w:p>
              </w:tc>
            </w:tr>
            <w:tr w14:paraId="6FEE4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noWrap w:val="0"/>
                  <w:vAlign w:val="center"/>
                </w:tcPr>
                <w:p w14:paraId="41851F15">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5</w:t>
                  </w:r>
                </w:p>
              </w:tc>
              <w:tc>
                <w:tcPr>
                  <w:tcW w:w="2446" w:type="pct"/>
                  <w:noWrap w:val="0"/>
                  <w:vAlign w:val="top"/>
                </w:tcPr>
                <w:p w14:paraId="28BEE4D6">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扎实推进节能减排工作。应采取工艺改造、节水管理等措施控制和减少现有企业的资源消耗水平及污染物排放强度。加强挥发性有机物防治</w:t>
                  </w:r>
                  <w:r>
                    <w:rPr>
                      <w:rFonts w:hint="eastAsia" w:ascii="Times New Roman" w:hAnsi="Times New Roman" w:cs="Times New Roman"/>
                      <w:sz w:val="21"/>
                      <w:szCs w:val="21"/>
                      <w:highlight w:val="none"/>
                      <w:lang w:bidi="ar"/>
                    </w:rPr>
                    <w:t>，</w:t>
                  </w:r>
                  <w:r>
                    <w:rPr>
                      <w:rFonts w:hint="default" w:ascii="Times New Roman" w:hAnsi="Times New Roman" w:cs="Times New Roman"/>
                      <w:sz w:val="21"/>
                      <w:szCs w:val="21"/>
                      <w:highlight w:val="none"/>
                      <w:lang w:bidi="ar"/>
                    </w:rPr>
                    <w:t>对园区现有主要VOCs及异味废气排放企业开展综合治理工作，加强日常监测、监督管理和预防控制。</w:t>
                  </w:r>
                </w:p>
              </w:tc>
              <w:tc>
                <w:tcPr>
                  <w:tcW w:w="1793" w:type="pct"/>
                  <w:noWrap w:val="0"/>
                  <w:vAlign w:val="center"/>
                </w:tcPr>
                <w:p w14:paraId="21C16A52">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highlight w:val="none"/>
                    </w:rPr>
                  </w:pPr>
                  <w:r>
                    <w:rPr>
                      <w:rFonts w:hint="eastAsia" w:ascii="Times New Roman" w:hAnsi="Times New Roman" w:eastAsia="宋体" w:cs="Times New Roman"/>
                      <w:sz w:val="21"/>
                      <w:szCs w:val="21"/>
                      <w:highlight w:val="none"/>
                      <w:lang w:bidi="ar"/>
                    </w:rPr>
                    <w:t>本项目所用的能源为电和水，且不突破当地资源利用上限要求，项目</w:t>
                  </w:r>
                  <w:r>
                    <w:rPr>
                      <w:rFonts w:hint="eastAsia" w:ascii="Times New Roman" w:hAnsi="Times New Roman" w:eastAsia="宋体" w:cs="Times New Roman"/>
                      <w:sz w:val="21"/>
                      <w:szCs w:val="21"/>
                      <w:highlight w:val="none"/>
                      <w:lang w:val="en-US" w:eastAsia="zh-CN" w:bidi="ar"/>
                    </w:rPr>
                    <w:t>挥发性有机</w:t>
                  </w:r>
                  <w:r>
                    <w:rPr>
                      <w:rFonts w:hint="eastAsia" w:ascii="Times New Roman" w:hAnsi="Times New Roman" w:eastAsia="宋体" w:cs="Times New Roman"/>
                      <w:sz w:val="21"/>
                      <w:szCs w:val="21"/>
                      <w:highlight w:val="none"/>
                      <w:lang w:bidi="ar"/>
                    </w:rPr>
                    <w:t>废气采取集气罩+</w:t>
                  </w:r>
                  <w:r>
                    <w:rPr>
                      <w:rFonts w:hint="eastAsia" w:ascii="Times New Roman" w:hAnsi="Times New Roman" w:eastAsia="宋体" w:cs="Times New Roman"/>
                      <w:sz w:val="21"/>
                      <w:szCs w:val="21"/>
                      <w:highlight w:val="none"/>
                      <w:lang w:eastAsia="zh-CN" w:bidi="ar"/>
                    </w:rPr>
                    <w:t>两级活性炭</w:t>
                  </w:r>
                  <w:r>
                    <w:rPr>
                      <w:rFonts w:hint="eastAsia" w:ascii="Times New Roman" w:hAnsi="Times New Roman" w:eastAsia="宋体" w:cs="Times New Roman"/>
                      <w:sz w:val="21"/>
                      <w:szCs w:val="21"/>
                      <w:highlight w:val="none"/>
                      <w:lang w:bidi="ar"/>
                    </w:rPr>
                    <w:t>吸附处理，处理效率为90%</w:t>
                  </w:r>
                  <w:r>
                    <w:rPr>
                      <w:rFonts w:hint="eastAsia" w:ascii="Times New Roman" w:hAnsi="Times New Roman" w:eastAsia="宋体" w:cs="Times New Roman"/>
                      <w:sz w:val="21"/>
                      <w:szCs w:val="21"/>
                      <w:highlight w:val="none"/>
                      <w:lang w:eastAsia="zh-CN" w:bidi="ar"/>
                    </w:rPr>
                    <w:t>，</w:t>
                  </w:r>
                  <w:r>
                    <w:rPr>
                      <w:rFonts w:hint="eastAsia" w:ascii="Times New Roman" w:hAnsi="Times New Roman" w:eastAsia="宋体" w:cs="Times New Roman"/>
                      <w:sz w:val="21"/>
                      <w:szCs w:val="21"/>
                      <w:highlight w:val="none"/>
                      <w:lang w:val="en-US" w:eastAsia="zh-CN" w:bidi="ar"/>
                    </w:rPr>
                    <w:t>废气可达标排放。</w:t>
                  </w:r>
                </w:p>
              </w:tc>
              <w:tc>
                <w:tcPr>
                  <w:tcW w:w="405" w:type="pct"/>
                  <w:noWrap w:val="0"/>
                  <w:vAlign w:val="center"/>
                </w:tcPr>
                <w:p w14:paraId="388C3196">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highlight w:val="none"/>
                    </w:rPr>
                  </w:pPr>
                  <w:r>
                    <w:rPr>
                      <w:rFonts w:hint="default" w:ascii="Times New Roman" w:hAnsi="Times New Roman" w:cs="Times New Roman"/>
                      <w:sz w:val="21"/>
                      <w:szCs w:val="21"/>
                      <w:highlight w:val="none"/>
                      <w:lang w:bidi="ar"/>
                    </w:rPr>
                    <w:t>符合</w:t>
                  </w:r>
                </w:p>
              </w:tc>
            </w:tr>
          </w:tbl>
          <w:p w14:paraId="5BD8BDCC">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7B506C2F">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41137481">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7D789816">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3F6FD3FD">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03A0B209">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736A4929">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14BF05B2">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7C87E8B8">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21B66BAB">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12BBE86E">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1E9B834F">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44009A5B">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4FAA5135">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0C2DC696">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558B28AE">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3733A06E">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6E0450D1">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10F36880">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397F2C8C">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25EA8C2D">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15A8177C">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6E7744DC">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7EE79923">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62ADAAD9">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1FC845AA">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50F5D927">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76D2D03B">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69309965">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p w14:paraId="542DDAE2">
            <w:pPr>
              <w:pStyle w:val="45"/>
              <w:keepNext w:val="0"/>
              <w:keepLines w:val="0"/>
              <w:pageBreakBefore w:val="0"/>
              <w:widowControl w:val="0"/>
              <w:kinsoku/>
              <w:wordWrap/>
              <w:overflowPunct/>
              <w:topLinePunct w:val="0"/>
              <w:autoSpaceDE/>
              <w:autoSpaceDN/>
              <w:bidi w:val="0"/>
              <w:adjustRightInd/>
              <w:snapToGrid/>
              <w:spacing w:line="240" w:lineRule="auto"/>
              <w:ind w:firstLine="482" w:firstLineChars="200"/>
              <w:jc w:val="both"/>
              <w:textAlignment w:val="auto"/>
              <w:rPr>
                <w:rFonts w:hint="default" w:ascii="Times New Roman" w:hAnsi="Times New Roman" w:cs="Times New Roman"/>
                <w:b/>
                <w:bCs/>
                <w:color w:val="auto"/>
                <w:lang w:val="en-US" w:eastAsia="zh-CN"/>
              </w:rPr>
            </w:pPr>
          </w:p>
        </w:tc>
      </w:tr>
      <w:tr w14:paraId="079F7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14" w:hRule="atLeast"/>
          <w:jc w:val="center"/>
        </w:trPr>
        <w:tc>
          <w:tcPr>
            <w:tcW w:w="1691" w:type="dxa"/>
            <w:vAlign w:val="center"/>
          </w:tcPr>
          <w:p w14:paraId="13B61253">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其他符合性</w:t>
            </w:r>
          </w:p>
          <w:p w14:paraId="29071ED4">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分析</w:t>
            </w:r>
          </w:p>
        </w:tc>
        <w:tc>
          <w:tcPr>
            <w:tcW w:w="8514" w:type="dxa"/>
            <w:gridSpan w:val="3"/>
            <w:vAlign w:val="center"/>
          </w:tcPr>
          <w:p w14:paraId="1B86066C">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1、产业政策符合性分析</w:t>
            </w:r>
          </w:p>
          <w:p w14:paraId="2105FACA">
            <w:pPr>
              <w:pStyle w:val="56"/>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对照《产业结构调整指导目录（2024年本）》，本项目不属于“鼓励类”、“限制类”和“淘汰类”，属于“允许类”项目。</w:t>
            </w:r>
          </w:p>
          <w:p w14:paraId="0A2D35CA">
            <w:pPr>
              <w:pStyle w:val="56"/>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对照《</w:t>
            </w:r>
            <w:r>
              <w:rPr>
                <w:rFonts w:hint="default" w:ascii="Times New Roman" w:hAnsi="Times New Roman" w:eastAsia="宋体" w:cs="Times New Roman"/>
                <w:color w:val="auto"/>
                <w:lang w:eastAsia="zh-CN"/>
              </w:rPr>
              <w:t>安徽省工业产业结构调整指导目录</w:t>
            </w:r>
            <w:r>
              <w:rPr>
                <w:rFonts w:hint="default" w:ascii="Times New Roman" w:hAnsi="Times New Roman" w:eastAsia="宋体" w:cs="Times New Roman"/>
                <w:color w:val="auto"/>
              </w:rPr>
              <w:t>》（20</w:t>
            </w:r>
            <w:r>
              <w:rPr>
                <w:rFonts w:hint="default" w:ascii="Times New Roman" w:hAnsi="Times New Roman" w:eastAsia="宋体" w:cs="Times New Roman"/>
                <w:color w:val="auto"/>
                <w:lang w:val="en-US" w:eastAsia="zh-CN"/>
              </w:rPr>
              <w:t>07年本</w:t>
            </w:r>
            <w:r>
              <w:rPr>
                <w:rFonts w:hint="default" w:ascii="Times New Roman" w:hAnsi="Times New Roman" w:eastAsia="宋体" w:cs="Times New Roman"/>
                <w:color w:val="auto"/>
              </w:rPr>
              <w:t>），本项目不属于“鼓励类”、“限制类”和“淘汰类”，属于“允许类”项目。</w:t>
            </w:r>
          </w:p>
          <w:p w14:paraId="0A4AB1D4">
            <w:pPr>
              <w:pStyle w:val="56"/>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项目已于20</w:t>
            </w:r>
            <w:r>
              <w:rPr>
                <w:rFonts w:hint="default" w:ascii="Times New Roman" w:hAnsi="Times New Roman" w:eastAsia="宋体" w:cs="Times New Roman"/>
                <w:color w:val="auto"/>
                <w:lang w:val="en-US" w:eastAsia="zh-CN"/>
              </w:rPr>
              <w:t>25</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11</w:t>
            </w:r>
            <w:r>
              <w:rPr>
                <w:rFonts w:hint="default" w:ascii="Times New Roman" w:hAnsi="Times New Roman" w:eastAsia="宋体" w:cs="Times New Roman"/>
                <w:color w:val="auto"/>
              </w:rPr>
              <w:t>月</w:t>
            </w:r>
            <w:r>
              <w:rPr>
                <w:rFonts w:hint="default" w:ascii="Times New Roman" w:hAnsi="Times New Roman" w:eastAsia="宋体" w:cs="Times New Roman"/>
                <w:color w:val="auto"/>
                <w:lang w:val="en-US" w:eastAsia="zh-CN"/>
              </w:rPr>
              <w:t>27</w:t>
            </w:r>
            <w:r>
              <w:rPr>
                <w:rFonts w:hint="default" w:ascii="Times New Roman" w:hAnsi="Times New Roman" w:eastAsia="宋体" w:cs="Times New Roman"/>
                <w:color w:val="auto"/>
              </w:rPr>
              <w:t>日取得了</w:t>
            </w:r>
            <w:r>
              <w:rPr>
                <w:rFonts w:hint="default" w:ascii="Times New Roman" w:hAnsi="Times New Roman" w:eastAsia="宋体" w:cs="Times New Roman"/>
                <w:color w:val="auto"/>
                <w:lang w:val="en-US" w:eastAsia="zh-CN"/>
              </w:rPr>
              <w:t>泗县发展和改革委员会</w:t>
            </w:r>
            <w:r>
              <w:rPr>
                <w:rFonts w:hint="default" w:ascii="Times New Roman" w:hAnsi="Times New Roman" w:eastAsia="宋体" w:cs="Times New Roman"/>
                <w:color w:val="auto"/>
              </w:rPr>
              <w:t>下达的《</w:t>
            </w:r>
            <w:r>
              <w:rPr>
                <w:rFonts w:hint="eastAsia" w:ascii="Times New Roman" w:hAnsi="Times New Roman" w:eastAsia="宋体" w:cs="Times New Roman"/>
                <w:color w:val="auto"/>
                <w:lang w:val="en-US" w:eastAsia="zh-CN"/>
              </w:rPr>
              <w:t>宿州美膳新材料有限公司年产100000套密胺餐具项目</w:t>
            </w:r>
            <w:r>
              <w:rPr>
                <w:rFonts w:hint="default" w:ascii="Times New Roman" w:hAnsi="Times New Roman" w:eastAsia="宋体" w:cs="Times New Roman"/>
                <w:color w:val="auto"/>
                <w:lang w:val="en-US" w:eastAsia="zh-CN"/>
              </w:rPr>
              <w:t>备案表</w:t>
            </w:r>
            <w:r>
              <w:rPr>
                <w:rFonts w:hint="default" w:ascii="Times New Roman" w:hAnsi="Times New Roman" w:eastAsia="宋体" w:cs="Times New Roman"/>
                <w:color w:val="auto"/>
              </w:rPr>
              <w:t>》（项目代码</w:t>
            </w:r>
            <w:r>
              <w:rPr>
                <w:rFonts w:hint="default"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2512-341324-04-05-107085</w:t>
            </w:r>
            <w:r>
              <w:rPr>
                <w:rFonts w:hint="default" w:ascii="Times New Roman" w:hAnsi="Times New Roman" w:eastAsia="宋体" w:cs="Times New Roman"/>
                <w:color w:val="auto"/>
              </w:rPr>
              <w:t>）。</w:t>
            </w:r>
          </w:p>
          <w:p w14:paraId="3E6811FF">
            <w:pPr>
              <w:pStyle w:val="56"/>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因此，项目的建设符合</w:t>
            </w:r>
            <w:r>
              <w:rPr>
                <w:rFonts w:hint="default" w:ascii="Times New Roman" w:hAnsi="Times New Roman" w:eastAsia="宋体" w:cs="Times New Roman"/>
                <w:color w:val="auto"/>
                <w:lang w:val="en-US" w:eastAsia="zh-CN"/>
              </w:rPr>
              <w:t>国家</w:t>
            </w:r>
            <w:r>
              <w:rPr>
                <w:rFonts w:hint="default" w:ascii="Times New Roman" w:hAnsi="Times New Roman" w:eastAsia="宋体" w:cs="Times New Roman"/>
                <w:color w:val="auto"/>
              </w:rPr>
              <w:t>的产业政策。</w:t>
            </w:r>
          </w:p>
          <w:p w14:paraId="6E3A41EB">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eastAsia="zh-CN"/>
              </w:rPr>
              <w:t>项目</w:t>
            </w:r>
            <w:r>
              <w:rPr>
                <w:rFonts w:hint="default" w:ascii="Times New Roman" w:hAnsi="Times New Roman" w:cs="Times New Roman"/>
                <w:b/>
                <w:bCs/>
                <w:color w:val="auto"/>
                <w:sz w:val="24"/>
                <w:szCs w:val="24"/>
              </w:rPr>
              <w:t>选址</w:t>
            </w:r>
            <w:r>
              <w:rPr>
                <w:rFonts w:hint="default" w:ascii="Times New Roman" w:hAnsi="Times New Roman" w:cs="Times New Roman"/>
                <w:b/>
                <w:bCs/>
                <w:color w:val="auto"/>
                <w:sz w:val="24"/>
                <w:szCs w:val="24"/>
                <w:lang w:eastAsia="zh-CN"/>
              </w:rPr>
              <w:t>可行性分析</w:t>
            </w:r>
          </w:p>
          <w:p w14:paraId="1BC4C7F6">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eastAsia="zh-CN"/>
              </w:rPr>
              <w:t>用地规划符合性分析</w:t>
            </w:r>
          </w:p>
          <w:p w14:paraId="75D8753B">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rPr>
              <w:t>项目建设地</w:t>
            </w:r>
            <w:r>
              <w:rPr>
                <w:rFonts w:hint="default" w:ascii="Times New Roman" w:hAnsi="Times New Roman" w:eastAsia="宋体" w:cs="Times New Roman"/>
                <w:color w:val="auto"/>
                <w:sz w:val="24"/>
                <w:szCs w:val="24"/>
                <w:highlight w:val="none"/>
              </w:rPr>
              <w:t>点位于</w:t>
            </w:r>
            <w:r>
              <w:rPr>
                <w:rFonts w:hint="eastAsia" w:ascii="Times New Roman" w:hAnsi="Times New Roman" w:eastAsia="宋体" w:cs="Times New Roman"/>
                <w:color w:val="auto"/>
                <w:sz w:val="24"/>
                <w:szCs w:val="24"/>
                <w:highlight w:val="none"/>
                <w:lang w:val="en-US" w:eastAsia="zh-CN"/>
              </w:rPr>
              <w:t>安徽省宿州市泗县泗水街道唐河路与赤山路交汇处东150米绿朗光电智慧产业园6栋2号</w:t>
            </w:r>
            <w:r>
              <w:rPr>
                <w:rFonts w:hint="default" w:ascii="Times New Roman" w:hAnsi="Times New Roman" w:eastAsia="宋体" w:cs="Times New Roman"/>
                <w:color w:val="auto"/>
                <w:sz w:val="24"/>
                <w:szCs w:val="24"/>
                <w:highlight w:val="none"/>
                <w:lang w:val="en-US" w:eastAsia="zh-CN"/>
              </w:rPr>
              <w:t>（详见附图1）。</w:t>
            </w:r>
            <w:r>
              <w:rPr>
                <w:rFonts w:hint="default" w:ascii="Times New Roman" w:hAnsi="Times New Roman" w:cs="Times New Roman"/>
                <w:color w:val="auto"/>
                <w:sz w:val="24"/>
                <w:szCs w:val="24"/>
                <w:highlight w:val="none"/>
                <w:vertAlign w:val="baseline"/>
                <w:lang w:val="en-US" w:eastAsia="zh-CN"/>
              </w:rPr>
              <w:t>根据泗县土地利用总体规划图</w:t>
            </w:r>
            <w:r>
              <w:rPr>
                <w:rFonts w:hint="default" w:ascii="Times New Roman" w:hAnsi="Times New Roman" w:eastAsia="宋体" w:cs="Times New Roman"/>
                <w:color w:val="auto"/>
                <w:sz w:val="24"/>
                <w:szCs w:val="24"/>
                <w:highlight w:val="none"/>
                <w:lang w:val="en-US" w:eastAsia="zh-CN"/>
              </w:rPr>
              <w:t>（详见附图2）</w:t>
            </w:r>
            <w:r>
              <w:rPr>
                <w:rFonts w:hint="default" w:ascii="Times New Roman" w:hAnsi="Times New Roman" w:cs="Times New Roman"/>
                <w:color w:val="auto"/>
                <w:sz w:val="24"/>
                <w:szCs w:val="24"/>
                <w:highlight w:val="none"/>
                <w:vertAlign w:val="baseline"/>
                <w:lang w:val="en-US" w:eastAsia="zh-CN"/>
              </w:rPr>
              <w:t>，本项目用地为建设用地</w:t>
            </w:r>
            <w:r>
              <w:rPr>
                <w:rFonts w:hint="default" w:ascii="Times New Roman" w:hAnsi="Times New Roman" w:eastAsia="宋体" w:cs="Times New Roman"/>
                <w:color w:val="auto"/>
                <w:sz w:val="24"/>
                <w:szCs w:val="24"/>
                <w:highlight w:val="none"/>
                <w:lang w:val="en-US" w:eastAsia="zh-CN"/>
              </w:rPr>
              <w:t>。</w:t>
            </w:r>
          </w:p>
          <w:p w14:paraId="18DE820B">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rPr>
              <w:t>因此，本项目用地性质符合泗县土地利用总体规划图要求</w:t>
            </w:r>
            <w:r>
              <w:rPr>
                <w:rFonts w:hint="default" w:ascii="Times New Roman" w:hAnsi="Times New Roman" w:eastAsia="宋体" w:cs="Times New Roman"/>
                <w:color w:val="auto"/>
                <w:sz w:val="24"/>
                <w:szCs w:val="24"/>
              </w:rPr>
              <w:t>。</w:t>
            </w:r>
          </w:p>
          <w:p w14:paraId="6BF2FAB2">
            <w:pPr>
              <w:spacing w:line="360" w:lineRule="auto"/>
              <w:ind w:firstLine="480"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rPr>
              <w:t>（</w:t>
            </w:r>
            <w:r>
              <w:rPr>
                <w:rFonts w:hint="default" w:ascii="Times New Roman" w:hAnsi="Times New Roman" w:eastAsia="宋体" w:cs="Times New Roman"/>
                <w:b w:val="0"/>
                <w:bCs/>
                <w:color w:val="auto"/>
                <w:sz w:val="24"/>
                <w:szCs w:val="24"/>
                <w:highlight w:val="none"/>
                <w:lang w:val="en-US" w:eastAsia="zh-CN"/>
              </w:rPr>
              <w:t>2</w:t>
            </w:r>
            <w:r>
              <w:rPr>
                <w:rFonts w:hint="default" w:ascii="Times New Roman" w:hAnsi="Times New Roman" w:eastAsia="宋体" w:cs="Times New Roman"/>
                <w:b w:val="0"/>
                <w:bCs/>
                <w:color w:val="auto"/>
                <w:sz w:val="24"/>
                <w:szCs w:val="24"/>
                <w:highlight w:val="none"/>
              </w:rPr>
              <w:t>）</w:t>
            </w:r>
            <w:r>
              <w:rPr>
                <w:rFonts w:hint="default" w:ascii="Times New Roman" w:hAnsi="Times New Roman" w:eastAsia="宋体" w:cs="Times New Roman"/>
                <w:b w:val="0"/>
                <w:bCs/>
                <w:color w:val="auto"/>
                <w:sz w:val="24"/>
                <w:szCs w:val="24"/>
                <w:highlight w:val="none"/>
                <w:lang w:val="en-US" w:eastAsia="zh-CN"/>
              </w:rPr>
              <w:t>项目周边环境概况</w:t>
            </w:r>
          </w:p>
          <w:p w14:paraId="3A5BE8EE">
            <w:pPr>
              <w:spacing w:line="360" w:lineRule="auto"/>
              <w:ind w:firstLine="480" w:firstLineChars="200"/>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eastAsia="宋体" w:cs="Times New Roman"/>
                <w:b w:val="0"/>
                <w:bCs/>
                <w:color w:val="auto"/>
                <w:sz w:val="24"/>
                <w:szCs w:val="24"/>
                <w:highlight w:val="none"/>
              </w:rPr>
              <w:t>根据现场勘察，项目</w:t>
            </w:r>
            <w:r>
              <w:rPr>
                <w:rFonts w:hint="default" w:ascii="Times New Roman" w:hAnsi="Times New Roman" w:eastAsia="宋体" w:cs="Times New Roman"/>
                <w:b w:val="0"/>
                <w:bCs/>
                <w:color w:val="auto"/>
                <w:sz w:val="24"/>
                <w:szCs w:val="24"/>
                <w:highlight w:val="none"/>
                <w:lang w:eastAsia="zh-CN"/>
              </w:rPr>
              <w:t>厂界</w:t>
            </w:r>
            <w:r>
              <w:rPr>
                <w:rFonts w:hint="default" w:ascii="Times New Roman" w:hAnsi="Times New Roman" w:eastAsia="宋体" w:cs="Times New Roman"/>
                <w:b w:val="0"/>
                <w:bCs/>
                <w:color w:val="auto"/>
                <w:sz w:val="24"/>
                <w:szCs w:val="24"/>
                <w:highlight w:val="none"/>
                <w:lang w:val="en-US" w:eastAsia="zh-CN"/>
              </w:rPr>
              <w:t>东侧为</w:t>
            </w:r>
            <w:r>
              <w:rPr>
                <w:rFonts w:hint="eastAsia" w:ascii="Times New Roman" w:hAnsi="Times New Roman" w:eastAsia="宋体" w:cs="Times New Roman"/>
                <w:b w:val="0"/>
                <w:bCs/>
                <w:color w:val="auto"/>
                <w:sz w:val="24"/>
                <w:szCs w:val="24"/>
                <w:highlight w:val="none"/>
                <w:lang w:val="en-US" w:eastAsia="zh-CN"/>
              </w:rPr>
              <w:t>赤山路，隔路为安徽思科赛德电子科技有限公司</w:t>
            </w:r>
            <w:r>
              <w:rPr>
                <w:rFonts w:hint="default" w:ascii="Times New Roman" w:hAnsi="Times New Roman" w:eastAsia="宋体" w:cs="Times New Roman"/>
                <w:b w:val="0"/>
                <w:bCs/>
                <w:color w:val="auto"/>
                <w:sz w:val="24"/>
                <w:szCs w:val="24"/>
                <w:highlight w:val="none"/>
                <w:lang w:val="en-US" w:eastAsia="zh-CN"/>
              </w:rPr>
              <w:t>，南侧为安徽安羿智能设备有限公司，西侧为</w:t>
            </w:r>
            <w:r>
              <w:rPr>
                <w:rFonts w:hint="eastAsia"/>
                <w:color w:val="000000" w:themeColor="text1"/>
                <w:sz w:val="24"/>
                <w:highlight w:val="none"/>
                <w:lang w:val="en-US" w:eastAsia="zh-CN"/>
                <w14:textFill>
                  <w14:solidFill>
                    <w14:schemeClr w14:val="tx1"/>
                  </w14:solidFill>
                </w14:textFill>
              </w:rPr>
              <w:t>宿州仕佳光电科技有限公司</w:t>
            </w:r>
            <w:r>
              <w:rPr>
                <w:rFonts w:hint="default" w:ascii="Times New Roman" w:hAnsi="Times New Roman" w:eastAsia="宋体" w:cs="Times New Roman"/>
                <w:b w:val="0"/>
                <w:bCs/>
                <w:color w:val="auto"/>
                <w:sz w:val="24"/>
                <w:szCs w:val="24"/>
                <w:highlight w:val="none"/>
                <w:lang w:val="en-US" w:eastAsia="zh-CN"/>
              </w:rPr>
              <w:t>，北侧为</w:t>
            </w:r>
            <w:r>
              <w:rPr>
                <w:rFonts w:hint="eastAsia" w:ascii="Times New Roman" w:hAnsi="Times New Roman" w:eastAsia="宋体" w:cs="Times New Roman"/>
                <w:b w:val="0"/>
                <w:bCs/>
                <w:color w:val="auto"/>
                <w:sz w:val="24"/>
                <w:szCs w:val="24"/>
                <w:highlight w:val="none"/>
                <w:lang w:val="en-US" w:eastAsia="zh-CN"/>
              </w:rPr>
              <w:t>唐河路，隔路为安徽中恒电喷系统有限公司</w:t>
            </w:r>
            <w:r>
              <w:rPr>
                <w:rFonts w:hint="default" w:ascii="Times New Roman" w:hAnsi="Times New Roman" w:eastAsia="宋体" w:cs="Times New Roman"/>
                <w:b w:val="0"/>
                <w:bCs/>
                <w:color w:val="auto"/>
                <w:sz w:val="24"/>
                <w:szCs w:val="24"/>
                <w:highlight w:val="none"/>
              </w:rPr>
              <w:t>（详见附图</w:t>
            </w:r>
            <w:r>
              <w:rPr>
                <w:rFonts w:hint="eastAsia" w:ascii="Times New Roman" w:hAnsi="Times New Roman" w:eastAsia="宋体"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rPr>
              <w:t>）</w:t>
            </w:r>
            <w:r>
              <w:rPr>
                <w:rFonts w:hint="default" w:ascii="Times New Roman" w:hAnsi="Times New Roman" w:eastAsia="宋体" w:cs="Times New Roman"/>
                <w:b w:val="0"/>
                <w:bCs/>
                <w:color w:val="auto"/>
                <w:sz w:val="24"/>
                <w:szCs w:val="24"/>
                <w:highlight w:val="none"/>
                <w:lang w:eastAsia="zh-CN"/>
              </w:rPr>
              <w:t>。</w:t>
            </w:r>
          </w:p>
          <w:p w14:paraId="1A78F11C">
            <w:p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项目周边</w:t>
            </w:r>
            <w:r>
              <w:rPr>
                <w:rFonts w:hint="eastAsia" w:ascii="Times New Roman" w:hAnsi="Times New Roman" w:eastAsia="宋体" w:cs="Times New Roman"/>
                <w:b w:val="0"/>
                <w:bCs/>
                <w:color w:val="auto"/>
                <w:sz w:val="24"/>
                <w:szCs w:val="24"/>
                <w:highlight w:val="none"/>
                <w:lang w:val="en-US" w:eastAsia="zh-CN"/>
              </w:rPr>
              <w:t>均为工业企业</w:t>
            </w:r>
            <w:r>
              <w:rPr>
                <w:rFonts w:hint="default" w:ascii="Times New Roman" w:hAnsi="Times New Roman" w:eastAsia="宋体" w:cs="Times New Roman"/>
                <w:b w:val="0"/>
                <w:bCs/>
                <w:color w:val="auto"/>
                <w:sz w:val="24"/>
                <w:szCs w:val="24"/>
                <w:highlight w:val="none"/>
              </w:rPr>
              <w:t>，无</w:t>
            </w:r>
            <w:r>
              <w:rPr>
                <w:rFonts w:hint="default" w:ascii="Times New Roman" w:hAnsi="Times New Roman" w:eastAsia="宋体" w:cs="Times New Roman"/>
                <w:b w:val="0"/>
                <w:bCs/>
                <w:color w:val="auto"/>
                <w:sz w:val="24"/>
                <w:szCs w:val="24"/>
                <w:highlight w:val="none"/>
                <w:lang w:eastAsia="zh-CN"/>
              </w:rPr>
              <w:t>明显</w:t>
            </w:r>
            <w:r>
              <w:rPr>
                <w:rFonts w:hint="default" w:ascii="Times New Roman" w:hAnsi="Times New Roman" w:eastAsia="宋体" w:cs="Times New Roman"/>
                <w:b w:val="0"/>
                <w:bCs/>
                <w:color w:val="auto"/>
                <w:sz w:val="24"/>
                <w:szCs w:val="24"/>
                <w:highlight w:val="none"/>
              </w:rPr>
              <w:t>环境制约因素</w:t>
            </w:r>
            <w:r>
              <w:rPr>
                <w:rFonts w:hint="default" w:ascii="Times New Roman" w:hAnsi="Times New Roman" w:eastAsia="宋体" w:cs="Times New Roman"/>
                <w:b w:val="0"/>
                <w:bCs/>
                <w:color w:val="auto"/>
                <w:sz w:val="24"/>
                <w:szCs w:val="24"/>
                <w:highlight w:val="none"/>
                <w:lang w:val="en-US" w:eastAsia="zh-CN"/>
              </w:rPr>
              <w:t>。本项目运营期产生的各项污染物将会给环境带来一些不利影响，</w:t>
            </w:r>
            <w:r>
              <w:rPr>
                <w:rFonts w:hint="default" w:ascii="Times New Roman" w:hAnsi="Times New Roman" w:eastAsia="宋体" w:cs="Times New Roman"/>
                <w:b w:val="0"/>
                <w:bCs/>
                <w:color w:val="auto"/>
                <w:sz w:val="24"/>
                <w:szCs w:val="24"/>
                <w:highlight w:val="none"/>
              </w:rPr>
              <w:t>但只要加强环境管理，采取相应的环保措施后，可以有效地减缓或消除项目建设带来的不利影响，不会改变周围区域环境功能现状。</w:t>
            </w:r>
          </w:p>
          <w:p w14:paraId="26255BB0">
            <w:p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因此，项目建设与周边环境是相容的。</w:t>
            </w:r>
          </w:p>
          <w:p w14:paraId="73EB5090">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规划符合性分析</w:t>
            </w:r>
          </w:p>
          <w:p w14:paraId="1F691C61">
            <w:pPr>
              <w:spacing w:line="360" w:lineRule="auto"/>
              <w:ind w:firstLine="480" w:firstLineChars="200"/>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lang w:val="en-US" w:eastAsia="zh-CN"/>
              </w:rPr>
              <w:t>项目建设地点位于</w:t>
            </w:r>
            <w:r>
              <w:rPr>
                <w:rFonts w:hint="eastAsia" w:ascii="Times New Roman" w:hAnsi="Times New Roman" w:eastAsia="宋体" w:cs="Times New Roman"/>
                <w:color w:val="auto"/>
                <w:sz w:val="24"/>
                <w:szCs w:val="24"/>
                <w:lang w:val="en-US" w:eastAsia="zh-CN"/>
              </w:rPr>
              <w:t>安徽省宿州市泗县泗水街道唐河路与赤山路交汇处东150米绿朗光电智慧产业园6栋2号</w:t>
            </w:r>
            <w:r>
              <w:rPr>
                <w:rFonts w:hint="default" w:ascii="Times New Roman" w:hAnsi="Times New Roman" w:eastAsia="宋体" w:cs="Times New Roman"/>
                <w:color w:val="auto"/>
                <w:sz w:val="24"/>
                <w:szCs w:val="24"/>
                <w:lang w:val="en-US" w:eastAsia="zh-CN"/>
              </w:rPr>
              <w:t>，产品为</w:t>
            </w:r>
            <w:r>
              <w:rPr>
                <w:rFonts w:hint="eastAsia" w:ascii="Times New Roman" w:hAnsi="Times New Roman" w:eastAsia="宋体" w:cs="Times New Roman"/>
                <w:color w:val="auto"/>
                <w:sz w:val="24"/>
                <w:szCs w:val="24"/>
                <w:lang w:val="en-US" w:eastAsia="zh-CN"/>
              </w:rPr>
              <w:t>密胺餐具</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属于</w:t>
            </w:r>
            <w:r>
              <w:rPr>
                <w:rFonts w:hint="eastAsia" w:ascii="Times New Roman" w:hAnsi="Times New Roman" w:eastAsia="宋体" w:cs="Times New Roman"/>
                <w:color w:val="auto"/>
                <w:sz w:val="24"/>
                <w:szCs w:val="24"/>
                <w:lang w:val="en-US" w:eastAsia="zh-CN"/>
              </w:rPr>
              <w:t>日用塑料制品制造【C2927】</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rPr>
              <w:t>与《</w:t>
            </w:r>
            <w:r>
              <w:rPr>
                <w:rFonts w:hint="default" w:ascii="Times New Roman" w:hAnsi="Times New Roman" w:cs="Times New Roman"/>
                <w:color w:val="auto"/>
                <w:kern w:val="0"/>
                <w:sz w:val="24"/>
              </w:rPr>
              <w:t>泗县土地利用总体规划（2006- 2020年）</w:t>
            </w:r>
            <w:r>
              <w:rPr>
                <w:rFonts w:hint="default" w:ascii="Times New Roman" w:hAnsi="Times New Roman" w:cs="Times New Roman"/>
                <w:color w:val="auto"/>
                <w:sz w:val="24"/>
              </w:rPr>
              <w:t>》相符。</w:t>
            </w:r>
          </w:p>
          <w:p w14:paraId="750E8E2F">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与《大运河安徽泗县段核心监控区国土空间专项规划（2025-2035年）》</w:t>
            </w:r>
            <w:r>
              <w:rPr>
                <w:rFonts w:hint="default" w:ascii="Times New Roman" w:hAnsi="Times New Roman" w:eastAsia="宋体" w:cs="Times New Roman"/>
                <w:color w:val="auto"/>
                <w:sz w:val="24"/>
                <w:szCs w:val="24"/>
                <w:lang w:val="en-US" w:eastAsia="zh-CN"/>
              </w:rPr>
              <w:t>符合性分析</w:t>
            </w:r>
          </w:p>
          <w:p w14:paraId="7ECA59B3">
            <w:pPr>
              <w:spacing w:line="360" w:lineRule="auto"/>
              <w:ind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大运河安徽泗县段核心监控区规划范围为宿州市泗县境内总长度约47公里不连续具备条件的有水河段两岸2000米范围内的空间区域。规划面积为170.76平方公里，涉及三个街道、五个乡镇，分别为虹城街道、泗水街道、运河街道、泗城镇、长沟镇、黑塔镇、草庙镇、屏山镇。规划基期年为2024年，期限为2025到2035年。本项目位于</w:t>
            </w:r>
            <w:r>
              <w:rPr>
                <w:rFonts w:hint="eastAsia" w:ascii="Times New Roman" w:hAnsi="Times New Roman" w:eastAsia="宋体" w:cs="Times New Roman"/>
                <w:color w:val="auto"/>
                <w:sz w:val="24"/>
                <w:szCs w:val="24"/>
                <w:highlight w:val="none"/>
                <w:lang w:val="en-US" w:eastAsia="zh-CN"/>
              </w:rPr>
              <w:t>泗县草庙镇梅花路与303省道交叉口西侧，对照</w:t>
            </w:r>
            <w:r>
              <w:rPr>
                <w:rFonts w:hint="eastAsia" w:ascii="Times New Roman" w:hAnsi="Times New Roman" w:eastAsia="宋体" w:cs="Times New Roman"/>
                <w:color w:val="auto"/>
                <w:sz w:val="24"/>
                <w:szCs w:val="24"/>
                <w:lang w:val="en-US" w:eastAsia="zh-CN"/>
              </w:rPr>
              <w:t>《大运河安徽泗县段核心监控区国土空间专项规划（2025-2035年）》-国土空间用地用海现状图，本项目不在大运河安徽泗县段核心监控区范围内</w:t>
            </w:r>
            <w:r>
              <w:rPr>
                <w:rFonts w:hint="default" w:ascii="Times New Roman" w:hAnsi="Times New Roman" w:eastAsia="宋体" w:cs="Times New Roman"/>
                <w:b w:val="0"/>
                <w:bCs/>
                <w:color w:val="auto"/>
                <w:sz w:val="24"/>
                <w:szCs w:val="24"/>
                <w:highlight w:val="none"/>
              </w:rPr>
              <w:t>（详见附图</w:t>
            </w:r>
            <w:r>
              <w:rPr>
                <w:rFonts w:hint="eastAsia" w:ascii="Times New Roman" w:hAnsi="Times New Roman" w:eastAsia="宋体" w:cs="Times New Roman"/>
                <w:b w:val="0"/>
                <w:bCs/>
                <w:color w:val="auto"/>
                <w:sz w:val="24"/>
                <w:szCs w:val="24"/>
                <w:highlight w:val="none"/>
                <w:lang w:val="en-US" w:eastAsia="zh-CN"/>
              </w:rPr>
              <w:t>4</w:t>
            </w:r>
            <w:r>
              <w:rPr>
                <w:rFonts w:hint="default" w:ascii="Times New Roman" w:hAnsi="Times New Roman" w:eastAsia="宋体" w:cs="Times New Roman"/>
                <w:b w:val="0"/>
                <w:bCs/>
                <w:color w:val="auto"/>
                <w:sz w:val="24"/>
                <w:szCs w:val="24"/>
                <w:highlight w:val="none"/>
              </w:rPr>
              <w:t>）</w:t>
            </w:r>
            <w:r>
              <w:rPr>
                <w:rFonts w:hint="eastAsia" w:ascii="Times New Roman" w:hAnsi="Times New Roman" w:eastAsia="宋体" w:cs="Times New Roman"/>
                <w:b w:val="0"/>
                <w:bCs/>
                <w:color w:val="auto"/>
                <w:sz w:val="24"/>
                <w:szCs w:val="24"/>
                <w:highlight w:val="none"/>
                <w:lang w:eastAsia="zh-CN"/>
              </w:rPr>
              <w:t>。</w:t>
            </w:r>
          </w:p>
          <w:p w14:paraId="419E1FBB">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项目产生的废气、废水、噪声、固体废物经相应措施治理处理后，对周围环境影响较小，不会降低现有环境功能。</w:t>
            </w:r>
            <w:r>
              <w:rPr>
                <w:rFonts w:hint="default" w:ascii="Times New Roman" w:hAnsi="Times New Roman" w:eastAsia="宋体" w:cs="Times New Roman"/>
                <w:color w:val="auto"/>
                <w:sz w:val="24"/>
                <w:szCs w:val="24"/>
                <w:lang w:eastAsia="zh-CN"/>
              </w:rPr>
              <w:t>同时</w:t>
            </w:r>
            <w:r>
              <w:rPr>
                <w:rFonts w:hint="default" w:ascii="Times New Roman" w:hAnsi="Times New Roman" w:eastAsia="宋体" w:cs="Times New Roman"/>
                <w:color w:val="auto"/>
                <w:sz w:val="24"/>
                <w:szCs w:val="24"/>
              </w:rPr>
              <w:t>本项目不涉及饮用水水源保护区、风景区、自然保护区、历史文物古迹保护区、基本农田保护区等</w:t>
            </w:r>
            <w:r>
              <w:rPr>
                <w:rFonts w:hint="default" w:ascii="Times New Roman" w:hAnsi="Times New Roman" w:eastAsia="宋体" w:cs="Times New Roman"/>
                <w:color w:val="auto"/>
                <w:sz w:val="24"/>
                <w:szCs w:val="24"/>
                <w:lang w:eastAsia="zh-CN"/>
              </w:rPr>
              <w:t>；选址满足水、大气、土壤等</w:t>
            </w:r>
            <w:r>
              <w:rPr>
                <w:rFonts w:hint="default" w:ascii="Times New Roman" w:hAnsi="Times New Roman" w:eastAsia="宋体" w:cs="Times New Roman"/>
                <w:color w:val="auto"/>
                <w:sz w:val="24"/>
                <w:szCs w:val="24"/>
              </w:rPr>
              <w:t>环境质量底线及环境分区管控</w:t>
            </w:r>
            <w:r>
              <w:rPr>
                <w:rFonts w:hint="default" w:ascii="Times New Roman" w:hAnsi="Times New Roman" w:eastAsia="宋体" w:cs="Times New Roman"/>
                <w:color w:val="auto"/>
                <w:sz w:val="24"/>
                <w:szCs w:val="24"/>
                <w:lang w:eastAsia="zh-CN"/>
              </w:rPr>
              <w:t>要求</w:t>
            </w:r>
            <w:r>
              <w:rPr>
                <w:rFonts w:hint="default" w:ascii="Times New Roman" w:hAnsi="Times New Roman" w:eastAsia="宋体" w:cs="Times New Roman"/>
                <w:color w:val="auto"/>
                <w:sz w:val="24"/>
                <w:szCs w:val="24"/>
              </w:rPr>
              <w:t>。</w:t>
            </w:r>
          </w:p>
          <w:p w14:paraId="6BF73BB2">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综上，项目选址可行。</w:t>
            </w:r>
          </w:p>
          <w:p w14:paraId="2B6E1E88">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3、与“三线一单”符合性分析</w:t>
            </w:r>
          </w:p>
          <w:p w14:paraId="00763AD1">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3.1生态保护红线及生态空间分区管控</w:t>
            </w:r>
          </w:p>
          <w:p w14:paraId="6206A949">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（1）生态保护红线</w:t>
            </w:r>
          </w:p>
          <w:p w14:paraId="04C94EC0">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宿州市生态保护红线区面积为349.13km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，占全市国土面积的3.51%，宿州市内泗县和灵璧县红线面积比例最低，分别只为县域面积的1.55%和0.39%；砀山县的红线面积最高为9.52%。</w:t>
            </w:r>
          </w:p>
          <w:p w14:paraId="5E809E7D">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宿州市生态保护红线划定结果</w:t>
            </w:r>
            <w:r>
              <w:rPr>
                <w:rFonts w:hint="default" w:ascii="Times New Roman" w:hAnsi="Times New Roman" w:eastAsia="宋体" w:cs="Times New Roman"/>
                <w:color w:val="auto"/>
                <w:kern w:val="0"/>
                <w:sz w:val="24"/>
                <w:szCs w:val="24"/>
                <w:lang w:eastAsia="zh-CN"/>
              </w:rPr>
              <w:t>见表</w:t>
            </w:r>
            <w:r>
              <w:rPr>
                <w:rFonts w:hint="default" w:ascii="Times New Roman" w:hAnsi="Times New Roman" w:eastAsia="宋体" w:cs="Times New Roman"/>
                <w:color w:val="auto"/>
                <w:kern w:val="0"/>
                <w:sz w:val="24"/>
                <w:szCs w:val="24"/>
                <w:lang w:val="en-US" w:eastAsia="zh-CN"/>
              </w:rPr>
              <w:t>1.</w:t>
            </w: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val="en-US" w:eastAsia="zh-CN"/>
              </w:rPr>
              <w:t>。</w:t>
            </w:r>
          </w:p>
          <w:p w14:paraId="35ACF059">
            <w:pPr>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宿州市生态保护红线划定结果</w:t>
            </w:r>
          </w:p>
          <w:tbl>
            <w:tblPr>
              <w:tblStyle w:val="32"/>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5"/>
              <w:gridCol w:w="2097"/>
              <w:gridCol w:w="2099"/>
              <w:gridCol w:w="2099"/>
            </w:tblGrid>
            <w:tr w14:paraId="101E9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5" w:type="dxa"/>
                  <w:vMerge w:val="restart"/>
                  <w:vAlign w:val="center"/>
                </w:tcPr>
                <w:p w14:paraId="0B50219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行政区</w:t>
                  </w:r>
                </w:p>
              </w:tc>
              <w:tc>
                <w:tcPr>
                  <w:tcW w:w="2097" w:type="dxa"/>
                  <w:vMerge w:val="restart"/>
                  <w:vAlign w:val="center"/>
                </w:tcPr>
                <w:p w14:paraId="3000ECBC">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辖区面积（km</w:t>
                  </w:r>
                  <w:r>
                    <w:rPr>
                      <w:rFonts w:hint="default" w:ascii="Times New Roman" w:hAnsi="Times New Roman" w:eastAsia="宋体" w:cs="Times New Roman"/>
                      <w:b w:val="0"/>
                      <w:bCs/>
                      <w:color w:val="auto"/>
                      <w:kern w:val="0"/>
                      <w:sz w:val="21"/>
                      <w:szCs w:val="21"/>
                      <w:vertAlign w:val="superscript"/>
                      <w:lang w:val="en-US" w:eastAsia="zh-CN"/>
                    </w:rPr>
                    <w:t>2</w:t>
                  </w:r>
                  <w:r>
                    <w:rPr>
                      <w:rFonts w:hint="default" w:ascii="Times New Roman" w:hAnsi="Times New Roman" w:eastAsia="宋体" w:cs="Times New Roman"/>
                      <w:b w:val="0"/>
                      <w:bCs/>
                      <w:color w:val="auto"/>
                      <w:kern w:val="0"/>
                      <w:sz w:val="21"/>
                      <w:szCs w:val="21"/>
                      <w:lang w:val="en-US" w:eastAsia="zh-CN"/>
                    </w:rPr>
                    <w:t>）</w:t>
                  </w:r>
                </w:p>
              </w:tc>
              <w:tc>
                <w:tcPr>
                  <w:tcW w:w="4198" w:type="dxa"/>
                  <w:gridSpan w:val="2"/>
                  <w:vAlign w:val="center"/>
                </w:tcPr>
                <w:p w14:paraId="5FAC5A3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生态保护红线</w:t>
                  </w:r>
                </w:p>
              </w:tc>
            </w:tr>
            <w:tr w14:paraId="76D7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5" w:type="dxa"/>
                  <w:vMerge w:val="continue"/>
                  <w:vAlign w:val="center"/>
                </w:tcPr>
                <w:p w14:paraId="12AF3508">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2097" w:type="dxa"/>
                  <w:vMerge w:val="continue"/>
                  <w:vAlign w:val="center"/>
                </w:tcPr>
                <w:p w14:paraId="6C59436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2099" w:type="dxa"/>
                  <w:vAlign w:val="center"/>
                </w:tcPr>
                <w:p w14:paraId="1DB29B6A">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面积（km</w:t>
                  </w:r>
                  <w:r>
                    <w:rPr>
                      <w:rFonts w:hint="default" w:ascii="Times New Roman" w:hAnsi="Times New Roman" w:eastAsia="宋体" w:cs="Times New Roman"/>
                      <w:b w:val="0"/>
                      <w:bCs/>
                      <w:color w:val="auto"/>
                      <w:kern w:val="0"/>
                      <w:sz w:val="21"/>
                      <w:szCs w:val="21"/>
                      <w:vertAlign w:val="superscript"/>
                      <w:lang w:val="en-US" w:eastAsia="zh-CN"/>
                    </w:rPr>
                    <w:t>2</w:t>
                  </w:r>
                  <w:r>
                    <w:rPr>
                      <w:rFonts w:hint="default" w:ascii="Times New Roman" w:hAnsi="Times New Roman" w:eastAsia="宋体" w:cs="Times New Roman"/>
                      <w:b w:val="0"/>
                      <w:bCs/>
                      <w:color w:val="auto"/>
                      <w:kern w:val="0"/>
                      <w:sz w:val="21"/>
                      <w:szCs w:val="21"/>
                      <w:lang w:val="en-US" w:eastAsia="zh-CN"/>
                    </w:rPr>
                    <w:t>）</w:t>
                  </w:r>
                </w:p>
              </w:tc>
              <w:tc>
                <w:tcPr>
                  <w:tcW w:w="2099" w:type="dxa"/>
                  <w:vAlign w:val="center"/>
                </w:tcPr>
                <w:p w14:paraId="0C43FB6F">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占比（%）</w:t>
                  </w:r>
                </w:p>
              </w:tc>
            </w:tr>
            <w:tr w14:paraId="4A078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5" w:type="dxa"/>
                  <w:vAlign w:val="center"/>
                </w:tcPr>
                <w:p w14:paraId="72C9467C">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埇桥区</w:t>
                  </w:r>
                </w:p>
              </w:tc>
              <w:tc>
                <w:tcPr>
                  <w:tcW w:w="2097" w:type="dxa"/>
                  <w:vAlign w:val="center"/>
                </w:tcPr>
                <w:p w14:paraId="7FB8A3B6">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2907.45</w:t>
                  </w:r>
                </w:p>
              </w:tc>
              <w:tc>
                <w:tcPr>
                  <w:tcW w:w="2099" w:type="dxa"/>
                  <w:vAlign w:val="center"/>
                </w:tcPr>
                <w:p w14:paraId="1DD82355">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94.78</w:t>
                  </w:r>
                </w:p>
              </w:tc>
              <w:tc>
                <w:tcPr>
                  <w:tcW w:w="2099" w:type="dxa"/>
                  <w:vAlign w:val="center"/>
                </w:tcPr>
                <w:p w14:paraId="499FEBB4">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3.26</w:t>
                  </w:r>
                </w:p>
              </w:tc>
            </w:tr>
            <w:tr w14:paraId="6E28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5" w:type="dxa"/>
                  <w:vAlign w:val="center"/>
                </w:tcPr>
                <w:p w14:paraId="22E86A7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砀山县</w:t>
                  </w:r>
                </w:p>
              </w:tc>
              <w:tc>
                <w:tcPr>
                  <w:tcW w:w="2097" w:type="dxa"/>
                  <w:vAlign w:val="center"/>
                </w:tcPr>
                <w:p w14:paraId="09270078">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1196.73</w:t>
                  </w:r>
                </w:p>
              </w:tc>
              <w:tc>
                <w:tcPr>
                  <w:tcW w:w="2099" w:type="dxa"/>
                  <w:vAlign w:val="center"/>
                </w:tcPr>
                <w:p w14:paraId="4679A40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113.87</w:t>
                  </w:r>
                </w:p>
              </w:tc>
              <w:tc>
                <w:tcPr>
                  <w:tcW w:w="2099" w:type="dxa"/>
                  <w:vAlign w:val="center"/>
                </w:tcPr>
                <w:p w14:paraId="7A758BBA">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9.52</w:t>
                  </w:r>
                </w:p>
              </w:tc>
            </w:tr>
            <w:tr w14:paraId="7DAD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5" w:type="dxa"/>
                  <w:vAlign w:val="center"/>
                </w:tcPr>
                <w:p w14:paraId="3FCE62E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萧县</w:t>
                  </w:r>
                </w:p>
              </w:tc>
              <w:tc>
                <w:tcPr>
                  <w:tcW w:w="2097" w:type="dxa"/>
                  <w:vAlign w:val="center"/>
                </w:tcPr>
                <w:p w14:paraId="507D9EB1">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1853.61</w:t>
                  </w:r>
                </w:p>
              </w:tc>
              <w:tc>
                <w:tcPr>
                  <w:tcW w:w="2099" w:type="dxa"/>
                  <w:vAlign w:val="center"/>
                </w:tcPr>
                <w:p w14:paraId="5140372D">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103.46</w:t>
                  </w:r>
                </w:p>
              </w:tc>
              <w:tc>
                <w:tcPr>
                  <w:tcW w:w="2099" w:type="dxa"/>
                  <w:vAlign w:val="center"/>
                </w:tcPr>
                <w:p w14:paraId="75D96D03">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5.58</w:t>
                  </w:r>
                </w:p>
              </w:tc>
            </w:tr>
            <w:tr w14:paraId="0879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5" w:type="dxa"/>
                  <w:vAlign w:val="center"/>
                </w:tcPr>
                <w:p w14:paraId="0EDC1E8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灵璧县</w:t>
                  </w:r>
                </w:p>
              </w:tc>
              <w:tc>
                <w:tcPr>
                  <w:tcW w:w="2097" w:type="dxa"/>
                  <w:vAlign w:val="center"/>
                </w:tcPr>
                <w:p w14:paraId="7928309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2124.06</w:t>
                  </w:r>
                </w:p>
              </w:tc>
              <w:tc>
                <w:tcPr>
                  <w:tcW w:w="2099" w:type="dxa"/>
                  <w:vAlign w:val="center"/>
                </w:tcPr>
                <w:p w14:paraId="55F60BF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8.20</w:t>
                  </w:r>
                </w:p>
              </w:tc>
              <w:tc>
                <w:tcPr>
                  <w:tcW w:w="2099" w:type="dxa"/>
                  <w:vAlign w:val="center"/>
                </w:tcPr>
                <w:p w14:paraId="5F3DA85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0.39</w:t>
                  </w:r>
                </w:p>
              </w:tc>
            </w:tr>
            <w:tr w14:paraId="76CED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5" w:type="dxa"/>
                  <w:vAlign w:val="center"/>
                </w:tcPr>
                <w:p w14:paraId="1334CB34">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泗县</w:t>
                  </w:r>
                </w:p>
              </w:tc>
              <w:tc>
                <w:tcPr>
                  <w:tcW w:w="2097" w:type="dxa"/>
                  <w:vAlign w:val="center"/>
                </w:tcPr>
                <w:p w14:paraId="5432E55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1856.97</w:t>
                  </w:r>
                </w:p>
              </w:tc>
              <w:tc>
                <w:tcPr>
                  <w:tcW w:w="2099" w:type="dxa"/>
                  <w:vAlign w:val="center"/>
                </w:tcPr>
                <w:p w14:paraId="002C9ED5">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28.82</w:t>
                  </w:r>
                </w:p>
              </w:tc>
              <w:tc>
                <w:tcPr>
                  <w:tcW w:w="2099" w:type="dxa"/>
                  <w:vAlign w:val="center"/>
                </w:tcPr>
                <w:p w14:paraId="36D4394F">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1.55</w:t>
                  </w:r>
                </w:p>
              </w:tc>
            </w:tr>
          </w:tbl>
          <w:p w14:paraId="6725F3D0">
            <w:pPr>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宿州市生态保护红线登记表见表</w:t>
            </w:r>
            <w:r>
              <w:rPr>
                <w:rFonts w:hint="default" w:ascii="Times New Roman" w:hAnsi="Times New Roman" w:cs="Times New Roman"/>
                <w:b w:val="0"/>
                <w:bCs w:val="0"/>
                <w:color w:val="auto"/>
                <w:sz w:val="24"/>
                <w:szCs w:val="24"/>
                <w:lang w:val="en-US" w:eastAsia="zh-CN"/>
              </w:rPr>
              <w:t>1.</w:t>
            </w:r>
            <w:r>
              <w:rPr>
                <w:rFonts w:hint="eastAsia" w:ascii="Times New Roman" w:hAnsi="Times New Roman" w:cs="Times New Roman"/>
                <w:b w:val="0"/>
                <w:bCs w:val="0"/>
                <w:color w:val="auto"/>
                <w:sz w:val="24"/>
                <w:szCs w:val="24"/>
                <w:lang w:val="en-US" w:eastAsia="zh-CN"/>
              </w:rPr>
              <w:t>5</w:t>
            </w:r>
            <w:r>
              <w:rPr>
                <w:rFonts w:hint="default" w:ascii="Times New Roman" w:hAnsi="Times New Roman" w:cs="Times New Roman"/>
                <w:b w:val="0"/>
                <w:bCs w:val="0"/>
                <w:color w:val="auto"/>
                <w:sz w:val="24"/>
                <w:szCs w:val="24"/>
                <w:lang w:val="en-US" w:eastAsia="zh-CN"/>
              </w:rPr>
              <w:t>。</w:t>
            </w:r>
          </w:p>
          <w:p w14:paraId="1D1D3547">
            <w:pPr>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表1.</w:t>
            </w:r>
            <w:r>
              <w:rPr>
                <w:rFonts w:hint="eastAsia" w:ascii="Times New Roman" w:hAnsi="Times New Roman" w:cs="Times New Roman"/>
                <w:b/>
                <w:bCs/>
                <w:color w:val="auto"/>
                <w:sz w:val="21"/>
                <w:szCs w:val="21"/>
                <w:lang w:val="en-US" w:eastAsia="zh-CN"/>
              </w:rPr>
              <w:t>5</w:t>
            </w:r>
            <w:r>
              <w:rPr>
                <w:rFonts w:hint="default" w:ascii="Times New Roman" w:hAnsi="Times New Roman" w:cs="Times New Roman"/>
                <w:b/>
                <w:bCs/>
                <w:color w:val="auto"/>
                <w:sz w:val="21"/>
                <w:szCs w:val="21"/>
                <w:lang w:val="en-US" w:eastAsia="zh-CN"/>
              </w:rPr>
              <w:t xml:space="preserve">  宿州市生态保护红线登记表</w:t>
            </w:r>
          </w:p>
          <w:tbl>
            <w:tblPr>
              <w:tblStyle w:val="32"/>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350"/>
              <w:gridCol w:w="954"/>
              <w:gridCol w:w="3527"/>
              <w:gridCol w:w="855"/>
              <w:gridCol w:w="952"/>
            </w:tblGrid>
            <w:tr w14:paraId="28337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Align w:val="center"/>
                </w:tcPr>
                <w:p w14:paraId="2A080CB4">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类型</w:t>
                  </w:r>
                </w:p>
              </w:tc>
              <w:tc>
                <w:tcPr>
                  <w:tcW w:w="1350" w:type="dxa"/>
                  <w:vAlign w:val="center"/>
                </w:tcPr>
                <w:p w14:paraId="7E9282E1">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名称</w:t>
                  </w:r>
                </w:p>
              </w:tc>
              <w:tc>
                <w:tcPr>
                  <w:tcW w:w="954" w:type="dxa"/>
                  <w:vAlign w:val="center"/>
                </w:tcPr>
                <w:p w14:paraId="3CBD1066">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生态系统特征</w:t>
                  </w:r>
                </w:p>
              </w:tc>
              <w:tc>
                <w:tcPr>
                  <w:tcW w:w="3527" w:type="dxa"/>
                  <w:vAlign w:val="center"/>
                </w:tcPr>
                <w:p w14:paraId="7DE80E2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保护地名录</w:t>
                  </w:r>
                </w:p>
              </w:tc>
              <w:tc>
                <w:tcPr>
                  <w:tcW w:w="855" w:type="dxa"/>
                  <w:vAlign w:val="center"/>
                </w:tcPr>
                <w:p w14:paraId="32E04AD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所属行政区</w:t>
                  </w:r>
                </w:p>
              </w:tc>
              <w:tc>
                <w:tcPr>
                  <w:tcW w:w="952" w:type="dxa"/>
                  <w:vAlign w:val="center"/>
                </w:tcPr>
                <w:p w14:paraId="72BACFD1">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面积（km</w:t>
                  </w:r>
                  <w:r>
                    <w:rPr>
                      <w:rFonts w:hint="default" w:ascii="Times New Roman" w:hAnsi="Times New Roman" w:eastAsia="宋体" w:cs="Times New Roman"/>
                      <w:b w:val="0"/>
                      <w:bCs/>
                      <w:color w:val="auto"/>
                      <w:kern w:val="0"/>
                      <w:sz w:val="21"/>
                      <w:szCs w:val="21"/>
                      <w:vertAlign w:val="superscript"/>
                      <w:lang w:val="en-US" w:eastAsia="zh-CN"/>
                    </w:rPr>
                    <w:t>2</w:t>
                  </w:r>
                  <w:r>
                    <w:rPr>
                      <w:rFonts w:hint="default" w:ascii="Times New Roman" w:hAnsi="Times New Roman" w:eastAsia="宋体" w:cs="Times New Roman"/>
                      <w:b w:val="0"/>
                      <w:bCs/>
                      <w:color w:val="auto"/>
                      <w:kern w:val="0"/>
                      <w:sz w:val="21"/>
                      <w:szCs w:val="21"/>
                      <w:lang w:val="en-US" w:eastAsia="zh-CN"/>
                    </w:rPr>
                    <w:t>）</w:t>
                  </w:r>
                </w:p>
              </w:tc>
            </w:tr>
            <w:tr w14:paraId="4811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Merge w:val="restart"/>
                  <w:vAlign w:val="center"/>
                </w:tcPr>
                <w:p w14:paraId="1854B8E3">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Ⅱ水土保持生态保护红线</w:t>
                  </w:r>
                </w:p>
              </w:tc>
              <w:tc>
                <w:tcPr>
                  <w:tcW w:w="1350" w:type="dxa"/>
                  <w:vMerge w:val="restart"/>
                  <w:vAlign w:val="center"/>
                </w:tcPr>
                <w:p w14:paraId="668508D1">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Ⅱ-1淮北河间平原农产品提供及水土保持生态保护红线</w:t>
                  </w:r>
                </w:p>
              </w:tc>
              <w:tc>
                <w:tcPr>
                  <w:tcW w:w="954" w:type="dxa"/>
                  <w:vMerge w:val="restart"/>
                  <w:vAlign w:val="center"/>
                </w:tcPr>
                <w:p w14:paraId="4C5FD5E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暖温带落叶阔叶林带</w:t>
                  </w:r>
                </w:p>
              </w:tc>
              <w:tc>
                <w:tcPr>
                  <w:tcW w:w="3527" w:type="dxa"/>
                  <w:vMerge w:val="restart"/>
                  <w:vAlign w:val="center"/>
                </w:tcPr>
                <w:p w14:paraId="72C18204">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宿州大方寺省级自然保护区、泗县沱河省级自然保护区、泗县新汴河省级湿地自然公园、安徽灵璧磬云山国家地质自然公园、泗县沱河省级自然保护区、安徽泗县石龙湖国家湿地公园</w:t>
                  </w:r>
                  <w:r>
                    <w:rPr>
                      <w:rFonts w:hint="default" w:ascii="Times New Roman" w:hAnsi="Times New Roman" w:cs="Times New Roman"/>
                      <w:color w:val="auto"/>
                      <w:sz w:val="21"/>
                      <w:szCs w:val="21"/>
                      <w:lang w:val="en-US" w:eastAsia="zh-CN"/>
                    </w:rPr>
                    <w:t>。</w:t>
                  </w:r>
                </w:p>
              </w:tc>
              <w:tc>
                <w:tcPr>
                  <w:tcW w:w="855" w:type="dxa"/>
                  <w:vAlign w:val="center"/>
                </w:tcPr>
                <w:p w14:paraId="33EEC5B6">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灵璧县</w:t>
                  </w:r>
                </w:p>
              </w:tc>
              <w:tc>
                <w:tcPr>
                  <w:tcW w:w="952" w:type="dxa"/>
                  <w:vAlign w:val="center"/>
                </w:tcPr>
                <w:p w14:paraId="377D378F">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8.2</w:t>
                  </w:r>
                </w:p>
              </w:tc>
            </w:tr>
            <w:tr w14:paraId="3AD9F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2" w:type="dxa"/>
                  <w:vMerge w:val="continue"/>
                  <w:vAlign w:val="center"/>
                </w:tcPr>
                <w:p w14:paraId="3D45D225">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1350" w:type="dxa"/>
                  <w:vMerge w:val="continue"/>
                  <w:vAlign w:val="center"/>
                </w:tcPr>
                <w:p w14:paraId="05B6A734">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954" w:type="dxa"/>
                  <w:vMerge w:val="continue"/>
                  <w:vAlign w:val="center"/>
                </w:tcPr>
                <w:p w14:paraId="368EE51D">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527" w:type="dxa"/>
                  <w:vMerge w:val="continue"/>
                  <w:vAlign w:val="center"/>
                </w:tcPr>
                <w:p w14:paraId="588916AC">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855" w:type="dxa"/>
                  <w:vAlign w:val="center"/>
                </w:tcPr>
                <w:p w14:paraId="469A0ED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泗县</w:t>
                  </w:r>
                </w:p>
              </w:tc>
              <w:tc>
                <w:tcPr>
                  <w:tcW w:w="952" w:type="dxa"/>
                  <w:vAlign w:val="center"/>
                </w:tcPr>
                <w:p w14:paraId="248DD46D">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28.82</w:t>
                  </w:r>
                </w:p>
              </w:tc>
            </w:tr>
            <w:tr w14:paraId="467A8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2" w:type="dxa"/>
                  <w:vMerge w:val="continue"/>
                  <w:vAlign w:val="center"/>
                </w:tcPr>
                <w:p w14:paraId="79A2C34C">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1350" w:type="dxa"/>
                  <w:vMerge w:val="continue"/>
                  <w:vAlign w:val="center"/>
                </w:tcPr>
                <w:p w14:paraId="4D2B876C">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954" w:type="dxa"/>
                  <w:vMerge w:val="continue"/>
                  <w:vAlign w:val="center"/>
                </w:tcPr>
                <w:p w14:paraId="69A0A15A">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527" w:type="dxa"/>
                  <w:vMerge w:val="continue"/>
                  <w:vAlign w:val="center"/>
                </w:tcPr>
                <w:p w14:paraId="18B983D1">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855" w:type="dxa"/>
                  <w:vAlign w:val="center"/>
                </w:tcPr>
                <w:p w14:paraId="0AD79F58">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埇桥区</w:t>
                  </w:r>
                </w:p>
              </w:tc>
              <w:tc>
                <w:tcPr>
                  <w:tcW w:w="952" w:type="dxa"/>
                  <w:vAlign w:val="center"/>
                </w:tcPr>
                <w:p w14:paraId="36E8F1B4">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65.24</w:t>
                  </w:r>
                </w:p>
              </w:tc>
            </w:tr>
            <w:tr w14:paraId="37C5D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752" w:type="dxa"/>
                  <w:vMerge w:val="restart"/>
                  <w:vAlign w:val="center"/>
                </w:tcPr>
                <w:p w14:paraId="3EB41688">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Ⅲ生物多样性维护生态保护红线</w:t>
                  </w:r>
                </w:p>
              </w:tc>
              <w:tc>
                <w:tcPr>
                  <w:tcW w:w="1350" w:type="dxa"/>
                  <w:vMerge w:val="restart"/>
                  <w:vAlign w:val="center"/>
                </w:tcPr>
                <w:p w14:paraId="17F4D70C">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Ⅲ-1淮北平原北部生物多样性维护及水土保持生态保护红线</w:t>
                  </w:r>
                </w:p>
              </w:tc>
              <w:tc>
                <w:tcPr>
                  <w:tcW w:w="954" w:type="dxa"/>
                  <w:vMerge w:val="restart"/>
                  <w:vAlign w:val="center"/>
                </w:tcPr>
                <w:p w14:paraId="22FA124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暖温带落叶阔叶林带</w:t>
                  </w:r>
                </w:p>
              </w:tc>
              <w:tc>
                <w:tcPr>
                  <w:tcW w:w="3527" w:type="dxa"/>
                  <w:vMerge w:val="restart"/>
                  <w:vAlign w:val="center"/>
                </w:tcPr>
                <w:p w14:paraId="0753975B">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安徽砀山酥梨种质资源森林公园、砀山县黄河故道省级自然保护区、安徽相山国家森林自然公园、安徽萧县皇藏峪省级自然保护区、安徽萧县黄河故道省级自然保护区、梅山省级森林自然公园、宿州大方寺省级自然保护区、萧县凤山省级森林自然公园、萧县永堌省级森林自然公园</w:t>
                  </w:r>
                  <w:r>
                    <w:rPr>
                      <w:rFonts w:hint="default" w:ascii="Times New Roman" w:hAnsi="Times New Roman" w:cs="Times New Roman"/>
                      <w:color w:val="auto"/>
                      <w:sz w:val="21"/>
                      <w:szCs w:val="21"/>
                      <w:lang w:val="en-US" w:eastAsia="zh-CN"/>
                    </w:rPr>
                    <w:t>。</w:t>
                  </w:r>
                </w:p>
              </w:tc>
              <w:tc>
                <w:tcPr>
                  <w:tcW w:w="855" w:type="dxa"/>
                  <w:vAlign w:val="center"/>
                </w:tcPr>
                <w:p w14:paraId="44D021EA">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砀山县</w:t>
                  </w:r>
                </w:p>
              </w:tc>
              <w:tc>
                <w:tcPr>
                  <w:tcW w:w="952" w:type="dxa"/>
                  <w:vAlign w:val="center"/>
                </w:tcPr>
                <w:p w14:paraId="455EE42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113.87</w:t>
                  </w:r>
                </w:p>
              </w:tc>
            </w:tr>
            <w:tr w14:paraId="0557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752" w:type="dxa"/>
                  <w:vMerge w:val="continue"/>
                  <w:vAlign w:val="center"/>
                </w:tcPr>
                <w:p w14:paraId="3E0267A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1350" w:type="dxa"/>
                  <w:vMerge w:val="continue"/>
                  <w:vAlign w:val="center"/>
                </w:tcPr>
                <w:p w14:paraId="22EC2426">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954" w:type="dxa"/>
                  <w:vMerge w:val="continue"/>
                  <w:vAlign w:val="center"/>
                </w:tcPr>
                <w:p w14:paraId="07A87184">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527" w:type="dxa"/>
                  <w:vMerge w:val="continue"/>
                  <w:vAlign w:val="center"/>
                </w:tcPr>
                <w:p w14:paraId="487E258A">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855" w:type="dxa"/>
                  <w:vAlign w:val="center"/>
                </w:tcPr>
                <w:p w14:paraId="7C4B7CC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萧县</w:t>
                  </w:r>
                </w:p>
              </w:tc>
              <w:tc>
                <w:tcPr>
                  <w:tcW w:w="952" w:type="dxa"/>
                  <w:vAlign w:val="center"/>
                </w:tcPr>
                <w:p w14:paraId="5E6E95B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103.45</w:t>
                  </w:r>
                </w:p>
              </w:tc>
            </w:tr>
          </w:tbl>
          <w:p w14:paraId="49745559">
            <w:pPr>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rPr>
              <w:t>本项目选址位于</w:t>
            </w:r>
            <w:r>
              <w:rPr>
                <w:rFonts w:hint="eastAsia" w:ascii="Times New Roman" w:hAnsi="Times New Roman" w:eastAsia="宋体" w:cs="Times New Roman"/>
                <w:bCs/>
                <w:color w:val="auto"/>
                <w:sz w:val="24"/>
                <w:szCs w:val="24"/>
                <w:lang w:val="en-US" w:eastAsia="zh-CN"/>
              </w:rPr>
              <w:t>安徽省宿州市泗县泗水街道唐河路与赤山路交汇处东150米绿朗光电智慧产业园6栋2号</w:t>
            </w:r>
            <w:r>
              <w:rPr>
                <w:rFonts w:hint="default" w:ascii="Times New Roman" w:hAnsi="Times New Roman" w:eastAsia="宋体" w:cs="Times New Roman"/>
                <w:bCs/>
                <w:color w:val="auto"/>
                <w:sz w:val="24"/>
                <w:szCs w:val="24"/>
                <w:highlight w:val="none"/>
              </w:rPr>
              <w:t>，对照《</w:t>
            </w:r>
            <w:r>
              <w:rPr>
                <w:rFonts w:hint="default" w:ascii="Times New Roman" w:hAnsi="Times New Roman" w:eastAsia="宋体" w:cs="Times New Roman"/>
                <w:bCs/>
                <w:color w:val="auto"/>
                <w:sz w:val="24"/>
                <w:szCs w:val="24"/>
                <w:highlight w:val="none"/>
                <w:lang w:val="en-US" w:eastAsia="zh-CN"/>
              </w:rPr>
              <w:t>宿州市生态红线图</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详见附图</w:t>
            </w:r>
            <w:r>
              <w:rPr>
                <w:rFonts w:hint="eastAsia"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，项目不涉及自然保护区、风景名胜区等特殊生态敏感区和重要生态敏感区，项目选址不涉及生态</w:t>
            </w:r>
            <w:r>
              <w:rPr>
                <w:rFonts w:hint="default" w:ascii="Times New Roman" w:hAnsi="Times New Roman" w:eastAsia="宋体" w:cs="Times New Roman"/>
                <w:bCs/>
                <w:color w:val="auto"/>
                <w:sz w:val="24"/>
                <w:szCs w:val="24"/>
                <w:highlight w:val="none"/>
                <w:lang w:val="en-US" w:eastAsia="zh-CN"/>
              </w:rPr>
              <w:t>保护</w:t>
            </w:r>
            <w:r>
              <w:rPr>
                <w:rFonts w:hint="default" w:ascii="Times New Roman" w:hAnsi="Times New Roman" w:eastAsia="宋体" w:cs="Times New Roman"/>
                <w:bCs/>
                <w:color w:val="auto"/>
                <w:sz w:val="24"/>
                <w:szCs w:val="24"/>
                <w:highlight w:val="none"/>
              </w:rPr>
              <w:t>红线。</w:t>
            </w:r>
          </w:p>
          <w:p w14:paraId="75146622">
            <w:pPr>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生态空间分区管控</w:t>
            </w:r>
          </w:p>
          <w:p w14:paraId="7DF65751">
            <w:pPr>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rPr>
              <w:t>宿州市一般生态空间面积</w:t>
            </w:r>
            <w:r>
              <w:rPr>
                <w:rFonts w:hint="default" w:ascii="Times New Roman" w:hAnsi="Times New Roman" w:eastAsia="宋体" w:cs="Times New Roman"/>
                <w:bCs/>
                <w:color w:val="auto"/>
                <w:sz w:val="24"/>
                <w:szCs w:val="24"/>
                <w:lang w:eastAsia="zh-CN"/>
              </w:rPr>
              <w:t>为</w:t>
            </w:r>
            <w:r>
              <w:rPr>
                <w:rFonts w:hint="default" w:ascii="Times New Roman" w:hAnsi="Times New Roman" w:eastAsia="宋体" w:cs="Times New Roman"/>
                <w:bCs/>
                <w:color w:val="auto"/>
                <w:sz w:val="24"/>
                <w:szCs w:val="24"/>
              </w:rPr>
              <w:t>259.81平方公里，占全市国土面积的2.61%</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宿州市一般生态空间分区县划定统计表</w:t>
            </w:r>
            <w:r>
              <w:rPr>
                <w:rFonts w:hint="default" w:ascii="Times New Roman" w:hAnsi="Times New Roman" w:eastAsia="宋体" w:cs="Times New Roman"/>
                <w:bCs/>
                <w:color w:val="auto"/>
                <w:sz w:val="24"/>
                <w:szCs w:val="24"/>
                <w:lang w:val="en-US" w:eastAsia="zh-CN"/>
              </w:rPr>
              <w:t>见</w:t>
            </w:r>
            <w:r>
              <w:rPr>
                <w:rFonts w:hint="default" w:ascii="Times New Roman" w:hAnsi="Times New Roman" w:eastAsia="宋体" w:cs="Times New Roman"/>
                <w:bCs/>
                <w:color w:val="auto"/>
                <w:sz w:val="24"/>
                <w:szCs w:val="24"/>
              </w:rPr>
              <w:t>表</w:t>
            </w:r>
            <w:r>
              <w:rPr>
                <w:rFonts w:hint="default" w:ascii="Times New Roman" w:hAnsi="Times New Roman" w:eastAsia="宋体" w:cs="Times New Roman"/>
                <w:bCs/>
                <w:color w:val="auto"/>
                <w:sz w:val="24"/>
                <w:szCs w:val="24"/>
                <w:lang w:val="en-US" w:eastAsia="zh-CN"/>
              </w:rPr>
              <w:t>1.</w:t>
            </w:r>
            <w:r>
              <w:rPr>
                <w:rFonts w:hint="eastAsia" w:ascii="Times New Roman" w:hAnsi="Times New Roman" w:eastAsia="宋体" w:cs="Times New Roman"/>
                <w:bCs/>
                <w:color w:val="auto"/>
                <w:sz w:val="24"/>
                <w:szCs w:val="24"/>
                <w:lang w:val="en-US" w:eastAsia="zh-CN"/>
              </w:rPr>
              <w:t>6</w:t>
            </w:r>
            <w:r>
              <w:rPr>
                <w:rFonts w:hint="default" w:ascii="Times New Roman" w:hAnsi="Times New Roman" w:eastAsia="宋体" w:cs="Times New Roman"/>
                <w:bCs/>
                <w:color w:val="auto"/>
                <w:sz w:val="24"/>
                <w:szCs w:val="24"/>
                <w:lang w:val="en-US" w:eastAsia="zh-CN"/>
              </w:rPr>
              <w:t>。</w:t>
            </w:r>
          </w:p>
          <w:p w14:paraId="250A14F0">
            <w:pPr>
              <w:spacing w:line="240" w:lineRule="auto"/>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表1.</w:t>
            </w:r>
            <w:r>
              <w:rPr>
                <w:rFonts w:hint="eastAsia" w:ascii="Times New Roman" w:hAnsi="Times New Roman" w:eastAsia="宋体" w:cs="Times New Roman"/>
                <w:b/>
                <w:bCs w:val="0"/>
                <w:color w:val="auto"/>
                <w:sz w:val="21"/>
                <w:szCs w:val="21"/>
                <w:lang w:val="en-US" w:eastAsia="zh-CN"/>
              </w:rPr>
              <w:t>6</w:t>
            </w:r>
            <w:r>
              <w:rPr>
                <w:rFonts w:hint="default" w:ascii="Times New Roman" w:hAnsi="Times New Roman" w:eastAsia="宋体" w:cs="Times New Roman"/>
                <w:b/>
                <w:bCs w:val="0"/>
                <w:color w:val="auto"/>
                <w:sz w:val="21"/>
                <w:szCs w:val="21"/>
                <w:lang w:val="en-US" w:eastAsia="zh-CN"/>
              </w:rPr>
              <w:t xml:space="preserve">  </w:t>
            </w:r>
            <w:r>
              <w:rPr>
                <w:rFonts w:hint="default" w:ascii="Times New Roman" w:hAnsi="Times New Roman" w:eastAsia="宋体" w:cs="Times New Roman"/>
                <w:b/>
                <w:bCs w:val="0"/>
                <w:color w:val="auto"/>
                <w:sz w:val="21"/>
                <w:szCs w:val="21"/>
              </w:rPr>
              <w:t>宿州市一般生态空间分区县划定统计表</w:t>
            </w:r>
          </w:p>
          <w:tbl>
            <w:tblPr>
              <w:tblStyle w:val="32"/>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5"/>
              <w:gridCol w:w="2097"/>
              <w:gridCol w:w="2099"/>
              <w:gridCol w:w="2099"/>
            </w:tblGrid>
            <w:tr w14:paraId="04FC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5" w:type="dxa"/>
                  <w:vMerge w:val="restart"/>
                  <w:vAlign w:val="center"/>
                </w:tcPr>
                <w:p w14:paraId="0727D91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行政区</w:t>
                  </w:r>
                </w:p>
              </w:tc>
              <w:tc>
                <w:tcPr>
                  <w:tcW w:w="2097" w:type="dxa"/>
                  <w:vMerge w:val="restart"/>
                  <w:vAlign w:val="center"/>
                </w:tcPr>
                <w:p w14:paraId="5C51CC7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辖区面积（km</w:t>
                  </w:r>
                  <w:r>
                    <w:rPr>
                      <w:rFonts w:hint="default" w:ascii="Times New Roman" w:hAnsi="Times New Roman" w:eastAsia="宋体" w:cs="Times New Roman"/>
                      <w:b w:val="0"/>
                      <w:bCs/>
                      <w:color w:val="auto"/>
                      <w:kern w:val="0"/>
                      <w:sz w:val="21"/>
                      <w:szCs w:val="21"/>
                      <w:vertAlign w:val="superscript"/>
                      <w:lang w:val="en-US" w:eastAsia="zh-CN"/>
                    </w:rPr>
                    <w:t>2</w:t>
                  </w:r>
                  <w:r>
                    <w:rPr>
                      <w:rFonts w:hint="default" w:ascii="Times New Roman" w:hAnsi="Times New Roman" w:eastAsia="宋体" w:cs="Times New Roman"/>
                      <w:b w:val="0"/>
                      <w:bCs/>
                      <w:color w:val="auto"/>
                      <w:kern w:val="0"/>
                      <w:sz w:val="21"/>
                      <w:szCs w:val="21"/>
                      <w:lang w:val="en-US" w:eastAsia="zh-CN"/>
                    </w:rPr>
                    <w:t>）</w:t>
                  </w:r>
                </w:p>
              </w:tc>
              <w:tc>
                <w:tcPr>
                  <w:tcW w:w="4198" w:type="dxa"/>
                  <w:gridSpan w:val="2"/>
                  <w:vAlign w:val="center"/>
                </w:tcPr>
                <w:p w14:paraId="77E02043">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一般生态空间</w:t>
                  </w:r>
                </w:p>
              </w:tc>
            </w:tr>
            <w:tr w14:paraId="36CC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5" w:type="dxa"/>
                  <w:vMerge w:val="continue"/>
                  <w:vAlign w:val="center"/>
                </w:tcPr>
                <w:p w14:paraId="287106DD">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2097" w:type="dxa"/>
                  <w:vMerge w:val="continue"/>
                  <w:vAlign w:val="center"/>
                </w:tcPr>
                <w:p w14:paraId="0EFDDA9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2099" w:type="dxa"/>
                  <w:vAlign w:val="center"/>
                </w:tcPr>
                <w:p w14:paraId="42EE39E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面积（km</w:t>
                  </w:r>
                  <w:r>
                    <w:rPr>
                      <w:rFonts w:hint="default" w:ascii="Times New Roman" w:hAnsi="Times New Roman" w:eastAsia="宋体" w:cs="Times New Roman"/>
                      <w:b w:val="0"/>
                      <w:bCs/>
                      <w:color w:val="auto"/>
                      <w:kern w:val="0"/>
                      <w:sz w:val="21"/>
                      <w:szCs w:val="21"/>
                      <w:vertAlign w:val="superscript"/>
                      <w:lang w:val="en-US" w:eastAsia="zh-CN"/>
                    </w:rPr>
                    <w:t>2</w:t>
                  </w:r>
                  <w:r>
                    <w:rPr>
                      <w:rFonts w:hint="default" w:ascii="Times New Roman" w:hAnsi="Times New Roman" w:eastAsia="宋体" w:cs="Times New Roman"/>
                      <w:b w:val="0"/>
                      <w:bCs/>
                      <w:color w:val="auto"/>
                      <w:kern w:val="0"/>
                      <w:sz w:val="21"/>
                      <w:szCs w:val="21"/>
                      <w:lang w:val="en-US" w:eastAsia="zh-CN"/>
                    </w:rPr>
                    <w:t>）</w:t>
                  </w:r>
                </w:p>
              </w:tc>
              <w:tc>
                <w:tcPr>
                  <w:tcW w:w="2099" w:type="dxa"/>
                  <w:vAlign w:val="center"/>
                </w:tcPr>
                <w:p w14:paraId="678B333D">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占比（%）</w:t>
                  </w:r>
                </w:p>
              </w:tc>
            </w:tr>
            <w:tr w14:paraId="1BFB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5" w:type="dxa"/>
                  <w:vAlign w:val="center"/>
                </w:tcPr>
                <w:p w14:paraId="6DF07B81">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埇桥区</w:t>
                  </w:r>
                </w:p>
              </w:tc>
              <w:tc>
                <w:tcPr>
                  <w:tcW w:w="2097" w:type="dxa"/>
                  <w:vAlign w:val="center"/>
                </w:tcPr>
                <w:p w14:paraId="7D7A70B8">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2907.45</w:t>
                  </w:r>
                </w:p>
              </w:tc>
              <w:tc>
                <w:tcPr>
                  <w:tcW w:w="2099" w:type="dxa"/>
                  <w:vAlign w:val="center"/>
                </w:tcPr>
                <w:p w14:paraId="3E18552B">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150.49</w:t>
                  </w:r>
                </w:p>
              </w:tc>
              <w:tc>
                <w:tcPr>
                  <w:tcW w:w="2099" w:type="dxa"/>
                  <w:vAlign w:val="center"/>
                </w:tcPr>
                <w:p w14:paraId="6D21CBD5">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5.18</w:t>
                  </w:r>
                </w:p>
              </w:tc>
            </w:tr>
            <w:tr w14:paraId="62CBF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5" w:type="dxa"/>
                  <w:vAlign w:val="center"/>
                </w:tcPr>
                <w:p w14:paraId="77DC6AB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砀山县</w:t>
                  </w:r>
                </w:p>
              </w:tc>
              <w:tc>
                <w:tcPr>
                  <w:tcW w:w="2097" w:type="dxa"/>
                  <w:vAlign w:val="center"/>
                </w:tcPr>
                <w:p w14:paraId="2EED162F">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1196.73</w:t>
                  </w:r>
                </w:p>
              </w:tc>
              <w:tc>
                <w:tcPr>
                  <w:tcW w:w="2099" w:type="dxa"/>
                  <w:vAlign w:val="center"/>
                </w:tcPr>
                <w:p w14:paraId="7825158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349.32</w:t>
                  </w:r>
                </w:p>
              </w:tc>
              <w:tc>
                <w:tcPr>
                  <w:tcW w:w="2099" w:type="dxa"/>
                  <w:vAlign w:val="center"/>
                </w:tcPr>
                <w:p w14:paraId="3161B198">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29.19</w:t>
                  </w:r>
                </w:p>
              </w:tc>
            </w:tr>
            <w:tr w14:paraId="08278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5" w:type="dxa"/>
                  <w:vAlign w:val="center"/>
                </w:tcPr>
                <w:p w14:paraId="4242CD8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萧县</w:t>
                  </w:r>
                </w:p>
              </w:tc>
              <w:tc>
                <w:tcPr>
                  <w:tcW w:w="2097" w:type="dxa"/>
                  <w:vAlign w:val="center"/>
                </w:tcPr>
                <w:p w14:paraId="0CD77E7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1853.61</w:t>
                  </w:r>
                </w:p>
              </w:tc>
              <w:tc>
                <w:tcPr>
                  <w:tcW w:w="2099" w:type="dxa"/>
                  <w:vAlign w:val="center"/>
                </w:tcPr>
                <w:p w14:paraId="11EDFA54">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90.27</w:t>
                  </w:r>
                </w:p>
              </w:tc>
              <w:tc>
                <w:tcPr>
                  <w:tcW w:w="2099" w:type="dxa"/>
                  <w:vAlign w:val="center"/>
                </w:tcPr>
                <w:p w14:paraId="6DF5397B">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4.87</w:t>
                  </w:r>
                </w:p>
              </w:tc>
            </w:tr>
            <w:tr w14:paraId="20BFE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5" w:type="dxa"/>
                  <w:vAlign w:val="center"/>
                </w:tcPr>
                <w:p w14:paraId="08B74E2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灵璧县</w:t>
                  </w:r>
                </w:p>
              </w:tc>
              <w:tc>
                <w:tcPr>
                  <w:tcW w:w="2097" w:type="dxa"/>
                  <w:vAlign w:val="center"/>
                </w:tcPr>
                <w:p w14:paraId="14586B2D">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2124.06</w:t>
                  </w:r>
                </w:p>
              </w:tc>
              <w:tc>
                <w:tcPr>
                  <w:tcW w:w="2099" w:type="dxa"/>
                  <w:vAlign w:val="center"/>
                </w:tcPr>
                <w:p w14:paraId="2EAD7131">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75.14</w:t>
                  </w:r>
                </w:p>
              </w:tc>
              <w:tc>
                <w:tcPr>
                  <w:tcW w:w="2099" w:type="dxa"/>
                  <w:vAlign w:val="center"/>
                </w:tcPr>
                <w:p w14:paraId="5136596C">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3.54</w:t>
                  </w:r>
                </w:p>
              </w:tc>
            </w:tr>
            <w:tr w14:paraId="56F3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5" w:type="dxa"/>
                  <w:vAlign w:val="center"/>
                </w:tcPr>
                <w:p w14:paraId="70ED418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泗县</w:t>
                  </w:r>
                </w:p>
              </w:tc>
              <w:tc>
                <w:tcPr>
                  <w:tcW w:w="2097" w:type="dxa"/>
                  <w:vAlign w:val="center"/>
                </w:tcPr>
                <w:p w14:paraId="3C913D0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1856.97</w:t>
                  </w:r>
                </w:p>
              </w:tc>
              <w:tc>
                <w:tcPr>
                  <w:tcW w:w="2099" w:type="dxa"/>
                  <w:vAlign w:val="center"/>
                </w:tcPr>
                <w:p w14:paraId="57DB50A1">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38.55</w:t>
                  </w:r>
                </w:p>
              </w:tc>
              <w:tc>
                <w:tcPr>
                  <w:tcW w:w="2099" w:type="dxa"/>
                  <w:vAlign w:val="center"/>
                </w:tcPr>
                <w:p w14:paraId="4EB4121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2.08</w:t>
                  </w:r>
                </w:p>
              </w:tc>
            </w:tr>
            <w:tr w14:paraId="242E8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5" w:type="dxa"/>
                  <w:vAlign w:val="center"/>
                </w:tcPr>
                <w:p w14:paraId="1972B71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宿州市</w:t>
                  </w:r>
                </w:p>
              </w:tc>
              <w:tc>
                <w:tcPr>
                  <w:tcW w:w="2097" w:type="dxa"/>
                  <w:vAlign w:val="center"/>
                </w:tcPr>
                <w:p w14:paraId="3766A271">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9938.82</w:t>
                  </w:r>
                </w:p>
              </w:tc>
              <w:tc>
                <w:tcPr>
                  <w:tcW w:w="2099" w:type="dxa"/>
                  <w:vAlign w:val="center"/>
                </w:tcPr>
                <w:p w14:paraId="2358B36F">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703.77</w:t>
                  </w:r>
                </w:p>
              </w:tc>
              <w:tc>
                <w:tcPr>
                  <w:tcW w:w="2099" w:type="dxa"/>
                  <w:vAlign w:val="center"/>
                </w:tcPr>
                <w:p w14:paraId="6B3AD7CD">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7.08</w:t>
                  </w:r>
                </w:p>
              </w:tc>
            </w:tr>
          </w:tbl>
          <w:p w14:paraId="5CAE17C0">
            <w:pPr>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rPr>
              <w:t>本项目选址位于</w:t>
            </w:r>
            <w:r>
              <w:rPr>
                <w:rFonts w:hint="eastAsia" w:ascii="Times New Roman" w:hAnsi="Times New Roman" w:eastAsia="宋体" w:cs="Times New Roman"/>
                <w:bCs/>
                <w:color w:val="auto"/>
                <w:sz w:val="24"/>
                <w:szCs w:val="24"/>
                <w:lang w:eastAsia="zh-CN"/>
              </w:rPr>
              <w:t>安徽省宿州市泗县泗水街道唐河路与赤山路交汇处东150米绿朗光电智慧产业园6栋2号</w:t>
            </w:r>
            <w:r>
              <w:rPr>
                <w:rFonts w:hint="default" w:ascii="Times New Roman" w:hAnsi="Times New Roman" w:eastAsia="宋体" w:cs="Times New Roman"/>
                <w:bCs/>
                <w:color w:val="auto"/>
                <w:sz w:val="24"/>
                <w:szCs w:val="24"/>
                <w:highlight w:val="none"/>
              </w:rPr>
              <w:t>，对照</w:t>
            </w:r>
            <w:r>
              <w:rPr>
                <w:rFonts w:hint="default" w:ascii="Times New Roman" w:hAnsi="Times New Roman" w:eastAsia="宋体" w:cs="Times New Roman"/>
                <w:bCs/>
                <w:color w:val="auto"/>
                <w:sz w:val="24"/>
                <w:szCs w:val="24"/>
                <w:highlight w:val="none"/>
                <w:lang w:val="en-US" w:eastAsia="zh-CN"/>
              </w:rPr>
              <w:t>《宿州市生态空间》</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详见附图</w:t>
            </w:r>
            <w:r>
              <w:rPr>
                <w:rFonts w:hint="eastAsia" w:ascii="Times New Roman" w:hAnsi="Times New Roman" w:eastAsia="宋体" w:cs="Times New Roman"/>
                <w:bCs/>
                <w:color w:val="auto"/>
                <w:sz w:val="24"/>
                <w:szCs w:val="24"/>
                <w:highlight w:val="none"/>
                <w:lang w:val="en-US" w:eastAsia="zh-CN"/>
              </w:rPr>
              <w:t>6</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，项目不涉及</w:t>
            </w:r>
            <w:r>
              <w:rPr>
                <w:rFonts w:hint="eastAsia" w:ascii="Times New Roman" w:hAnsi="Times New Roman" w:eastAsia="宋体" w:cs="Times New Roman"/>
                <w:bCs/>
                <w:color w:val="auto"/>
                <w:sz w:val="24"/>
                <w:szCs w:val="24"/>
                <w:highlight w:val="none"/>
                <w:lang w:val="en-US" w:eastAsia="zh-CN"/>
              </w:rPr>
              <w:t>生态保护红线和</w:t>
            </w:r>
            <w:r>
              <w:rPr>
                <w:rFonts w:hint="default" w:ascii="Times New Roman" w:hAnsi="Times New Roman" w:eastAsia="宋体" w:cs="Times New Roman"/>
                <w:bCs/>
                <w:color w:val="auto"/>
                <w:sz w:val="24"/>
                <w:szCs w:val="24"/>
                <w:highlight w:val="none"/>
              </w:rPr>
              <w:t>一般生态空间。</w:t>
            </w:r>
          </w:p>
          <w:p w14:paraId="6817A3AF">
            <w:pPr>
              <w:spacing w:line="360" w:lineRule="auto"/>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w:t>
            </w:r>
            <w:r>
              <w:rPr>
                <w:rFonts w:hint="default" w:ascii="Times New Roman" w:hAnsi="Times New Roman" w:eastAsia="宋体" w:cs="Times New Roman"/>
                <w:bCs/>
                <w:color w:val="auto"/>
                <w:sz w:val="24"/>
                <w:szCs w:val="24"/>
                <w:highlight w:val="none"/>
              </w:rPr>
              <w:t>与生态分区管控要求相符性一览表</w:t>
            </w:r>
            <w:r>
              <w:rPr>
                <w:rFonts w:hint="default" w:ascii="Times New Roman" w:hAnsi="Times New Roman" w:eastAsia="宋体" w:cs="Times New Roman"/>
                <w:bCs/>
                <w:color w:val="auto"/>
                <w:sz w:val="24"/>
                <w:szCs w:val="24"/>
                <w:highlight w:val="none"/>
                <w:lang w:val="en-US" w:eastAsia="zh-CN"/>
              </w:rPr>
              <w:t>见表1.</w:t>
            </w:r>
            <w:r>
              <w:rPr>
                <w:rFonts w:hint="eastAsia" w:ascii="Times New Roman" w:hAnsi="Times New Roman" w:eastAsia="宋体" w:cs="Times New Roman"/>
                <w:bCs/>
                <w:color w:val="auto"/>
                <w:sz w:val="24"/>
                <w:szCs w:val="24"/>
                <w:highlight w:val="none"/>
                <w:lang w:val="en-US" w:eastAsia="zh-CN"/>
              </w:rPr>
              <w:t>7</w:t>
            </w:r>
            <w:r>
              <w:rPr>
                <w:rFonts w:hint="default" w:ascii="Times New Roman" w:hAnsi="Times New Roman" w:eastAsia="宋体" w:cs="Times New Roman"/>
                <w:bCs/>
                <w:color w:val="auto"/>
                <w:sz w:val="24"/>
                <w:szCs w:val="24"/>
                <w:highlight w:val="none"/>
                <w:lang w:val="en-US" w:eastAsia="zh-CN"/>
              </w:rPr>
              <w:t>。</w:t>
            </w:r>
          </w:p>
          <w:p w14:paraId="55F478AA">
            <w:pPr>
              <w:pStyle w:val="38"/>
              <w:jc w:val="center"/>
              <w:rPr>
                <w:rFonts w:hint="default" w:ascii="Times New Roman" w:hAnsi="Times New Roman" w:eastAsia="宋体" w:cs="Times New Roman"/>
                <w:b/>
                <w:bCs w:val="0"/>
                <w:color w:val="auto"/>
                <w:sz w:val="21"/>
                <w:szCs w:val="21"/>
              </w:rPr>
            </w:pPr>
            <w:r>
              <w:rPr>
                <w:rFonts w:hint="default" w:ascii="Times New Roman" w:hAnsi="Times New Roman" w:cs="Times New Roman"/>
                <w:b/>
                <w:bCs w:val="0"/>
                <w:color w:val="auto"/>
                <w:sz w:val="21"/>
                <w:szCs w:val="21"/>
                <w:lang w:val="en-US" w:eastAsia="zh-CN"/>
              </w:rPr>
              <w:t>表1.</w:t>
            </w:r>
            <w:r>
              <w:rPr>
                <w:rFonts w:hint="eastAsia" w:cs="Times New Roman"/>
                <w:b/>
                <w:bCs w:val="0"/>
                <w:color w:val="auto"/>
                <w:sz w:val="21"/>
                <w:szCs w:val="21"/>
                <w:lang w:val="en-US" w:eastAsia="zh-CN"/>
              </w:rPr>
              <w:t xml:space="preserve">7  </w:t>
            </w:r>
            <w:r>
              <w:rPr>
                <w:rFonts w:hint="default" w:ascii="Times New Roman" w:hAnsi="Times New Roman" w:eastAsia="宋体" w:cs="Times New Roman"/>
                <w:b/>
                <w:bCs w:val="0"/>
                <w:color w:val="auto"/>
                <w:sz w:val="21"/>
                <w:szCs w:val="21"/>
              </w:rPr>
              <w:t>拟建项目与生态分区管控要求相符性一览表</w:t>
            </w:r>
          </w:p>
          <w:tbl>
            <w:tblPr>
              <w:tblStyle w:val="32"/>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6082"/>
              <w:gridCol w:w="1545"/>
            </w:tblGrid>
            <w:tr w14:paraId="2396F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63" w:type="dxa"/>
                  <w:vAlign w:val="center"/>
                </w:tcPr>
                <w:p w14:paraId="335CA61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类别</w:t>
                  </w:r>
                </w:p>
              </w:tc>
              <w:tc>
                <w:tcPr>
                  <w:tcW w:w="6082" w:type="dxa"/>
                  <w:vAlign w:val="center"/>
                </w:tcPr>
                <w:p w14:paraId="12B819F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生态分区管控要求</w:t>
                  </w:r>
                </w:p>
              </w:tc>
              <w:tc>
                <w:tcPr>
                  <w:tcW w:w="1545" w:type="dxa"/>
                  <w:vAlign w:val="center"/>
                </w:tcPr>
                <w:p w14:paraId="091F244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协调性分析</w:t>
                  </w:r>
                </w:p>
              </w:tc>
            </w:tr>
            <w:tr w14:paraId="2DB0C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14:paraId="1E56B7F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生态保护红线</w:t>
                  </w:r>
                </w:p>
              </w:tc>
              <w:tc>
                <w:tcPr>
                  <w:tcW w:w="6082" w:type="dxa"/>
                  <w:vAlign w:val="center"/>
                </w:tcPr>
                <w:p w14:paraId="79B1C5AB">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1、根据《关于加强生态保护红线管理的通知（试行）》（自然资发【2022】142号），生态保护红线内自然保护地核心保护区外，禁止开发性、生产性建设活动，在符合法律法规的前提下，仅允许以下对生态功能不造成破坏的有限人为活动。（1）管护巡护、保护执法、科学研究、调查监测、测绘导航、防灾减灾救灾、军事国防、疫情防控等活动及相关的必要设施修筑。（2）原住居民和其他合法权益主体，允许在不扩大现有建设用地、用海用岛、耕地、水产养殖规模和放牧强度（符合草畜平衡管理规定）的前提下，开展种植、放牧、捕捞、养殖（不包括投礁型海洋牧场、围海养殖）等活动，修筑生产生活设施。（3）经依法批准的考古调查发掘、古生物化石调查发掘、标本采集和文物保护活动。（4）按规定对人工商品林进行抚育采伐，或以提升森林质量、优化栖息地、建设生物防火隔离带等为目的的树种更新，依法开展的竹林采伐经营。（5）不破坏生态功能的适度参观旅游、科普宣教及符合相关规划的配套性服务设施和相关的必要公共设施建设及维护。（6）必须且无法避让、符合县级以上国土空间规划的线性基础设施、通讯和防洪、供水设施建设和船舶航行、航道疏浚清淤等活动；已有的合法水利、交通运输等设施运行维护改造。（7）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8）依据县级以上国土空间规划和生态保护修复专项规划开展的生态修复。（9）根据我国相关法律法规和与邻国签署的国界管理制度协定（条约）开展的边界边境通视道清理以及界务工程的修建、维护和拆除工作。（10）法律法规规定允许的其他人为活动。生态保护红线内自然保护区、风景名胜区、饮用水水源保护区等区域，依照法律法规执行。依据《生态保护红线生态环境监督办法（试行）》（国环规生态【2022】2号），生态保护红线内，自然保护地核心保护区原则上禁止人为活动，其他区域严格禁止开发性、生产性建设活动，在符合现行法律法规前提下，除国家重大战略项目外，仅允许对生态功能不造成破坏的有限人为活动。</w:t>
                  </w:r>
                </w:p>
                <w:p w14:paraId="3AA83A2E">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2、对生态保护红线内的天然林、生态公益林等各类林业保护地的管理，按照《宿州市“十四五”生态环境保护规划》《安徽省林业保护发展“十四五”规划》等法律法规、规划、政策等实施管控。</w:t>
                  </w:r>
                </w:p>
              </w:tc>
              <w:tc>
                <w:tcPr>
                  <w:tcW w:w="1545" w:type="dxa"/>
                  <w:vAlign w:val="center"/>
                </w:tcPr>
                <w:p w14:paraId="4EA86044">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项目位于</w:t>
                  </w:r>
                  <w:r>
                    <w:rPr>
                      <w:rFonts w:hint="eastAsia" w:ascii="Times New Roman" w:hAnsi="Times New Roman" w:cs="Times New Roman"/>
                      <w:color w:val="auto"/>
                      <w:sz w:val="21"/>
                      <w:szCs w:val="21"/>
                      <w:lang w:val="en-US" w:eastAsia="zh-CN"/>
                    </w:rPr>
                    <w:t>安徽省宿州市泗县泗水街道唐河路与赤山路交汇处东150米绿朗光电智慧产业园6栋2号</w:t>
                  </w:r>
                  <w:r>
                    <w:rPr>
                      <w:rFonts w:hint="default" w:ascii="Times New Roman" w:hAnsi="Times New Roman" w:cs="Times New Roman" w:eastAsiaTheme="minorEastAsia"/>
                      <w:color w:val="auto"/>
                      <w:sz w:val="21"/>
                      <w:szCs w:val="21"/>
                      <w:lang w:val="en-US" w:eastAsia="zh-CN"/>
                    </w:rPr>
                    <w:t>，项目选址不涉及生态</w:t>
                  </w:r>
                  <w:r>
                    <w:rPr>
                      <w:rFonts w:hint="default" w:ascii="Times New Roman" w:hAnsi="Times New Roman" w:cs="Times New Roman"/>
                      <w:color w:val="auto"/>
                      <w:sz w:val="21"/>
                      <w:szCs w:val="21"/>
                      <w:lang w:val="en-US" w:eastAsia="zh-CN"/>
                    </w:rPr>
                    <w:t>保护</w:t>
                  </w:r>
                  <w:r>
                    <w:rPr>
                      <w:rFonts w:hint="default" w:ascii="Times New Roman" w:hAnsi="Times New Roman" w:cs="Times New Roman" w:eastAsiaTheme="minorEastAsia"/>
                      <w:color w:val="auto"/>
                      <w:sz w:val="21"/>
                      <w:szCs w:val="21"/>
                      <w:lang w:val="en-US" w:eastAsia="zh-CN"/>
                    </w:rPr>
                    <w:t>红线。</w:t>
                  </w:r>
                </w:p>
              </w:tc>
            </w:tr>
            <w:tr w14:paraId="44415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14:paraId="2FBAA391">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一般生态空间</w:t>
                  </w:r>
                </w:p>
              </w:tc>
              <w:tc>
                <w:tcPr>
                  <w:tcW w:w="6082" w:type="dxa"/>
                  <w:vAlign w:val="center"/>
                </w:tcPr>
                <w:p w14:paraId="646BA81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对一般生态空间内的国家公园、自然保护区、风景名胜区、森林公园、地质公园、世界自然遗产、湿地公园、饮用水水源保护区、天然林、生态公益林等各类保护地的管理，按照法律、法规和规章等要求执行。</w:t>
                  </w:r>
                </w:p>
                <w:p w14:paraId="7A196E09">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对一般生态空间内的天然林、生态公益林等各类林业保护地的管理，按照《安徽省林业保护发展“十四五”规划》等法律法规、规划、政策等实施管控。</w:t>
                  </w:r>
                </w:p>
              </w:tc>
              <w:tc>
                <w:tcPr>
                  <w:tcW w:w="1545" w:type="dxa"/>
                  <w:vAlign w:val="center"/>
                </w:tcPr>
                <w:p w14:paraId="04F32AA2">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项目位于</w:t>
                  </w:r>
                  <w:r>
                    <w:rPr>
                      <w:rFonts w:hint="eastAsia" w:ascii="Times New Roman" w:hAnsi="Times New Roman" w:cs="Times New Roman"/>
                      <w:color w:val="auto"/>
                      <w:sz w:val="21"/>
                      <w:szCs w:val="21"/>
                      <w:lang w:val="en-US" w:eastAsia="zh-CN"/>
                    </w:rPr>
                    <w:t>安徽省宿州市泗县泗水街道唐河路与赤山路交汇处东150米绿朗光电智慧产业园6栋2号</w:t>
                  </w:r>
                  <w:r>
                    <w:rPr>
                      <w:rFonts w:hint="default" w:ascii="Times New Roman" w:hAnsi="Times New Roman" w:cs="Times New Roman" w:eastAsiaTheme="minorEastAsia"/>
                      <w:color w:val="auto"/>
                      <w:sz w:val="21"/>
                      <w:szCs w:val="21"/>
                      <w:lang w:val="en-US" w:eastAsia="zh-CN"/>
                    </w:rPr>
                    <w:t>，项目选址不占用一般生态空间。</w:t>
                  </w:r>
                </w:p>
              </w:tc>
            </w:tr>
          </w:tbl>
          <w:p w14:paraId="15622DBB">
            <w:pPr>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3.2</w:t>
            </w:r>
            <w:r>
              <w:rPr>
                <w:rFonts w:hint="default" w:ascii="Times New Roman" w:hAnsi="Times New Roman" w:eastAsia="宋体" w:cs="Times New Roman"/>
                <w:bCs/>
                <w:color w:val="auto"/>
                <w:sz w:val="24"/>
                <w:szCs w:val="24"/>
              </w:rPr>
              <w:t>环境质量底线</w:t>
            </w:r>
            <w:r>
              <w:rPr>
                <w:rFonts w:hint="default" w:ascii="Times New Roman" w:hAnsi="Times New Roman" w:eastAsia="宋体" w:cs="Times New Roman"/>
                <w:bCs/>
                <w:color w:val="auto"/>
                <w:sz w:val="24"/>
                <w:szCs w:val="24"/>
                <w:lang w:val="en-US" w:eastAsia="zh-CN"/>
              </w:rPr>
              <w:t>及分区管控</w:t>
            </w:r>
          </w:p>
          <w:p w14:paraId="5FB904B4">
            <w:pPr>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3.2.1</w:t>
            </w:r>
            <w:r>
              <w:rPr>
                <w:rFonts w:hint="default" w:ascii="Times New Roman" w:hAnsi="Times New Roman" w:eastAsia="宋体" w:cs="Times New Roman"/>
                <w:bCs/>
                <w:color w:val="auto"/>
                <w:sz w:val="24"/>
                <w:szCs w:val="24"/>
              </w:rPr>
              <w:t>水环境质量底线</w:t>
            </w:r>
            <w:r>
              <w:rPr>
                <w:rFonts w:hint="default" w:ascii="Times New Roman" w:hAnsi="Times New Roman" w:eastAsia="宋体" w:cs="Times New Roman"/>
                <w:bCs/>
                <w:color w:val="auto"/>
                <w:sz w:val="24"/>
                <w:szCs w:val="24"/>
                <w:lang w:val="en-US" w:eastAsia="zh-CN"/>
              </w:rPr>
              <w:t>与分区管控</w:t>
            </w:r>
          </w:p>
          <w:p w14:paraId="1389DFBB">
            <w:pPr>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1</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水环境质量底线</w:t>
            </w:r>
          </w:p>
          <w:p w14:paraId="00AD5F22">
            <w:pPr>
              <w:spacing w:line="360" w:lineRule="auto"/>
              <w:ind w:firstLine="480" w:firstLineChars="200"/>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lang w:eastAsia="zh-CN"/>
              </w:rPr>
              <w:t>到2025年，关咀、团结闸（泗县公路桥）、王庄西、老濉河泗县、唐河泗县、方店闸、芦岭桥、萧濉新河宿州市、樊集、沈桥（王桥闸）、大沙河皖苏省界（土坝）、丰县华楼桥上游150米、墩集、石龙湖等断面水质目标定为Ⅲ类；大屈（泗县八里桥）、奎河宿州市（时村北大桥）、湖沟、铜山贾楼桥、王引河固口闸、浮绥、许岗闸上、钟楼桥、</w:t>
            </w:r>
            <w:r>
              <w:rPr>
                <w:rFonts w:hint="default" w:ascii="Times New Roman" w:hAnsi="Times New Roman" w:eastAsia="宋体" w:cs="Times New Roman"/>
                <w:bCs/>
                <w:color w:val="auto"/>
                <w:sz w:val="24"/>
                <w:szCs w:val="24"/>
                <w:lang w:val="en-US" w:eastAsia="zh-CN"/>
              </w:rPr>
              <w:t>S</w:t>
            </w:r>
            <w:r>
              <w:rPr>
                <w:rFonts w:hint="default" w:ascii="Times New Roman" w:hAnsi="Times New Roman" w:eastAsia="宋体" w:cs="Times New Roman"/>
                <w:bCs/>
                <w:color w:val="auto"/>
                <w:sz w:val="24"/>
                <w:szCs w:val="24"/>
                <w:lang w:eastAsia="zh-CN"/>
              </w:rPr>
              <w:t>101省道桥等断面水质目标定为Ⅳ类。</w:t>
            </w:r>
          </w:p>
          <w:p w14:paraId="7591C5C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2024年，宿州市水环境质量稳中向好、稳中趋优。全市13个地表水国家考核断面中10个水质达到Ⅲ类，水质优良比例为76.9%，较上一年同比提升7.7个百分点，超额完成省厅下达的年度力争考核目标；10个地表水省考核断面中5个断面水质为Ⅲ类，水质优良比例为50%，超出省年度考核目标20个百分点。9个县级及以上集中式饮用水水源地水质达标率保持100%，切实保障了市民“水缸子”的安全，让群众喝上放心水。</w:t>
            </w:r>
          </w:p>
          <w:p w14:paraId="01349E1C">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sz w:val="21"/>
                <w:szCs w:val="21"/>
                <w:lang w:val="en-US" w:eastAsia="zh-CN"/>
              </w:rPr>
              <w:t>注：</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宿州市2024年环境质量状况报告</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宿州市</w:t>
            </w:r>
            <w:r>
              <w:rPr>
                <w:rFonts w:hint="default" w:ascii="Times New Roman" w:hAnsi="Times New Roman" w:cs="Times New Roman"/>
                <w:color w:val="auto"/>
                <w:sz w:val="21"/>
                <w:szCs w:val="21"/>
                <w:lang w:eastAsia="zh-CN"/>
              </w:rPr>
              <w:t>生态环境局，</w:t>
            </w:r>
            <w:r>
              <w:rPr>
                <w:rFonts w:hint="default" w:ascii="Times New Roman" w:hAnsi="Times New Roman" w:cs="Times New Roman"/>
                <w:color w:val="auto"/>
                <w:sz w:val="21"/>
                <w:szCs w:val="21"/>
                <w:lang w:val="en-US" w:eastAsia="zh-CN"/>
              </w:rPr>
              <w:t>2025年11月24日</w:t>
            </w:r>
            <w:r>
              <w:rPr>
                <w:rFonts w:hint="default" w:ascii="Times New Roman" w:hAnsi="Times New Roman" w:cs="Times New Roman"/>
                <w:color w:val="auto"/>
                <w:sz w:val="21"/>
                <w:szCs w:val="21"/>
                <w:lang w:eastAsia="zh-CN"/>
              </w:rPr>
              <w:t>）。</w:t>
            </w:r>
          </w:p>
          <w:p w14:paraId="468DF157">
            <w:pPr>
              <w:spacing w:line="360" w:lineRule="auto"/>
              <w:ind w:firstLine="480" w:firstLineChars="200"/>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2</w:t>
            </w:r>
            <w:r>
              <w:rPr>
                <w:rFonts w:hint="default" w:ascii="Times New Roman" w:hAnsi="Times New Roman" w:eastAsia="宋体" w:cs="Times New Roman"/>
                <w:bCs/>
                <w:color w:val="auto"/>
                <w:sz w:val="24"/>
                <w:szCs w:val="24"/>
                <w:lang w:eastAsia="zh-CN"/>
              </w:rPr>
              <w:t>）水环境管控分区</w:t>
            </w:r>
          </w:p>
          <w:p w14:paraId="263DF1CC">
            <w:pPr>
              <w:spacing w:line="360" w:lineRule="auto"/>
              <w:ind w:firstLine="480" w:firstLineChars="200"/>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对照</w:t>
            </w:r>
            <w:r>
              <w:rPr>
                <w:rFonts w:hint="default" w:ascii="Times New Roman" w:hAnsi="Times New Roman" w:eastAsia="宋体" w:cs="Times New Roman"/>
                <w:bCs/>
                <w:color w:val="auto"/>
                <w:sz w:val="24"/>
                <w:szCs w:val="24"/>
                <w:highlight w:val="none"/>
                <w:lang w:val="en-US" w:eastAsia="zh-CN"/>
              </w:rPr>
              <w:t>《宿州市水环境分区管控图》</w:t>
            </w:r>
            <w:r>
              <w:rPr>
                <w:rFonts w:hint="default" w:ascii="Times New Roman" w:hAnsi="Times New Roman" w:eastAsia="宋体" w:cs="Times New Roman"/>
                <w:bCs/>
                <w:color w:val="auto"/>
                <w:sz w:val="24"/>
                <w:szCs w:val="24"/>
                <w:highlight w:val="none"/>
                <w:lang w:eastAsia="zh-CN"/>
              </w:rPr>
              <w:t>（详见附图</w:t>
            </w:r>
            <w:r>
              <w:rPr>
                <w:rFonts w:hint="eastAsia" w:ascii="Times New Roman" w:hAnsi="Times New Roman" w:eastAsia="宋体" w:cs="Times New Roman"/>
                <w:bCs/>
                <w:color w:val="auto"/>
                <w:sz w:val="24"/>
                <w:szCs w:val="24"/>
                <w:highlight w:val="none"/>
                <w:lang w:val="en-US" w:eastAsia="zh-CN"/>
              </w:rPr>
              <w:t>7</w:t>
            </w:r>
            <w:r>
              <w:rPr>
                <w:rFonts w:hint="default" w:ascii="Times New Roman" w:hAnsi="Times New Roman" w:eastAsia="宋体" w:cs="Times New Roman"/>
                <w:bCs/>
                <w:color w:val="auto"/>
                <w:sz w:val="24"/>
                <w:szCs w:val="24"/>
                <w:highlight w:val="none"/>
                <w:lang w:eastAsia="zh-CN"/>
              </w:rPr>
              <w:t>），项目位于</w:t>
            </w:r>
            <w:r>
              <w:rPr>
                <w:rFonts w:hint="eastAsia" w:ascii="Times New Roman" w:hAnsi="Times New Roman" w:eastAsia="宋体" w:cs="Times New Roman"/>
                <w:bCs/>
                <w:color w:val="auto"/>
                <w:sz w:val="24"/>
                <w:szCs w:val="24"/>
                <w:highlight w:val="none"/>
                <w:lang w:val="en-US" w:eastAsia="zh-CN"/>
              </w:rPr>
              <w:t>水环境工业污染重点管控区</w:t>
            </w:r>
            <w:r>
              <w:rPr>
                <w:rFonts w:hint="default" w:ascii="Times New Roman" w:hAnsi="Times New Roman" w:eastAsia="宋体" w:cs="Times New Roman"/>
                <w:bCs/>
                <w:color w:val="auto"/>
                <w:sz w:val="24"/>
                <w:szCs w:val="24"/>
                <w:highlight w:val="none"/>
                <w:lang w:eastAsia="zh-CN"/>
              </w:rPr>
              <w:t>。</w:t>
            </w:r>
          </w:p>
          <w:p w14:paraId="47391E4D">
            <w:pPr>
              <w:spacing w:line="360" w:lineRule="auto"/>
              <w:ind w:firstLine="480" w:firstLineChars="200"/>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highlight w:val="none"/>
                <w:lang w:eastAsia="zh-CN"/>
              </w:rPr>
              <w:t>项目运营期无生产性废水产生及排放，职工生活污水</w:t>
            </w:r>
            <w:r>
              <w:rPr>
                <w:rFonts w:hint="eastAsia" w:ascii="Times New Roman" w:hAnsi="Times New Roman" w:eastAsia="宋体" w:cs="Times New Roman"/>
                <w:bCs/>
                <w:color w:val="auto"/>
                <w:sz w:val="24"/>
                <w:szCs w:val="24"/>
                <w:highlight w:val="none"/>
                <w:lang w:val="en-US" w:eastAsia="zh-CN"/>
              </w:rPr>
              <w:t>依托</w:t>
            </w:r>
            <w:r>
              <w:rPr>
                <w:rFonts w:hint="eastAsia" w:ascii="Times New Roman" w:hAnsi="Times New Roman" w:eastAsia="宋体" w:cs="Times New Roman"/>
                <w:bCs/>
                <w:color w:val="auto"/>
                <w:sz w:val="24"/>
                <w:szCs w:val="24"/>
                <w:highlight w:val="none"/>
                <w:lang w:eastAsia="zh-CN"/>
              </w:rPr>
              <w:t>园区现有“化粪池”</w:t>
            </w:r>
            <w:r>
              <w:rPr>
                <w:rFonts w:hint="default" w:ascii="Times New Roman" w:hAnsi="Times New Roman" w:eastAsia="宋体" w:cs="Times New Roman"/>
                <w:bCs/>
                <w:color w:val="auto"/>
                <w:sz w:val="24"/>
                <w:szCs w:val="24"/>
                <w:highlight w:val="none"/>
                <w:lang w:eastAsia="zh-CN"/>
              </w:rPr>
              <w:t>处理</w:t>
            </w:r>
            <w:r>
              <w:rPr>
                <w:rFonts w:hint="eastAsia" w:ascii="Times New Roman" w:hAnsi="Times New Roman" w:eastAsia="宋体" w:cs="Times New Roman"/>
                <w:bCs/>
                <w:color w:val="auto"/>
                <w:sz w:val="24"/>
                <w:szCs w:val="24"/>
                <w:highlight w:val="none"/>
                <w:lang w:val="en-US" w:eastAsia="zh-CN"/>
              </w:rPr>
              <w:t>后</w:t>
            </w:r>
            <w:r>
              <w:rPr>
                <w:rFonts w:hint="default" w:ascii="Times New Roman" w:hAnsi="Times New Roman" w:eastAsia="宋体" w:cs="Times New Roman"/>
                <w:bCs/>
                <w:color w:val="auto"/>
                <w:sz w:val="24"/>
                <w:szCs w:val="24"/>
                <w:highlight w:val="none"/>
                <w:lang w:eastAsia="zh-CN"/>
              </w:rPr>
              <w:t>达到《污水综合排放标准》（GB8978-1996）表4中三级标准限值及泗县工业污水处理厂接</w:t>
            </w:r>
            <w:r>
              <w:rPr>
                <w:rFonts w:hint="default" w:ascii="Times New Roman" w:hAnsi="Times New Roman" w:eastAsia="宋体" w:cs="Times New Roman"/>
                <w:bCs/>
                <w:color w:val="auto"/>
                <w:sz w:val="24"/>
                <w:szCs w:val="24"/>
                <w:lang w:eastAsia="zh-CN"/>
              </w:rPr>
              <w:t>管限值后排入泗县工业污水处理厂处理达《城镇污水处理厂污染物排放标准》（GB18918-2002）表1中一级标准A标准后排入石梁河</w:t>
            </w:r>
            <w:r>
              <w:rPr>
                <w:rFonts w:hint="eastAsia" w:ascii="Times New Roman" w:hAnsi="Times New Roman" w:eastAsia="宋体" w:cs="Times New Roman"/>
                <w:bCs/>
                <w:color w:val="auto"/>
                <w:sz w:val="24"/>
                <w:szCs w:val="24"/>
                <w:lang w:eastAsia="zh-CN"/>
              </w:rPr>
              <w:t>。</w:t>
            </w:r>
          </w:p>
          <w:p w14:paraId="3D8694ED">
            <w:pPr>
              <w:spacing w:line="360" w:lineRule="auto"/>
              <w:ind w:firstLine="48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rPr>
              <w:t>3.2.2</w:t>
            </w:r>
            <w:r>
              <w:rPr>
                <w:rFonts w:hint="default" w:ascii="Times New Roman" w:hAnsi="Times New Roman" w:eastAsia="宋体" w:cs="Times New Roman"/>
                <w:color w:val="auto"/>
                <w:kern w:val="0"/>
                <w:sz w:val="24"/>
                <w:szCs w:val="24"/>
              </w:rPr>
              <w:t>大气环境质量底线及分区管控</w:t>
            </w:r>
          </w:p>
          <w:p w14:paraId="6D60F3CA">
            <w:pPr>
              <w:spacing w:line="360" w:lineRule="auto"/>
              <w:ind w:firstLine="48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大气环境质量底线</w:t>
            </w:r>
          </w:p>
          <w:p w14:paraId="727BC635">
            <w:pPr>
              <w:spacing w:line="360" w:lineRule="auto"/>
              <w:ind w:firstLine="480"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color w:val="auto"/>
                <w:sz w:val="24"/>
                <w:szCs w:val="24"/>
                <w:lang w:val="en-US" w:eastAsia="zh-CN"/>
              </w:rPr>
              <w:t>根据安徽省生态环境分区管控成果对宿州市的要求，结合2019年各区县PM</w:t>
            </w:r>
            <w:r>
              <w:rPr>
                <w:rFonts w:hint="default" w:ascii="Times New Roman" w:hAnsi="Times New Roman" w:cs="Times New Roman"/>
                <w:color w:val="auto"/>
                <w:sz w:val="24"/>
                <w:szCs w:val="24"/>
                <w:vertAlign w:val="subscript"/>
                <w:lang w:val="en-US" w:eastAsia="zh-CN"/>
              </w:rPr>
              <w:t>2.5</w:t>
            </w:r>
            <w:r>
              <w:rPr>
                <w:rFonts w:hint="default" w:ascii="Times New Roman" w:hAnsi="Times New Roman" w:cs="Times New Roman"/>
                <w:color w:val="auto"/>
                <w:sz w:val="24"/>
                <w:szCs w:val="24"/>
                <w:lang w:val="en-US" w:eastAsia="zh-CN"/>
              </w:rPr>
              <w:t>年均值，综合考虑二者提出。其中</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2025年以生态环境保护规划确定的目标为准，2035年目标值暂定，最终以“十六五”生态环境保护规划确定的目标为准。综上，宿州市空气质量目标如下表1.</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lang w:val="en-US" w:eastAsia="zh-CN"/>
              </w:rPr>
              <w:t>。</w:t>
            </w:r>
          </w:p>
          <w:p w14:paraId="32B5EE79">
            <w:pPr>
              <w:spacing w:line="240" w:lineRule="auto"/>
              <w:jc w:val="center"/>
              <w:rPr>
                <w:rFonts w:hint="default" w:ascii="Times New Roman" w:hAnsi="Times New Roman" w:cs="Times New Roman"/>
                <w:b/>
                <w:bCs/>
                <w:color w:val="auto"/>
                <w:sz w:val="21"/>
                <w:szCs w:val="21"/>
                <w:vertAlign w:val="superscript"/>
                <w:lang w:val="en-US" w:eastAsia="zh-CN"/>
              </w:rPr>
            </w:pPr>
            <w:r>
              <w:rPr>
                <w:rFonts w:hint="default" w:ascii="Times New Roman" w:hAnsi="Times New Roman" w:cs="Times New Roman"/>
                <w:b/>
                <w:bCs/>
                <w:color w:val="auto"/>
                <w:sz w:val="21"/>
                <w:szCs w:val="21"/>
                <w:lang w:val="en-US" w:eastAsia="zh-CN"/>
              </w:rPr>
              <w:t>表1.</w:t>
            </w:r>
            <w:r>
              <w:rPr>
                <w:rFonts w:hint="eastAsia" w:ascii="Times New Roman" w:hAnsi="Times New Roman" w:cs="Times New Roman"/>
                <w:b/>
                <w:bCs/>
                <w:color w:val="auto"/>
                <w:sz w:val="21"/>
                <w:szCs w:val="21"/>
                <w:lang w:val="en-US" w:eastAsia="zh-CN"/>
              </w:rPr>
              <w:t>8</w:t>
            </w:r>
            <w:r>
              <w:rPr>
                <w:rFonts w:hint="default" w:ascii="Times New Roman" w:hAnsi="Times New Roman" w:cs="Times New Roman"/>
                <w:b/>
                <w:bCs/>
                <w:color w:val="auto"/>
                <w:sz w:val="21"/>
                <w:szCs w:val="21"/>
                <w:lang w:val="en-US" w:eastAsia="zh-CN"/>
              </w:rPr>
              <w:t xml:space="preserve">  宿州市各区县空气质量目标值  单位：ug/m</w:t>
            </w:r>
            <w:r>
              <w:rPr>
                <w:rFonts w:hint="default" w:ascii="Times New Roman" w:hAnsi="Times New Roman" w:cs="Times New Roman"/>
                <w:b/>
                <w:bCs/>
                <w:color w:val="auto"/>
                <w:sz w:val="21"/>
                <w:szCs w:val="21"/>
                <w:vertAlign w:val="superscript"/>
                <w:lang w:val="en-US" w:eastAsia="zh-CN"/>
              </w:rPr>
              <w:t>3</w:t>
            </w:r>
          </w:p>
          <w:tbl>
            <w:tblPr>
              <w:tblStyle w:val="32"/>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5"/>
              <w:gridCol w:w="2097"/>
              <w:gridCol w:w="2097"/>
              <w:gridCol w:w="2097"/>
            </w:tblGrid>
            <w:tr w14:paraId="6D31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95" w:type="dxa"/>
                  <w:vAlign w:val="center"/>
                </w:tcPr>
                <w:p w14:paraId="229DA72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区域</w:t>
                  </w:r>
                </w:p>
              </w:tc>
              <w:tc>
                <w:tcPr>
                  <w:tcW w:w="2097" w:type="dxa"/>
                  <w:vAlign w:val="center"/>
                </w:tcPr>
                <w:p w14:paraId="488BBFCC">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2025年</w:t>
                  </w:r>
                </w:p>
              </w:tc>
              <w:tc>
                <w:tcPr>
                  <w:tcW w:w="2097" w:type="dxa"/>
                  <w:vAlign w:val="center"/>
                </w:tcPr>
                <w:p w14:paraId="4F38DB0D">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2035年</w:t>
                  </w:r>
                </w:p>
              </w:tc>
              <w:tc>
                <w:tcPr>
                  <w:tcW w:w="2097" w:type="dxa"/>
                  <w:vAlign w:val="center"/>
                </w:tcPr>
                <w:p w14:paraId="33E5BBAA">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依据</w:t>
                  </w:r>
                </w:p>
              </w:tc>
            </w:tr>
            <w:tr w14:paraId="7A2E0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5" w:type="dxa"/>
                  <w:vAlign w:val="center"/>
                </w:tcPr>
                <w:p w14:paraId="789A3C0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埇桥区</w:t>
                  </w:r>
                </w:p>
              </w:tc>
              <w:tc>
                <w:tcPr>
                  <w:tcW w:w="2097" w:type="dxa"/>
                  <w:vAlign w:val="center"/>
                </w:tcPr>
                <w:p w14:paraId="3AF6330C">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39</w:t>
                  </w:r>
                </w:p>
              </w:tc>
              <w:tc>
                <w:tcPr>
                  <w:tcW w:w="2097" w:type="dxa"/>
                  <w:vAlign w:val="center"/>
                </w:tcPr>
                <w:p w14:paraId="1E6FE16A">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39</w:t>
                  </w:r>
                </w:p>
              </w:tc>
              <w:tc>
                <w:tcPr>
                  <w:tcW w:w="2097" w:type="dxa"/>
                  <w:vMerge w:val="restart"/>
                  <w:vAlign w:val="center"/>
                </w:tcPr>
                <w:p w14:paraId="3D141DCF">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《宿州市“十四五”生态环境保护规划》</w:t>
                  </w:r>
                </w:p>
              </w:tc>
            </w:tr>
            <w:tr w14:paraId="1542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5" w:type="dxa"/>
                  <w:vAlign w:val="center"/>
                </w:tcPr>
                <w:p w14:paraId="2E1EBB2C">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砀山县</w:t>
                  </w:r>
                </w:p>
              </w:tc>
              <w:tc>
                <w:tcPr>
                  <w:tcW w:w="2097" w:type="dxa"/>
                  <w:vAlign w:val="center"/>
                </w:tcPr>
                <w:p w14:paraId="4E998438">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39</w:t>
                  </w:r>
                </w:p>
              </w:tc>
              <w:tc>
                <w:tcPr>
                  <w:tcW w:w="2097" w:type="dxa"/>
                  <w:vAlign w:val="center"/>
                </w:tcPr>
                <w:p w14:paraId="36EF7FE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39</w:t>
                  </w:r>
                </w:p>
              </w:tc>
              <w:tc>
                <w:tcPr>
                  <w:tcW w:w="2097" w:type="dxa"/>
                  <w:vMerge w:val="continue"/>
                  <w:vAlign w:val="center"/>
                </w:tcPr>
                <w:p w14:paraId="416D8671">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r>
            <w:tr w14:paraId="484B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5" w:type="dxa"/>
                  <w:vAlign w:val="center"/>
                </w:tcPr>
                <w:p w14:paraId="25F0E891">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萧县</w:t>
                  </w:r>
                </w:p>
              </w:tc>
              <w:tc>
                <w:tcPr>
                  <w:tcW w:w="2097" w:type="dxa"/>
                  <w:vAlign w:val="center"/>
                </w:tcPr>
                <w:p w14:paraId="56E9E96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39</w:t>
                  </w:r>
                </w:p>
              </w:tc>
              <w:tc>
                <w:tcPr>
                  <w:tcW w:w="2097" w:type="dxa"/>
                  <w:vAlign w:val="center"/>
                </w:tcPr>
                <w:p w14:paraId="6971ABBC">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39</w:t>
                  </w:r>
                </w:p>
              </w:tc>
              <w:tc>
                <w:tcPr>
                  <w:tcW w:w="2097" w:type="dxa"/>
                  <w:vMerge w:val="continue"/>
                  <w:vAlign w:val="center"/>
                </w:tcPr>
                <w:p w14:paraId="2F34AA8A">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r>
            <w:tr w14:paraId="72A5B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5" w:type="dxa"/>
                  <w:vAlign w:val="center"/>
                </w:tcPr>
                <w:p w14:paraId="6603C27D">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灵璧县</w:t>
                  </w:r>
                </w:p>
              </w:tc>
              <w:tc>
                <w:tcPr>
                  <w:tcW w:w="2097" w:type="dxa"/>
                  <w:vAlign w:val="center"/>
                </w:tcPr>
                <w:p w14:paraId="5B90193A">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39</w:t>
                  </w:r>
                </w:p>
              </w:tc>
              <w:tc>
                <w:tcPr>
                  <w:tcW w:w="2097" w:type="dxa"/>
                  <w:vAlign w:val="center"/>
                </w:tcPr>
                <w:p w14:paraId="612AF75D">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39</w:t>
                  </w:r>
                </w:p>
              </w:tc>
              <w:tc>
                <w:tcPr>
                  <w:tcW w:w="2097" w:type="dxa"/>
                  <w:vMerge w:val="continue"/>
                  <w:vAlign w:val="center"/>
                </w:tcPr>
                <w:p w14:paraId="6E2AD3D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r>
            <w:tr w14:paraId="4C463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5" w:type="dxa"/>
                  <w:vAlign w:val="center"/>
                </w:tcPr>
                <w:p w14:paraId="4C58ADC4">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泗县</w:t>
                  </w:r>
                </w:p>
              </w:tc>
              <w:tc>
                <w:tcPr>
                  <w:tcW w:w="2097" w:type="dxa"/>
                  <w:vAlign w:val="center"/>
                </w:tcPr>
                <w:p w14:paraId="596BC5A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39</w:t>
                  </w:r>
                </w:p>
              </w:tc>
              <w:tc>
                <w:tcPr>
                  <w:tcW w:w="2097" w:type="dxa"/>
                  <w:vAlign w:val="center"/>
                </w:tcPr>
                <w:p w14:paraId="7018DB28">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39</w:t>
                  </w:r>
                </w:p>
              </w:tc>
              <w:tc>
                <w:tcPr>
                  <w:tcW w:w="2097" w:type="dxa"/>
                  <w:vMerge w:val="continue"/>
                  <w:vAlign w:val="center"/>
                </w:tcPr>
                <w:p w14:paraId="795CF28D">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r>
            <w:tr w14:paraId="7164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5" w:type="dxa"/>
                  <w:vAlign w:val="center"/>
                </w:tcPr>
                <w:p w14:paraId="2DCA9361">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宿州市</w:t>
                  </w:r>
                </w:p>
              </w:tc>
              <w:tc>
                <w:tcPr>
                  <w:tcW w:w="2097" w:type="dxa"/>
                  <w:vAlign w:val="center"/>
                </w:tcPr>
                <w:p w14:paraId="41265305">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39</w:t>
                  </w:r>
                </w:p>
              </w:tc>
              <w:tc>
                <w:tcPr>
                  <w:tcW w:w="2097" w:type="dxa"/>
                  <w:vAlign w:val="center"/>
                </w:tcPr>
                <w:p w14:paraId="5F27E8B5">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39</w:t>
                  </w:r>
                </w:p>
              </w:tc>
              <w:tc>
                <w:tcPr>
                  <w:tcW w:w="2097" w:type="dxa"/>
                  <w:vMerge w:val="continue"/>
                  <w:vAlign w:val="center"/>
                </w:tcPr>
                <w:p w14:paraId="0ADED0F1">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r>
          </w:tbl>
          <w:p w14:paraId="07324B85">
            <w:pPr>
              <w:spacing w:line="360" w:lineRule="auto"/>
              <w:ind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szCs w:val="24"/>
                <w:highlight w:val="none"/>
                <w:lang w:val="en-US" w:eastAsia="zh-CN"/>
              </w:rPr>
              <w:t>根据</w:t>
            </w:r>
            <w:r>
              <w:rPr>
                <w:rFonts w:hint="eastAsia"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宿州市2024年环境质量状况报告</w:t>
            </w:r>
            <w:r>
              <w:rPr>
                <w:rFonts w:hint="eastAsia"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宿州市</w:t>
            </w:r>
            <w:r>
              <w:rPr>
                <w:rFonts w:hint="eastAsia" w:ascii="Times New Roman" w:hAnsi="Times New Roman" w:cs="Times New Roman"/>
                <w:color w:val="auto"/>
                <w:sz w:val="24"/>
                <w:szCs w:val="24"/>
                <w:highlight w:val="none"/>
                <w:lang w:eastAsia="zh-CN"/>
              </w:rPr>
              <w:t>生态环境局，</w:t>
            </w:r>
            <w:r>
              <w:rPr>
                <w:rFonts w:hint="eastAsia" w:ascii="Times New Roman" w:hAnsi="Times New Roman" w:cs="Times New Roman"/>
                <w:color w:val="auto"/>
                <w:sz w:val="24"/>
                <w:szCs w:val="24"/>
                <w:highlight w:val="none"/>
                <w:lang w:val="en-US" w:eastAsia="zh-CN"/>
              </w:rPr>
              <w:t>2025年11月24日</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中数</w:t>
            </w:r>
            <w:r>
              <w:rPr>
                <w:rFonts w:hint="default" w:ascii="Times New Roman" w:hAnsi="Times New Roman" w:eastAsia="宋体" w:cs="Times New Roman"/>
                <w:color w:val="auto"/>
                <w:sz w:val="24"/>
                <w:szCs w:val="24"/>
                <w:highlight w:val="none"/>
                <w:lang w:val="en-US" w:eastAsia="zh-CN"/>
              </w:rPr>
              <w:t>据</w:t>
            </w:r>
            <w:r>
              <w:rPr>
                <w:rFonts w:hint="eastAsia" w:ascii="Times New Roman" w:hAnsi="Times New Roman" w:eastAsia="宋体" w:cs="Times New Roman"/>
                <w:color w:val="auto"/>
                <w:sz w:val="24"/>
                <w:szCs w:val="24"/>
                <w:highlight w:val="none"/>
                <w:lang w:val="en-US" w:eastAsia="zh-CN"/>
              </w:rPr>
              <w:t>：“2024年，宿州市环境空气中细颗粒物（PM</w:t>
            </w:r>
            <w:r>
              <w:rPr>
                <w:rFonts w:hint="eastAsia" w:ascii="Times New Roman" w:hAnsi="Times New Roman" w:eastAsia="宋体" w:cs="Times New Roman"/>
                <w:color w:val="auto"/>
                <w:sz w:val="24"/>
                <w:szCs w:val="24"/>
                <w:highlight w:val="none"/>
                <w:vertAlign w:val="subscript"/>
                <w:lang w:val="en-US" w:eastAsia="zh-CN"/>
              </w:rPr>
              <w:t>2.5</w:t>
            </w:r>
            <w:r>
              <w:rPr>
                <w:rFonts w:hint="eastAsia" w:ascii="Times New Roman" w:hAnsi="Times New Roman" w:eastAsia="宋体" w:cs="Times New Roman"/>
                <w:color w:val="auto"/>
                <w:sz w:val="24"/>
                <w:szCs w:val="24"/>
                <w:highlight w:val="none"/>
                <w:lang w:val="en-US" w:eastAsia="zh-CN"/>
              </w:rPr>
              <w:t>）年平均浓度为42.9微克/立方米；全市空气质量优良天数比率为74.9%，好于省年度考核目标1.6个百分点，优良天数改善幅度全省第一。</w:t>
            </w:r>
            <w:r>
              <w:rPr>
                <w:rFonts w:hint="eastAsia" w:ascii="Times New Roman" w:hAnsi="Times New Roman" w:cs="Times New Roman"/>
                <w:color w:val="auto"/>
                <w:sz w:val="24"/>
                <w:szCs w:val="24"/>
                <w:highlight w:val="none"/>
                <w:lang w:val="en-US" w:eastAsia="zh-CN"/>
              </w:rPr>
              <w:t>”</w:t>
            </w:r>
            <w:r>
              <w:rPr>
                <w:rFonts w:ascii="Times New Roman" w:hAnsi="Times New Roman" w:cs="Times New Roman"/>
                <w:color w:val="auto"/>
                <w:sz w:val="24"/>
                <w:highlight w:val="none"/>
              </w:rPr>
              <w:t>该项目区六项污染中PM</w:t>
            </w:r>
            <w:r>
              <w:rPr>
                <w:rFonts w:hint="eastAsia" w:ascii="Times New Roman" w:hAnsi="Times New Roman" w:cs="Times New Roman"/>
                <w:color w:val="auto"/>
                <w:sz w:val="24"/>
                <w:highlight w:val="none"/>
                <w:vertAlign w:val="subscript"/>
                <w:lang w:val="en-US" w:eastAsia="zh-CN"/>
              </w:rPr>
              <w:t>2.5</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PM</w:t>
            </w:r>
            <w:r>
              <w:rPr>
                <w:rFonts w:hint="eastAsia" w:ascii="Times New Roman" w:hAnsi="Times New Roman" w:cs="Times New Roman"/>
                <w:color w:val="auto"/>
                <w:sz w:val="24"/>
                <w:highlight w:val="none"/>
                <w:vertAlign w:val="subscript"/>
                <w:lang w:val="en-US" w:eastAsia="zh-CN"/>
              </w:rPr>
              <w:t>10</w:t>
            </w:r>
            <w:r>
              <w:rPr>
                <w:rFonts w:hint="eastAsia" w:ascii="Times New Roman" w:hAnsi="Times New Roman" w:cs="Times New Roman"/>
                <w:color w:val="auto"/>
                <w:sz w:val="24"/>
                <w:highlight w:val="none"/>
                <w:lang w:val="en-US" w:eastAsia="zh-CN"/>
              </w:rPr>
              <w:t>和O</w:t>
            </w:r>
            <w:r>
              <w:rPr>
                <w:rFonts w:hint="eastAsia" w:ascii="Times New Roman" w:hAnsi="Times New Roman" w:cs="Times New Roman"/>
                <w:color w:val="auto"/>
                <w:sz w:val="24"/>
                <w:highlight w:val="none"/>
                <w:vertAlign w:val="subscript"/>
                <w:lang w:val="en-US" w:eastAsia="zh-CN"/>
              </w:rPr>
              <w:t>3</w:t>
            </w:r>
            <w:r>
              <w:rPr>
                <w:rFonts w:ascii="Times New Roman" w:hAnsi="Times New Roman" w:cs="Times New Roman"/>
                <w:color w:val="auto"/>
                <w:sz w:val="24"/>
                <w:highlight w:val="none"/>
              </w:rPr>
              <w:t>不达标，则该项目区为城市环境质量</w:t>
            </w:r>
            <w:r>
              <w:rPr>
                <w:rFonts w:ascii="Times New Roman" w:hAnsi="Times New Roman" w:cs="Times New Roman"/>
                <w:b/>
                <w:bCs/>
                <w:color w:val="auto"/>
                <w:sz w:val="24"/>
                <w:highlight w:val="none"/>
              </w:rPr>
              <w:t>不达标区</w:t>
            </w:r>
            <w:r>
              <w:rPr>
                <w:rFonts w:ascii="Times New Roman" w:hAnsi="Times New Roman" w:cs="Times New Roman"/>
                <w:color w:val="auto"/>
                <w:sz w:val="24"/>
                <w:highlight w:val="none"/>
              </w:rPr>
              <w:t>。</w:t>
            </w:r>
          </w:p>
          <w:p w14:paraId="04351B6B">
            <w:pPr>
              <w:spacing w:line="360" w:lineRule="auto"/>
              <w:ind w:firstLine="480" w:firstLineChars="200"/>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参照</w:t>
            </w:r>
            <w:r>
              <w:rPr>
                <w:rFonts w:hint="eastAsia" w:ascii="Times New Roman" w:hAnsi="Times New Roman" w:cs="Times New Roman"/>
                <w:color w:val="auto"/>
                <w:sz w:val="24"/>
                <w:szCs w:val="24"/>
                <w:highlight w:val="none"/>
                <w:lang w:val="en-US" w:eastAsia="zh-CN"/>
              </w:rPr>
              <w:t>《安徽泉为绿能新能源科技有限公司高效HJT光伏电池产业化扩建项目环境影响报告书》（征求意见稿）</w:t>
            </w:r>
            <w:r>
              <w:rPr>
                <w:rFonts w:hint="default" w:ascii="Times New Roman" w:hAnsi="Times New Roman" w:cs="Times New Roman"/>
                <w:b w:val="0"/>
                <w:bCs w:val="0"/>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监测时间为2025年3月21日~2025年3月29日，监测公司：</w:t>
            </w:r>
            <w:r>
              <w:rPr>
                <w:rFonts w:hint="eastAsia" w:ascii="Times New Roman" w:hAnsi="Times New Roman"/>
                <w:sz w:val="24"/>
                <w:highlight w:val="none"/>
              </w:rPr>
              <w:t>安徽金祁环境检测技术有限公司</w:t>
            </w:r>
            <w:r>
              <w:rPr>
                <w:rFonts w:hint="default" w:ascii="Times New Roman" w:hAnsi="Times New Roman" w:cs="Times New Roman"/>
                <w:b w:val="0"/>
                <w:bCs w:val="0"/>
                <w:color w:val="auto"/>
                <w:sz w:val="24"/>
                <w:szCs w:val="24"/>
                <w:highlight w:val="none"/>
                <w:lang w:val="en-US" w:eastAsia="zh-CN"/>
              </w:rPr>
              <w:t>）中的监测数据：总悬浮颗粒物（TSP）日平均浓度值满足《环境空气质量标准》（GB3095-20</w:t>
            </w:r>
            <w:r>
              <w:rPr>
                <w:rFonts w:hint="eastAsia" w:ascii="Times New Roman" w:hAnsi="Times New Roman" w:cs="Times New Roman"/>
                <w:b w:val="0"/>
                <w:bCs w:val="0"/>
                <w:color w:val="auto"/>
                <w:sz w:val="24"/>
                <w:szCs w:val="24"/>
                <w:highlight w:val="none"/>
                <w:lang w:val="en-US" w:eastAsia="zh-CN"/>
              </w:rPr>
              <w:t>26</w:t>
            </w:r>
            <w:r>
              <w:rPr>
                <w:rFonts w:hint="default" w:ascii="Times New Roman" w:hAnsi="Times New Roman" w:cs="Times New Roman"/>
                <w:b w:val="0"/>
                <w:bCs w:val="0"/>
                <w:color w:val="auto"/>
                <w:sz w:val="24"/>
                <w:szCs w:val="24"/>
                <w:highlight w:val="none"/>
                <w:lang w:val="en-US" w:eastAsia="zh-CN"/>
              </w:rPr>
              <w:t>）</w:t>
            </w:r>
            <w:r>
              <w:rPr>
                <w:rFonts w:hint="eastAsia" w:ascii="Times New Roman" w:hAnsi="Times New Roman" w:cs="Times New Roman"/>
                <w:b w:val="0"/>
                <w:bCs w:val="0"/>
                <w:color w:val="auto"/>
                <w:sz w:val="24"/>
                <w:szCs w:val="24"/>
                <w:highlight w:val="none"/>
                <w:lang w:val="en-US" w:eastAsia="zh-CN"/>
              </w:rPr>
              <w:t>中标准要求、非甲烷总烃满足</w:t>
            </w:r>
            <w:r>
              <w:rPr>
                <w:rFonts w:hint="default" w:ascii="Times New Roman" w:hAnsi="Times New Roman" w:cs="Times New Roman"/>
                <w:b w:val="0"/>
                <w:bCs w:val="0"/>
                <w:color w:val="auto"/>
                <w:sz w:val="24"/>
                <w:szCs w:val="24"/>
                <w:highlight w:val="none"/>
                <w:lang w:val="en-US" w:eastAsia="zh-CN"/>
              </w:rPr>
              <w:t>《大气污染物综合排放标准详解》中数值规定</w:t>
            </w:r>
            <w:r>
              <w:rPr>
                <w:rFonts w:hint="eastAsia" w:ascii="Times New Roman" w:hAnsi="Times New Roman" w:cs="Times New Roman"/>
                <w:b w:val="0"/>
                <w:bCs w:val="0"/>
                <w:color w:val="auto"/>
                <w:sz w:val="24"/>
                <w:szCs w:val="24"/>
                <w:highlight w:val="none"/>
                <w:lang w:val="en-US" w:eastAsia="zh-CN"/>
              </w:rPr>
              <w:t>。</w:t>
            </w:r>
          </w:p>
          <w:p w14:paraId="49694099">
            <w:pPr>
              <w:spacing w:line="360" w:lineRule="auto"/>
              <w:ind w:firstLine="480" w:firstLineChars="200"/>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2</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大气</w:t>
            </w:r>
            <w:r>
              <w:rPr>
                <w:rFonts w:hint="default" w:ascii="Times New Roman" w:hAnsi="Times New Roman" w:eastAsia="宋体" w:cs="Times New Roman"/>
                <w:bCs/>
                <w:color w:val="auto"/>
                <w:sz w:val="24"/>
                <w:szCs w:val="24"/>
                <w:highlight w:val="none"/>
                <w:lang w:eastAsia="zh-CN"/>
              </w:rPr>
              <w:t>环境管控分区</w:t>
            </w:r>
          </w:p>
          <w:p w14:paraId="55BDE36B">
            <w:pPr>
              <w:spacing w:line="360" w:lineRule="auto"/>
              <w:ind w:firstLine="480"/>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对照</w:t>
            </w:r>
            <w:r>
              <w:rPr>
                <w:rFonts w:hint="default" w:ascii="Times New Roman" w:hAnsi="Times New Roman" w:cs="Times New Roman"/>
                <w:color w:val="auto"/>
                <w:sz w:val="24"/>
                <w:szCs w:val="24"/>
                <w:highlight w:val="none"/>
                <w:lang w:val="en-US" w:eastAsia="zh-CN"/>
              </w:rPr>
              <w:t>《宿州市大气环境分区管控图》</w:t>
            </w:r>
            <w:r>
              <w:rPr>
                <w:rFonts w:hint="default" w:ascii="Times New Roman" w:hAnsi="Times New Roman" w:eastAsia="宋体" w:cs="Times New Roman"/>
                <w:bCs/>
                <w:color w:val="auto"/>
                <w:sz w:val="24"/>
                <w:szCs w:val="24"/>
                <w:highlight w:val="none"/>
                <w:lang w:eastAsia="zh-CN"/>
              </w:rPr>
              <w:t>（详见附图</w:t>
            </w:r>
            <w:r>
              <w:rPr>
                <w:rFonts w:hint="eastAsia" w:ascii="Times New Roman" w:hAnsi="Times New Roman" w:eastAsia="宋体" w:cs="Times New Roman"/>
                <w:bCs/>
                <w:color w:val="auto"/>
                <w:sz w:val="24"/>
                <w:szCs w:val="24"/>
                <w:highlight w:val="none"/>
                <w:lang w:val="en-US" w:eastAsia="zh-CN"/>
              </w:rPr>
              <w:t>8</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eastAsia="zh-CN"/>
              </w:rPr>
              <w:t>，项目位于</w:t>
            </w:r>
            <w:r>
              <w:rPr>
                <w:rFonts w:hint="default" w:ascii="Times New Roman" w:hAnsi="Times New Roman" w:eastAsia="宋体" w:cs="Times New Roman"/>
                <w:color w:val="auto"/>
                <w:kern w:val="0"/>
                <w:sz w:val="24"/>
                <w:szCs w:val="24"/>
                <w:highlight w:val="none"/>
                <w:lang w:val="en-US" w:eastAsia="zh-CN"/>
              </w:rPr>
              <w:t>大气环境</w:t>
            </w:r>
            <w:r>
              <w:rPr>
                <w:rFonts w:hint="eastAsia" w:ascii="Times New Roman" w:hAnsi="Times New Roman" w:eastAsia="宋体" w:cs="Times New Roman"/>
                <w:color w:val="auto"/>
                <w:kern w:val="0"/>
                <w:sz w:val="24"/>
                <w:szCs w:val="24"/>
                <w:highlight w:val="none"/>
                <w:lang w:val="en-US" w:eastAsia="zh-CN"/>
              </w:rPr>
              <w:t>受体敏感重点管控区</w:t>
            </w:r>
            <w:r>
              <w:rPr>
                <w:rFonts w:hint="default" w:ascii="Times New Roman" w:hAnsi="Times New Roman" w:eastAsia="宋体" w:cs="Times New Roman"/>
                <w:color w:val="auto"/>
                <w:kern w:val="0"/>
                <w:sz w:val="24"/>
                <w:szCs w:val="24"/>
                <w:highlight w:val="none"/>
                <w:lang w:eastAsia="zh-CN"/>
              </w:rPr>
              <w:t>。</w:t>
            </w:r>
          </w:p>
          <w:p w14:paraId="27EECC45">
            <w:pPr>
              <w:spacing w:line="360" w:lineRule="auto"/>
              <w:ind w:firstLine="480" w:firstLineChars="200"/>
              <w:rPr>
                <w:rFonts w:hint="default" w:ascii="Times New Roman" w:hAnsi="Times New Roman" w:cs="Times New Roman"/>
                <w:b/>
                <w:bCs w:val="0"/>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w:t>
            </w:r>
            <w:r>
              <w:rPr>
                <w:rFonts w:hint="default" w:ascii="Times New Roman" w:hAnsi="Times New Roman" w:eastAsia="宋体" w:cs="Times New Roman"/>
                <w:bCs/>
                <w:color w:val="auto"/>
                <w:sz w:val="24"/>
                <w:szCs w:val="24"/>
                <w:highlight w:val="none"/>
                <w:lang w:eastAsia="zh-CN"/>
              </w:rPr>
              <w:t>与大气环境分区管控要求的协调性分析</w:t>
            </w:r>
            <w:r>
              <w:rPr>
                <w:rFonts w:hint="default" w:ascii="Times New Roman" w:hAnsi="Times New Roman" w:eastAsia="宋体" w:cs="Times New Roman"/>
                <w:bCs/>
                <w:color w:val="auto"/>
                <w:sz w:val="24"/>
                <w:szCs w:val="24"/>
                <w:highlight w:val="none"/>
                <w:lang w:val="en-US" w:eastAsia="zh-CN"/>
              </w:rPr>
              <w:t>见表1.</w:t>
            </w:r>
            <w:r>
              <w:rPr>
                <w:rFonts w:hint="eastAsia" w:ascii="Times New Roman" w:hAnsi="Times New Roman" w:eastAsia="宋体" w:cs="Times New Roman"/>
                <w:bCs/>
                <w:color w:val="auto"/>
                <w:sz w:val="24"/>
                <w:szCs w:val="24"/>
                <w:highlight w:val="none"/>
                <w:lang w:val="en-US" w:eastAsia="zh-CN"/>
              </w:rPr>
              <w:t>9</w:t>
            </w:r>
            <w:r>
              <w:rPr>
                <w:rFonts w:hint="default" w:ascii="Times New Roman" w:hAnsi="Times New Roman" w:eastAsia="宋体" w:cs="Times New Roman"/>
                <w:bCs/>
                <w:color w:val="auto"/>
                <w:sz w:val="24"/>
                <w:szCs w:val="24"/>
                <w:highlight w:val="none"/>
                <w:lang w:val="en-US" w:eastAsia="zh-CN"/>
              </w:rPr>
              <w:t>。</w:t>
            </w:r>
          </w:p>
          <w:p w14:paraId="02560441">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表1.</w:t>
            </w:r>
            <w:r>
              <w:rPr>
                <w:rFonts w:hint="eastAsia" w:ascii="Times New Roman" w:hAnsi="Times New Roman" w:cs="Times New Roman"/>
                <w:b/>
                <w:bCs/>
                <w:color w:val="auto"/>
                <w:sz w:val="21"/>
                <w:szCs w:val="21"/>
                <w:highlight w:val="none"/>
                <w:lang w:val="en-US" w:eastAsia="zh-CN"/>
              </w:rPr>
              <w:t>9</w:t>
            </w:r>
            <w:r>
              <w:rPr>
                <w:rFonts w:hint="default" w:ascii="Times New Roman" w:hAnsi="Times New Roman" w:cs="Times New Roman"/>
                <w:b/>
                <w:bCs/>
                <w:color w:val="auto"/>
                <w:sz w:val="21"/>
                <w:szCs w:val="21"/>
                <w:highlight w:val="none"/>
                <w:lang w:val="en-US" w:eastAsia="zh-CN"/>
              </w:rPr>
              <w:t xml:space="preserve">  本项目</w:t>
            </w:r>
            <w:r>
              <w:rPr>
                <w:rFonts w:hint="default" w:ascii="Times New Roman" w:hAnsi="Times New Roman" w:cs="Times New Roman"/>
                <w:b/>
                <w:bCs/>
                <w:color w:val="auto"/>
                <w:sz w:val="21"/>
                <w:szCs w:val="21"/>
                <w:highlight w:val="none"/>
                <w:lang w:eastAsia="zh-CN"/>
              </w:rPr>
              <w:t>与大气环境分区管控要求的协调性分析</w:t>
            </w:r>
            <w:r>
              <w:rPr>
                <w:rFonts w:hint="default" w:ascii="Times New Roman" w:hAnsi="Times New Roman" w:cs="Times New Roman"/>
                <w:b/>
                <w:bCs/>
                <w:color w:val="auto"/>
                <w:sz w:val="21"/>
                <w:szCs w:val="21"/>
                <w:highlight w:val="none"/>
              </w:rPr>
              <w:t>一览表</w:t>
            </w:r>
          </w:p>
          <w:tbl>
            <w:tblPr>
              <w:tblStyle w:val="32"/>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4590"/>
              <w:gridCol w:w="3037"/>
            </w:tblGrid>
            <w:tr w14:paraId="3E936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63" w:type="dxa"/>
                  <w:vAlign w:val="center"/>
                </w:tcPr>
                <w:p w14:paraId="31B087ED">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类型</w:t>
                  </w:r>
                </w:p>
              </w:tc>
              <w:tc>
                <w:tcPr>
                  <w:tcW w:w="4590" w:type="dxa"/>
                  <w:vAlign w:val="center"/>
                </w:tcPr>
                <w:p w14:paraId="7D7C75A6">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分区管控要求</w:t>
                  </w:r>
                </w:p>
              </w:tc>
              <w:tc>
                <w:tcPr>
                  <w:tcW w:w="3037" w:type="dxa"/>
                  <w:vAlign w:val="center"/>
                </w:tcPr>
                <w:p w14:paraId="733FA9A1">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协调性分析</w:t>
                  </w:r>
                </w:p>
              </w:tc>
            </w:tr>
            <w:tr w14:paraId="4DE78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14:paraId="7DF8E241">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大气环境</w:t>
                  </w:r>
                </w:p>
                <w:p w14:paraId="3AFA7AD8">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重点管控</w:t>
                  </w:r>
                </w:p>
                <w:p w14:paraId="015E086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区</w:t>
                  </w:r>
                </w:p>
              </w:tc>
              <w:tc>
                <w:tcPr>
                  <w:tcW w:w="4590" w:type="dxa"/>
                  <w:vAlign w:val="center"/>
                </w:tcPr>
                <w:p w14:paraId="427376C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落实《安徽省大气污染防治条例》、《安徽省碳达峰实施方案的通知》、《安徽省工业领域碳达峰实施方案》、《安徽省城乡建设领域碳达峰实施方案》、《关于进一步加强新上“两高”项目管理的通知》、《安徽省挥发性有机物污染整治工作方案》、《关于进一步加强建设项目新增大气污染物总量控制指标管理工作的通知》、《安徽省“十四五”节能减排实施方案》、《宿州市“十四五”节能减排实施方案》严格目标实施计划，加强环境监管，促进生态环境质量好转；新建、改建和扩建项目大气污染物实施“倍量替代”，执行特别排放标准的行业实施提标升级改造。</w:t>
                  </w:r>
                </w:p>
              </w:tc>
              <w:tc>
                <w:tcPr>
                  <w:tcW w:w="3037" w:type="dxa"/>
                  <w:vAlign w:val="center"/>
                </w:tcPr>
                <w:p w14:paraId="24666E2B">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①本项目已对照《重点行业挥发性有机物综合治理方案》（环大气【2019】53号）、《挥发性有机物污染防治技术政策》等大气污染防治文件进行分析，按照文件要求落实相关要求。</w:t>
                  </w:r>
                </w:p>
                <w:p w14:paraId="55379546">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②上年度宿州市PM</w:t>
                  </w:r>
                  <w:r>
                    <w:rPr>
                      <w:rFonts w:hint="default" w:ascii="Times New Roman" w:hAnsi="Times New Roman" w:eastAsia="宋体" w:cs="Times New Roman"/>
                      <w:b w:val="0"/>
                      <w:bCs/>
                      <w:color w:val="auto"/>
                      <w:kern w:val="0"/>
                      <w:sz w:val="21"/>
                      <w:szCs w:val="21"/>
                      <w:vertAlign w:val="subscript"/>
                      <w:lang w:val="en-US" w:eastAsia="zh-CN"/>
                    </w:rPr>
                    <w:t>2.5</w:t>
                  </w:r>
                  <w:r>
                    <w:rPr>
                      <w:rFonts w:hint="default" w:ascii="Times New Roman" w:hAnsi="Times New Roman" w:eastAsia="宋体" w:cs="Times New Roman"/>
                      <w:b w:val="0"/>
                      <w:bCs/>
                      <w:color w:val="auto"/>
                      <w:kern w:val="0"/>
                      <w:sz w:val="21"/>
                      <w:szCs w:val="21"/>
                      <w:lang w:val="en-US" w:eastAsia="zh-CN"/>
                    </w:rPr>
                    <w:t>和PM</w:t>
                  </w:r>
                  <w:r>
                    <w:rPr>
                      <w:rFonts w:hint="default" w:ascii="Times New Roman" w:hAnsi="Times New Roman" w:eastAsia="宋体" w:cs="Times New Roman"/>
                      <w:b w:val="0"/>
                      <w:bCs/>
                      <w:color w:val="auto"/>
                      <w:kern w:val="0"/>
                      <w:sz w:val="21"/>
                      <w:szCs w:val="21"/>
                      <w:vertAlign w:val="subscript"/>
                      <w:lang w:val="en-US" w:eastAsia="zh-CN"/>
                    </w:rPr>
                    <w:t>10</w:t>
                  </w:r>
                  <w:r>
                    <w:rPr>
                      <w:rFonts w:hint="default" w:ascii="Times New Roman" w:hAnsi="Times New Roman" w:eastAsia="宋体" w:cs="Times New Roman"/>
                      <w:b w:val="0"/>
                      <w:bCs/>
                      <w:color w:val="auto"/>
                      <w:kern w:val="0"/>
                      <w:sz w:val="21"/>
                      <w:szCs w:val="21"/>
                      <w:lang w:val="en-US" w:eastAsia="zh-CN"/>
                    </w:rPr>
                    <w:t>不达标。因此拟建项目大气污染物执行“倍量替代”。</w:t>
                  </w:r>
                </w:p>
              </w:tc>
            </w:tr>
          </w:tbl>
          <w:p w14:paraId="2A574516">
            <w:pPr>
              <w:pStyle w:val="46"/>
              <w:spacing w:line="360" w:lineRule="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3.2.3土壤环境质量底线及分区管控</w:t>
            </w:r>
          </w:p>
          <w:p w14:paraId="6C1DA7DF">
            <w:pPr>
              <w:spacing w:line="360" w:lineRule="auto"/>
              <w:ind w:firstLine="480" w:firstLineChars="200"/>
              <w:jc w:val="both"/>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（1）土壤环境风险防控底线</w:t>
            </w:r>
          </w:p>
          <w:p w14:paraId="7CB9D31A">
            <w:pPr>
              <w:pStyle w:val="46"/>
              <w:spacing w:line="360" w:lineRule="auto"/>
              <w:jc w:val="both"/>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根据《关于印发</w:t>
            </w:r>
            <w:r>
              <w:rPr>
                <w:rFonts w:hint="default" w:ascii="Times New Roman" w:hAnsi="Times New Roman" w:eastAsia="宋体" w:cs="Times New Roman"/>
                <w:color w:val="auto"/>
                <w:kern w:val="0"/>
                <w:sz w:val="24"/>
                <w:szCs w:val="24"/>
                <w:lang w:val="en-US" w:eastAsia="zh-CN"/>
              </w:rPr>
              <w:t>&lt;</w:t>
            </w:r>
            <w:r>
              <w:rPr>
                <w:rFonts w:hint="default" w:ascii="Times New Roman" w:hAnsi="Times New Roman" w:eastAsia="宋体" w:cs="Times New Roman"/>
                <w:color w:val="auto"/>
                <w:kern w:val="0"/>
                <w:sz w:val="24"/>
                <w:szCs w:val="24"/>
                <w:lang w:eastAsia="zh-CN"/>
              </w:rPr>
              <w:t>宿州市土壤污染防治工作方案</w:t>
            </w:r>
            <w:r>
              <w:rPr>
                <w:rFonts w:hint="default" w:ascii="Times New Roman" w:hAnsi="Times New Roman" w:eastAsia="宋体" w:cs="Times New Roman"/>
                <w:color w:val="auto"/>
                <w:kern w:val="0"/>
                <w:sz w:val="24"/>
                <w:szCs w:val="24"/>
                <w:lang w:val="en-US" w:eastAsia="zh-CN"/>
              </w:rPr>
              <w:t>&gt;</w:t>
            </w:r>
            <w:r>
              <w:rPr>
                <w:rFonts w:hint="default" w:ascii="Times New Roman" w:hAnsi="Times New Roman" w:eastAsia="宋体" w:cs="Times New Roman"/>
                <w:color w:val="auto"/>
                <w:kern w:val="0"/>
                <w:sz w:val="24"/>
                <w:szCs w:val="24"/>
                <w:lang w:eastAsia="zh-CN"/>
              </w:rPr>
              <w:t>的通知》（宿政秘</w:t>
            </w:r>
            <w:r>
              <w:rPr>
                <w:rFonts w:hint="default" w:ascii="Times New Roman" w:hAnsi="Times New Roman" w:eastAsia="宋体" w:cs="Times New Roman"/>
                <w:color w:val="auto"/>
                <w:kern w:val="0"/>
                <w:sz w:val="24"/>
                <w:szCs w:val="24"/>
                <w:lang w:val="en-US" w:eastAsia="zh-CN"/>
              </w:rPr>
              <w:t>【2017】</w:t>
            </w:r>
            <w:r>
              <w:rPr>
                <w:rFonts w:hint="default" w:ascii="Times New Roman" w:hAnsi="Times New Roman" w:eastAsia="宋体" w:cs="Times New Roman"/>
                <w:color w:val="auto"/>
                <w:kern w:val="0"/>
                <w:sz w:val="24"/>
                <w:szCs w:val="24"/>
                <w:lang w:eastAsia="zh-CN"/>
              </w:rPr>
              <w:t>34号）、《关于印发</w:t>
            </w:r>
            <w:r>
              <w:rPr>
                <w:rFonts w:hint="default" w:ascii="Times New Roman" w:hAnsi="Times New Roman" w:eastAsia="宋体" w:cs="Times New Roman"/>
                <w:color w:val="auto"/>
                <w:kern w:val="0"/>
                <w:sz w:val="24"/>
                <w:szCs w:val="24"/>
                <w:lang w:val="en-US" w:eastAsia="zh-CN"/>
              </w:rPr>
              <w:t>&lt;</w:t>
            </w:r>
            <w:r>
              <w:rPr>
                <w:rFonts w:hint="default" w:ascii="Times New Roman" w:hAnsi="Times New Roman" w:eastAsia="宋体" w:cs="Times New Roman"/>
                <w:color w:val="auto"/>
                <w:kern w:val="0"/>
                <w:sz w:val="24"/>
                <w:szCs w:val="24"/>
                <w:lang w:eastAsia="zh-CN"/>
              </w:rPr>
              <w:t>土壤污染防治行动计划实施情况评估考核规定（试行）</w:t>
            </w:r>
            <w:r>
              <w:rPr>
                <w:rFonts w:hint="default" w:ascii="Times New Roman" w:hAnsi="Times New Roman" w:eastAsia="宋体" w:cs="Times New Roman"/>
                <w:color w:val="auto"/>
                <w:kern w:val="0"/>
                <w:sz w:val="24"/>
                <w:szCs w:val="24"/>
                <w:lang w:val="en-US" w:eastAsia="zh-CN"/>
              </w:rPr>
              <w:t>&gt;</w:t>
            </w:r>
            <w:r>
              <w:rPr>
                <w:rFonts w:hint="default" w:ascii="Times New Roman" w:hAnsi="Times New Roman" w:eastAsia="宋体" w:cs="Times New Roman"/>
                <w:color w:val="auto"/>
                <w:kern w:val="0"/>
                <w:sz w:val="24"/>
                <w:szCs w:val="24"/>
                <w:lang w:eastAsia="zh-CN"/>
              </w:rPr>
              <w:t>的通知》（环土壤【</w:t>
            </w:r>
            <w:r>
              <w:rPr>
                <w:rFonts w:hint="default" w:ascii="Times New Roman" w:hAnsi="Times New Roman" w:eastAsia="宋体" w:cs="Times New Roman"/>
                <w:color w:val="auto"/>
                <w:kern w:val="0"/>
                <w:sz w:val="24"/>
                <w:szCs w:val="24"/>
                <w:lang w:val="en-US" w:eastAsia="zh-CN"/>
              </w:rPr>
              <w:t>2018</w:t>
            </w:r>
            <w:r>
              <w:rPr>
                <w:rFonts w:hint="default" w:ascii="Times New Roman" w:hAnsi="Times New Roman" w:eastAsia="宋体" w:cs="Times New Roman"/>
                <w:color w:val="auto"/>
                <w:kern w:val="0"/>
                <w:sz w:val="24"/>
                <w:szCs w:val="24"/>
                <w:lang w:eastAsia="zh-CN"/>
              </w:rPr>
              <w:t>】41号）等要求，宿州市土壤环境风险防控主要目标：到2020年，宿州市土壤环境质量总体保持稳定，农用地和建设用地土壤环境安全得到基本保障，土壤环境风险得到基本管控。到2030年，全市土壤环境质量稳中向好，农用地和建设用地土壤环境安全得到有效保障，土壤环境风险得到全面管控。到本世纪中叶，土壤环境质量全面改善，生态系统实现良性循环。</w:t>
            </w:r>
          </w:p>
          <w:p w14:paraId="5FEC22D4">
            <w:pPr>
              <w:pStyle w:val="46"/>
              <w:spacing w:line="360" w:lineRule="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eastAsia="zh-CN"/>
              </w:rPr>
              <w:t>）土壤环境风险防控分区</w:t>
            </w:r>
          </w:p>
          <w:p w14:paraId="3A282267">
            <w:pPr>
              <w:spacing w:line="360" w:lineRule="auto"/>
              <w:ind w:firstLine="480" w:firstLineChars="200"/>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对照</w:t>
            </w:r>
            <w:r>
              <w:rPr>
                <w:rFonts w:hint="default" w:ascii="Times New Roman" w:hAnsi="Times New Roman" w:cs="Times New Roman"/>
                <w:color w:val="auto"/>
                <w:sz w:val="24"/>
                <w:szCs w:val="24"/>
                <w:lang w:val="en-US" w:eastAsia="zh-CN"/>
              </w:rPr>
              <w:t>《宿州市土壤污染风险分区管控图》</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详见附图</w:t>
            </w:r>
            <w:r>
              <w:rPr>
                <w:rFonts w:hint="eastAsia" w:ascii="Times New Roman" w:hAnsi="Times New Roman" w:eastAsia="宋体" w:cs="Times New Roman"/>
                <w:color w:val="auto"/>
                <w:kern w:val="0"/>
                <w:sz w:val="24"/>
                <w:szCs w:val="24"/>
                <w:lang w:val="en-US" w:eastAsia="zh-CN"/>
              </w:rPr>
              <w:t>9</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本</w:t>
            </w:r>
            <w:r>
              <w:rPr>
                <w:rFonts w:hint="default" w:ascii="Times New Roman" w:hAnsi="Times New Roman" w:eastAsia="宋体" w:cs="Times New Roman"/>
                <w:color w:val="auto"/>
                <w:kern w:val="0"/>
                <w:sz w:val="24"/>
                <w:szCs w:val="24"/>
                <w:lang w:eastAsia="zh-CN"/>
              </w:rPr>
              <w:t>项目位于一般管控区。</w:t>
            </w:r>
          </w:p>
          <w:p w14:paraId="05157F80">
            <w:pPr>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本项目</w:t>
            </w:r>
            <w:r>
              <w:rPr>
                <w:rFonts w:hint="default" w:ascii="Times New Roman" w:hAnsi="Times New Roman" w:eastAsia="宋体" w:cs="Times New Roman"/>
                <w:bCs/>
                <w:color w:val="auto"/>
                <w:sz w:val="24"/>
                <w:szCs w:val="24"/>
                <w:lang w:eastAsia="zh-CN"/>
              </w:rPr>
              <w:t>与土壤环境风险分区防控要求的协调性分析</w:t>
            </w:r>
            <w:r>
              <w:rPr>
                <w:rFonts w:hint="default" w:ascii="Times New Roman" w:hAnsi="Times New Roman" w:eastAsia="宋体" w:cs="Times New Roman"/>
                <w:bCs/>
                <w:color w:val="auto"/>
                <w:sz w:val="24"/>
                <w:szCs w:val="24"/>
                <w:lang w:val="en-US" w:eastAsia="zh-CN"/>
              </w:rPr>
              <w:t>见表1.</w:t>
            </w:r>
            <w:r>
              <w:rPr>
                <w:rFonts w:hint="eastAsia" w:ascii="Times New Roman" w:hAnsi="Times New Roman" w:eastAsia="宋体" w:cs="Times New Roman"/>
                <w:bCs/>
                <w:color w:val="auto"/>
                <w:sz w:val="24"/>
                <w:szCs w:val="24"/>
                <w:lang w:val="en-US" w:eastAsia="zh-CN"/>
              </w:rPr>
              <w:t>10</w:t>
            </w:r>
            <w:r>
              <w:rPr>
                <w:rFonts w:hint="default" w:ascii="Times New Roman" w:hAnsi="Times New Roman" w:eastAsia="宋体" w:cs="Times New Roman"/>
                <w:bCs/>
                <w:color w:val="auto"/>
                <w:sz w:val="24"/>
                <w:szCs w:val="24"/>
                <w:lang w:val="en-US" w:eastAsia="zh-CN"/>
              </w:rPr>
              <w:t>。</w:t>
            </w:r>
          </w:p>
          <w:p w14:paraId="04E005C4">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表1.</w:t>
            </w:r>
            <w:r>
              <w:rPr>
                <w:rFonts w:hint="eastAsia" w:ascii="Times New Roman" w:hAnsi="Times New Roman" w:cs="Times New Roman"/>
                <w:b/>
                <w:bCs/>
                <w:color w:val="auto"/>
                <w:sz w:val="21"/>
                <w:szCs w:val="21"/>
                <w:lang w:val="en-US" w:eastAsia="zh-CN"/>
              </w:rPr>
              <w:t>10</w:t>
            </w:r>
            <w:r>
              <w:rPr>
                <w:rFonts w:hint="default" w:ascii="Times New Roman" w:hAnsi="Times New Roman" w:cs="Times New Roman"/>
                <w:b/>
                <w:bCs/>
                <w:color w:val="auto"/>
                <w:sz w:val="21"/>
                <w:szCs w:val="21"/>
                <w:lang w:val="en-US" w:eastAsia="zh-CN"/>
              </w:rPr>
              <w:t xml:space="preserve">  本项目</w:t>
            </w:r>
            <w:r>
              <w:rPr>
                <w:rFonts w:hint="default" w:ascii="Times New Roman" w:hAnsi="Times New Roman" w:cs="Times New Roman"/>
                <w:b/>
                <w:bCs/>
                <w:color w:val="auto"/>
                <w:sz w:val="21"/>
                <w:szCs w:val="21"/>
                <w:lang w:eastAsia="zh-CN"/>
              </w:rPr>
              <w:t>与土壤环境风险分区防控要求的协调性分析</w:t>
            </w:r>
            <w:r>
              <w:rPr>
                <w:rFonts w:hint="default" w:ascii="Times New Roman" w:hAnsi="Times New Roman" w:cs="Times New Roman"/>
                <w:b/>
                <w:bCs/>
                <w:color w:val="auto"/>
                <w:sz w:val="21"/>
                <w:szCs w:val="21"/>
              </w:rPr>
              <w:t>一览表</w:t>
            </w:r>
          </w:p>
          <w:tbl>
            <w:tblPr>
              <w:tblStyle w:val="32"/>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5619"/>
              <w:gridCol w:w="1993"/>
            </w:tblGrid>
            <w:tr w14:paraId="17EF3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8" w:type="dxa"/>
                  <w:vAlign w:val="center"/>
                </w:tcPr>
                <w:p w14:paraId="6F2CD25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类型</w:t>
                  </w:r>
                </w:p>
              </w:tc>
              <w:tc>
                <w:tcPr>
                  <w:tcW w:w="5619" w:type="dxa"/>
                  <w:vAlign w:val="center"/>
                </w:tcPr>
                <w:p w14:paraId="3E3E212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分区管控要求</w:t>
                  </w:r>
                </w:p>
              </w:tc>
              <w:tc>
                <w:tcPr>
                  <w:tcW w:w="1993" w:type="dxa"/>
                  <w:vAlign w:val="center"/>
                </w:tcPr>
                <w:p w14:paraId="75F2E245">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协调性分析</w:t>
                  </w:r>
                </w:p>
              </w:tc>
            </w:tr>
            <w:tr w14:paraId="597E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8" w:type="dxa"/>
                  <w:vAlign w:val="center"/>
                </w:tcPr>
                <w:p w14:paraId="27E1FBDA">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土壤</w:t>
                  </w:r>
                </w:p>
                <w:p w14:paraId="3F56F13A">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环境</w:t>
                  </w:r>
                </w:p>
                <w:p w14:paraId="2A701F2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风险</w:t>
                  </w:r>
                </w:p>
                <w:p w14:paraId="31603EBC">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一般</w:t>
                  </w:r>
                </w:p>
                <w:p w14:paraId="2A667338">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管控</w:t>
                  </w:r>
                </w:p>
                <w:p w14:paraId="5B48ED9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区</w:t>
                  </w:r>
                </w:p>
              </w:tc>
              <w:tc>
                <w:tcPr>
                  <w:tcW w:w="5619" w:type="dxa"/>
                  <w:vAlign w:val="center"/>
                </w:tcPr>
                <w:p w14:paraId="7676C3FE">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依据《中华人民共和国土壤污染防治法》、《土壤污染防治行动计划》《安徽省土壤污染防治工作方案》、《安徽省“十四五”环境保护规划》、《安徽省“十四五”土壤、地下水和农村生态环境保护规划》、《安徽省重金属污染防控工作方案》、《安徽省“十四五”危险废物工业固体废物污染环境防治规划》、《安徽省土壤污染防治工作方案》、《宿州市“十四五”生态环境保护规划》对一般管控区实施管控。</w:t>
                  </w:r>
                </w:p>
              </w:tc>
              <w:tc>
                <w:tcPr>
                  <w:tcW w:w="1993" w:type="dxa"/>
                  <w:vAlign w:val="center"/>
                </w:tcPr>
                <w:p w14:paraId="640ABEE4">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本项目固废按照国家有关规定进行安全处置，企业将进一步加强对土壤的跟踪管理和监控。</w:t>
                  </w:r>
                </w:p>
              </w:tc>
            </w:tr>
          </w:tbl>
          <w:p w14:paraId="290F9B2F">
            <w:pPr>
              <w:pStyle w:val="46"/>
              <w:spacing w:line="360" w:lineRule="auto"/>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3.2.4</w:t>
            </w:r>
            <w:r>
              <w:rPr>
                <w:rFonts w:hint="default" w:ascii="Times New Roman" w:hAnsi="Times New Roman" w:cs="Times New Roman"/>
                <w:color w:val="auto"/>
                <w:sz w:val="24"/>
                <w:szCs w:val="24"/>
              </w:rPr>
              <w:t>资源利用上线及自然资源开发分区管控</w:t>
            </w:r>
          </w:p>
          <w:p w14:paraId="71CB78F9">
            <w:pPr>
              <w:pStyle w:val="46"/>
              <w:spacing w:line="360" w:lineRule="auto"/>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3.2.4.1煤炭资源利用上线及分区管控</w:t>
            </w:r>
          </w:p>
          <w:p w14:paraId="25CB5DB7">
            <w:pPr>
              <w:pStyle w:val="46"/>
              <w:spacing w:line="360" w:lineRule="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煤炭资源利用上线</w:t>
            </w:r>
          </w:p>
          <w:p w14:paraId="238653BA">
            <w:pPr>
              <w:pStyle w:val="46"/>
              <w:spacing w:line="360" w:lineRule="auto"/>
              <w:jc w:val="both"/>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依据《宿州“十四五”能源发展规划（征求意见稿）》和《宿州市“十四五”节能减排实施方案》（宿政秘【</w:t>
            </w:r>
            <w:r>
              <w:rPr>
                <w:rFonts w:hint="default" w:ascii="Times New Roman" w:hAnsi="Times New Roman" w:cs="Times New Roman"/>
                <w:color w:val="auto"/>
                <w:sz w:val="24"/>
                <w:szCs w:val="24"/>
                <w:lang w:val="en-US" w:eastAsia="zh-CN"/>
              </w:rPr>
              <w:t>2022</w:t>
            </w:r>
            <w:r>
              <w:rPr>
                <w:rFonts w:hint="default" w:ascii="Times New Roman" w:hAnsi="Times New Roman" w:cs="Times New Roman"/>
                <w:color w:val="auto"/>
                <w:sz w:val="24"/>
                <w:szCs w:val="24"/>
                <w:lang w:eastAsia="zh-CN"/>
              </w:rPr>
              <w:t>】68号），严格合理控制煤炭消费增长，大气污染防治重点区域内新、改、扩建用煤项目实施煤炭消费等量或减量替代。重点削减非电力用煤，各县区将减煤目标按年度分解落实到重点耗煤企业，实施“一企一策”减煤诊断。推动煤电行业实施节能降耗改造、供热改造和灵活性改造“三改联动”。加快供热管网建设，淘汰管网覆盖范围内的燃煤锅炉和散煤。到2025年，火电平均供电煤耗降至295克标煤/千瓦时，散煤基本清零。以燃料类煤气发生炉、燃煤热风炉、加热炉、热处理炉、干燥炉（窑）以及建材行业为重点，实施清洁电力和天然气替代。持续推进以煤为燃料的工业窑炉清洁燃料替代改造。</w:t>
            </w:r>
          </w:p>
          <w:p w14:paraId="7788051B">
            <w:pPr>
              <w:pStyle w:val="46"/>
              <w:spacing w:line="360" w:lineRule="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）煤炭资源利用管控分区</w:t>
            </w:r>
          </w:p>
          <w:p w14:paraId="082FEEC0">
            <w:pPr>
              <w:pStyle w:val="46"/>
              <w:spacing w:line="360" w:lineRule="auto"/>
              <w:jc w:val="both"/>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lang w:eastAsia="zh-CN"/>
              </w:rPr>
              <w:t>对照《</w:t>
            </w:r>
            <w:r>
              <w:rPr>
                <w:rFonts w:hint="default" w:ascii="Times New Roman" w:hAnsi="Times New Roman" w:cs="Times New Roman"/>
                <w:color w:val="auto"/>
                <w:sz w:val="24"/>
                <w:szCs w:val="24"/>
                <w:lang w:val="en-US" w:eastAsia="zh-CN"/>
              </w:rPr>
              <w:t>宿州市高污</w:t>
            </w:r>
            <w:r>
              <w:rPr>
                <w:rFonts w:hint="default" w:ascii="Times New Roman" w:hAnsi="Times New Roman" w:cs="Times New Roman"/>
                <w:color w:val="auto"/>
                <w:sz w:val="24"/>
                <w:szCs w:val="24"/>
                <w:highlight w:val="none"/>
                <w:lang w:val="en-US" w:eastAsia="zh-CN"/>
              </w:rPr>
              <w:t>染燃料禁燃区图</w:t>
            </w:r>
            <w:r>
              <w:rPr>
                <w:rFonts w:hint="default" w:ascii="Times New Roman" w:hAnsi="Times New Roman" w:cs="Times New Roman"/>
                <w:color w:val="auto"/>
                <w:sz w:val="24"/>
                <w:szCs w:val="24"/>
                <w:highlight w:val="none"/>
                <w:lang w:eastAsia="zh-CN"/>
              </w:rPr>
              <w:t>》（详见附图</w:t>
            </w:r>
            <w:r>
              <w:rPr>
                <w:rFonts w:hint="eastAsia"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本</w:t>
            </w:r>
            <w:r>
              <w:rPr>
                <w:rFonts w:hint="default" w:ascii="Times New Roman" w:hAnsi="Times New Roman" w:cs="Times New Roman"/>
                <w:color w:val="auto"/>
                <w:sz w:val="24"/>
                <w:szCs w:val="24"/>
                <w:highlight w:val="none"/>
                <w:lang w:eastAsia="zh-CN"/>
              </w:rPr>
              <w:t>项目</w:t>
            </w:r>
            <w:r>
              <w:rPr>
                <w:rFonts w:hint="default" w:ascii="Times New Roman" w:hAnsi="Times New Roman" w:cs="Times New Roman"/>
                <w:color w:val="auto"/>
                <w:sz w:val="24"/>
                <w:szCs w:val="24"/>
                <w:highlight w:val="none"/>
                <w:lang w:val="en-US" w:eastAsia="zh-CN"/>
              </w:rPr>
              <w:t>属于</w:t>
            </w:r>
            <w:r>
              <w:rPr>
                <w:rFonts w:hint="default" w:ascii="Times New Roman" w:hAnsi="Times New Roman" w:cs="Times New Roman"/>
                <w:color w:val="auto"/>
                <w:sz w:val="24"/>
                <w:szCs w:val="24"/>
                <w:highlight w:val="none"/>
                <w:lang w:eastAsia="zh-CN"/>
              </w:rPr>
              <w:t>高污染禁燃区</w:t>
            </w:r>
            <w:r>
              <w:rPr>
                <w:rFonts w:hint="default" w:ascii="Times New Roman" w:hAnsi="Times New Roman" w:cs="Times New Roman"/>
                <w:color w:val="auto"/>
                <w:sz w:val="24"/>
                <w:szCs w:val="24"/>
                <w:highlight w:val="none"/>
                <w:lang w:val="en-US" w:eastAsia="zh-CN"/>
              </w:rPr>
              <w:t>重点管控区</w:t>
            </w:r>
            <w:r>
              <w:rPr>
                <w:rFonts w:hint="default" w:ascii="Times New Roman" w:hAnsi="Times New Roman" w:cs="Times New Roman"/>
                <w:color w:val="auto"/>
                <w:sz w:val="24"/>
                <w:szCs w:val="24"/>
                <w:highlight w:val="none"/>
                <w:lang w:eastAsia="zh-CN"/>
              </w:rPr>
              <w:t>。</w:t>
            </w:r>
          </w:p>
          <w:p w14:paraId="57A3F1DD">
            <w:pPr>
              <w:pStyle w:val="46"/>
              <w:spacing w:line="360" w:lineRule="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highlight w:val="none"/>
                <w:lang w:val="en-US" w:eastAsia="zh-CN"/>
              </w:rPr>
              <w:t>重点管控区：“高污染</w:t>
            </w:r>
            <w:r>
              <w:rPr>
                <w:rFonts w:hint="default" w:ascii="Times New Roman" w:hAnsi="Times New Roman" w:cs="Times New Roman"/>
                <w:color w:val="auto"/>
                <w:sz w:val="24"/>
                <w:szCs w:val="24"/>
                <w:lang w:val="en-US" w:eastAsia="zh-CN"/>
              </w:rPr>
              <w:t>燃料禁燃区内，禁止销售、燃用高污染燃料；禁止新建、扩建燃用高污染燃料的设施（新建、改建集中供热和现有火电厂锅炉改造的除外，但煤炭消费量和污染物排放总量需满足相关规定要求），已建成的，应当改用天然气、液化石油气、电或者其他清洁能源。”</w:t>
            </w:r>
          </w:p>
          <w:p w14:paraId="71E8ED2A">
            <w:pPr>
              <w:spacing w:line="360" w:lineRule="auto"/>
              <w:ind w:firstLine="480" w:firstLineChars="200"/>
              <w:jc w:val="both"/>
              <w:rPr>
                <w:rFonts w:hint="default" w:ascii="Times New Roman" w:hAnsi="Times New Roman" w:eastAsia="宋体" w:cs="Times New Roman"/>
                <w:bCs/>
                <w:color w:val="auto"/>
                <w:sz w:val="24"/>
                <w:szCs w:val="24"/>
                <w:lang w:val="en-US" w:eastAsia="zh-CN"/>
              </w:rPr>
            </w:pPr>
            <w:r>
              <w:rPr>
                <w:rFonts w:hint="default" w:ascii="Times New Roman" w:hAnsi="Times New Roman" w:cs="Times New Roman"/>
                <w:color w:val="auto"/>
                <w:sz w:val="24"/>
                <w:szCs w:val="24"/>
              </w:rPr>
              <w:t>本项目不使用煤炭等高污染燃料，符合分区管控要求。</w:t>
            </w:r>
          </w:p>
          <w:p w14:paraId="2CD07685">
            <w:pPr>
              <w:pStyle w:val="46"/>
              <w:spacing w:line="360" w:lineRule="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3.2.4.2水资源利用上线及分区管控</w:t>
            </w:r>
          </w:p>
          <w:p w14:paraId="3F895C83">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水资源利用上线</w:t>
            </w:r>
          </w:p>
          <w:p w14:paraId="3A6A413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依据《关于印发</w:t>
            </w:r>
            <w:r>
              <w:rPr>
                <w:rFonts w:hint="default" w:ascii="Times New Roman" w:hAnsi="Times New Roman" w:cs="Times New Roman"/>
                <w:color w:val="auto"/>
                <w:sz w:val="24"/>
                <w:szCs w:val="24"/>
                <w:lang w:val="en-US" w:eastAsia="zh-CN"/>
              </w:rPr>
              <w:t>&lt;</w:t>
            </w:r>
            <w:r>
              <w:rPr>
                <w:rFonts w:hint="default" w:ascii="Times New Roman" w:hAnsi="Times New Roman" w:cs="Times New Roman"/>
                <w:color w:val="auto"/>
                <w:sz w:val="24"/>
                <w:szCs w:val="24"/>
              </w:rPr>
              <w:t>实行最严格水资源管理制度考核办法</w:t>
            </w:r>
            <w:r>
              <w:rPr>
                <w:rFonts w:hint="default" w:ascii="Times New Roman" w:hAnsi="Times New Roman" w:cs="Times New Roman"/>
                <w:color w:val="auto"/>
                <w:sz w:val="24"/>
                <w:szCs w:val="24"/>
                <w:lang w:val="en-US" w:eastAsia="zh-CN"/>
              </w:rPr>
              <w:t>&gt;</w:t>
            </w:r>
            <w:r>
              <w:rPr>
                <w:rFonts w:hint="default" w:ascii="Times New Roman" w:hAnsi="Times New Roman" w:cs="Times New Roman"/>
                <w:color w:val="auto"/>
                <w:sz w:val="24"/>
                <w:szCs w:val="24"/>
              </w:rPr>
              <w:t>的通知》（国办发</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2013</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2号）、《关于印</w:t>
            </w:r>
            <w:r>
              <w:rPr>
                <w:rFonts w:hint="default" w:ascii="Times New Roman" w:hAnsi="Times New Roman" w:eastAsia="宋体" w:cs="Times New Roman"/>
                <w:color w:val="auto"/>
                <w:sz w:val="24"/>
                <w:szCs w:val="24"/>
              </w:rPr>
              <w:t>发</w:t>
            </w:r>
            <w:r>
              <w:rPr>
                <w:rFonts w:hint="default" w:ascii="Times New Roman" w:hAnsi="Times New Roman" w:cs="Times New Roman"/>
                <w:color w:val="auto"/>
                <w:sz w:val="24"/>
                <w:szCs w:val="24"/>
                <w:lang w:val="en-US" w:eastAsia="zh-CN"/>
              </w:rPr>
              <w:t>&lt;</w:t>
            </w:r>
            <w:r>
              <w:rPr>
                <w:rFonts w:hint="default" w:ascii="Times New Roman" w:hAnsi="Times New Roman" w:eastAsia="宋体" w:cs="Times New Roman"/>
                <w:color w:val="auto"/>
                <w:sz w:val="24"/>
                <w:szCs w:val="24"/>
              </w:rPr>
              <w:t>“十四五”用水总</w:t>
            </w:r>
            <w:r>
              <w:rPr>
                <w:rFonts w:hint="default" w:ascii="Times New Roman" w:hAnsi="Times New Roman" w:cs="Times New Roman"/>
                <w:color w:val="auto"/>
                <w:sz w:val="24"/>
                <w:szCs w:val="24"/>
              </w:rPr>
              <w:t>量和强度双控目标</w:t>
            </w:r>
            <w:r>
              <w:rPr>
                <w:rFonts w:hint="default" w:ascii="Times New Roman" w:hAnsi="Times New Roman" w:cs="Times New Roman"/>
                <w:color w:val="auto"/>
                <w:sz w:val="24"/>
                <w:szCs w:val="24"/>
                <w:lang w:val="en-US" w:eastAsia="zh-CN"/>
              </w:rPr>
              <w:t>&gt;</w:t>
            </w:r>
            <w:r>
              <w:rPr>
                <w:rFonts w:hint="default" w:ascii="Times New Roman" w:hAnsi="Times New Roman" w:cs="Times New Roman"/>
                <w:color w:val="auto"/>
                <w:sz w:val="24"/>
                <w:szCs w:val="24"/>
              </w:rPr>
              <w:t>的通知》（水节约</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2022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113号）、安徽省水利厅《关于</w:t>
            </w:r>
            <w:r>
              <w:rPr>
                <w:rFonts w:hint="default" w:ascii="Times New Roman" w:hAnsi="Times New Roman" w:eastAsia="宋体" w:cs="Times New Roman"/>
                <w:color w:val="auto"/>
                <w:sz w:val="24"/>
                <w:szCs w:val="24"/>
              </w:rPr>
              <w:t>落实</w:t>
            </w:r>
            <w:r>
              <w:rPr>
                <w:rFonts w:hint="default" w:ascii="Times New Roman" w:hAnsi="Times New Roman" w:cs="Times New Roman"/>
                <w:color w:val="auto"/>
                <w:sz w:val="24"/>
                <w:szCs w:val="24"/>
                <w:lang w:val="en-US" w:eastAsia="zh-CN"/>
              </w:rPr>
              <w:t>&lt;</w:t>
            </w:r>
            <w:r>
              <w:rPr>
                <w:rFonts w:hint="default" w:ascii="Times New Roman" w:hAnsi="Times New Roman" w:eastAsia="宋体" w:cs="Times New Roman"/>
                <w:color w:val="auto"/>
                <w:sz w:val="24"/>
                <w:szCs w:val="24"/>
              </w:rPr>
              <w:t>“十四五”用</w:t>
            </w:r>
            <w:r>
              <w:rPr>
                <w:rFonts w:hint="default" w:ascii="Times New Roman" w:hAnsi="Times New Roman" w:cs="Times New Roman"/>
                <w:color w:val="auto"/>
                <w:sz w:val="24"/>
                <w:szCs w:val="24"/>
              </w:rPr>
              <w:t>水总量和强度双控目标</w:t>
            </w:r>
            <w:r>
              <w:rPr>
                <w:rFonts w:hint="default" w:ascii="Times New Roman" w:hAnsi="Times New Roman" w:cs="Times New Roman"/>
                <w:color w:val="auto"/>
                <w:sz w:val="24"/>
                <w:szCs w:val="24"/>
                <w:lang w:val="en-US" w:eastAsia="zh-CN"/>
              </w:rPr>
              <w:t>&gt;</w:t>
            </w:r>
            <w:r>
              <w:rPr>
                <w:rFonts w:hint="default" w:ascii="Times New Roman" w:hAnsi="Times New Roman" w:cs="Times New Roman"/>
                <w:color w:val="auto"/>
                <w:sz w:val="24"/>
                <w:szCs w:val="24"/>
              </w:rPr>
              <w:t>的通知》。到2025年全市用水总量控制在11.71亿立方米，国内生产总值用水量比2020年下降15%、工业增加值用水量比2020年下降19%、农田灌溉水有效利用系数达到0.65。</w:t>
            </w:r>
          </w:p>
          <w:p w14:paraId="62A1072F">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（2）水资源管控分区</w:t>
            </w:r>
          </w:p>
          <w:p w14:paraId="30778A8D">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对照《</w:t>
            </w:r>
            <w:r>
              <w:rPr>
                <w:rFonts w:hint="default" w:ascii="Times New Roman" w:hAnsi="Times New Roman" w:cs="Times New Roman"/>
                <w:color w:val="auto"/>
                <w:sz w:val="24"/>
                <w:szCs w:val="24"/>
                <w:lang w:val="en-US" w:eastAsia="zh-CN"/>
              </w:rPr>
              <w:t>宿州市地下水开采重点管控区图</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详见附图</w:t>
            </w:r>
            <w:r>
              <w:rPr>
                <w:rFonts w:hint="eastAsia" w:ascii="Times New Roman" w:hAnsi="Times New Roman" w:cs="Times New Roman"/>
                <w:color w:val="auto"/>
                <w:sz w:val="24"/>
                <w:szCs w:val="24"/>
                <w:lang w:val="en-US" w:eastAsia="zh-CN"/>
              </w:rPr>
              <w:t>11</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val="en-US" w:eastAsia="zh-CN"/>
              </w:rPr>
              <w:t>不</w:t>
            </w:r>
            <w:r>
              <w:rPr>
                <w:rFonts w:hint="default" w:ascii="Times New Roman" w:hAnsi="Times New Roman" w:cs="Times New Roman"/>
                <w:color w:val="auto"/>
                <w:sz w:val="24"/>
                <w:szCs w:val="24"/>
              </w:rPr>
              <w:t>位于地下水开采重点管控区范围内</w:t>
            </w:r>
            <w:r>
              <w:rPr>
                <w:rFonts w:hint="default" w:ascii="Times New Roman" w:hAnsi="Times New Roman" w:cs="Times New Roman"/>
                <w:color w:val="auto"/>
                <w:sz w:val="24"/>
                <w:szCs w:val="24"/>
                <w:lang w:eastAsia="zh-CN"/>
              </w:rPr>
              <w:t>，属于水资源一般管控区</w:t>
            </w:r>
            <w:r>
              <w:rPr>
                <w:rFonts w:hint="default" w:ascii="Times New Roman" w:hAnsi="Times New Roman" w:cs="Times New Roman"/>
                <w:color w:val="auto"/>
                <w:sz w:val="24"/>
                <w:szCs w:val="24"/>
              </w:rPr>
              <w:t>。</w:t>
            </w:r>
          </w:p>
          <w:p w14:paraId="45596B98">
            <w:pPr>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本项目</w:t>
            </w:r>
            <w:r>
              <w:rPr>
                <w:rFonts w:hint="default" w:ascii="Times New Roman" w:hAnsi="Times New Roman" w:eastAsia="宋体" w:cs="Times New Roman"/>
                <w:bCs/>
                <w:color w:val="auto"/>
                <w:sz w:val="24"/>
                <w:szCs w:val="24"/>
                <w:lang w:eastAsia="zh-CN"/>
              </w:rPr>
              <w:t>与水资源分区管控要求的协调性分析</w:t>
            </w:r>
            <w:r>
              <w:rPr>
                <w:rFonts w:hint="default" w:ascii="Times New Roman" w:hAnsi="Times New Roman" w:eastAsia="宋体" w:cs="Times New Roman"/>
                <w:bCs/>
                <w:color w:val="auto"/>
                <w:sz w:val="24"/>
                <w:szCs w:val="24"/>
                <w:lang w:val="en-US" w:eastAsia="zh-CN"/>
              </w:rPr>
              <w:t>见表1.1</w:t>
            </w:r>
            <w:r>
              <w:rPr>
                <w:rFonts w:hint="eastAsia" w:ascii="Times New Roman" w:hAnsi="Times New Roman" w:eastAsia="宋体" w:cs="Times New Roman"/>
                <w:bCs/>
                <w:color w:val="auto"/>
                <w:sz w:val="24"/>
                <w:szCs w:val="24"/>
                <w:lang w:val="en-US" w:eastAsia="zh-CN"/>
              </w:rPr>
              <w:t>1</w:t>
            </w:r>
            <w:r>
              <w:rPr>
                <w:rFonts w:hint="default" w:ascii="Times New Roman" w:hAnsi="Times New Roman" w:eastAsia="宋体" w:cs="Times New Roman"/>
                <w:bCs/>
                <w:color w:val="auto"/>
                <w:sz w:val="24"/>
                <w:szCs w:val="24"/>
                <w:lang w:val="en-US" w:eastAsia="zh-CN"/>
              </w:rPr>
              <w:t>。</w:t>
            </w:r>
          </w:p>
          <w:p w14:paraId="09261626">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表1.1</w:t>
            </w:r>
            <w:r>
              <w:rPr>
                <w:rFonts w:hint="eastAsia" w:ascii="Times New Roman" w:hAnsi="Times New Roman" w:cs="Times New Roman"/>
                <w:b/>
                <w:bCs/>
                <w:color w:val="auto"/>
                <w:sz w:val="21"/>
                <w:szCs w:val="21"/>
                <w:lang w:val="en-US" w:eastAsia="zh-CN"/>
              </w:rPr>
              <w:t>1</w:t>
            </w:r>
            <w:r>
              <w:rPr>
                <w:rFonts w:hint="default" w:ascii="Times New Roman" w:hAnsi="Times New Roman" w:cs="Times New Roman"/>
                <w:b/>
                <w:bCs/>
                <w:color w:val="auto"/>
                <w:sz w:val="21"/>
                <w:szCs w:val="21"/>
                <w:lang w:val="en-US" w:eastAsia="zh-CN"/>
              </w:rPr>
              <w:t xml:space="preserve">  本项目</w:t>
            </w:r>
            <w:r>
              <w:rPr>
                <w:rFonts w:hint="default" w:ascii="Times New Roman" w:hAnsi="Times New Roman" w:cs="Times New Roman"/>
                <w:b/>
                <w:bCs/>
                <w:color w:val="auto"/>
                <w:sz w:val="21"/>
                <w:szCs w:val="21"/>
                <w:lang w:eastAsia="zh-CN"/>
              </w:rPr>
              <w:t>与水资源分区管控要求的协调性分析</w:t>
            </w:r>
            <w:r>
              <w:rPr>
                <w:rFonts w:hint="default" w:ascii="Times New Roman" w:hAnsi="Times New Roman" w:cs="Times New Roman"/>
                <w:b/>
                <w:bCs/>
                <w:color w:val="auto"/>
                <w:sz w:val="21"/>
                <w:szCs w:val="21"/>
              </w:rPr>
              <w:t>一览表</w:t>
            </w:r>
          </w:p>
          <w:tbl>
            <w:tblPr>
              <w:tblStyle w:val="32"/>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2"/>
              <w:gridCol w:w="2438"/>
            </w:tblGrid>
            <w:tr w14:paraId="2C6B7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400" w:type="dxa"/>
                  <w:vAlign w:val="center"/>
                </w:tcPr>
                <w:p w14:paraId="4F799ECF">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分区管控要求</w:t>
                  </w:r>
                </w:p>
              </w:tc>
              <w:tc>
                <w:tcPr>
                  <w:tcW w:w="2212" w:type="dxa"/>
                  <w:vAlign w:val="center"/>
                </w:tcPr>
                <w:p w14:paraId="5D28B2F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协调性分析</w:t>
                  </w:r>
                </w:p>
              </w:tc>
            </w:tr>
            <w:tr w14:paraId="77163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0" w:type="dxa"/>
                  <w:vAlign w:val="center"/>
                </w:tcPr>
                <w:p w14:paraId="4D342FB9">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落实《国务院办公厅关于印发实行最严格水资源管理制度考核办法的通知》、《水利部国家发展改革委关于印发“十四五”用水总量和强度双控目标的通知》（水节约【2022】113号）、《关于落实“十四五”用水总量和强度双控目标的通知》（安徽省水利厅2022年8月）、《宿州市水利发展“十四五”规划》（宿州市水利局2021年12月）等要求。</w:t>
                  </w:r>
                </w:p>
              </w:tc>
              <w:tc>
                <w:tcPr>
                  <w:tcW w:w="2212" w:type="dxa"/>
                  <w:vAlign w:val="center"/>
                </w:tcPr>
                <w:p w14:paraId="5CA10410">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cs="Times New Roman" w:eastAsiaTheme="minorEastAsia"/>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本项目运营期不开采地下水，用水来自</w:t>
                  </w:r>
                  <w:r>
                    <w:rPr>
                      <w:rFonts w:hint="eastAsia" w:ascii="Times New Roman" w:hAnsi="Times New Roman" w:eastAsia="宋体" w:cs="Times New Roman"/>
                      <w:b w:val="0"/>
                      <w:bCs/>
                      <w:color w:val="auto"/>
                      <w:kern w:val="0"/>
                      <w:sz w:val="21"/>
                      <w:szCs w:val="21"/>
                      <w:lang w:val="en-US" w:eastAsia="zh-CN"/>
                    </w:rPr>
                    <w:t>安徽省宿州市泗县</w:t>
                  </w:r>
                  <w:r>
                    <w:rPr>
                      <w:rFonts w:hint="default" w:ascii="Times New Roman" w:hAnsi="Times New Roman" w:eastAsia="宋体" w:cs="Times New Roman"/>
                      <w:b w:val="0"/>
                      <w:bCs/>
                      <w:color w:val="auto"/>
                      <w:kern w:val="0"/>
                      <w:sz w:val="21"/>
                      <w:szCs w:val="21"/>
                      <w:lang w:val="en-US" w:eastAsia="zh-CN"/>
                    </w:rPr>
                    <w:t>供水管网，用水量较小，不会突破水资源利用上线。</w:t>
                  </w:r>
                </w:p>
              </w:tc>
            </w:tr>
          </w:tbl>
          <w:p w14:paraId="686EADE9">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3.2.4.3</w:t>
            </w:r>
            <w:r>
              <w:rPr>
                <w:rFonts w:hint="default" w:ascii="Times New Roman" w:hAnsi="Times New Roman" w:cs="Times New Roman"/>
                <w:color w:val="auto"/>
                <w:sz w:val="24"/>
                <w:szCs w:val="24"/>
              </w:rPr>
              <w:t>土地资源利用上线及分区管控</w:t>
            </w:r>
          </w:p>
          <w:p w14:paraId="1BF58E3F">
            <w:pPr>
              <w:spacing w:line="360" w:lineRule="auto"/>
              <w:ind w:firstLine="480" w:firstLineChars="200"/>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lang w:eastAsia="zh-CN"/>
              </w:rPr>
              <w:t>）土地资源利用上线</w:t>
            </w:r>
          </w:p>
          <w:p w14:paraId="4175BD34">
            <w:pPr>
              <w:spacing w:line="360" w:lineRule="auto"/>
              <w:ind w:firstLine="480" w:firstLineChars="200"/>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根据《关于</w:t>
            </w:r>
            <w:r>
              <w:rPr>
                <w:rFonts w:hint="default" w:ascii="Times New Roman" w:hAnsi="Times New Roman" w:eastAsia="宋体" w:cs="Times New Roman"/>
                <w:color w:val="auto"/>
                <w:kern w:val="0"/>
                <w:sz w:val="24"/>
                <w:szCs w:val="24"/>
                <w:lang w:val="en-US" w:eastAsia="zh-CN"/>
              </w:rPr>
              <w:t>&lt;</w:t>
            </w:r>
            <w:r>
              <w:rPr>
                <w:rFonts w:hint="default" w:ascii="Times New Roman" w:hAnsi="Times New Roman" w:eastAsia="宋体" w:cs="Times New Roman"/>
                <w:color w:val="auto"/>
                <w:kern w:val="0"/>
                <w:sz w:val="24"/>
                <w:szCs w:val="24"/>
                <w:lang w:eastAsia="zh-CN"/>
              </w:rPr>
              <w:t>抓紧做好土地利用总体规划调整完善工作</w:t>
            </w:r>
            <w:r>
              <w:rPr>
                <w:rFonts w:hint="default" w:ascii="Times New Roman" w:hAnsi="Times New Roman" w:eastAsia="宋体" w:cs="Times New Roman"/>
                <w:color w:val="auto"/>
                <w:kern w:val="0"/>
                <w:sz w:val="24"/>
                <w:szCs w:val="24"/>
                <w:lang w:val="en-US" w:eastAsia="zh-CN"/>
              </w:rPr>
              <w:t>&gt;</w:t>
            </w:r>
            <w:r>
              <w:rPr>
                <w:rFonts w:hint="default" w:ascii="Times New Roman" w:hAnsi="Times New Roman" w:eastAsia="宋体" w:cs="Times New Roman"/>
                <w:color w:val="auto"/>
                <w:kern w:val="0"/>
                <w:sz w:val="24"/>
                <w:szCs w:val="24"/>
                <w:lang w:eastAsia="zh-CN"/>
              </w:rPr>
              <w:t>的通知》（皖国土资【</w:t>
            </w:r>
            <w:r>
              <w:rPr>
                <w:rFonts w:hint="default" w:ascii="Times New Roman" w:hAnsi="Times New Roman" w:eastAsia="宋体" w:cs="Times New Roman"/>
                <w:color w:val="auto"/>
                <w:kern w:val="0"/>
                <w:sz w:val="24"/>
                <w:szCs w:val="24"/>
                <w:lang w:val="en-US" w:eastAsia="zh-CN"/>
              </w:rPr>
              <w:t>2016</w:t>
            </w:r>
            <w:r>
              <w:rPr>
                <w:rFonts w:hint="default" w:ascii="Times New Roman" w:hAnsi="Times New Roman" w:eastAsia="宋体" w:cs="Times New Roman"/>
                <w:color w:val="auto"/>
                <w:kern w:val="0"/>
                <w:sz w:val="24"/>
                <w:szCs w:val="24"/>
                <w:lang w:eastAsia="zh-CN"/>
              </w:rPr>
              <w:t>】125号）、《关于</w:t>
            </w:r>
            <w:r>
              <w:rPr>
                <w:rFonts w:hint="default" w:ascii="Times New Roman" w:hAnsi="Times New Roman" w:eastAsia="宋体" w:cs="Times New Roman"/>
                <w:color w:val="auto"/>
                <w:kern w:val="0"/>
                <w:sz w:val="24"/>
                <w:szCs w:val="24"/>
                <w:lang w:val="en-US" w:eastAsia="zh-CN"/>
              </w:rPr>
              <w:t>&lt;</w:t>
            </w:r>
            <w:r>
              <w:rPr>
                <w:rFonts w:hint="default" w:ascii="Times New Roman" w:hAnsi="Times New Roman" w:eastAsia="宋体" w:cs="Times New Roman"/>
                <w:color w:val="auto"/>
                <w:kern w:val="0"/>
                <w:sz w:val="24"/>
                <w:szCs w:val="24"/>
                <w:lang w:eastAsia="zh-CN"/>
              </w:rPr>
              <w:t>上报土地利用总体规划调整完善成果</w:t>
            </w:r>
            <w:r>
              <w:rPr>
                <w:rFonts w:hint="default" w:ascii="Times New Roman" w:hAnsi="Times New Roman" w:eastAsia="宋体" w:cs="Times New Roman"/>
                <w:color w:val="auto"/>
                <w:kern w:val="0"/>
                <w:sz w:val="24"/>
                <w:szCs w:val="24"/>
                <w:lang w:val="en-US" w:eastAsia="zh-CN"/>
              </w:rPr>
              <w:t>&gt;</w:t>
            </w:r>
            <w:r>
              <w:rPr>
                <w:rFonts w:hint="default" w:ascii="Times New Roman" w:hAnsi="Times New Roman" w:eastAsia="宋体" w:cs="Times New Roman"/>
                <w:color w:val="auto"/>
                <w:kern w:val="0"/>
                <w:sz w:val="24"/>
                <w:szCs w:val="24"/>
                <w:lang w:eastAsia="zh-CN"/>
              </w:rPr>
              <w:t>的通知》（皖国土资【</w:t>
            </w:r>
            <w:r>
              <w:rPr>
                <w:rFonts w:hint="default" w:ascii="Times New Roman" w:hAnsi="Times New Roman" w:eastAsia="宋体" w:cs="Times New Roman"/>
                <w:color w:val="auto"/>
                <w:kern w:val="0"/>
                <w:sz w:val="24"/>
                <w:szCs w:val="24"/>
                <w:lang w:val="en-US" w:eastAsia="zh-CN"/>
              </w:rPr>
              <w:t>2017</w:t>
            </w:r>
            <w:r>
              <w:rPr>
                <w:rFonts w:hint="default" w:ascii="Times New Roman" w:hAnsi="Times New Roman" w:eastAsia="宋体" w:cs="Times New Roman"/>
                <w:color w:val="auto"/>
                <w:kern w:val="0"/>
                <w:sz w:val="24"/>
                <w:szCs w:val="24"/>
                <w:lang w:eastAsia="zh-CN"/>
              </w:rPr>
              <w:t>】986号）等文件要求，结合宿州实际编制了《宿州市土地利用总体规划（2006-2020年）调整方案》，重点调整耕地保有量、基本农田保护面积和建设用地总规模等规划主要控制指标，优化土地利用布局，合理安排落实“十三五”重点建设项目，保障经济社会健康稳步发展。</w:t>
            </w:r>
          </w:p>
          <w:p w14:paraId="382835F5">
            <w:pPr>
              <w:spacing w:line="360" w:lineRule="auto"/>
              <w:ind w:firstLine="480" w:firstLineChars="200"/>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至2025年，宿州市耕地保有量不低于5897.25平方公里，永久基本农田保护面积不低于5171.42平方公里；人均城镇建设用地面积落实国家、省要求。</w:t>
            </w:r>
          </w:p>
          <w:p w14:paraId="54590DF5">
            <w:pPr>
              <w:spacing w:line="360" w:lineRule="auto"/>
              <w:ind w:firstLine="480" w:firstLineChars="200"/>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cs="Times New Roman"/>
                <w:color w:val="auto"/>
                <w:sz w:val="24"/>
                <w:szCs w:val="24"/>
                <w:highlight w:val="none"/>
                <w:vertAlign w:val="baseline"/>
                <w:lang w:val="en-US" w:eastAsia="zh-CN"/>
              </w:rPr>
              <w:t>根据泗县土地利用总体规划图，本项目用地为建设用地，</w:t>
            </w:r>
            <w:r>
              <w:rPr>
                <w:rFonts w:hint="eastAsia" w:ascii="Times New Roman" w:hAnsi="Times New Roman" w:cs="Times New Roman"/>
                <w:color w:val="auto"/>
                <w:sz w:val="24"/>
                <w:szCs w:val="24"/>
                <w:highlight w:val="none"/>
                <w:vertAlign w:val="baseline"/>
                <w:lang w:val="en-US" w:eastAsia="zh-CN"/>
              </w:rPr>
              <w:t>符合用地要求。</w:t>
            </w:r>
          </w:p>
          <w:p w14:paraId="1FCA7B2D">
            <w:pPr>
              <w:spacing w:line="360" w:lineRule="auto"/>
              <w:ind w:firstLine="480" w:firstLineChars="200"/>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eastAsia="zh-CN"/>
              </w:rPr>
              <w:t>）土地资源管控分区</w:t>
            </w:r>
          </w:p>
          <w:p w14:paraId="70AF6D0B">
            <w:pPr>
              <w:spacing w:line="360" w:lineRule="auto"/>
              <w:ind w:firstLine="480" w:firstLineChars="200"/>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对照</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宿州市土地资源重点管控区图</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bCs/>
                <w:color w:val="auto"/>
                <w:sz w:val="24"/>
                <w:szCs w:val="24"/>
                <w:lang w:eastAsia="zh-CN"/>
              </w:rPr>
              <w:t>（详见附图</w:t>
            </w:r>
            <w:r>
              <w:rPr>
                <w:rFonts w:hint="eastAsia" w:ascii="Times New Roman" w:hAnsi="Times New Roman" w:eastAsia="宋体" w:cs="Times New Roman"/>
                <w:bCs/>
                <w:color w:val="auto"/>
                <w:sz w:val="24"/>
                <w:szCs w:val="24"/>
                <w:lang w:val="en-US" w:eastAsia="zh-CN"/>
              </w:rPr>
              <w:t>12</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color w:val="auto"/>
                <w:kern w:val="0"/>
                <w:sz w:val="24"/>
                <w:szCs w:val="24"/>
                <w:lang w:eastAsia="zh-CN"/>
              </w:rPr>
              <w:t>，项目位于一般</w:t>
            </w:r>
            <w:r>
              <w:rPr>
                <w:rFonts w:hint="default" w:ascii="Times New Roman" w:hAnsi="Times New Roman" w:eastAsia="宋体" w:cs="Times New Roman"/>
                <w:color w:val="auto"/>
                <w:kern w:val="0"/>
                <w:sz w:val="24"/>
                <w:szCs w:val="24"/>
                <w:lang w:val="en-US" w:eastAsia="zh-CN"/>
              </w:rPr>
              <w:t>管控</w:t>
            </w:r>
            <w:r>
              <w:rPr>
                <w:rFonts w:hint="default" w:ascii="Times New Roman" w:hAnsi="Times New Roman" w:eastAsia="宋体" w:cs="Times New Roman"/>
                <w:color w:val="auto"/>
                <w:kern w:val="0"/>
                <w:sz w:val="24"/>
                <w:szCs w:val="24"/>
                <w:lang w:eastAsia="zh-CN"/>
              </w:rPr>
              <w:t>区。</w:t>
            </w:r>
          </w:p>
          <w:p w14:paraId="387A62B7">
            <w:pPr>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本项目</w:t>
            </w:r>
            <w:r>
              <w:rPr>
                <w:rFonts w:hint="default" w:ascii="Times New Roman" w:hAnsi="Times New Roman" w:eastAsia="宋体" w:cs="Times New Roman"/>
                <w:bCs/>
                <w:color w:val="auto"/>
                <w:sz w:val="24"/>
                <w:szCs w:val="24"/>
                <w:lang w:eastAsia="zh-CN"/>
              </w:rPr>
              <w:t>与土地资源分区管控要求的协调性分析</w:t>
            </w:r>
            <w:r>
              <w:rPr>
                <w:rFonts w:hint="default" w:ascii="Times New Roman" w:hAnsi="Times New Roman" w:eastAsia="宋体" w:cs="Times New Roman"/>
                <w:bCs/>
                <w:color w:val="auto"/>
                <w:sz w:val="24"/>
                <w:szCs w:val="24"/>
                <w:lang w:val="en-US" w:eastAsia="zh-CN"/>
              </w:rPr>
              <w:t>见表1.1</w:t>
            </w:r>
            <w:r>
              <w:rPr>
                <w:rFonts w:hint="eastAsia" w:ascii="Times New Roman" w:hAnsi="Times New Roman" w:eastAsia="宋体" w:cs="Times New Roman"/>
                <w:bCs/>
                <w:color w:val="auto"/>
                <w:sz w:val="24"/>
                <w:szCs w:val="24"/>
                <w:lang w:val="en-US" w:eastAsia="zh-CN"/>
              </w:rPr>
              <w:t>2</w:t>
            </w:r>
            <w:r>
              <w:rPr>
                <w:rFonts w:hint="default" w:ascii="Times New Roman" w:hAnsi="Times New Roman" w:eastAsia="宋体" w:cs="Times New Roman"/>
                <w:bCs/>
                <w:color w:val="auto"/>
                <w:sz w:val="24"/>
                <w:szCs w:val="24"/>
                <w:lang w:val="en-US" w:eastAsia="zh-CN"/>
              </w:rPr>
              <w:t>。</w:t>
            </w:r>
          </w:p>
          <w:p w14:paraId="2C3649F0">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表1.1</w:t>
            </w:r>
            <w:r>
              <w:rPr>
                <w:rFonts w:hint="eastAsia"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 xml:space="preserve">  本项目</w:t>
            </w:r>
            <w:r>
              <w:rPr>
                <w:rFonts w:hint="default" w:ascii="Times New Roman" w:hAnsi="Times New Roman" w:cs="Times New Roman"/>
                <w:b/>
                <w:bCs/>
                <w:color w:val="auto"/>
                <w:sz w:val="21"/>
                <w:szCs w:val="21"/>
                <w:lang w:eastAsia="zh-CN"/>
              </w:rPr>
              <w:t>与土地资源分区管控要求的协调性分析</w:t>
            </w:r>
            <w:r>
              <w:rPr>
                <w:rFonts w:hint="default" w:ascii="Times New Roman" w:hAnsi="Times New Roman" w:cs="Times New Roman"/>
                <w:b/>
                <w:bCs/>
                <w:color w:val="auto"/>
                <w:sz w:val="21"/>
                <w:szCs w:val="21"/>
              </w:rPr>
              <w:t>一览表</w:t>
            </w:r>
          </w:p>
          <w:tbl>
            <w:tblPr>
              <w:tblStyle w:val="32"/>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9"/>
              <w:gridCol w:w="5301"/>
            </w:tblGrid>
            <w:tr w14:paraId="6BF4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89" w:type="dxa"/>
                  <w:vAlign w:val="center"/>
                </w:tcPr>
                <w:p w14:paraId="59CDE9FA">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分区管控要求</w:t>
                  </w:r>
                </w:p>
              </w:tc>
              <w:tc>
                <w:tcPr>
                  <w:tcW w:w="5301" w:type="dxa"/>
                  <w:vAlign w:val="center"/>
                </w:tcPr>
                <w:p w14:paraId="17323C44">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协调性分析</w:t>
                  </w:r>
                </w:p>
              </w:tc>
            </w:tr>
            <w:tr w14:paraId="3ABE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9" w:type="dxa"/>
                  <w:vAlign w:val="center"/>
                </w:tcPr>
                <w:p w14:paraId="7CC885B8">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落实《宿州市国土空间总体规划》（2021-2035年）等要求。</w:t>
                  </w:r>
                </w:p>
              </w:tc>
              <w:tc>
                <w:tcPr>
                  <w:tcW w:w="5301" w:type="dxa"/>
                  <w:vAlign w:val="center"/>
                </w:tcPr>
                <w:p w14:paraId="5012BAAA">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项目建设地点位于</w:t>
                  </w:r>
                  <w:r>
                    <w:rPr>
                      <w:rFonts w:hint="eastAsia" w:ascii="Times New Roman" w:hAnsi="Times New Roman" w:eastAsia="宋体" w:cs="Times New Roman"/>
                      <w:b w:val="0"/>
                      <w:bCs/>
                      <w:color w:val="auto"/>
                      <w:kern w:val="0"/>
                      <w:sz w:val="21"/>
                      <w:szCs w:val="21"/>
                      <w:lang w:val="en-US" w:eastAsia="zh-CN"/>
                    </w:rPr>
                    <w:t>安徽省宿州市泗县泗水街道唐河路与赤山路交汇处东150米绿朗光电智慧产业园6栋2号</w:t>
                  </w:r>
                  <w:r>
                    <w:rPr>
                      <w:rFonts w:hint="default" w:ascii="Times New Roman" w:hAnsi="Times New Roman" w:eastAsia="宋体" w:cs="Times New Roman"/>
                      <w:b w:val="0"/>
                      <w:bCs/>
                      <w:color w:val="auto"/>
                      <w:kern w:val="0"/>
                      <w:sz w:val="21"/>
                      <w:szCs w:val="21"/>
                      <w:lang w:val="en-US" w:eastAsia="zh-CN"/>
                    </w:rPr>
                    <w:t>。根据泗县土地利用总体规划图，本项目用地为建设用地</w:t>
                  </w:r>
                </w:p>
              </w:tc>
            </w:tr>
          </w:tbl>
          <w:p w14:paraId="6FE40922">
            <w:pPr>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eastAsia="宋体" w:cs="Times New Roman"/>
                <w:bCs/>
                <w:color w:val="auto"/>
                <w:sz w:val="24"/>
                <w:szCs w:val="24"/>
                <w:lang w:val="en-US" w:eastAsia="zh-CN"/>
              </w:rPr>
              <w:t>3.3</w:t>
            </w:r>
            <w:r>
              <w:rPr>
                <w:rFonts w:hint="eastAsia" w:ascii="Times New Roman" w:hAnsi="Times New Roman" w:cs="Times New Roman"/>
                <w:color w:val="auto"/>
                <w:sz w:val="24"/>
                <w:szCs w:val="24"/>
                <w:lang w:eastAsia="zh-CN"/>
              </w:rPr>
              <w:t>生态环境</w:t>
            </w:r>
            <w:r>
              <w:rPr>
                <w:rFonts w:hint="default" w:ascii="Times New Roman" w:hAnsi="Times New Roman" w:cs="Times New Roman"/>
                <w:color w:val="auto"/>
                <w:sz w:val="24"/>
                <w:szCs w:val="24"/>
              </w:rPr>
              <w:t>准入清单</w:t>
            </w:r>
          </w:p>
          <w:p w14:paraId="2AA3E99C">
            <w:pPr>
              <w:spacing w:line="360" w:lineRule="auto"/>
              <w:ind w:firstLine="480" w:firstLineChars="200"/>
              <w:rPr>
                <w:rFonts w:hint="default" w:ascii="Times New Roman" w:hAnsi="Times New Roman" w:cs="Times New Roman"/>
                <w:color w:val="auto"/>
                <w:sz w:val="24"/>
                <w:szCs w:val="24"/>
                <w:lang w:val="en-US"/>
              </w:rPr>
            </w:pPr>
            <w:r>
              <w:rPr>
                <w:rFonts w:hint="eastAsia" w:ascii="Times New Roman" w:hAnsi="Times New Roman" w:cs="Times New Roman"/>
                <w:color w:val="auto"/>
                <w:sz w:val="24"/>
                <w:szCs w:val="24"/>
                <w:highlight w:val="none"/>
                <w:lang w:val="en-US" w:eastAsia="zh-CN"/>
              </w:rPr>
              <w:t>本项目与《宿州市</w:t>
            </w:r>
            <w:r>
              <w:rPr>
                <w:rFonts w:hint="eastAsia" w:ascii="Times New Roman" w:hAnsi="Times New Roman" w:cs="Times New Roman"/>
                <w:color w:val="auto"/>
                <w:sz w:val="24"/>
                <w:szCs w:val="24"/>
                <w:lang w:val="en-US" w:eastAsia="zh-CN"/>
              </w:rPr>
              <w:t>生态环境准入清单》符</w:t>
            </w:r>
            <w:r>
              <w:rPr>
                <w:rFonts w:hint="default" w:ascii="Times New Roman" w:hAnsi="Times New Roman" w:cs="Times New Roman"/>
                <w:color w:val="auto"/>
                <w:sz w:val="24"/>
                <w:szCs w:val="24"/>
                <w:lang w:val="en-US" w:eastAsia="zh-CN"/>
              </w:rPr>
              <w:t>合性分析</w:t>
            </w:r>
            <w:r>
              <w:rPr>
                <w:rFonts w:hint="default" w:ascii="Times New Roman" w:hAnsi="Times New Roman" w:cs="Times New Roman"/>
                <w:color w:val="auto"/>
                <w:sz w:val="24"/>
                <w:szCs w:val="24"/>
              </w:rPr>
              <w:t>见表1.</w:t>
            </w:r>
            <w:r>
              <w:rPr>
                <w:rFonts w:hint="eastAsia" w:ascii="Times New Roman" w:hAnsi="Times New Roman" w:cs="Times New Roman"/>
                <w:color w:val="auto"/>
                <w:sz w:val="24"/>
                <w:szCs w:val="24"/>
                <w:lang w:val="en-US" w:eastAsia="zh-CN"/>
              </w:rPr>
              <w:t>13。</w:t>
            </w:r>
          </w:p>
          <w:p w14:paraId="088A3194">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 xml:space="preserve">1.13  </w:t>
            </w:r>
            <w:r>
              <w:rPr>
                <w:rFonts w:hint="eastAsia"/>
                <w:b/>
                <w:bCs/>
                <w:color w:val="auto"/>
                <w:sz w:val="21"/>
                <w:szCs w:val="21"/>
                <w:lang w:val="en-US" w:eastAsia="zh-CN"/>
              </w:rPr>
              <w:t>与《宿州市生态环境准入清单》符</w:t>
            </w:r>
            <w:r>
              <w:rPr>
                <w:rFonts w:hint="default" w:ascii="Times New Roman" w:hAnsi="Times New Roman" w:cs="Times New Roman"/>
                <w:b/>
                <w:bCs/>
                <w:color w:val="auto"/>
                <w:sz w:val="21"/>
                <w:szCs w:val="21"/>
                <w:lang w:val="en-US" w:eastAsia="zh-CN"/>
              </w:rPr>
              <w:t>合性分析</w:t>
            </w:r>
          </w:p>
          <w:tbl>
            <w:tblPr>
              <w:tblStyle w:val="32"/>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
              <w:gridCol w:w="360"/>
              <w:gridCol w:w="420"/>
              <w:gridCol w:w="645"/>
              <w:gridCol w:w="3090"/>
              <w:gridCol w:w="3015"/>
              <w:gridCol w:w="472"/>
            </w:tblGrid>
            <w:tr w14:paraId="7BE1E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48" w:type="dxa"/>
                  <w:gridSpan w:val="2"/>
                  <w:vAlign w:val="center"/>
                </w:tcPr>
                <w:p w14:paraId="3BE8BDF3">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分类</w:t>
                  </w:r>
                </w:p>
              </w:tc>
              <w:tc>
                <w:tcPr>
                  <w:tcW w:w="1065" w:type="dxa"/>
                  <w:gridSpan w:val="2"/>
                  <w:vAlign w:val="center"/>
                </w:tcPr>
                <w:p w14:paraId="1D89CBA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管控</w:t>
                  </w:r>
                </w:p>
              </w:tc>
              <w:tc>
                <w:tcPr>
                  <w:tcW w:w="3090" w:type="dxa"/>
                  <w:vAlign w:val="center"/>
                </w:tcPr>
                <w:p w14:paraId="1BE45E56">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管控要求</w:t>
                  </w:r>
                </w:p>
              </w:tc>
              <w:tc>
                <w:tcPr>
                  <w:tcW w:w="3015" w:type="dxa"/>
                  <w:vAlign w:val="center"/>
                </w:tcPr>
                <w:p w14:paraId="7DF368BF">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本项目</w:t>
                  </w:r>
                </w:p>
              </w:tc>
              <w:tc>
                <w:tcPr>
                  <w:tcW w:w="472" w:type="dxa"/>
                  <w:vAlign w:val="center"/>
                </w:tcPr>
                <w:p w14:paraId="6C44B7D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符合性</w:t>
                  </w:r>
                </w:p>
              </w:tc>
            </w:tr>
            <w:tr w14:paraId="7530D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gridSpan w:val="2"/>
                  <w:vMerge w:val="restart"/>
                  <w:vAlign w:val="center"/>
                </w:tcPr>
                <w:p w14:paraId="3940D484">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大气重点管控区</w:t>
                  </w:r>
                </w:p>
              </w:tc>
              <w:tc>
                <w:tcPr>
                  <w:tcW w:w="420" w:type="dxa"/>
                  <w:vMerge w:val="restart"/>
                  <w:vAlign w:val="center"/>
                </w:tcPr>
                <w:p w14:paraId="4F8CD23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空间布局约束</w:t>
                  </w:r>
                </w:p>
              </w:tc>
              <w:tc>
                <w:tcPr>
                  <w:tcW w:w="645" w:type="dxa"/>
                  <w:vMerge w:val="restart"/>
                  <w:vAlign w:val="center"/>
                </w:tcPr>
                <w:p w14:paraId="57E59EA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禁止开发建设活动的要求</w:t>
                  </w:r>
                </w:p>
              </w:tc>
              <w:tc>
                <w:tcPr>
                  <w:tcW w:w="3090" w:type="dxa"/>
                  <w:vAlign w:val="center"/>
                </w:tcPr>
                <w:p w14:paraId="453C7820">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在城市城区及其近郊禁止新建、扩建钢铁、有色、石化、水泥、化工等重污染企业</w:t>
                  </w:r>
                  <w:r>
                    <w:rPr>
                      <w:rFonts w:hint="eastAsia" w:ascii="Times New Roman" w:hAnsi="Times New Roman" w:eastAsia="宋体" w:cs="Times New Roman"/>
                      <w:b w:val="0"/>
                      <w:bCs/>
                      <w:color w:val="auto"/>
                      <w:kern w:val="0"/>
                      <w:sz w:val="21"/>
                      <w:szCs w:val="21"/>
                      <w:lang w:val="en-US" w:eastAsia="zh-CN"/>
                    </w:rPr>
                    <w:t>。</w:t>
                  </w:r>
                </w:p>
              </w:tc>
              <w:tc>
                <w:tcPr>
                  <w:tcW w:w="3015" w:type="dxa"/>
                  <w:vAlign w:val="center"/>
                </w:tcPr>
                <w:p w14:paraId="34017FB4">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项目建设地点位于</w:t>
                  </w:r>
                  <w:r>
                    <w:rPr>
                      <w:rFonts w:hint="eastAsia" w:ascii="Times New Roman" w:hAnsi="Times New Roman" w:eastAsia="宋体" w:cs="Times New Roman"/>
                      <w:b w:val="0"/>
                      <w:bCs/>
                      <w:color w:val="auto"/>
                      <w:kern w:val="0"/>
                      <w:sz w:val="21"/>
                      <w:szCs w:val="21"/>
                      <w:lang w:val="en-US" w:eastAsia="zh-CN"/>
                    </w:rPr>
                    <w:t>安徽省宿州市泗县泗水街道唐河路与赤山路交汇处东150米绿朗光电智慧产业园6栋2号，本项目属于日用塑料制品制造【C2927】，不属于重污染企业。</w:t>
                  </w:r>
                </w:p>
              </w:tc>
              <w:tc>
                <w:tcPr>
                  <w:tcW w:w="472" w:type="dxa"/>
                  <w:vAlign w:val="center"/>
                </w:tcPr>
                <w:p w14:paraId="7E731796">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2BA0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gridSpan w:val="2"/>
                  <w:vMerge w:val="continue"/>
                  <w:vAlign w:val="center"/>
                </w:tcPr>
                <w:p w14:paraId="03FEC753">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1F66CDC3">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continue"/>
                  <w:vAlign w:val="center"/>
                </w:tcPr>
                <w:p w14:paraId="12F0448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090" w:type="dxa"/>
                  <w:vAlign w:val="center"/>
                </w:tcPr>
                <w:p w14:paraId="7FAD57E5">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禁止新建燃料类煤气发生炉（园区现有企业统一建设的清洁煤制气中心除外）。</w:t>
                  </w:r>
                </w:p>
              </w:tc>
              <w:tc>
                <w:tcPr>
                  <w:tcW w:w="3015" w:type="dxa"/>
                  <w:vAlign w:val="center"/>
                </w:tcPr>
                <w:p w14:paraId="34D1FDAC">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本项目无煤气发生炉。</w:t>
                  </w:r>
                </w:p>
              </w:tc>
              <w:tc>
                <w:tcPr>
                  <w:tcW w:w="472" w:type="dxa"/>
                  <w:vAlign w:val="center"/>
                </w:tcPr>
                <w:p w14:paraId="0DAD564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64BD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gridSpan w:val="2"/>
                  <w:vMerge w:val="continue"/>
                  <w:vAlign w:val="center"/>
                </w:tcPr>
                <w:p w14:paraId="2C56585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0766FC6A">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continue"/>
                  <w:vAlign w:val="center"/>
                </w:tcPr>
                <w:p w14:paraId="5EC00E5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090" w:type="dxa"/>
                  <w:vAlign w:val="center"/>
                </w:tcPr>
                <w:p w14:paraId="1939039E">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严禁新增钢铁、焦化、电解铝、铸造、水泥和平板玻璃等产能；严格执行钢铁、水泥、平板玻璃等行业产能置换实施办法。</w:t>
                  </w:r>
                </w:p>
              </w:tc>
              <w:tc>
                <w:tcPr>
                  <w:tcW w:w="3015" w:type="dxa"/>
                  <w:vAlign w:val="center"/>
                </w:tcPr>
                <w:p w14:paraId="1ECA881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本项目属于日用塑料制品制造【C2927】</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不属于</w:t>
                  </w:r>
                  <w:r>
                    <w:rPr>
                      <w:rFonts w:hint="default" w:ascii="Times New Roman" w:hAnsi="Times New Roman" w:eastAsia="宋体" w:cs="Times New Roman"/>
                      <w:b w:val="0"/>
                      <w:bCs/>
                      <w:color w:val="auto"/>
                      <w:kern w:val="0"/>
                      <w:sz w:val="21"/>
                      <w:szCs w:val="21"/>
                      <w:lang w:val="en-US" w:eastAsia="zh-CN"/>
                    </w:rPr>
                    <w:t>钢铁、水泥、平板玻璃等行业</w:t>
                  </w:r>
                </w:p>
              </w:tc>
              <w:tc>
                <w:tcPr>
                  <w:tcW w:w="472" w:type="dxa"/>
                  <w:vAlign w:val="center"/>
                </w:tcPr>
                <w:p w14:paraId="30D71576">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12CE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gridSpan w:val="2"/>
                  <w:vMerge w:val="continue"/>
                  <w:vAlign w:val="center"/>
                </w:tcPr>
                <w:p w14:paraId="2B13D7ED">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2DFA969F">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continue"/>
                  <w:vAlign w:val="center"/>
                </w:tcPr>
                <w:p w14:paraId="32EA79C6">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090" w:type="dxa"/>
                  <w:vAlign w:val="center"/>
                </w:tcPr>
                <w:p w14:paraId="1B6F6DCB">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严格执行</w:t>
                  </w:r>
                  <w:r>
                    <w:rPr>
                      <w:rFonts w:hint="eastAsia" w:ascii="宋体" w:hAnsi="宋体" w:eastAsia="宋体" w:cs="宋体"/>
                      <w:b w:val="0"/>
                      <w:bCs/>
                      <w:color w:val="auto"/>
                      <w:kern w:val="0"/>
                      <w:sz w:val="21"/>
                      <w:szCs w:val="21"/>
                      <w:lang w:val="en-US" w:eastAsia="zh-CN"/>
                    </w:rPr>
                    <w:t>国家关于“两高”产业准入目录和产能总量控制政</w:t>
                  </w:r>
                  <w:r>
                    <w:rPr>
                      <w:rFonts w:hint="default" w:ascii="Times New Roman" w:hAnsi="Times New Roman" w:eastAsia="宋体" w:cs="Times New Roman"/>
                      <w:b w:val="0"/>
                      <w:bCs/>
                      <w:color w:val="auto"/>
                      <w:kern w:val="0"/>
                      <w:sz w:val="21"/>
                      <w:szCs w:val="21"/>
                      <w:lang w:val="en-US" w:eastAsia="zh-CN"/>
                    </w:rPr>
                    <w:t>策措施。严禁新增钢铁、焦化、电解铝、铸造、水泥和平板玻璃等产能；新、改、扩建涉及大宗物料运输的建设项目，原则上不得采用公路运输。</w:t>
                  </w:r>
                </w:p>
              </w:tc>
              <w:tc>
                <w:tcPr>
                  <w:tcW w:w="3015" w:type="dxa"/>
                  <w:vAlign w:val="center"/>
                </w:tcPr>
                <w:p w14:paraId="63923193">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本项目属于日用塑料制品制造【C2927】</w:t>
                  </w:r>
                  <w:r>
                    <w:rPr>
                      <w:rFonts w:hint="eastAsia" w:ascii="Times New Roman" w:hAnsi="Times New Roman"/>
                      <w:b w:val="0"/>
                      <w:bCs w:val="0"/>
                      <w:color w:val="auto"/>
                      <w:sz w:val="21"/>
                      <w:szCs w:val="21"/>
                      <w:lang w:val="en-US" w:eastAsia="zh-CN"/>
                    </w:rPr>
                    <w:t>。对照《关于印发&lt;安徽省“两高”项目管理目录（试行）&gt;的通知》（皖节能【2022】2号，2022年06月21日，安徽省节能减排及应对气候变化工作领导小组），本项目不属于“两高”项目。</w:t>
                  </w:r>
                </w:p>
              </w:tc>
              <w:tc>
                <w:tcPr>
                  <w:tcW w:w="472" w:type="dxa"/>
                  <w:vAlign w:val="center"/>
                </w:tcPr>
                <w:p w14:paraId="7CAE7ED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22D6A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gridSpan w:val="2"/>
                  <w:vMerge w:val="continue"/>
                  <w:vAlign w:val="center"/>
                </w:tcPr>
                <w:p w14:paraId="43917404">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7323265D">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continue"/>
                  <w:vAlign w:val="center"/>
                </w:tcPr>
                <w:p w14:paraId="394A3F4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090" w:type="dxa"/>
                  <w:vAlign w:val="center"/>
                </w:tcPr>
                <w:p w14:paraId="78607F2A">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禁止建设生产和使用高</w:t>
                  </w:r>
                  <w:r>
                    <w:rPr>
                      <w:rFonts w:hint="eastAsia" w:ascii="Times New Roman" w:hAnsi="Times New Roman" w:eastAsia="宋体" w:cs="Times New Roman"/>
                      <w:b w:val="0"/>
                      <w:bCs/>
                      <w:color w:val="auto"/>
                      <w:kern w:val="0"/>
                      <w:sz w:val="21"/>
                      <w:szCs w:val="21"/>
                      <w:lang w:val="en-US" w:eastAsia="zh-CN"/>
                    </w:rPr>
                    <w:t>VOCs</w:t>
                  </w:r>
                  <w:r>
                    <w:rPr>
                      <w:rFonts w:hint="default" w:ascii="Times New Roman" w:hAnsi="Times New Roman" w:eastAsia="宋体" w:cs="Times New Roman"/>
                      <w:b w:val="0"/>
                      <w:bCs/>
                      <w:color w:val="auto"/>
                      <w:kern w:val="0"/>
                      <w:sz w:val="21"/>
                      <w:szCs w:val="21"/>
                      <w:lang w:val="en-US" w:eastAsia="zh-CN"/>
                    </w:rPr>
                    <w:t>含量</w:t>
                  </w:r>
                  <w:r>
                    <w:rPr>
                      <w:rFonts w:hint="eastAsia" w:ascii="Times New Roman" w:hAnsi="Times New Roman" w:eastAsia="宋体" w:cs="Times New Roman"/>
                      <w:b w:val="0"/>
                      <w:bCs/>
                      <w:color w:val="auto"/>
                      <w:kern w:val="0"/>
                      <w:sz w:val="21"/>
                      <w:szCs w:val="21"/>
                      <w:lang w:val="en-US" w:eastAsia="zh-CN"/>
                    </w:rPr>
                    <w:t>的溶剂型涂料、油墨、胶粘剂等项目</w:t>
                  </w:r>
                  <w:r>
                    <w:rPr>
                      <w:rFonts w:hint="default" w:ascii="Times New Roman" w:hAnsi="Times New Roman" w:eastAsia="宋体" w:cs="Times New Roman"/>
                      <w:b w:val="0"/>
                      <w:bCs/>
                      <w:color w:val="auto"/>
                      <w:kern w:val="0"/>
                      <w:sz w:val="21"/>
                      <w:szCs w:val="21"/>
                      <w:lang w:val="en-US" w:eastAsia="zh-CN"/>
                    </w:rPr>
                    <w:t>。</w:t>
                  </w:r>
                </w:p>
              </w:tc>
              <w:tc>
                <w:tcPr>
                  <w:tcW w:w="3015" w:type="dxa"/>
                  <w:vAlign w:val="center"/>
                </w:tcPr>
                <w:p w14:paraId="746E6904">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本项目不涉及</w:t>
                  </w:r>
                  <w:r>
                    <w:rPr>
                      <w:rFonts w:hint="default" w:ascii="Times New Roman" w:hAnsi="Times New Roman" w:eastAsia="宋体" w:cs="Times New Roman"/>
                      <w:b w:val="0"/>
                      <w:bCs/>
                      <w:color w:val="auto"/>
                      <w:kern w:val="0"/>
                      <w:sz w:val="21"/>
                      <w:szCs w:val="21"/>
                      <w:lang w:val="en-US" w:eastAsia="zh-CN"/>
                    </w:rPr>
                    <w:t>。</w:t>
                  </w:r>
                </w:p>
              </w:tc>
              <w:tc>
                <w:tcPr>
                  <w:tcW w:w="472" w:type="dxa"/>
                  <w:vAlign w:val="center"/>
                </w:tcPr>
                <w:p w14:paraId="29A673A8">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7A0C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gridSpan w:val="2"/>
                  <w:vMerge w:val="continue"/>
                  <w:vAlign w:val="center"/>
                </w:tcPr>
                <w:p w14:paraId="327986C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45C29BE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continue"/>
                  <w:vAlign w:val="center"/>
                </w:tcPr>
                <w:p w14:paraId="64E147BC">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090" w:type="dxa"/>
                  <w:vAlign w:val="center"/>
                </w:tcPr>
                <w:p w14:paraId="5C8B6CBD">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禁止新建、扩建分散燃煤供热锅炉。</w:t>
                  </w:r>
                </w:p>
              </w:tc>
              <w:tc>
                <w:tcPr>
                  <w:tcW w:w="3015" w:type="dxa"/>
                  <w:vAlign w:val="center"/>
                </w:tcPr>
                <w:p w14:paraId="22CAD6CE">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本项目不使用分散燃煤供热锅炉。</w:t>
                  </w:r>
                </w:p>
              </w:tc>
              <w:tc>
                <w:tcPr>
                  <w:tcW w:w="472" w:type="dxa"/>
                  <w:vAlign w:val="center"/>
                </w:tcPr>
                <w:p w14:paraId="00DECA3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1CD2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gridSpan w:val="2"/>
                  <w:vMerge w:val="continue"/>
                  <w:vAlign w:val="center"/>
                </w:tcPr>
                <w:p w14:paraId="0834551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5E366A0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continue"/>
                  <w:vAlign w:val="center"/>
                </w:tcPr>
                <w:p w14:paraId="0BCA9348">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090" w:type="dxa"/>
                  <w:vAlign w:val="center"/>
                </w:tcPr>
                <w:p w14:paraId="385739E4">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在城市规划区内禁止新建、扩建大气污染严重的建设项目。</w:t>
                  </w:r>
                </w:p>
              </w:tc>
              <w:tc>
                <w:tcPr>
                  <w:tcW w:w="3015" w:type="dxa"/>
                  <w:vAlign w:val="center"/>
                </w:tcPr>
                <w:p w14:paraId="55AF6AE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本项目属于日用塑料制品制造【C2927】</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不属于大气污染严重的建设项目。</w:t>
                  </w:r>
                </w:p>
              </w:tc>
              <w:tc>
                <w:tcPr>
                  <w:tcW w:w="472" w:type="dxa"/>
                  <w:vAlign w:val="center"/>
                </w:tcPr>
                <w:p w14:paraId="2EA39AE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2679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gridSpan w:val="2"/>
                  <w:vMerge w:val="continue"/>
                  <w:vAlign w:val="center"/>
                </w:tcPr>
                <w:p w14:paraId="3A6F2F7A">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4B75BD1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continue"/>
                  <w:vAlign w:val="center"/>
                </w:tcPr>
                <w:p w14:paraId="087C725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090" w:type="dxa"/>
                  <w:vAlign w:val="center"/>
                </w:tcPr>
                <w:p w14:paraId="6342045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在燃气管网和集中供热管网覆盖的区域，不得新建、扩建、改建燃烧煤炭、重油、渣油的供热设施；原有分散的中小型燃煤供热锅炉应当限期拆除。</w:t>
                  </w:r>
                </w:p>
              </w:tc>
              <w:tc>
                <w:tcPr>
                  <w:tcW w:w="3015" w:type="dxa"/>
                  <w:vAlign w:val="center"/>
                </w:tcPr>
                <w:p w14:paraId="5E403C5C">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b w:val="0"/>
                      <w:bCs w:val="0"/>
                      <w:color w:val="auto"/>
                      <w:sz w:val="21"/>
                      <w:szCs w:val="21"/>
                      <w:lang w:val="en-US" w:eastAsia="zh-CN"/>
                    </w:rPr>
                  </w:pPr>
                  <w:r>
                    <w:rPr>
                      <w:rFonts w:hint="eastAsia" w:ascii="Times New Roman" w:hAnsi="Times New Roman" w:eastAsia="宋体" w:cs="Times New Roman"/>
                      <w:b w:val="0"/>
                      <w:bCs/>
                      <w:color w:val="auto"/>
                      <w:kern w:val="0"/>
                      <w:sz w:val="21"/>
                      <w:szCs w:val="21"/>
                      <w:lang w:val="en-US" w:eastAsia="zh-CN"/>
                    </w:rPr>
                    <w:t>本项目不涉及燃料使用。</w:t>
                  </w:r>
                </w:p>
              </w:tc>
              <w:tc>
                <w:tcPr>
                  <w:tcW w:w="472" w:type="dxa"/>
                  <w:vAlign w:val="center"/>
                </w:tcPr>
                <w:p w14:paraId="6796733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5641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gridSpan w:val="2"/>
                  <w:vMerge w:val="continue"/>
                  <w:vAlign w:val="center"/>
                </w:tcPr>
                <w:p w14:paraId="37CA059F">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0E1232B1">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continue"/>
                  <w:vAlign w:val="center"/>
                </w:tcPr>
                <w:p w14:paraId="0B38576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090" w:type="dxa"/>
                  <w:vAlign w:val="center"/>
                </w:tcPr>
                <w:p w14:paraId="159172DF">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在机关、学校、医院、居民住宅区等人口集中地区和其他依法需要特殊保护的区域内，禁止从事下列生产活动：</w:t>
                  </w:r>
                </w:p>
                <w:p w14:paraId="79EAFB52">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（1）橡胶制品生产、经营性喷漆、制骨胶、制骨粉、屠宰、畜禽养殖、生物发酵等产生恶臭、有毒有害气体的生产经营活动；</w:t>
                  </w:r>
                </w:p>
                <w:p w14:paraId="5C31EBCC">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color w:val="auto"/>
                      <w:lang w:val="en-US" w:eastAsia="zh-CN"/>
                    </w:rPr>
                  </w:pPr>
                  <w:r>
                    <w:rPr>
                      <w:rFonts w:hint="eastAsia" w:ascii="Times New Roman" w:hAnsi="Times New Roman" w:eastAsia="宋体" w:cs="Times New Roman"/>
                      <w:b w:val="0"/>
                      <w:bCs/>
                      <w:color w:val="auto"/>
                      <w:kern w:val="0"/>
                      <w:sz w:val="21"/>
                      <w:szCs w:val="21"/>
                      <w:lang w:val="en-US" w:eastAsia="zh-CN"/>
                    </w:rPr>
                    <w:t>（2）露天焚烧油毡、沥青、橡胶、塑料、皮革、垃圾或者其他可能产生恶臭、有毒有害气体的活动。</w:t>
                  </w:r>
                </w:p>
              </w:tc>
              <w:tc>
                <w:tcPr>
                  <w:tcW w:w="3015" w:type="dxa"/>
                  <w:vAlign w:val="center"/>
                </w:tcPr>
                <w:p w14:paraId="15C694C1">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Times New Roman" w:hAnsi="Times New Roman"/>
                      <w:b w:val="0"/>
                      <w:bCs w:val="0"/>
                      <w:color w:val="auto"/>
                      <w:sz w:val="21"/>
                      <w:szCs w:val="21"/>
                      <w:lang w:val="en-US" w:eastAsia="zh-CN"/>
                    </w:rPr>
                  </w:pPr>
                  <w:r>
                    <w:rPr>
                      <w:rFonts w:hint="eastAsia" w:ascii="Times New Roman" w:hAnsi="Times New Roman" w:eastAsia="宋体" w:cs="Times New Roman"/>
                      <w:b w:val="0"/>
                      <w:bCs/>
                      <w:color w:val="auto"/>
                      <w:kern w:val="0"/>
                      <w:sz w:val="21"/>
                      <w:szCs w:val="21"/>
                      <w:lang w:val="en-US" w:eastAsia="zh-CN"/>
                    </w:rPr>
                    <w:t>本项目位于安徽省宿州市泗县泗水街道唐河路与赤山路交汇处东150米绿朗光电智慧产业园6栋2号，不在机关、学校、医院、居民住宅区等人口集中地区和其他依法需要特殊保护的区域内。</w:t>
                  </w:r>
                </w:p>
              </w:tc>
              <w:tc>
                <w:tcPr>
                  <w:tcW w:w="472" w:type="dxa"/>
                  <w:vAlign w:val="center"/>
                </w:tcPr>
                <w:p w14:paraId="07574739">
                  <w:pPr>
                    <w:autoSpaceDE w:val="0"/>
                    <w:autoSpaceDN w:val="0"/>
                    <w:adjustRightInd w:val="0"/>
                    <w:spacing w:line="240" w:lineRule="auto"/>
                    <w:jc w:val="center"/>
                    <w:rPr>
                      <w:rFonts w:hint="eastAsia" w:ascii="Times New Roman" w:hAnsi="Times New Roman" w:eastAsia="宋体" w:cs="Times New Roman"/>
                      <w:b w:val="0"/>
                      <w:bCs/>
                      <w:color w:val="auto"/>
                      <w:kern w:val="0"/>
                      <w:sz w:val="21"/>
                      <w:szCs w:val="21"/>
                      <w:lang w:val="en-US" w:eastAsia="zh-CN"/>
                    </w:rPr>
                  </w:pPr>
                </w:p>
              </w:tc>
            </w:tr>
            <w:tr w14:paraId="52DD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gridSpan w:val="2"/>
                  <w:vMerge w:val="continue"/>
                  <w:vAlign w:val="center"/>
                </w:tcPr>
                <w:p w14:paraId="3F330C0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183370B8">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continue"/>
                  <w:vAlign w:val="center"/>
                </w:tcPr>
                <w:p w14:paraId="477695F3">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090" w:type="dxa"/>
                  <w:vAlign w:val="center"/>
                </w:tcPr>
                <w:p w14:paraId="33CA5D3E">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严禁钢铁、水泥、电解铝、平板玻璃等行业新增产能，对确有必要新建的必须实施等量或减量置换。</w:t>
                  </w:r>
                </w:p>
              </w:tc>
              <w:tc>
                <w:tcPr>
                  <w:tcW w:w="3015" w:type="dxa"/>
                  <w:vAlign w:val="center"/>
                </w:tcPr>
                <w:p w14:paraId="348760CB">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本项目属于日用塑料制品制造【C2927】</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不属于</w:t>
                  </w:r>
                  <w:r>
                    <w:rPr>
                      <w:rFonts w:hint="eastAsia" w:ascii="Times New Roman" w:hAnsi="Times New Roman" w:eastAsia="宋体" w:cs="Times New Roman"/>
                      <w:b w:val="0"/>
                      <w:bCs/>
                      <w:color w:val="auto"/>
                      <w:kern w:val="0"/>
                      <w:sz w:val="21"/>
                      <w:szCs w:val="21"/>
                      <w:lang w:val="en-US" w:eastAsia="zh-CN"/>
                    </w:rPr>
                    <w:t>钢铁、水泥、电解铝、平板玻璃</w:t>
                  </w:r>
                  <w:r>
                    <w:rPr>
                      <w:rFonts w:hint="default" w:ascii="Times New Roman" w:hAnsi="Times New Roman" w:eastAsia="宋体" w:cs="Times New Roman"/>
                      <w:b w:val="0"/>
                      <w:bCs/>
                      <w:color w:val="auto"/>
                      <w:kern w:val="0"/>
                      <w:sz w:val="21"/>
                      <w:szCs w:val="21"/>
                      <w:lang w:val="en-US" w:eastAsia="zh-CN"/>
                    </w:rPr>
                    <w:t>等</w:t>
                  </w:r>
                  <w:r>
                    <w:rPr>
                      <w:rFonts w:hint="eastAsia" w:ascii="Times New Roman" w:hAnsi="Times New Roman" w:eastAsia="宋体" w:cs="Times New Roman"/>
                      <w:b w:val="0"/>
                      <w:bCs/>
                      <w:color w:val="auto"/>
                      <w:kern w:val="0"/>
                      <w:sz w:val="21"/>
                      <w:szCs w:val="21"/>
                      <w:lang w:val="en-US" w:eastAsia="zh-CN"/>
                    </w:rPr>
                    <w:t>行业。</w:t>
                  </w:r>
                </w:p>
              </w:tc>
              <w:tc>
                <w:tcPr>
                  <w:tcW w:w="472" w:type="dxa"/>
                  <w:vAlign w:val="center"/>
                </w:tcPr>
                <w:p w14:paraId="4DA12FE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079B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gridSpan w:val="2"/>
                  <w:vMerge w:val="continue"/>
                  <w:vAlign w:val="center"/>
                </w:tcPr>
                <w:p w14:paraId="63FDD48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4AB10E73">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restart"/>
                  <w:vAlign w:val="center"/>
                </w:tcPr>
                <w:p w14:paraId="1006E404">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限制</w:t>
                  </w:r>
                </w:p>
                <w:p w14:paraId="3A91F96D">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开发</w:t>
                  </w:r>
                </w:p>
                <w:p w14:paraId="438D13F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建设</w:t>
                  </w:r>
                </w:p>
                <w:p w14:paraId="4F8A0605">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活动</w:t>
                  </w:r>
                </w:p>
                <w:p w14:paraId="58BEEE5F">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的要</w:t>
                  </w:r>
                </w:p>
                <w:p w14:paraId="2CB0E7A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求</w:t>
                  </w:r>
                </w:p>
              </w:tc>
              <w:tc>
                <w:tcPr>
                  <w:tcW w:w="3090" w:type="dxa"/>
                  <w:vAlign w:val="center"/>
                </w:tcPr>
                <w:p w14:paraId="2861C2BB">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加大钢铁、铸造、炼焦、建材、电解铝等产能压减力度。</w:t>
                  </w:r>
                </w:p>
              </w:tc>
              <w:tc>
                <w:tcPr>
                  <w:tcW w:w="3015" w:type="dxa"/>
                  <w:vAlign w:val="center"/>
                </w:tcPr>
                <w:p w14:paraId="1B39733C">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本项目属于日用塑料制品制造【C2927】</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不属于</w:t>
                  </w:r>
                  <w:r>
                    <w:rPr>
                      <w:rFonts w:hint="default" w:ascii="Times New Roman" w:hAnsi="Times New Roman" w:eastAsia="宋体" w:cs="Times New Roman"/>
                      <w:b w:val="0"/>
                      <w:bCs/>
                      <w:color w:val="auto"/>
                      <w:kern w:val="0"/>
                      <w:sz w:val="21"/>
                      <w:szCs w:val="21"/>
                      <w:lang w:val="en-US" w:eastAsia="zh-CN"/>
                    </w:rPr>
                    <w:t>钢铁、铸造、炼焦、建材、电解铝等</w:t>
                  </w:r>
                  <w:r>
                    <w:rPr>
                      <w:rFonts w:hint="eastAsia" w:ascii="Times New Roman" w:hAnsi="Times New Roman" w:eastAsia="宋体" w:cs="Times New Roman"/>
                      <w:b w:val="0"/>
                      <w:bCs/>
                      <w:color w:val="auto"/>
                      <w:kern w:val="0"/>
                      <w:sz w:val="21"/>
                      <w:szCs w:val="21"/>
                      <w:lang w:val="en-US" w:eastAsia="zh-CN"/>
                    </w:rPr>
                    <w:t>行业。</w:t>
                  </w:r>
                </w:p>
              </w:tc>
              <w:tc>
                <w:tcPr>
                  <w:tcW w:w="472" w:type="dxa"/>
                  <w:vAlign w:val="center"/>
                </w:tcPr>
                <w:p w14:paraId="1153362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2210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gridSpan w:val="2"/>
                  <w:vMerge w:val="continue"/>
                  <w:vAlign w:val="center"/>
                </w:tcPr>
                <w:p w14:paraId="5A6B7DEF">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168ED8B4">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continue"/>
                  <w:vAlign w:val="center"/>
                </w:tcPr>
                <w:p w14:paraId="09422D21">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090" w:type="dxa"/>
                  <w:vAlign w:val="center"/>
                </w:tcPr>
                <w:p w14:paraId="69E8210D">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严格资源节约和环保准入门槛，转入项目必须符合国家产业政策、资源节约和污染物排放强度要求，避免产业转移中的资源浪费和污染扩散。</w:t>
                  </w:r>
                </w:p>
              </w:tc>
              <w:tc>
                <w:tcPr>
                  <w:tcW w:w="3015" w:type="dxa"/>
                  <w:vAlign w:val="center"/>
                </w:tcPr>
                <w:p w14:paraId="75A89FD4">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本项目属于日用塑料制品制造【C2927】</w:t>
                  </w:r>
                  <w:r>
                    <w:rPr>
                      <w:rFonts w:hint="eastAsia" w:ascii="Times New Roman" w:hAnsi="Times New Roman" w:cs="Times New Roman"/>
                      <w:color w:val="auto"/>
                      <w:sz w:val="21"/>
                      <w:szCs w:val="21"/>
                      <w:lang w:eastAsia="zh-CN"/>
                    </w:rPr>
                    <w:t>，且项目资源使用和污染物排放均符合国家规定和地方要求</w:t>
                  </w:r>
                </w:p>
              </w:tc>
              <w:tc>
                <w:tcPr>
                  <w:tcW w:w="472" w:type="dxa"/>
                  <w:vAlign w:val="center"/>
                </w:tcPr>
                <w:p w14:paraId="54366731">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3EAE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gridSpan w:val="2"/>
                  <w:vMerge w:val="continue"/>
                  <w:vAlign w:val="center"/>
                </w:tcPr>
                <w:p w14:paraId="6AF76AF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5FE0DF6B">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continue"/>
                  <w:vAlign w:val="center"/>
                </w:tcPr>
                <w:p w14:paraId="3DA4221B">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090" w:type="dxa"/>
                  <w:vAlign w:val="center"/>
                </w:tcPr>
                <w:p w14:paraId="74555924">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加大落后产能淘汰和过剩产能压减力度。严防</w:t>
                  </w:r>
                  <w:r>
                    <w:rPr>
                      <w:rFonts w:hint="eastAsia" w:ascii="宋体" w:hAnsi="宋体" w:eastAsia="宋体" w:cs="宋体"/>
                      <w:b w:val="0"/>
                      <w:bCs/>
                      <w:color w:val="auto"/>
                      <w:kern w:val="0"/>
                      <w:sz w:val="21"/>
                      <w:szCs w:val="21"/>
                      <w:lang w:val="en-US" w:eastAsia="zh-CN"/>
                    </w:rPr>
                    <w:t>“地条钢”死</w:t>
                  </w:r>
                  <w:r>
                    <w:rPr>
                      <w:rFonts w:hint="default" w:ascii="Times New Roman" w:hAnsi="Times New Roman" w:eastAsia="宋体" w:cs="Times New Roman"/>
                      <w:b w:val="0"/>
                      <w:bCs/>
                      <w:color w:val="auto"/>
                      <w:kern w:val="0"/>
                      <w:sz w:val="21"/>
                      <w:szCs w:val="21"/>
                      <w:lang w:val="en-US" w:eastAsia="zh-CN"/>
                    </w:rPr>
                    <w:t>灰复燃。</w:t>
                  </w:r>
                </w:p>
              </w:tc>
              <w:tc>
                <w:tcPr>
                  <w:tcW w:w="3015" w:type="dxa"/>
                  <w:vAlign w:val="center"/>
                </w:tcPr>
                <w:p w14:paraId="0A040EF4">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本项目属于日用塑料制品制造【C2927】</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不属于淘汰落后类产业。</w:t>
                  </w:r>
                </w:p>
              </w:tc>
              <w:tc>
                <w:tcPr>
                  <w:tcW w:w="472" w:type="dxa"/>
                  <w:vAlign w:val="center"/>
                </w:tcPr>
                <w:p w14:paraId="57B73BB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23AE8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gridSpan w:val="2"/>
                  <w:vMerge w:val="continue"/>
                  <w:vAlign w:val="center"/>
                </w:tcPr>
                <w:p w14:paraId="27BC971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5EEF279C">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restart"/>
                  <w:vAlign w:val="center"/>
                </w:tcPr>
                <w:p w14:paraId="2FE33854">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不符</w:t>
                  </w:r>
                </w:p>
                <w:p w14:paraId="04F6B4A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合空</w:t>
                  </w:r>
                </w:p>
                <w:p w14:paraId="67430E46">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间布</w:t>
                  </w:r>
                </w:p>
                <w:p w14:paraId="5CC29BA8">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局要</w:t>
                  </w:r>
                </w:p>
                <w:p w14:paraId="6F37FDE3">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求活</w:t>
                  </w:r>
                </w:p>
                <w:p w14:paraId="233E0E4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动的</w:t>
                  </w:r>
                </w:p>
                <w:p w14:paraId="26581DD8">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退出</w:t>
                  </w:r>
                </w:p>
                <w:p w14:paraId="413F3BD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要求</w:t>
                  </w:r>
                </w:p>
              </w:tc>
              <w:tc>
                <w:tcPr>
                  <w:tcW w:w="3090" w:type="dxa"/>
                  <w:vAlign w:val="center"/>
                </w:tcPr>
                <w:p w14:paraId="67516D14">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color w:val="auto"/>
                      <w:kern w:val="0"/>
                      <w:szCs w:val="21"/>
                    </w:rPr>
                    <w:t>坚决关停用地、工商手续不全并难以通过改造达标的企业，限期治理可以达标改造的企业，逾期依法一律关停。</w:t>
                  </w:r>
                  <w:r>
                    <w:rPr>
                      <w:rFonts w:hint="default" w:ascii="Times New Roman" w:hAnsi="Times New Roman" w:cs="Times New Roman"/>
                      <w:color w:val="auto"/>
                      <w:kern w:val="0"/>
                      <w:szCs w:val="21"/>
                    </w:rPr>
                    <w:t>到2020</w:t>
                  </w:r>
                  <w:r>
                    <w:rPr>
                      <w:color w:val="auto"/>
                      <w:kern w:val="0"/>
                      <w:szCs w:val="21"/>
                    </w:rPr>
                    <w:t>年，具备改造条件的燃煤电厂全部完成超低排放改造，重点区域不具备改造条件的高污染燃煤电厂逐步关停。</w:t>
                  </w:r>
                </w:p>
              </w:tc>
              <w:tc>
                <w:tcPr>
                  <w:tcW w:w="3015" w:type="dxa"/>
                  <w:vAlign w:val="center"/>
                </w:tcPr>
                <w:p w14:paraId="34FBBF7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本项目不涉及。</w:t>
                  </w:r>
                </w:p>
              </w:tc>
              <w:tc>
                <w:tcPr>
                  <w:tcW w:w="472" w:type="dxa"/>
                  <w:vAlign w:val="center"/>
                </w:tcPr>
                <w:p w14:paraId="63B3FE4C">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0F9F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gridSpan w:val="2"/>
                  <w:vMerge w:val="continue"/>
                  <w:vAlign w:val="center"/>
                </w:tcPr>
                <w:p w14:paraId="046935B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640F501B">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continue"/>
                  <w:vAlign w:val="center"/>
                </w:tcPr>
                <w:p w14:paraId="7FD0649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090" w:type="dxa"/>
                  <w:vAlign w:val="center"/>
                </w:tcPr>
                <w:p w14:paraId="40FDF737">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color w:val="auto"/>
                      <w:kern w:val="0"/>
                      <w:szCs w:val="21"/>
                    </w:rPr>
                    <w:t>全面开展</w:t>
                  </w:r>
                  <w:r>
                    <w:rPr>
                      <w:rFonts w:hint="eastAsia"/>
                      <w:color w:val="auto"/>
                      <w:kern w:val="0"/>
                      <w:szCs w:val="21"/>
                      <w:lang w:eastAsia="zh-CN"/>
                    </w:rPr>
                    <w:t>“</w:t>
                  </w:r>
                  <w:r>
                    <w:rPr>
                      <w:rFonts w:hint="eastAsia"/>
                      <w:color w:val="auto"/>
                      <w:kern w:val="0"/>
                      <w:szCs w:val="21"/>
                      <w:lang w:val="en-US" w:eastAsia="zh-CN"/>
                    </w:rPr>
                    <w:t>散乱污</w:t>
                  </w:r>
                  <w:r>
                    <w:rPr>
                      <w:rFonts w:hint="eastAsia"/>
                      <w:color w:val="auto"/>
                      <w:kern w:val="0"/>
                      <w:szCs w:val="21"/>
                      <w:lang w:eastAsia="zh-CN"/>
                    </w:rPr>
                    <w:t>”</w:t>
                  </w:r>
                  <w:r>
                    <w:rPr>
                      <w:color w:val="auto"/>
                      <w:kern w:val="0"/>
                      <w:szCs w:val="21"/>
                    </w:rPr>
                    <w:t>企业及集群综合整治行动。细化</w:t>
                  </w:r>
                  <w:r>
                    <w:rPr>
                      <w:rFonts w:hint="eastAsia"/>
                      <w:color w:val="auto"/>
                      <w:kern w:val="0"/>
                      <w:szCs w:val="21"/>
                      <w:lang w:eastAsia="zh-CN"/>
                    </w:rPr>
                    <w:t>“</w:t>
                  </w:r>
                  <w:r>
                    <w:rPr>
                      <w:rFonts w:hint="eastAsia"/>
                      <w:color w:val="auto"/>
                      <w:kern w:val="0"/>
                      <w:szCs w:val="21"/>
                      <w:lang w:val="en-US" w:eastAsia="zh-CN"/>
                    </w:rPr>
                    <w:t>散乱污</w:t>
                  </w:r>
                  <w:r>
                    <w:rPr>
                      <w:rFonts w:hint="eastAsia"/>
                      <w:color w:val="auto"/>
                      <w:kern w:val="0"/>
                      <w:szCs w:val="21"/>
                      <w:lang w:eastAsia="zh-CN"/>
                    </w:rPr>
                    <w:t>”</w:t>
                  </w:r>
                  <w:r>
                    <w:rPr>
                      <w:color w:val="auto"/>
                      <w:kern w:val="0"/>
                      <w:szCs w:val="21"/>
                    </w:rPr>
                    <w:t>企业及集群整治标准。列入整合搬迁类的，要按照产业发展规模化、现代化的原则，搬迁至合规工业园区并实施升级改造。</w:t>
                  </w:r>
                </w:p>
              </w:tc>
              <w:tc>
                <w:tcPr>
                  <w:tcW w:w="3015" w:type="dxa"/>
                  <w:vAlign w:val="center"/>
                </w:tcPr>
                <w:p w14:paraId="0CD5DDA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本项目不涉及。</w:t>
                  </w:r>
                </w:p>
              </w:tc>
              <w:tc>
                <w:tcPr>
                  <w:tcW w:w="472" w:type="dxa"/>
                  <w:vAlign w:val="center"/>
                </w:tcPr>
                <w:p w14:paraId="2CC3030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645E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gridSpan w:val="2"/>
                  <w:vMerge w:val="continue"/>
                  <w:vAlign w:val="center"/>
                </w:tcPr>
                <w:p w14:paraId="5B564B0C">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46A0E13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restart"/>
                  <w:vAlign w:val="center"/>
                </w:tcPr>
                <w:p w14:paraId="33282475">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其他</w:t>
                  </w:r>
                </w:p>
                <w:p w14:paraId="4895334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空间</w:t>
                  </w:r>
                </w:p>
                <w:p w14:paraId="55632D8B">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布局</w:t>
                  </w:r>
                </w:p>
                <w:p w14:paraId="64931E23">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约束</w:t>
                  </w:r>
                </w:p>
                <w:p w14:paraId="0F0E19E3">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要求</w:t>
                  </w:r>
                </w:p>
              </w:tc>
              <w:tc>
                <w:tcPr>
                  <w:tcW w:w="3090" w:type="dxa"/>
                  <w:vAlign w:val="center"/>
                </w:tcPr>
                <w:p w14:paraId="2EDCC6D9">
                  <w:pPr>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eastAsia" w:ascii="宋体" w:hAnsi="宋体" w:eastAsia="宋体" w:cs="宋体"/>
                      <w:b w:val="0"/>
                      <w:bCs/>
                      <w:color w:val="auto"/>
                      <w:kern w:val="0"/>
                      <w:sz w:val="21"/>
                      <w:szCs w:val="21"/>
                      <w:lang w:val="en-US" w:eastAsia="zh-CN"/>
                    </w:rPr>
                  </w:pPr>
                  <w:r>
                    <w:rPr>
                      <w:rFonts w:hint="eastAsia" w:ascii="宋体" w:hAnsi="宋体" w:eastAsia="宋体" w:cs="宋体"/>
                      <w:color w:val="auto"/>
                      <w:kern w:val="0"/>
                      <w:szCs w:val="21"/>
                    </w:rPr>
                    <w:t>强化“散乱污”企业综合整治。全面开展“散乱污”企业及集群综合整治行动。根据产业政策、产业布局规划，以及土地、环保、质量、安全、能耗等要求，制定“散乱污”企业及集群整治标准。按照“先停后治”的原则，实施分类处置。</w:t>
                  </w:r>
                </w:p>
              </w:tc>
              <w:tc>
                <w:tcPr>
                  <w:tcW w:w="3015" w:type="dxa"/>
                  <w:vAlign w:val="center"/>
                </w:tcPr>
                <w:p w14:paraId="5BC43425">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项目位于</w:t>
                  </w:r>
                  <w:r>
                    <w:rPr>
                      <w:rFonts w:hint="eastAsia" w:ascii="Times New Roman" w:hAnsi="Times New Roman" w:eastAsia="宋体" w:cs="Times New Roman"/>
                      <w:b w:val="0"/>
                      <w:bCs/>
                      <w:color w:val="auto"/>
                      <w:kern w:val="0"/>
                      <w:sz w:val="21"/>
                      <w:szCs w:val="21"/>
                      <w:lang w:val="en-US" w:eastAsia="zh-CN"/>
                    </w:rPr>
                    <w:t>安徽省宿州市泗县泗水街道唐河路与赤山路交汇处东150米绿朗光电智慧产业园6栋2号</w:t>
                  </w:r>
                  <w:r>
                    <w:rPr>
                      <w:rFonts w:hint="eastAsia" w:ascii="宋体" w:hAnsi="宋体" w:eastAsia="宋体" w:cs="宋体"/>
                      <w:b w:val="0"/>
                      <w:bCs/>
                      <w:color w:val="auto"/>
                      <w:kern w:val="0"/>
                      <w:sz w:val="21"/>
                      <w:szCs w:val="21"/>
                      <w:lang w:val="en-US" w:eastAsia="zh-CN"/>
                    </w:rPr>
                    <w:t>，不属于“散乱污”企业。</w:t>
                  </w:r>
                </w:p>
              </w:tc>
              <w:tc>
                <w:tcPr>
                  <w:tcW w:w="472" w:type="dxa"/>
                  <w:vAlign w:val="center"/>
                </w:tcPr>
                <w:p w14:paraId="322B34F8">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2DF17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gridSpan w:val="2"/>
                  <w:vMerge w:val="continue"/>
                  <w:vAlign w:val="center"/>
                </w:tcPr>
                <w:p w14:paraId="3AFE1775">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1BB0950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continue"/>
                  <w:vAlign w:val="center"/>
                </w:tcPr>
                <w:p w14:paraId="4F2E54F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090" w:type="dxa"/>
                  <w:vAlign w:val="center"/>
                </w:tcPr>
                <w:p w14:paraId="61E6706B">
                  <w:pPr>
                    <w:keepNext w:val="0"/>
                    <w:keepLines w:val="0"/>
                    <w:pageBreakBefore w:val="0"/>
                    <w:widowControl w:val="0"/>
                    <w:kinsoku/>
                    <w:wordWrap/>
                    <w:overflowPunct/>
                    <w:topLinePunct w:val="0"/>
                    <w:autoSpaceDE/>
                    <w:autoSpaceDN/>
                    <w:bidi w:val="0"/>
                    <w:adjustRightInd w:val="0"/>
                    <w:snapToGrid w:val="0"/>
                    <w:ind w:firstLine="420" w:firstLineChars="200"/>
                    <w:jc w:val="left"/>
                    <w:textAlignment w:val="auto"/>
                    <w:rPr>
                      <w:rFonts w:hint="eastAsia" w:ascii="宋体" w:hAnsi="宋体" w:eastAsia="宋体" w:cs="宋体"/>
                      <w:b w:val="0"/>
                      <w:bCs/>
                      <w:color w:val="auto"/>
                      <w:kern w:val="0"/>
                      <w:sz w:val="21"/>
                      <w:szCs w:val="21"/>
                      <w:lang w:val="en-US" w:eastAsia="zh-CN"/>
                    </w:rPr>
                  </w:pPr>
                  <w:r>
                    <w:rPr>
                      <w:rFonts w:hint="eastAsia" w:ascii="宋体" w:hAnsi="宋体" w:eastAsia="宋体" w:cs="宋体"/>
                      <w:color w:val="auto"/>
                      <w:kern w:val="0"/>
                      <w:szCs w:val="21"/>
                    </w:rPr>
                    <w:t>企业应当全面推进清洁生产，优先采用能源和原材料利用效率高、污染物排放量少的清洁生产技术、工艺和设备，淘汰严重污染大气环境质量的产品、落后工艺和落后设备，减少大气污染物的产生和排放。</w:t>
                  </w:r>
                </w:p>
              </w:tc>
              <w:tc>
                <w:tcPr>
                  <w:tcW w:w="3015" w:type="dxa"/>
                  <w:vAlign w:val="center"/>
                </w:tcPr>
                <w:p w14:paraId="41157E8B">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本项目属于日用塑料制品制造【C2927】</w:t>
                  </w:r>
                  <w:r>
                    <w:rPr>
                      <w:rFonts w:hint="default" w:ascii="Times New Roman" w:hAnsi="Times New Roman" w:eastAsia="宋体" w:cs="Times New Roman"/>
                      <w:b w:val="0"/>
                      <w:bCs/>
                      <w:color w:val="auto"/>
                      <w:kern w:val="0"/>
                      <w:sz w:val="21"/>
                      <w:szCs w:val="21"/>
                      <w:lang w:val="en-US" w:eastAsia="zh-CN"/>
                    </w:rPr>
                    <w:t>，</w:t>
                  </w:r>
                  <w:r>
                    <w:rPr>
                      <w:rFonts w:hint="eastAsia" w:ascii="Times New Roman" w:hAnsi="Times New Roman" w:eastAsia="宋体" w:cs="Times New Roman"/>
                      <w:b w:val="0"/>
                      <w:bCs/>
                      <w:color w:val="auto"/>
                      <w:kern w:val="0"/>
                      <w:sz w:val="21"/>
                      <w:szCs w:val="21"/>
                      <w:lang w:val="en-US" w:eastAsia="zh-CN"/>
                    </w:rPr>
                    <w:t>本项目</w:t>
                  </w:r>
                  <w:r>
                    <w:rPr>
                      <w:rFonts w:hint="default" w:ascii="Times New Roman" w:hAnsi="Times New Roman" w:eastAsia="宋体" w:cs="Times New Roman"/>
                      <w:b w:val="0"/>
                      <w:bCs/>
                      <w:color w:val="auto"/>
                      <w:kern w:val="0"/>
                      <w:sz w:val="21"/>
                      <w:szCs w:val="21"/>
                      <w:lang w:val="en-US" w:eastAsia="zh-CN"/>
                    </w:rPr>
                    <w:t>污染物经处理后达标排放</w:t>
                  </w:r>
                  <w:r>
                    <w:rPr>
                      <w:rFonts w:hint="eastAsia" w:ascii="Times New Roman" w:hAnsi="Times New Roman" w:eastAsia="宋体" w:cs="Times New Roman"/>
                      <w:b w:val="0"/>
                      <w:bCs/>
                      <w:color w:val="auto"/>
                      <w:kern w:val="0"/>
                      <w:sz w:val="21"/>
                      <w:szCs w:val="21"/>
                      <w:lang w:val="en-US" w:eastAsia="zh-CN"/>
                    </w:rPr>
                    <w:t>。</w:t>
                  </w:r>
                </w:p>
              </w:tc>
              <w:tc>
                <w:tcPr>
                  <w:tcW w:w="472" w:type="dxa"/>
                  <w:vAlign w:val="center"/>
                </w:tcPr>
                <w:p w14:paraId="369A3EF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0DD7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gridSpan w:val="2"/>
                  <w:vMerge w:val="continue"/>
                  <w:vAlign w:val="center"/>
                </w:tcPr>
                <w:p w14:paraId="6686435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restart"/>
                  <w:vAlign w:val="center"/>
                </w:tcPr>
                <w:p w14:paraId="258D113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污</w:t>
                  </w:r>
                </w:p>
                <w:p w14:paraId="3CB6985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染</w:t>
                  </w:r>
                </w:p>
                <w:p w14:paraId="440D55E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物</w:t>
                  </w:r>
                </w:p>
                <w:p w14:paraId="1454BEC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排</w:t>
                  </w:r>
                </w:p>
                <w:p w14:paraId="26DE37F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放</w:t>
                  </w:r>
                </w:p>
                <w:p w14:paraId="71FF8935">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管</w:t>
                  </w:r>
                </w:p>
                <w:p w14:paraId="0837080A">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控</w:t>
                  </w:r>
                </w:p>
              </w:tc>
              <w:tc>
                <w:tcPr>
                  <w:tcW w:w="645" w:type="dxa"/>
                  <w:vMerge w:val="restart"/>
                  <w:vAlign w:val="center"/>
                </w:tcPr>
                <w:p w14:paraId="0BBD6645">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区域</w:t>
                  </w:r>
                </w:p>
                <w:p w14:paraId="75EE6A9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大气</w:t>
                  </w:r>
                </w:p>
                <w:p w14:paraId="2E82DCE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污染</w:t>
                  </w:r>
                </w:p>
                <w:p w14:paraId="40E3062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物削</w:t>
                  </w:r>
                </w:p>
                <w:p w14:paraId="4DC30F13">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减/</w:t>
                  </w:r>
                </w:p>
                <w:p w14:paraId="0C696B53">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替代</w:t>
                  </w:r>
                </w:p>
                <w:p w14:paraId="793C811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要求</w:t>
                  </w:r>
                </w:p>
              </w:tc>
              <w:tc>
                <w:tcPr>
                  <w:tcW w:w="3090" w:type="dxa"/>
                  <w:vAlign w:val="center"/>
                </w:tcPr>
                <w:p w14:paraId="76118FA1">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实行重点排放源排放浓度与去除效率双重控制。车间或生产设施收集排放的废气，VOCs初始排放速率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3015" w:type="dxa"/>
                  <w:vAlign w:val="center"/>
                </w:tcPr>
                <w:p w14:paraId="73A81B71">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lang w:val="en-US" w:eastAsia="zh-CN"/>
                    </w:rPr>
                  </w:pPr>
                  <w:r>
                    <w:rPr>
                      <w:rFonts w:hint="eastAsia"/>
                      <w:color w:val="auto"/>
                      <w:sz w:val="21"/>
                      <w:szCs w:val="21"/>
                      <w:lang w:val="en-US" w:eastAsia="zh-CN"/>
                    </w:rPr>
                    <w:t>本项目运营期烤料、热压成型</w:t>
                  </w:r>
                  <w:r>
                    <w:rPr>
                      <w:rFonts w:hint="eastAsia" w:cs="Times New Roman"/>
                      <w:color w:val="auto"/>
                      <w:sz w:val="21"/>
                      <w:szCs w:val="21"/>
                      <w:lang w:eastAsia="zh-CN"/>
                    </w:rPr>
                    <w:t>工序</w:t>
                  </w:r>
                  <w:r>
                    <w:rPr>
                      <w:rFonts w:hint="eastAsia"/>
                      <w:color w:val="auto"/>
                      <w:sz w:val="21"/>
                      <w:szCs w:val="21"/>
                      <w:lang w:val="en-US" w:eastAsia="zh-CN"/>
                    </w:rPr>
                    <w:t>产</w:t>
                  </w:r>
                  <w:r>
                    <w:rPr>
                      <w:rFonts w:hint="default" w:ascii="Times New Roman" w:hAnsi="Times New Roman" w:cs="Times New Roman"/>
                      <w:color w:val="auto"/>
                      <w:sz w:val="21"/>
                      <w:szCs w:val="21"/>
                      <w:lang w:val="en-US" w:eastAsia="zh-CN"/>
                    </w:rPr>
                    <w:t>生的有机废气浓度为低等浓度VOCs废气，</w:t>
                  </w:r>
                  <w:r>
                    <w:rPr>
                      <w:rFonts w:hint="default" w:ascii="Times New Roman" w:hAnsi="Times New Roman" w:eastAsia="宋体" w:cs="Times New Roman"/>
                      <w:b w:val="0"/>
                      <w:bCs/>
                      <w:color w:val="auto"/>
                      <w:kern w:val="0"/>
                      <w:sz w:val="21"/>
                      <w:szCs w:val="21"/>
                      <w:highlight w:val="none"/>
                      <w:lang w:val="en-US" w:eastAsia="zh-CN"/>
                    </w:rPr>
                    <w:t>VOCs初始排放速率</w:t>
                  </w:r>
                  <w:r>
                    <w:rPr>
                      <w:rFonts w:hint="default" w:ascii="Times New Roman" w:hAnsi="Times New Roman" w:cs="Times New Roman"/>
                      <w:b w:val="0"/>
                      <w:bCs/>
                      <w:color w:val="auto"/>
                      <w:kern w:val="0"/>
                      <w:sz w:val="21"/>
                      <w:szCs w:val="21"/>
                      <w:highlight w:val="none"/>
                      <w:lang w:val="en-US" w:eastAsia="zh-CN"/>
                    </w:rPr>
                    <w:t>小于</w:t>
                  </w:r>
                  <w:r>
                    <w:rPr>
                      <w:rFonts w:hint="default" w:ascii="Times New Roman" w:hAnsi="Times New Roman" w:eastAsia="宋体" w:cs="Times New Roman"/>
                      <w:b w:val="0"/>
                      <w:bCs/>
                      <w:color w:val="auto"/>
                      <w:kern w:val="0"/>
                      <w:sz w:val="21"/>
                      <w:szCs w:val="21"/>
                      <w:highlight w:val="none"/>
                      <w:lang w:val="en-US" w:eastAsia="zh-CN"/>
                    </w:rPr>
                    <w:t>2千克/小时</w:t>
                  </w:r>
                  <w:r>
                    <w:rPr>
                      <w:rFonts w:hint="default" w:ascii="Times New Roman" w:hAnsi="Times New Roman" w:cs="Times New Roman"/>
                      <w:color w:val="auto"/>
                      <w:sz w:val="21"/>
                      <w:szCs w:val="21"/>
                      <w:lang w:val="en-US" w:eastAsia="zh-CN"/>
                    </w:rPr>
                    <w:t>。</w:t>
                  </w:r>
                </w:p>
                <w:p w14:paraId="67EBA4D2">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运营期</w:t>
                  </w:r>
                  <w:r>
                    <w:rPr>
                      <w:rFonts w:hint="default" w:ascii="Times New Roman" w:hAnsi="Times New Roman" w:cs="Times New Roman"/>
                      <w:color w:val="auto"/>
                      <w:sz w:val="21"/>
                      <w:szCs w:val="21"/>
                      <w:lang w:val="en-US" w:eastAsia="zh-CN"/>
                    </w:rPr>
                    <w:t>烤料、热压成型</w:t>
                  </w:r>
                  <w:r>
                    <w:rPr>
                      <w:rFonts w:hint="default" w:ascii="Times New Roman" w:hAnsi="Times New Roman" w:cs="Times New Roman"/>
                      <w:color w:val="auto"/>
                      <w:sz w:val="21"/>
                      <w:szCs w:val="21"/>
                      <w:lang w:eastAsia="zh-CN"/>
                    </w:rPr>
                    <w:t>工序</w:t>
                  </w:r>
                  <w:r>
                    <w:rPr>
                      <w:rFonts w:hint="default" w:ascii="Times New Roman" w:hAnsi="Times New Roman" w:cs="Times New Roman"/>
                      <w:color w:val="auto"/>
                      <w:sz w:val="21"/>
                      <w:szCs w:val="21"/>
                      <w:lang w:val="en-US" w:eastAsia="zh-CN"/>
                    </w:rPr>
                    <w:t>工序</w:t>
                  </w:r>
                  <w:r>
                    <w:rPr>
                      <w:rFonts w:hint="default" w:ascii="Times New Roman" w:hAnsi="Times New Roman" w:eastAsia="宋体" w:cs="Times New Roman"/>
                      <w:color w:val="auto"/>
                      <w:sz w:val="21"/>
                      <w:szCs w:val="21"/>
                      <w:lang w:val="en-US" w:eastAsia="zh-CN"/>
                    </w:rPr>
                    <w:t>产生的挥发性有机物（VOCs）采用“</w:t>
                  </w:r>
                  <w:r>
                    <w:rPr>
                      <w:rFonts w:hint="eastAsia" w:ascii="Times New Roman" w:hAnsi="Times New Roman" w:cs="Times New Roman"/>
                      <w:color w:val="auto"/>
                      <w:sz w:val="21"/>
                      <w:szCs w:val="21"/>
                      <w:lang w:val="en-US" w:eastAsia="zh-CN"/>
                    </w:rPr>
                    <w:t>两级活性炭吸附箱</w:t>
                  </w:r>
                  <w:r>
                    <w:rPr>
                      <w:rFonts w:hint="default" w:ascii="Times New Roman" w:hAnsi="Times New Roman" w:eastAsia="宋体" w:cs="Times New Roman"/>
                      <w:color w:val="auto"/>
                      <w:sz w:val="21"/>
                      <w:szCs w:val="21"/>
                      <w:lang w:val="en-US" w:eastAsia="zh-CN"/>
                    </w:rPr>
                    <w:t>”处理，</w:t>
                  </w:r>
                  <w:r>
                    <w:rPr>
                      <w:rFonts w:hint="default" w:ascii="Times New Roman" w:hAnsi="Times New Roman" w:cs="Times New Roman"/>
                      <w:color w:val="auto"/>
                      <w:sz w:val="21"/>
                      <w:szCs w:val="21"/>
                      <w:lang w:val="en-US" w:eastAsia="zh-CN"/>
                    </w:rPr>
                    <w:t>两级活性炭净化效率设计为90%</w:t>
                  </w:r>
                  <w:r>
                    <w:rPr>
                      <w:rFonts w:hint="default" w:ascii="Times New Roman" w:hAnsi="Times New Roman" w:eastAsia="宋体" w:cs="Times New Roman"/>
                      <w:color w:val="auto"/>
                      <w:sz w:val="21"/>
                      <w:szCs w:val="21"/>
                      <w:lang w:val="en-US" w:eastAsia="zh-CN"/>
                    </w:rPr>
                    <w:t>。</w:t>
                  </w:r>
                </w:p>
              </w:tc>
              <w:tc>
                <w:tcPr>
                  <w:tcW w:w="472" w:type="dxa"/>
                  <w:vAlign w:val="center"/>
                </w:tcPr>
                <w:p w14:paraId="17C2ADB1">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w:t>
                  </w:r>
                </w:p>
              </w:tc>
            </w:tr>
            <w:tr w14:paraId="083E0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gridSpan w:val="2"/>
                  <w:vMerge w:val="continue"/>
                  <w:vAlign w:val="center"/>
                </w:tcPr>
                <w:p w14:paraId="78978E8D">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1031ED3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continue"/>
                  <w:vAlign w:val="center"/>
                </w:tcPr>
                <w:p w14:paraId="17E2624F">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090" w:type="dxa"/>
                  <w:vAlign w:val="center"/>
                </w:tcPr>
                <w:p w14:paraId="2D6313C8">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将控制挥发性有机物排放列入建设项目环境影响评价重要内容，严格环境准入，严控“两高”行业新增产能。建立VOCs排放总量控制制度。重点行业建设项目报批环评文件时应附VOCs等量替代的来源说明，并落实相应的有机废气治理措施。</w:t>
                  </w:r>
                </w:p>
              </w:tc>
              <w:tc>
                <w:tcPr>
                  <w:tcW w:w="3015" w:type="dxa"/>
                  <w:vAlign w:val="center"/>
                </w:tcPr>
                <w:p w14:paraId="741AA3F0">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highlight w:val="yellow"/>
                      <w:lang w:val="en-US" w:eastAsia="zh-CN"/>
                    </w:rPr>
                  </w:pPr>
                  <w:r>
                    <w:rPr>
                      <w:rFonts w:hint="eastAsia" w:ascii="Times New Roman" w:hAnsi="Times New Roman" w:eastAsia="宋体" w:cs="Times New Roman"/>
                      <w:b w:val="0"/>
                      <w:bCs/>
                      <w:color w:val="auto"/>
                      <w:kern w:val="0"/>
                      <w:sz w:val="21"/>
                      <w:szCs w:val="21"/>
                      <w:highlight w:val="none"/>
                      <w:lang w:val="en-US" w:eastAsia="zh-CN"/>
                    </w:rPr>
                    <w:t>本项目不属于</w:t>
                  </w:r>
                  <w:r>
                    <w:rPr>
                      <w:rFonts w:hint="eastAsia" w:ascii="Times New Roman" w:hAnsi="Times New Roman" w:eastAsia="宋体" w:cs="Times New Roman"/>
                      <w:b w:val="0"/>
                      <w:bCs/>
                      <w:color w:val="auto"/>
                      <w:kern w:val="0"/>
                      <w:sz w:val="21"/>
                      <w:szCs w:val="21"/>
                      <w:lang w:val="en-US" w:eastAsia="zh-CN"/>
                    </w:rPr>
                    <w:t>“两高”行业，</w:t>
                  </w:r>
                  <w:r>
                    <w:rPr>
                      <w:rFonts w:hint="eastAsia" w:ascii="Times New Roman" w:hAnsi="Times New Roman" w:eastAsia="宋体" w:cs="Times New Roman"/>
                      <w:b w:val="0"/>
                      <w:bCs/>
                      <w:color w:val="auto"/>
                      <w:kern w:val="0"/>
                      <w:sz w:val="21"/>
                      <w:szCs w:val="21"/>
                      <w:highlight w:val="none"/>
                      <w:lang w:val="en-US" w:eastAsia="zh-CN"/>
                    </w:rPr>
                    <w:t>污染物均达标排放，且已申请</w:t>
                  </w:r>
                  <w:r>
                    <w:rPr>
                      <w:rFonts w:hint="eastAsia" w:ascii="Times New Roman" w:hAnsi="Times New Roman" w:eastAsia="宋体" w:cs="Times New Roman"/>
                      <w:b w:val="0"/>
                      <w:bCs/>
                      <w:color w:val="auto"/>
                      <w:kern w:val="0"/>
                      <w:sz w:val="21"/>
                      <w:szCs w:val="21"/>
                      <w:lang w:val="en-US" w:eastAsia="zh-CN"/>
                    </w:rPr>
                    <w:t>VOCs排放总量</w:t>
                  </w:r>
                  <w:r>
                    <w:rPr>
                      <w:rFonts w:hint="eastAsia" w:ascii="Times New Roman" w:hAnsi="Times New Roman" w:eastAsia="宋体" w:cs="Times New Roman"/>
                      <w:b w:val="0"/>
                      <w:bCs/>
                      <w:color w:val="auto"/>
                      <w:kern w:val="0"/>
                      <w:sz w:val="21"/>
                      <w:szCs w:val="21"/>
                      <w:highlight w:val="none"/>
                      <w:lang w:val="en-US" w:eastAsia="zh-CN"/>
                    </w:rPr>
                    <w:t>控制，企业严格按照标准及总量控制要求排放污染物。</w:t>
                  </w:r>
                </w:p>
              </w:tc>
              <w:tc>
                <w:tcPr>
                  <w:tcW w:w="472" w:type="dxa"/>
                  <w:vAlign w:val="center"/>
                </w:tcPr>
                <w:p w14:paraId="76AE8DF3">
                  <w:pPr>
                    <w:autoSpaceDE w:val="0"/>
                    <w:autoSpaceDN w:val="0"/>
                    <w:adjustRightInd w:val="0"/>
                    <w:spacing w:line="240" w:lineRule="auto"/>
                    <w:jc w:val="center"/>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w:t>
                  </w:r>
                </w:p>
              </w:tc>
            </w:tr>
            <w:tr w14:paraId="17389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gridSpan w:val="2"/>
                  <w:vMerge w:val="continue"/>
                  <w:vAlign w:val="center"/>
                </w:tcPr>
                <w:p w14:paraId="6F18ECD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633DCE8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restart"/>
                  <w:vAlign w:val="center"/>
                </w:tcPr>
                <w:p w14:paraId="334254D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其他</w:t>
                  </w:r>
                </w:p>
                <w:p w14:paraId="29B1B334">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污染</w:t>
                  </w:r>
                </w:p>
                <w:p w14:paraId="228373AF">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物排</w:t>
                  </w:r>
                </w:p>
                <w:p w14:paraId="47C4C336">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放管</w:t>
                  </w:r>
                </w:p>
                <w:p w14:paraId="46849B5D">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控要</w:t>
                  </w:r>
                </w:p>
                <w:p w14:paraId="1730E94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求</w:t>
                  </w:r>
                </w:p>
              </w:tc>
              <w:tc>
                <w:tcPr>
                  <w:tcW w:w="3090" w:type="dxa"/>
                  <w:vAlign w:val="center"/>
                </w:tcPr>
                <w:p w14:paraId="71A437BD">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强化工业企业无组织排放管理，推进挥发性有机物排放综合整治，开展大气氨排放控制试点。</w:t>
                  </w:r>
                </w:p>
              </w:tc>
              <w:tc>
                <w:tcPr>
                  <w:tcW w:w="3015" w:type="dxa"/>
                  <w:vAlign w:val="center"/>
                </w:tcPr>
                <w:p w14:paraId="70CF95E3">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本项目采用集气罩收集有机废气，企业提高废气收集效率，减少无组织排放。</w:t>
                  </w:r>
                </w:p>
              </w:tc>
              <w:tc>
                <w:tcPr>
                  <w:tcW w:w="472" w:type="dxa"/>
                  <w:vAlign w:val="center"/>
                </w:tcPr>
                <w:p w14:paraId="2DCA8D6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4A9D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gridSpan w:val="2"/>
                  <w:vMerge w:val="continue"/>
                  <w:vAlign w:val="center"/>
                </w:tcPr>
                <w:p w14:paraId="176792A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34965D2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continue"/>
                  <w:vAlign w:val="center"/>
                </w:tcPr>
                <w:p w14:paraId="5B2D09DD">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090" w:type="dxa"/>
                  <w:vAlign w:val="center"/>
                </w:tcPr>
                <w:p w14:paraId="016B65D4">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深化工业污染治理，工业污染源全面达标排放，未达标排放的企业一律依法停产整治。</w:t>
                  </w:r>
                </w:p>
              </w:tc>
              <w:tc>
                <w:tcPr>
                  <w:tcW w:w="3015" w:type="dxa"/>
                  <w:vAlign w:val="center"/>
                </w:tcPr>
                <w:p w14:paraId="6C41AB0E">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本项目运营期</w:t>
                  </w:r>
                  <w:r>
                    <w:rPr>
                      <w:rFonts w:hint="default" w:ascii="Times New Roman" w:hAnsi="Times New Roman" w:eastAsia="宋体" w:cs="Times New Roman"/>
                      <w:b w:val="0"/>
                      <w:bCs/>
                      <w:color w:val="auto"/>
                      <w:kern w:val="0"/>
                      <w:sz w:val="21"/>
                      <w:szCs w:val="21"/>
                      <w:lang w:val="en-US" w:eastAsia="zh-CN"/>
                    </w:rPr>
                    <w:t>废气</w:t>
                  </w:r>
                  <w:r>
                    <w:rPr>
                      <w:rFonts w:hint="eastAsia" w:ascii="Times New Roman" w:hAnsi="Times New Roman" w:eastAsia="宋体" w:cs="Times New Roman"/>
                      <w:b w:val="0"/>
                      <w:bCs/>
                      <w:color w:val="auto"/>
                      <w:kern w:val="0"/>
                      <w:sz w:val="21"/>
                      <w:szCs w:val="21"/>
                      <w:lang w:val="en-US" w:eastAsia="zh-CN"/>
                    </w:rPr>
                    <w:t>、废水、噪声、固废</w:t>
                  </w:r>
                  <w:r>
                    <w:rPr>
                      <w:rFonts w:hint="default" w:ascii="Times New Roman" w:hAnsi="Times New Roman" w:eastAsia="宋体" w:cs="Times New Roman"/>
                      <w:b w:val="0"/>
                      <w:bCs/>
                      <w:color w:val="auto"/>
                      <w:kern w:val="0"/>
                      <w:sz w:val="21"/>
                      <w:szCs w:val="21"/>
                      <w:lang w:val="en-US" w:eastAsia="zh-CN"/>
                    </w:rPr>
                    <w:t>均可达标排放</w:t>
                  </w:r>
                  <w:r>
                    <w:rPr>
                      <w:rFonts w:hint="eastAsia" w:ascii="Times New Roman" w:hAnsi="Times New Roman" w:eastAsia="宋体" w:cs="Times New Roman"/>
                      <w:b w:val="0"/>
                      <w:bCs/>
                      <w:color w:val="auto"/>
                      <w:kern w:val="0"/>
                      <w:sz w:val="21"/>
                      <w:szCs w:val="21"/>
                      <w:lang w:val="en-US" w:eastAsia="zh-CN"/>
                    </w:rPr>
                    <w:t>或妥善处置</w:t>
                  </w:r>
                  <w:r>
                    <w:rPr>
                      <w:rFonts w:hint="default" w:ascii="Times New Roman" w:hAnsi="Times New Roman" w:eastAsia="宋体" w:cs="Times New Roman"/>
                      <w:b w:val="0"/>
                      <w:bCs/>
                      <w:color w:val="auto"/>
                      <w:kern w:val="0"/>
                      <w:sz w:val="21"/>
                      <w:szCs w:val="21"/>
                      <w:lang w:val="en-US" w:eastAsia="zh-CN"/>
                    </w:rPr>
                    <w:t>。</w:t>
                  </w:r>
                </w:p>
              </w:tc>
              <w:tc>
                <w:tcPr>
                  <w:tcW w:w="472" w:type="dxa"/>
                  <w:vAlign w:val="center"/>
                </w:tcPr>
                <w:p w14:paraId="76A5CCC4">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4940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vMerge w:val="restart"/>
                  <w:vAlign w:val="center"/>
                </w:tcPr>
                <w:p w14:paraId="4C44AD0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水重点管控区</w:t>
                  </w:r>
                </w:p>
              </w:tc>
              <w:tc>
                <w:tcPr>
                  <w:tcW w:w="360" w:type="dxa"/>
                  <w:vMerge w:val="restart"/>
                  <w:vAlign w:val="center"/>
                </w:tcPr>
                <w:p w14:paraId="799DCB03">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工业重点管控区</w:t>
                  </w:r>
                </w:p>
              </w:tc>
              <w:tc>
                <w:tcPr>
                  <w:tcW w:w="420" w:type="dxa"/>
                  <w:vMerge w:val="restart"/>
                  <w:vAlign w:val="center"/>
                </w:tcPr>
                <w:p w14:paraId="7EFBACF3">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空间布局约束</w:t>
                  </w:r>
                </w:p>
              </w:tc>
              <w:tc>
                <w:tcPr>
                  <w:tcW w:w="645" w:type="dxa"/>
                  <w:vMerge w:val="restart"/>
                  <w:vAlign w:val="center"/>
                </w:tcPr>
                <w:p w14:paraId="0BC95621">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禁止</w:t>
                  </w:r>
                </w:p>
                <w:p w14:paraId="4411782B">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开发</w:t>
                  </w:r>
                </w:p>
                <w:p w14:paraId="328DDDFB">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建设</w:t>
                  </w:r>
                </w:p>
                <w:p w14:paraId="3F3C987C">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活动</w:t>
                  </w:r>
                </w:p>
                <w:p w14:paraId="06DF137F">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的要</w:t>
                  </w:r>
                </w:p>
                <w:p w14:paraId="32D7947C">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求</w:t>
                  </w:r>
                </w:p>
              </w:tc>
              <w:tc>
                <w:tcPr>
                  <w:tcW w:w="3090" w:type="dxa"/>
                  <w:vAlign w:val="center"/>
                </w:tcPr>
                <w:p w14:paraId="570F4072">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取缔“十小”企业。全面排查装备水平低、环保设施差的小型企业，按照水污染防治法律法规要求，全面排查和取缔不符合国家产业政策的小型造纸、制革、印染、染料、炼焦、炼硫、炼砷、炼油、电镀、农药等严重污染水环境的生产项目。</w:t>
                  </w:r>
                </w:p>
              </w:tc>
              <w:tc>
                <w:tcPr>
                  <w:tcW w:w="3015" w:type="dxa"/>
                  <w:vAlign w:val="center"/>
                </w:tcPr>
                <w:p w14:paraId="6261C9CA">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本项目属于日用塑料制品制造【C2927】</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不属于“十小”企业。</w:t>
                  </w:r>
                </w:p>
              </w:tc>
              <w:tc>
                <w:tcPr>
                  <w:tcW w:w="472" w:type="dxa"/>
                  <w:vAlign w:val="center"/>
                </w:tcPr>
                <w:p w14:paraId="59BAE778">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4721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vMerge w:val="continue"/>
                  <w:vAlign w:val="center"/>
                </w:tcPr>
                <w:p w14:paraId="21527300">
                  <w:pPr>
                    <w:autoSpaceDE w:val="0"/>
                    <w:autoSpaceDN w:val="0"/>
                    <w:adjustRightInd w:val="0"/>
                    <w:spacing w:line="240" w:lineRule="auto"/>
                    <w:jc w:val="center"/>
                    <w:rPr>
                      <w:rFonts w:hint="eastAsia" w:ascii="Times New Roman" w:hAnsi="Times New Roman" w:eastAsia="宋体" w:cs="Times New Roman"/>
                      <w:b w:val="0"/>
                      <w:bCs/>
                      <w:color w:val="auto"/>
                      <w:kern w:val="0"/>
                      <w:sz w:val="21"/>
                      <w:szCs w:val="21"/>
                      <w:lang w:val="en-US" w:eastAsia="zh-CN"/>
                    </w:rPr>
                  </w:pPr>
                </w:p>
              </w:tc>
              <w:tc>
                <w:tcPr>
                  <w:tcW w:w="360" w:type="dxa"/>
                  <w:vMerge w:val="continue"/>
                  <w:vAlign w:val="center"/>
                </w:tcPr>
                <w:p w14:paraId="624ADC93">
                  <w:pPr>
                    <w:autoSpaceDE w:val="0"/>
                    <w:autoSpaceDN w:val="0"/>
                    <w:adjustRightInd w:val="0"/>
                    <w:spacing w:line="240" w:lineRule="auto"/>
                    <w:jc w:val="center"/>
                    <w:rPr>
                      <w:rFonts w:hint="eastAsia"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154B8BC7">
                  <w:pPr>
                    <w:autoSpaceDE w:val="0"/>
                    <w:autoSpaceDN w:val="0"/>
                    <w:adjustRightInd w:val="0"/>
                    <w:spacing w:line="240" w:lineRule="auto"/>
                    <w:jc w:val="center"/>
                    <w:rPr>
                      <w:rFonts w:hint="eastAsia" w:ascii="Times New Roman" w:hAnsi="Times New Roman" w:eastAsia="宋体" w:cs="Times New Roman"/>
                      <w:b w:val="0"/>
                      <w:bCs/>
                      <w:color w:val="auto"/>
                      <w:kern w:val="0"/>
                      <w:sz w:val="21"/>
                      <w:szCs w:val="21"/>
                      <w:lang w:val="en-US" w:eastAsia="zh-CN"/>
                    </w:rPr>
                  </w:pPr>
                </w:p>
              </w:tc>
              <w:tc>
                <w:tcPr>
                  <w:tcW w:w="645" w:type="dxa"/>
                  <w:vMerge w:val="continue"/>
                  <w:vAlign w:val="center"/>
                </w:tcPr>
                <w:p w14:paraId="74687FBC">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090" w:type="dxa"/>
                  <w:vAlign w:val="center"/>
                </w:tcPr>
                <w:p w14:paraId="1B640B32">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严格城市规划蓝线管理，城市规划区范围内应保留一定比例的水域面积，现有水域面积不得减少。新建项目一律不得违规占用水域。</w:t>
                  </w:r>
                </w:p>
              </w:tc>
              <w:tc>
                <w:tcPr>
                  <w:tcW w:w="3015" w:type="dxa"/>
                  <w:vAlign w:val="center"/>
                </w:tcPr>
                <w:p w14:paraId="278B7B89">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本</w:t>
                  </w:r>
                  <w:r>
                    <w:rPr>
                      <w:rFonts w:hint="default" w:ascii="Times New Roman" w:hAnsi="Times New Roman" w:eastAsia="宋体" w:cs="Times New Roman"/>
                      <w:b w:val="0"/>
                      <w:bCs/>
                      <w:color w:val="auto"/>
                      <w:kern w:val="0"/>
                      <w:sz w:val="21"/>
                      <w:szCs w:val="21"/>
                      <w:lang w:val="en-US" w:eastAsia="zh-CN"/>
                    </w:rPr>
                    <w:t>项目位于</w:t>
                  </w:r>
                  <w:r>
                    <w:rPr>
                      <w:rFonts w:hint="eastAsia" w:ascii="Times New Roman" w:hAnsi="Times New Roman" w:eastAsia="宋体" w:cs="Times New Roman"/>
                      <w:b w:val="0"/>
                      <w:bCs/>
                      <w:color w:val="auto"/>
                      <w:kern w:val="0"/>
                      <w:sz w:val="21"/>
                      <w:szCs w:val="21"/>
                      <w:lang w:val="en-US" w:eastAsia="zh-CN"/>
                    </w:rPr>
                    <w:t>安徽省宿州市泗县泗水街道唐河路与赤山路交汇处东150米绿朗光电智慧产业园6栋2号</w:t>
                  </w:r>
                  <w:r>
                    <w:rPr>
                      <w:rFonts w:hint="default" w:ascii="Times New Roman" w:hAnsi="Times New Roman" w:eastAsia="宋体" w:cs="Times New Roman"/>
                      <w:b w:val="0"/>
                      <w:bCs/>
                      <w:color w:val="auto"/>
                      <w:kern w:val="0"/>
                      <w:sz w:val="21"/>
                      <w:szCs w:val="21"/>
                      <w:lang w:val="en-US" w:eastAsia="zh-CN"/>
                    </w:rPr>
                    <w:t>，不涉及水域面积的违规占用</w:t>
                  </w:r>
                  <w:r>
                    <w:rPr>
                      <w:rFonts w:hint="eastAsia" w:ascii="Times New Roman" w:hAnsi="Times New Roman" w:eastAsia="宋体" w:cs="Times New Roman"/>
                      <w:b w:val="0"/>
                      <w:bCs/>
                      <w:color w:val="auto"/>
                      <w:kern w:val="0"/>
                      <w:sz w:val="21"/>
                      <w:szCs w:val="21"/>
                      <w:lang w:val="en-US" w:eastAsia="zh-CN"/>
                    </w:rPr>
                    <w:t>。</w:t>
                  </w:r>
                </w:p>
              </w:tc>
              <w:tc>
                <w:tcPr>
                  <w:tcW w:w="472" w:type="dxa"/>
                  <w:vAlign w:val="center"/>
                </w:tcPr>
                <w:p w14:paraId="1A6BBDCB">
                  <w:pPr>
                    <w:autoSpaceDE w:val="0"/>
                    <w:autoSpaceDN w:val="0"/>
                    <w:adjustRightInd w:val="0"/>
                    <w:spacing w:line="240" w:lineRule="auto"/>
                    <w:jc w:val="center"/>
                    <w:rPr>
                      <w:rFonts w:hint="eastAsia"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79392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vMerge w:val="continue"/>
                  <w:vAlign w:val="center"/>
                </w:tcPr>
                <w:p w14:paraId="749787E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60" w:type="dxa"/>
                  <w:vMerge w:val="continue"/>
                  <w:vAlign w:val="center"/>
                </w:tcPr>
                <w:p w14:paraId="5756F068">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15C2E3F4">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continue"/>
                  <w:vAlign w:val="center"/>
                </w:tcPr>
                <w:p w14:paraId="044CDC0B">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090" w:type="dxa"/>
                  <w:vAlign w:val="center"/>
                </w:tcPr>
                <w:p w14:paraId="241DCDAC">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落实磷石膏综合利用途径，综合利用不畅的可利用现有磷石膏库堆存，不得新建、扩建磷石膏</w:t>
                  </w:r>
                  <w:r>
                    <w:rPr>
                      <w:rFonts w:hint="eastAsia" w:ascii="宋体" w:hAnsi="宋体" w:eastAsia="宋体" w:cs="宋体"/>
                      <w:b w:val="0"/>
                      <w:bCs/>
                      <w:color w:val="auto"/>
                      <w:kern w:val="0"/>
                      <w:sz w:val="21"/>
                      <w:szCs w:val="21"/>
                      <w:lang w:val="en-US" w:eastAsia="zh-CN"/>
                    </w:rPr>
                    <w:t>库(暂存场除外)。</w:t>
                  </w:r>
                </w:p>
              </w:tc>
              <w:tc>
                <w:tcPr>
                  <w:tcW w:w="3015" w:type="dxa"/>
                  <w:vAlign w:val="center"/>
                </w:tcPr>
                <w:p w14:paraId="0167DEF8">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本项目不涉及磷石膏综合利用</w:t>
                  </w:r>
                  <w:r>
                    <w:rPr>
                      <w:rFonts w:hint="eastAsia" w:ascii="Times New Roman" w:hAnsi="Times New Roman" w:eastAsia="宋体" w:cs="Times New Roman"/>
                      <w:b w:val="0"/>
                      <w:bCs/>
                      <w:color w:val="auto"/>
                      <w:kern w:val="0"/>
                      <w:sz w:val="21"/>
                      <w:szCs w:val="21"/>
                      <w:lang w:val="en-US" w:eastAsia="zh-CN"/>
                    </w:rPr>
                    <w:t>。</w:t>
                  </w:r>
                </w:p>
              </w:tc>
              <w:tc>
                <w:tcPr>
                  <w:tcW w:w="472" w:type="dxa"/>
                  <w:vAlign w:val="center"/>
                </w:tcPr>
                <w:p w14:paraId="1758B774">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5DA47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vMerge w:val="continue"/>
                  <w:vAlign w:val="center"/>
                </w:tcPr>
                <w:p w14:paraId="02B4F158">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60" w:type="dxa"/>
                  <w:vMerge w:val="continue"/>
                  <w:vAlign w:val="center"/>
                </w:tcPr>
                <w:p w14:paraId="1851F65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09598E5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Align w:val="center"/>
                </w:tcPr>
                <w:p w14:paraId="429F629A">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允许</w:t>
                  </w:r>
                </w:p>
                <w:p w14:paraId="0B6478E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开发</w:t>
                  </w:r>
                </w:p>
                <w:p w14:paraId="1F9C7C8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建设</w:t>
                  </w:r>
                </w:p>
                <w:p w14:paraId="7DDEDF1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活动</w:t>
                  </w:r>
                </w:p>
                <w:p w14:paraId="43B6DD4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的特</w:t>
                  </w:r>
                </w:p>
                <w:p w14:paraId="155F8A44">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殊要</w:t>
                  </w:r>
                </w:p>
                <w:p w14:paraId="2076F8C3">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求</w:t>
                  </w:r>
                </w:p>
              </w:tc>
              <w:tc>
                <w:tcPr>
                  <w:tcW w:w="3090" w:type="dxa"/>
                  <w:vAlign w:val="center"/>
                </w:tcPr>
                <w:p w14:paraId="3CBF0BD8">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合理确定发展格局、结构和规模。充分考虑水环境承载能力和水资源开发利用效率，以水定城、以水定地、以水定人、以水定产。重大项目原则上布局在优化开发区和重点开发区，并符合城乡规划和土地利用总体规划。</w:t>
                  </w:r>
                </w:p>
              </w:tc>
              <w:tc>
                <w:tcPr>
                  <w:tcW w:w="3015" w:type="dxa"/>
                  <w:vAlign w:val="center"/>
                </w:tcPr>
                <w:p w14:paraId="1020B5AB">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本</w:t>
                  </w:r>
                  <w:r>
                    <w:rPr>
                      <w:rFonts w:hint="default" w:ascii="Times New Roman" w:hAnsi="Times New Roman" w:eastAsia="宋体" w:cs="Times New Roman"/>
                      <w:b w:val="0"/>
                      <w:bCs/>
                      <w:color w:val="auto"/>
                      <w:kern w:val="0"/>
                      <w:sz w:val="21"/>
                      <w:szCs w:val="21"/>
                      <w:lang w:val="en-US" w:eastAsia="zh-CN"/>
                    </w:rPr>
                    <w:t>项目位于</w:t>
                  </w:r>
                  <w:r>
                    <w:rPr>
                      <w:rFonts w:hint="eastAsia" w:ascii="Times New Roman" w:hAnsi="Times New Roman" w:eastAsia="宋体" w:cs="Times New Roman"/>
                      <w:b w:val="0"/>
                      <w:bCs/>
                      <w:color w:val="auto"/>
                      <w:kern w:val="0"/>
                      <w:sz w:val="21"/>
                      <w:szCs w:val="21"/>
                      <w:lang w:val="en-US" w:eastAsia="zh-CN"/>
                    </w:rPr>
                    <w:t>安徽省宿州市泗县泗水街道唐河路与赤山路交汇处东150米绿朗光电智慧产业园6栋2号，</w:t>
                  </w:r>
                  <w:r>
                    <w:rPr>
                      <w:rFonts w:hint="default" w:ascii="Times New Roman" w:hAnsi="Times New Roman" w:eastAsia="宋体" w:cs="Times New Roman"/>
                      <w:b w:val="0"/>
                      <w:bCs/>
                      <w:color w:val="auto"/>
                      <w:kern w:val="0"/>
                      <w:sz w:val="21"/>
                      <w:szCs w:val="21"/>
                      <w:lang w:val="en-US" w:eastAsia="zh-CN"/>
                    </w:rPr>
                    <w:t>且符合当地发展规划和土地总体利用规划</w:t>
                  </w:r>
                  <w:r>
                    <w:rPr>
                      <w:rFonts w:hint="eastAsia" w:ascii="Times New Roman" w:hAnsi="Times New Roman" w:eastAsia="宋体" w:cs="Times New Roman"/>
                      <w:b w:val="0"/>
                      <w:bCs/>
                      <w:color w:val="auto"/>
                      <w:kern w:val="0"/>
                      <w:sz w:val="21"/>
                      <w:szCs w:val="21"/>
                      <w:lang w:val="en-US" w:eastAsia="zh-CN"/>
                    </w:rPr>
                    <w:t>。</w:t>
                  </w:r>
                </w:p>
              </w:tc>
              <w:tc>
                <w:tcPr>
                  <w:tcW w:w="472" w:type="dxa"/>
                  <w:vAlign w:val="center"/>
                </w:tcPr>
                <w:p w14:paraId="7815BB4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77DC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vMerge w:val="continue"/>
                  <w:vAlign w:val="center"/>
                </w:tcPr>
                <w:p w14:paraId="1FB41DA5">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60" w:type="dxa"/>
                  <w:vMerge w:val="continue"/>
                  <w:vAlign w:val="center"/>
                </w:tcPr>
                <w:p w14:paraId="3CBF0B3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42807AB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restart"/>
                  <w:vAlign w:val="center"/>
                </w:tcPr>
                <w:p w14:paraId="199A1DD3">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不符</w:t>
                  </w:r>
                </w:p>
                <w:p w14:paraId="0AE40C6C">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合空间布</w:t>
                  </w:r>
                </w:p>
                <w:p w14:paraId="765DC641">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局要</w:t>
                  </w:r>
                </w:p>
                <w:p w14:paraId="6D9772EA">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求活</w:t>
                  </w:r>
                </w:p>
                <w:p w14:paraId="275869F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动的</w:t>
                  </w:r>
                </w:p>
                <w:p w14:paraId="41C7E3A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退出</w:t>
                  </w:r>
                </w:p>
                <w:p w14:paraId="4574E46B">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要求</w:t>
                  </w:r>
                </w:p>
              </w:tc>
              <w:tc>
                <w:tcPr>
                  <w:tcW w:w="3090" w:type="dxa"/>
                  <w:vAlign w:val="center"/>
                </w:tcPr>
                <w:p w14:paraId="40DC35EA">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eastAsia" w:ascii="宋体" w:hAnsi="宋体" w:eastAsia="宋体" w:cs="宋体"/>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持续开展涉水“散乱污”企业清理整治，严把能耗、环保等标准，促使一批达不到标准或淘汰类产能的企业，依法依规关停退出。</w:t>
                  </w:r>
                </w:p>
              </w:tc>
              <w:tc>
                <w:tcPr>
                  <w:tcW w:w="3015" w:type="dxa"/>
                  <w:vAlign w:val="center"/>
                </w:tcPr>
                <w:p w14:paraId="7543BFEC">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宋体" w:hAnsi="宋体" w:eastAsia="宋体" w:cs="宋体"/>
                      <w:b w:val="0"/>
                      <w:bCs/>
                      <w:color w:val="auto"/>
                      <w:kern w:val="0"/>
                      <w:sz w:val="21"/>
                      <w:szCs w:val="21"/>
                      <w:lang w:val="en-US" w:eastAsia="zh-CN"/>
                    </w:rPr>
                    <w:t>企业用水量较少，不属于涉水“散乱污”企业。</w:t>
                  </w:r>
                </w:p>
              </w:tc>
              <w:tc>
                <w:tcPr>
                  <w:tcW w:w="472" w:type="dxa"/>
                  <w:vAlign w:val="center"/>
                </w:tcPr>
                <w:p w14:paraId="36CC2C04">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1C07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vMerge w:val="continue"/>
                  <w:vAlign w:val="center"/>
                </w:tcPr>
                <w:p w14:paraId="6FA121C3">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60" w:type="dxa"/>
                  <w:vMerge w:val="continue"/>
                  <w:vAlign w:val="center"/>
                </w:tcPr>
                <w:p w14:paraId="5C4887BF">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0750415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continue"/>
                  <w:vAlign w:val="center"/>
                </w:tcPr>
                <w:p w14:paraId="59068343">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090" w:type="dxa"/>
                  <w:vAlign w:val="center"/>
                </w:tcPr>
                <w:p w14:paraId="3945C42B">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推动污染企业退出。城市建成区内现有钢铁、有色金属、造纸、印染、原料药制造、化工等污染较重的企业应有序搬迁改造或依法关闭。</w:t>
                  </w:r>
                </w:p>
              </w:tc>
              <w:tc>
                <w:tcPr>
                  <w:tcW w:w="3015" w:type="dxa"/>
                  <w:vAlign w:val="center"/>
                </w:tcPr>
                <w:p w14:paraId="27DC0FF4">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本项目属于日用塑料制品制造【C2927】</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b w:val="0"/>
                      <w:bCs/>
                      <w:color w:val="auto"/>
                      <w:kern w:val="0"/>
                      <w:sz w:val="21"/>
                      <w:szCs w:val="21"/>
                      <w:lang w:val="en-US" w:eastAsia="zh-CN"/>
                    </w:rPr>
                    <w:t>位于</w:t>
                  </w:r>
                  <w:r>
                    <w:rPr>
                      <w:rFonts w:hint="eastAsia" w:ascii="Times New Roman" w:hAnsi="Times New Roman" w:eastAsia="宋体" w:cs="Times New Roman"/>
                      <w:b w:val="0"/>
                      <w:bCs/>
                      <w:color w:val="auto"/>
                      <w:kern w:val="0"/>
                      <w:sz w:val="21"/>
                      <w:szCs w:val="21"/>
                      <w:lang w:val="en-US" w:eastAsia="zh-CN"/>
                    </w:rPr>
                    <w:t>安徽省宿州市泗县泗水街道唐河路与赤山路交汇处东150米绿朗光电智慧产业园6栋2号</w:t>
                  </w:r>
                  <w:r>
                    <w:rPr>
                      <w:rFonts w:hint="eastAsia" w:ascii="Times New Roman" w:hAnsi="Times New Roman" w:cs="Times New Roman"/>
                      <w:bCs/>
                      <w:color w:val="auto"/>
                      <w:sz w:val="21"/>
                      <w:szCs w:val="21"/>
                      <w:lang w:val="en-US" w:eastAsia="zh-CN"/>
                    </w:rPr>
                    <w:t>，</w:t>
                  </w:r>
                  <w:r>
                    <w:rPr>
                      <w:rFonts w:hint="eastAsia" w:ascii="Times New Roman" w:hAnsi="Times New Roman" w:cs="Times New Roman"/>
                      <w:color w:val="auto"/>
                      <w:sz w:val="21"/>
                      <w:szCs w:val="21"/>
                      <w:lang w:eastAsia="zh-CN"/>
                    </w:rPr>
                    <w:t>不涉及钢铁、有色金属、造纸、印染、原料药制造、化工等。</w:t>
                  </w:r>
                </w:p>
              </w:tc>
              <w:tc>
                <w:tcPr>
                  <w:tcW w:w="472" w:type="dxa"/>
                  <w:vAlign w:val="center"/>
                </w:tcPr>
                <w:p w14:paraId="1DC72CA1">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482D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vMerge w:val="continue"/>
                  <w:vAlign w:val="center"/>
                </w:tcPr>
                <w:p w14:paraId="729C83DC">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60" w:type="dxa"/>
                  <w:vMerge w:val="continue"/>
                  <w:vAlign w:val="center"/>
                </w:tcPr>
                <w:p w14:paraId="787BDB5F">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30F2DE7F">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continue"/>
                  <w:vAlign w:val="center"/>
                </w:tcPr>
                <w:p w14:paraId="582AD113">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090" w:type="dxa"/>
                  <w:vAlign w:val="center"/>
                </w:tcPr>
                <w:p w14:paraId="201C1E16">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严格水域岸线用途管制，土地开发利用应按照有关法律法规和技术标准要求，留足河道、湖泊的管理和保护范围，非法挤占的应限期退出</w:t>
                  </w:r>
                  <w:r>
                    <w:rPr>
                      <w:rFonts w:hint="eastAsia" w:ascii="Times New Roman" w:hAnsi="Times New Roman" w:eastAsia="宋体" w:cs="Times New Roman"/>
                      <w:b w:val="0"/>
                      <w:bCs/>
                      <w:color w:val="auto"/>
                      <w:kern w:val="0"/>
                      <w:sz w:val="21"/>
                      <w:szCs w:val="21"/>
                      <w:lang w:val="en-US" w:eastAsia="zh-CN"/>
                    </w:rPr>
                    <w:t>。</w:t>
                  </w:r>
                </w:p>
              </w:tc>
              <w:tc>
                <w:tcPr>
                  <w:tcW w:w="3015" w:type="dxa"/>
                  <w:vAlign w:val="center"/>
                </w:tcPr>
                <w:p w14:paraId="52605860">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本</w:t>
                  </w:r>
                  <w:r>
                    <w:rPr>
                      <w:rFonts w:hint="default" w:ascii="Times New Roman" w:hAnsi="Times New Roman" w:eastAsia="宋体" w:cs="Times New Roman"/>
                      <w:b w:val="0"/>
                      <w:bCs/>
                      <w:color w:val="auto"/>
                      <w:kern w:val="0"/>
                      <w:sz w:val="21"/>
                      <w:szCs w:val="21"/>
                      <w:lang w:val="en-US" w:eastAsia="zh-CN"/>
                    </w:rPr>
                    <w:t>项目位于</w:t>
                  </w:r>
                  <w:r>
                    <w:rPr>
                      <w:rFonts w:hint="eastAsia" w:ascii="Times New Roman" w:hAnsi="Times New Roman" w:eastAsia="宋体" w:cs="Times New Roman"/>
                      <w:b w:val="0"/>
                      <w:bCs/>
                      <w:color w:val="auto"/>
                      <w:kern w:val="0"/>
                      <w:sz w:val="21"/>
                      <w:szCs w:val="21"/>
                      <w:lang w:val="en-US" w:eastAsia="zh-CN"/>
                    </w:rPr>
                    <w:t>安徽省宿州市泗县泗水街道唐河路与赤山路交汇处东150米绿朗光电智慧产业园6栋2号</w:t>
                  </w:r>
                  <w:r>
                    <w:rPr>
                      <w:rFonts w:hint="default" w:ascii="Times New Roman" w:hAnsi="Times New Roman" w:eastAsia="宋体" w:cs="Times New Roman"/>
                      <w:b w:val="0"/>
                      <w:bCs/>
                      <w:color w:val="auto"/>
                      <w:kern w:val="0"/>
                      <w:sz w:val="21"/>
                      <w:szCs w:val="21"/>
                      <w:lang w:val="en-US" w:eastAsia="zh-CN"/>
                    </w:rPr>
                    <w:t>，不涉及水域岸线用途管制</w:t>
                  </w:r>
                  <w:r>
                    <w:rPr>
                      <w:rFonts w:hint="eastAsia" w:ascii="Times New Roman" w:hAnsi="Times New Roman" w:eastAsia="宋体" w:cs="Times New Roman"/>
                      <w:b w:val="0"/>
                      <w:bCs/>
                      <w:color w:val="auto"/>
                      <w:kern w:val="0"/>
                      <w:sz w:val="21"/>
                      <w:szCs w:val="21"/>
                      <w:lang w:val="en-US" w:eastAsia="zh-CN"/>
                    </w:rPr>
                    <w:t>。</w:t>
                  </w:r>
                </w:p>
              </w:tc>
              <w:tc>
                <w:tcPr>
                  <w:tcW w:w="472" w:type="dxa"/>
                  <w:vAlign w:val="center"/>
                </w:tcPr>
                <w:p w14:paraId="6BE8D2DD">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57004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vMerge w:val="continue"/>
                  <w:vAlign w:val="center"/>
                </w:tcPr>
                <w:p w14:paraId="5932176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60" w:type="dxa"/>
                  <w:vMerge w:val="continue"/>
                  <w:vAlign w:val="center"/>
                </w:tcPr>
                <w:p w14:paraId="69015863">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74560C0A">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continue"/>
                  <w:vAlign w:val="center"/>
                </w:tcPr>
                <w:p w14:paraId="1B184FD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090" w:type="dxa"/>
                  <w:vAlign w:val="center"/>
                </w:tcPr>
                <w:p w14:paraId="4AD84302">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国家禁止新建不符合国家产业政策的小型造纸、制革、印染、染料、炼焦、炼硫、炼砷、炼汞、炼油、电镀、农药、石棉、水泥、玻璃、钢铁、火电以及其他严重污染水环境的生产项目。</w:t>
                  </w:r>
                </w:p>
              </w:tc>
              <w:tc>
                <w:tcPr>
                  <w:tcW w:w="3015" w:type="dxa"/>
                  <w:vAlign w:val="center"/>
                </w:tcPr>
                <w:p w14:paraId="672C973D">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本项目属于日用塑料制品制造【C2927】，不属于</w:t>
                  </w:r>
                  <w:r>
                    <w:rPr>
                      <w:rFonts w:hint="default" w:ascii="Times New Roman" w:hAnsi="Times New Roman" w:eastAsia="宋体" w:cs="Times New Roman"/>
                      <w:b w:val="0"/>
                      <w:bCs/>
                      <w:color w:val="auto"/>
                      <w:kern w:val="0"/>
                      <w:sz w:val="21"/>
                      <w:szCs w:val="21"/>
                      <w:lang w:val="en-US" w:eastAsia="zh-CN"/>
                    </w:rPr>
                    <w:t>小型造纸、制革、印染、染料、炼焦、炼硫、炼砷、炼汞、炼油、电镀、农药、石棉、水泥、玻璃、钢铁、火电以及其他严重污染水环境的生产项目</w:t>
                  </w:r>
                </w:p>
              </w:tc>
              <w:tc>
                <w:tcPr>
                  <w:tcW w:w="472" w:type="dxa"/>
                  <w:vAlign w:val="center"/>
                </w:tcPr>
                <w:p w14:paraId="6659978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0F83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vMerge w:val="continue"/>
                  <w:vAlign w:val="center"/>
                </w:tcPr>
                <w:p w14:paraId="0D5C137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60" w:type="dxa"/>
                  <w:vMerge w:val="continue"/>
                  <w:vAlign w:val="center"/>
                </w:tcPr>
                <w:p w14:paraId="0EE0DAAD">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restart"/>
                  <w:vAlign w:val="center"/>
                </w:tcPr>
                <w:p w14:paraId="5AC78EB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污</w:t>
                  </w:r>
                </w:p>
                <w:p w14:paraId="53568878">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染</w:t>
                  </w:r>
                </w:p>
                <w:p w14:paraId="16BE5BEB">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物</w:t>
                  </w:r>
                </w:p>
                <w:p w14:paraId="7175C26C">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排</w:t>
                  </w:r>
                </w:p>
                <w:p w14:paraId="4E95006A">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放</w:t>
                  </w:r>
                </w:p>
                <w:p w14:paraId="62B0AD5F">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管</w:t>
                  </w:r>
                </w:p>
                <w:p w14:paraId="3399418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控</w:t>
                  </w:r>
                </w:p>
              </w:tc>
              <w:tc>
                <w:tcPr>
                  <w:tcW w:w="645" w:type="dxa"/>
                  <w:vAlign w:val="center"/>
                </w:tcPr>
                <w:p w14:paraId="2CD65897">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区域</w:t>
                  </w:r>
                </w:p>
                <w:p w14:paraId="0432EB8A">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水污</w:t>
                  </w:r>
                </w:p>
                <w:p w14:paraId="1262159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染物</w:t>
                  </w:r>
                </w:p>
                <w:p w14:paraId="6B8C597A">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削减</w:t>
                  </w:r>
                </w:p>
                <w:p w14:paraId="45E6C771">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/替</w:t>
                  </w:r>
                </w:p>
                <w:p w14:paraId="5BB6BAB3">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代要</w:t>
                  </w:r>
                </w:p>
                <w:p w14:paraId="608BAD9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求</w:t>
                  </w:r>
                </w:p>
              </w:tc>
              <w:tc>
                <w:tcPr>
                  <w:tcW w:w="3090" w:type="dxa"/>
                  <w:vAlign w:val="center"/>
                </w:tcPr>
                <w:p w14:paraId="12849C10">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企业事业单位和其他生产经营者超过污染物排放标准或者超过重点污染物排放总量控制指标排放污染物的，县级以上人民政府环境保护主管部门可以责令其采取限制生产、停产整治等措施；情节严重的，报经有批准权的人民政府批准，责令停业、关闭。</w:t>
                  </w:r>
                </w:p>
              </w:tc>
              <w:tc>
                <w:tcPr>
                  <w:tcW w:w="3015" w:type="dxa"/>
                  <w:vAlign w:val="center"/>
                </w:tcPr>
                <w:p w14:paraId="61E61EA1">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highlight w:val="none"/>
                      <w:lang w:val="en-US" w:eastAsia="zh-CN"/>
                    </w:rPr>
                    <w:t>本项目污染物均达标排放，且已申请总量控制，企业严格按照标准及总量控制要求排放污染物。</w:t>
                  </w:r>
                </w:p>
              </w:tc>
              <w:tc>
                <w:tcPr>
                  <w:tcW w:w="472" w:type="dxa"/>
                  <w:vAlign w:val="center"/>
                </w:tcPr>
                <w:p w14:paraId="645AF669">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53D1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vMerge w:val="continue"/>
                  <w:vAlign w:val="center"/>
                </w:tcPr>
                <w:p w14:paraId="52C1F7F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60" w:type="dxa"/>
                  <w:vMerge w:val="continue"/>
                  <w:vAlign w:val="center"/>
                </w:tcPr>
                <w:p w14:paraId="64208E14">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31AF1ACE">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restart"/>
                  <w:vAlign w:val="center"/>
                </w:tcPr>
                <w:p w14:paraId="6148CB9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水污</w:t>
                  </w:r>
                </w:p>
                <w:p w14:paraId="0680E082">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染控</w:t>
                  </w:r>
                </w:p>
                <w:p w14:paraId="17A287DF">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制措</w:t>
                  </w:r>
                </w:p>
                <w:p w14:paraId="39A6E1CC">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施要</w:t>
                  </w:r>
                </w:p>
                <w:p w14:paraId="16B4A74A">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求</w:t>
                  </w:r>
                </w:p>
              </w:tc>
              <w:tc>
                <w:tcPr>
                  <w:tcW w:w="3090" w:type="dxa"/>
                  <w:vAlign w:val="center"/>
                </w:tcPr>
                <w:p w14:paraId="0E5E81D0">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所有排污单位必须依法实现全面达标排放。逐一</w:t>
                  </w:r>
                  <w:r>
                    <w:rPr>
                      <w:rFonts w:hint="eastAsia" w:ascii="宋体" w:hAnsi="宋体" w:eastAsia="宋体" w:cs="宋体"/>
                      <w:b w:val="0"/>
                      <w:bCs/>
                      <w:color w:val="auto"/>
                      <w:kern w:val="0"/>
                      <w:sz w:val="21"/>
                      <w:szCs w:val="21"/>
                      <w:lang w:val="en-US" w:eastAsia="zh-CN"/>
                    </w:rPr>
                    <w:t>排查工业企业排污情况，达标企业应采取措施确保稳定达标；对超标和超总量的企业予以“黄牌”警示，一律限制生产或停产整治；对整治仍不能达到要求且情节严重的企业予以“红牌”处</w:t>
                  </w:r>
                  <w:r>
                    <w:rPr>
                      <w:rFonts w:hint="default" w:ascii="Times New Roman" w:hAnsi="Times New Roman" w:eastAsia="宋体" w:cs="Times New Roman"/>
                      <w:b w:val="0"/>
                      <w:bCs/>
                      <w:color w:val="auto"/>
                      <w:kern w:val="0"/>
                      <w:sz w:val="21"/>
                      <w:szCs w:val="21"/>
                      <w:lang w:val="en-US" w:eastAsia="zh-CN"/>
                    </w:rPr>
                    <w:t>罚，一律停业、关闭。</w:t>
                  </w:r>
                </w:p>
              </w:tc>
              <w:tc>
                <w:tcPr>
                  <w:tcW w:w="3015" w:type="dxa"/>
                  <w:vAlign w:val="center"/>
                </w:tcPr>
                <w:p w14:paraId="35BE8A6B">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highlight w:val="none"/>
                      <w:lang w:val="en-US" w:eastAsia="zh-CN"/>
                    </w:rPr>
                    <w:t>本项目污染物均达标排放，企业拟定期对污染物进行监测，确保污染物</w:t>
                  </w:r>
                  <w:r>
                    <w:rPr>
                      <w:rFonts w:hint="eastAsia" w:ascii="宋体" w:hAnsi="宋体" w:eastAsia="宋体" w:cs="宋体"/>
                      <w:b w:val="0"/>
                      <w:bCs/>
                      <w:color w:val="auto"/>
                      <w:kern w:val="0"/>
                      <w:sz w:val="21"/>
                      <w:szCs w:val="21"/>
                      <w:lang w:val="en-US" w:eastAsia="zh-CN"/>
                    </w:rPr>
                    <w:t>稳定达标。</w:t>
                  </w:r>
                </w:p>
              </w:tc>
              <w:tc>
                <w:tcPr>
                  <w:tcW w:w="472" w:type="dxa"/>
                  <w:vAlign w:val="center"/>
                </w:tcPr>
                <w:p w14:paraId="7E56DAB6">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2BC7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vMerge w:val="continue"/>
                  <w:vAlign w:val="center"/>
                </w:tcPr>
                <w:p w14:paraId="42684EF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60" w:type="dxa"/>
                  <w:vMerge w:val="continue"/>
                  <w:vAlign w:val="center"/>
                </w:tcPr>
                <w:p w14:paraId="6BA50EE5">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420" w:type="dxa"/>
                  <w:vMerge w:val="continue"/>
                  <w:vAlign w:val="center"/>
                </w:tcPr>
                <w:p w14:paraId="40E8E414">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645" w:type="dxa"/>
                  <w:vMerge w:val="continue"/>
                  <w:vAlign w:val="center"/>
                </w:tcPr>
                <w:p w14:paraId="4D3157B4">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p>
              </w:tc>
              <w:tc>
                <w:tcPr>
                  <w:tcW w:w="3090" w:type="dxa"/>
                  <w:vAlign w:val="center"/>
                </w:tcPr>
                <w:p w14:paraId="5E029632">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开展经济技术开发区、高新技术产业开发区、出口加工区等工业集聚区水污染治理设施排查和污染治理，全面推行工业集聚区企业废水量、水污染物纳管总量双控制度。集聚区内工业废水必须经预处理达到集中处理要求，方可进入污水集中处理设施。</w:t>
                  </w:r>
                </w:p>
              </w:tc>
              <w:tc>
                <w:tcPr>
                  <w:tcW w:w="3015" w:type="dxa"/>
                  <w:vAlign w:val="center"/>
                </w:tcPr>
                <w:p w14:paraId="292F782F">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color w:val="auto"/>
                      <w:sz w:val="21"/>
                      <w:szCs w:val="21"/>
                      <w:lang w:val="en-US" w:eastAsia="zh-CN"/>
                    </w:rPr>
                    <w:t>本</w:t>
                  </w:r>
                  <w:r>
                    <w:rPr>
                      <w:rFonts w:hint="default" w:ascii="Times New Roman" w:hAnsi="Times New Roman" w:cs="Times New Roman"/>
                      <w:color w:val="auto"/>
                      <w:sz w:val="21"/>
                      <w:szCs w:val="21"/>
                      <w:lang w:eastAsia="zh-CN"/>
                    </w:rPr>
                    <w:t>项目运营期无生产性废水产生及排放，</w:t>
                  </w:r>
                  <w:r>
                    <w:rPr>
                      <w:rFonts w:hint="eastAsia" w:ascii="Times New Roman" w:hAnsi="Times New Roman" w:cs="Times New Roman"/>
                      <w:color w:val="auto"/>
                      <w:sz w:val="21"/>
                      <w:szCs w:val="21"/>
                      <w:lang w:eastAsia="zh-CN"/>
                    </w:rPr>
                    <w:t>职工生活污水依托园区现有“化粪池”处理后达到《污水综合排放标准》（GB8978-1996）表4中三级标准限值及泗县工业污水处理厂接管限值后排入泗县工业污水处理厂处理达《城镇污水处理厂污染物排放标准》（GB18918-2002）表1中一级标准A标准后排入石梁河。</w:t>
                  </w:r>
                </w:p>
              </w:tc>
              <w:tc>
                <w:tcPr>
                  <w:tcW w:w="472" w:type="dxa"/>
                  <w:vAlign w:val="center"/>
                </w:tcPr>
                <w:p w14:paraId="34D03C0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r w14:paraId="34ED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3" w:type="dxa"/>
                  <w:gridSpan w:val="4"/>
                  <w:vAlign w:val="center"/>
                </w:tcPr>
                <w:p w14:paraId="24DD74CC">
                  <w:pPr>
                    <w:autoSpaceDE w:val="0"/>
                    <w:autoSpaceDN w:val="0"/>
                    <w:adjustRightInd w:val="0"/>
                    <w:spacing w:line="240" w:lineRule="auto"/>
                    <w:jc w:val="center"/>
                    <w:rPr>
                      <w:rFonts w:hint="eastAsia"/>
                      <w:color w:val="auto"/>
                    </w:rPr>
                  </w:pPr>
                  <w:r>
                    <w:rPr>
                      <w:rFonts w:hint="eastAsia"/>
                      <w:color w:val="auto"/>
                    </w:rPr>
                    <w:t>其他一般管控</w:t>
                  </w:r>
                </w:p>
                <w:p w14:paraId="70A0E4D0">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color w:val="auto"/>
                    </w:rPr>
                    <w:t>单元</w:t>
                  </w:r>
                </w:p>
              </w:tc>
              <w:tc>
                <w:tcPr>
                  <w:tcW w:w="3090" w:type="dxa"/>
                  <w:vAlign w:val="center"/>
                </w:tcPr>
                <w:p w14:paraId="5593AE85">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一般管控单元内，执行现有法律法规和政策文件。</w:t>
                  </w:r>
                </w:p>
              </w:tc>
              <w:tc>
                <w:tcPr>
                  <w:tcW w:w="3015" w:type="dxa"/>
                  <w:vAlign w:val="center"/>
                </w:tcPr>
                <w:p w14:paraId="4ECDE4A2">
                  <w:pPr>
                    <w:keepNext w:val="0"/>
                    <w:keepLines w:val="0"/>
                    <w:pageBreakBefore w:val="0"/>
                    <w:widowControl w:val="0"/>
                    <w:kinsoku/>
                    <w:wordWrap/>
                    <w:overflowPunct/>
                    <w:topLinePunct w:val="0"/>
                    <w:autoSpaceDE w:val="0"/>
                    <w:autoSpaceDN w:val="0"/>
                    <w:bidi w:val="0"/>
                    <w:adjustRightInd w:val="0"/>
                    <w:snapToGrid/>
                    <w:spacing w:line="240" w:lineRule="auto"/>
                    <w:ind w:firstLine="420" w:firstLineChars="200"/>
                    <w:jc w:val="both"/>
                    <w:textAlignment w:val="auto"/>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cs="Times New Roman"/>
                      <w:color w:val="auto"/>
                      <w:sz w:val="21"/>
                      <w:szCs w:val="21"/>
                      <w:lang w:val="en-US" w:eastAsia="zh-CN"/>
                    </w:rPr>
                    <w:t>本</w:t>
                  </w:r>
                  <w:r>
                    <w:rPr>
                      <w:rFonts w:hint="default" w:ascii="Times New Roman" w:hAnsi="Times New Roman" w:eastAsia="宋体" w:cs="Times New Roman"/>
                      <w:b w:val="0"/>
                      <w:bCs/>
                      <w:color w:val="auto"/>
                      <w:kern w:val="0"/>
                      <w:sz w:val="21"/>
                      <w:szCs w:val="21"/>
                      <w:lang w:val="en-US" w:eastAsia="zh-CN"/>
                    </w:rPr>
                    <w:t>项目符合现有法律法规和政策文件</w:t>
                  </w:r>
                </w:p>
              </w:tc>
              <w:tc>
                <w:tcPr>
                  <w:tcW w:w="472" w:type="dxa"/>
                  <w:vAlign w:val="center"/>
                </w:tcPr>
                <w:p w14:paraId="44F85A48">
                  <w:pPr>
                    <w:autoSpaceDE w:val="0"/>
                    <w:autoSpaceDN w:val="0"/>
                    <w:adjustRightInd w:val="0"/>
                    <w:spacing w:line="240" w:lineRule="auto"/>
                    <w:jc w:val="center"/>
                    <w:rPr>
                      <w:rFonts w:hint="default" w:ascii="Times New Roman" w:hAnsi="Times New Roman" w:eastAsia="宋体" w:cs="Times New Roman"/>
                      <w:b w:val="0"/>
                      <w:bCs/>
                      <w:color w:val="auto"/>
                      <w:kern w:val="0"/>
                      <w:sz w:val="21"/>
                      <w:szCs w:val="21"/>
                      <w:lang w:val="en-US" w:eastAsia="zh-CN"/>
                    </w:rPr>
                  </w:pPr>
                  <w:r>
                    <w:rPr>
                      <w:rFonts w:hint="eastAsia" w:ascii="Times New Roman" w:hAnsi="Times New Roman" w:eastAsia="宋体" w:cs="Times New Roman"/>
                      <w:b w:val="0"/>
                      <w:bCs/>
                      <w:color w:val="auto"/>
                      <w:kern w:val="0"/>
                      <w:sz w:val="21"/>
                      <w:szCs w:val="21"/>
                      <w:lang w:val="en-US" w:eastAsia="zh-CN"/>
                    </w:rPr>
                    <w:t>符合</w:t>
                  </w:r>
                </w:p>
              </w:tc>
            </w:tr>
          </w:tbl>
          <w:p w14:paraId="40765AAF">
            <w:pPr>
              <w:spacing w:line="360" w:lineRule="auto"/>
              <w:ind w:firstLine="480" w:firstLineChars="200"/>
              <w:rPr>
                <w:color w:val="000000"/>
                <w:sz w:val="24"/>
                <w:szCs w:val="32"/>
              </w:rPr>
            </w:pPr>
            <w:r>
              <w:rPr>
                <w:rFonts w:hint="eastAsia" w:ascii="Times New Roman" w:hAnsi="Times New Roman" w:eastAsia="宋体" w:cs="Times New Roman"/>
                <w:b w:val="0"/>
                <w:bCs w:val="0"/>
                <w:color w:val="000000"/>
                <w:sz w:val="24"/>
                <w:szCs w:val="32"/>
                <w:lang w:val="en-US" w:eastAsia="zh-CN"/>
              </w:rPr>
              <w:t>根据《安徽泗县经济开发区总体发展规划环境影响报告书》及其审查意见和《安徽泗县经济开发区总体发展规划环境影响跟踪评价报告书》及其审查意见，</w:t>
            </w:r>
            <w:r>
              <w:rPr>
                <w:color w:val="000000"/>
                <w:sz w:val="24"/>
                <w:szCs w:val="32"/>
              </w:rPr>
              <w:t>规划环评确定的开发区企业准入制度如下。</w:t>
            </w:r>
          </w:p>
          <w:p w14:paraId="2B17B1F9">
            <w:pPr>
              <w:pStyle w:val="66"/>
              <w:keepNext w:val="0"/>
              <w:keepLines w:val="0"/>
              <w:pageBreakBefore w:val="0"/>
              <w:widowControl w:val="0"/>
              <w:kinsoku/>
              <w:wordWrap/>
              <w:overflowPunct/>
              <w:topLinePunct w:val="0"/>
              <w:autoSpaceDE/>
              <w:autoSpaceDN/>
              <w:bidi w:val="0"/>
              <w:adjustRightInd/>
              <w:snapToGrid/>
              <w:spacing w:line="360" w:lineRule="auto"/>
              <w:textAlignment w:val="auto"/>
              <w:rPr>
                <w:color w:val="000000"/>
                <w:sz w:val="24"/>
                <w:szCs w:val="32"/>
              </w:rPr>
            </w:pPr>
            <w:bookmarkStart w:id="0" w:name="_Toc260685592"/>
            <w:bookmarkStart w:id="1" w:name="_Toc292709117"/>
            <w:bookmarkStart w:id="2" w:name="_Toc155244497"/>
            <w:bookmarkStart w:id="3" w:name="_Toc294036862"/>
            <w:bookmarkStart w:id="4" w:name="_Toc173397761"/>
            <w:bookmarkStart w:id="5" w:name="_Toc158093506"/>
            <w:bookmarkStart w:id="6" w:name="_Toc343765610"/>
            <w:bookmarkStart w:id="7" w:name="_Toc163710552"/>
            <w:bookmarkStart w:id="8" w:name="_Toc168755543"/>
            <w:bookmarkStart w:id="9" w:name="_Toc158085406"/>
            <w:bookmarkStart w:id="10" w:name="_Toc156035225"/>
            <w:r>
              <w:rPr>
                <w:color w:val="000000"/>
                <w:sz w:val="24"/>
                <w:szCs w:val="32"/>
              </w:rPr>
              <w:t>1、优先鼓励项目</w:t>
            </w:r>
            <w:bookmarkEnd w:id="0"/>
            <w:bookmarkEnd w:id="1"/>
            <w:bookmarkEnd w:id="2"/>
            <w:bookmarkEnd w:id="3"/>
            <w:bookmarkEnd w:id="4"/>
            <w:bookmarkEnd w:id="5"/>
            <w:bookmarkEnd w:id="6"/>
            <w:bookmarkEnd w:id="7"/>
            <w:bookmarkEnd w:id="8"/>
            <w:bookmarkEnd w:id="9"/>
            <w:bookmarkEnd w:id="10"/>
          </w:p>
          <w:p w14:paraId="76799CE2">
            <w:pPr>
              <w:pStyle w:val="66"/>
              <w:keepNext w:val="0"/>
              <w:keepLines w:val="0"/>
              <w:pageBreakBefore w:val="0"/>
              <w:widowControl w:val="0"/>
              <w:kinsoku/>
              <w:wordWrap/>
              <w:overflowPunct/>
              <w:topLinePunct w:val="0"/>
              <w:autoSpaceDE/>
              <w:autoSpaceDN/>
              <w:bidi w:val="0"/>
              <w:adjustRightInd/>
              <w:snapToGrid/>
              <w:spacing w:line="360" w:lineRule="auto"/>
              <w:textAlignment w:val="auto"/>
              <w:rPr>
                <w:color w:val="000000"/>
                <w:sz w:val="24"/>
                <w:szCs w:val="32"/>
              </w:rPr>
            </w:pPr>
            <w:r>
              <w:rPr>
                <w:color w:val="000000"/>
                <w:sz w:val="24"/>
                <w:szCs w:val="32"/>
              </w:rPr>
              <w:t>（1）与规划主导产业结构相符合的工业项目</w:t>
            </w:r>
          </w:p>
          <w:p w14:paraId="52B6DBAB">
            <w:pPr>
              <w:pStyle w:val="66"/>
              <w:keepNext w:val="0"/>
              <w:keepLines w:val="0"/>
              <w:pageBreakBefore w:val="0"/>
              <w:widowControl w:val="0"/>
              <w:kinsoku/>
              <w:wordWrap/>
              <w:overflowPunct/>
              <w:topLinePunct w:val="0"/>
              <w:autoSpaceDE/>
              <w:autoSpaceDN/>
              <w:bidi w:val="0"/>
              <w:adjustRightInd/>
              <w:snapToGrid/>
              <w:spacing w:line="360" w:lineRule="auto"/>
              <w:textAlignment w:val="auto"/>
              <w:rPr>
                <w:color w:val="000000"/>
                <w:sz w:val="24"/>
                <w:szCs w:val="32"/>
              </w:rPr>
            </w:pPr>
            <w:r>
              <w:rPr>
                <w:color w:val="000000"/>
                <w:sz w:val="24"/>
                <w:szCs w:val="32"/>
              </w:rPr>
              <w:t>规划区内构建“3+1”的重点产业体系，其中三大主导产业包括：重点做大做强机械电子这一首位主导产业；发展壮大纺织服装业；巩固提升农副产品深加工产业。</w:t>
            </w:r>
          </w:p>
          <w:p w14:paraId="4666EC30">
            <w:pPr>
              <w:pStyle w:val="66"/>
              <w:keepNext w:val="0"/>
              <w:keepLines w:val="0"/>
              <w:pageBreakBefore w:val="0"/>
              <w:widowControl w:val="0"/>
              <w:kinsoku/>
              <w:wordWrap/>
              <w:overflowPunct/>
              <w:topLinePunct w:val="0"/>
              <w:autoSpaceDE/>
              <w:autoSpaceDN/>
              <w:bidi w:val="0"/>
              <w:adjustRightInd/>
              <w:snapToGrid/>
              <w:spacing w:line="360" w:lineRule="auto"/>
              <w:textAlignment w:val="auto"/>
              <w:rPr>
                <w:color w:val="000000"/>
                <w:sz w:val="24"/>
                <w:szCs w:val="32"/>
              </w:rPr>
            </w:pPr>
            <w:r>
              <w:rPr>
                <w:color w:val="000000"/>
                <w:sz w:val="24"/>
                <w:szCs w:val="32"/>
              </w:rPr>
              <w:t>（2）与开发区现有产业链相配套的企业</w:t>
            </w:r>
          </w:p>
          <w:p w14:paraId="636CE248">
            <w:pPr>
              <w:pStyle w:val="66"/>
              <w:keepNext w:val="0"/>
              <w:keepLines w:val="0"/>
              <w:pageBreakBefore w:val="0"/>
              <w:widowControl w:val="0"/>
              <w:kinsoku/>
              <w:wordWrap/>
              <w:overflowPunct/>
              <w:topLinePunct w:val="0"/>
              <w:autoSpaceDE/>
              <w:autoSpaceDN/>
              <w:bidi w:val="0"/>
              <w:adjustRightInd/>
              <w:snapToGrid/>
              <w:spacing w:line="360" w:lineRule="auto"/>
              <w:textAlignment w:val="auto"/>
              <w:rPr>
                <w:color w:val="000000"/>
                <w:sz w:val="24"/>
                <w:szCs w:val="32"/>
              </w:rPr>
            </w:pPr>
            <w:r>
              <w:rPr>
                <w:color w:val="000000"/>
                <w:sz w:val="24"/>
                <w:szCs w:val="32"/>
              </w:rPr>
              <w:t>鼓励开发区基础设施项目建设，如：交通运输、邮电通讯、供水、供气、供热、污水处理等，也应积极招商引资，大力改善开发区投资环境，促进区域经济发展。</w:t>
            </w:r>
          </w:p>
          <w:p w14:paraId="08DFA8F4">
            <w:pPr>
              <w:pStyle w:val="66"/>
              <w:keepNext w:val="0"/>
              <w:keepLines w:val="0"/>
              <w:pageBreakBefore w:val="0"/>
              <w:widowControl w:val="0"/>
              <w:kinsoku/>
              <w:wordWrap/>
              <w:overflowPunct/>
              <w:topLinePunct w:val="0"/>
              <w:autoSpaceDE/>
              <w:autoSpaceDN/>
              <w:bidi w:val="0"/>
              <w:adjustRightInd/>
              <w:snapToGrid/>
              <w:spacing w:line="360" w:lineRule="auto"/>
              <w:textAlignment w:val="auto"/>
              <w:rPr>
                <w:color w:val="000000"/>
                <w:sz w:val="24"/>
                <w:szCs w:val="32"/>
              </w:rPr>
            </w:pPr>
            <w:r>
              <w:rPr>
                <w:color w:val="000000"/>
                <w:sz w:val="24"/>
                <w:szCs w:val="32"/>
              </w:rPr>
              <w:t>鼓励发展其他规模效益好、能源资源消耗少、排污小的企业。包括清洁生产型企业、高新技术型企业和节水节能型企业。</w:t>
            </w:r>
          </w:p>
          <w:p w14:paraId="6CA145CC">
            <w:pPr>
              <w:pStyle w:val="66"/>
              <w:keepNext w:val="0"/>
              <w:keepLines w:val="0"/>
              <w:pageBreakBefore w:val="0"/>
              <w:widowControl w:val="0"/>
              <w:kinsoku/>
              <w:wordWrap/>
              <w:overflowPunct/>
              <w:topLinePunct w:val="0"/>
              <w:autoSpaceDE/>
              <w:autoSpaceDN/>
              <w:bidi w:val="0"/>
              <w:adjustRightInd/>
              <w:snapToGrid/>
              <w:spacing w:line="360" w:lineRule="auto"/>
              <w:textAlignment w:val="auto"/>
              <w:rPr>
                <w:color w:val="000000"/>
                <w:sz w:val="24"/>
                <w:szCs w:val="32"/>
              </w:rPr>
            </w:pPr>
            <w:bookmarkStart w:id="11" w:name="_Toc343765611"/>
            <w:bookmarkStart w:id="12" w:name="_Toc158085407"/>
            <w:bookmarkStart w:id="13" w:name="_Toc173397762"/>
            <w:bookmarkStart w:id="14" w:name="_Toc168755544"/>
            <w:bookmarkStart w:id="15" w:name="_Toc155244498"/>
            <w:bookmarkStart w:id="16" w:name="_Toc163710553"/>
            <w:bookmarkStart w:id="17" w:name="_Toc294036863"/>
            <w:bookmarkStart w:id="18" w:name="_Toc260685593"/>
            <w:bookmarkStart w:id="19" w:name="_Toc156035226"/>
            <w:bookmarkStart w:id="20" w:name="_Toc292709118"/>
            <w:bookmarkStart w:id="21" w:name="_Toc158093507"/>
            <w:r>
              <w:rPr>
                <w:color w:val="000000"/>
                <w:sz w:val="24"/>
                <w:szCs w:val="32"/>
              </w:rPr>
              <w:t>2、限制发展项目</w:t>
            </w:r>
            <w:bookmarkEnd w:id="11"/>
            <w:bookmarkEnd w:id="12"/>
            <w:bookmarkEnd w:id="13"/>
            <w:bookmarkEnd w:id="14"/>
            <w:bookmarkEnd w:id="15"/>
            <w:bookmarkEnd w:id="16"/>
            <w:bookmarkEnd w:id="17"/>
            <w:bookmarkEnd w:id="18"/>
            <w:bookmarkEnd w:id="19"/>
            <w:bookmarkEnd w:id="20"/>
            <w:bookmarkEnd w:id="21"/>
          </w:p>
          <w:p w14:paraId="33DD6307">
            <w:pPr>
              <w:pStyle w:val="6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sz w:val="24"/>
                <w:szCs w:val="32"/>
              </w:rPr>
            </w:pPr>
            <w:r>
              <w:rPr>
                <w:color w:val="000000"/>
                <w:sz w:val="24"/>
                <w:szCs w:val="32"/>
              </w:rPr>
              <w:t>限</w:t>
            </w:r>
            <w:r>
              <w:rPr>
                <w:rFonts w:hint="default" w:ascii="Times New Roman" w:hAnsi="Times New Roman" w:cs="Times New Roman"/>
                <w:color w:val="000000"/>
                <w:sz w:val="24"/>
                <w:szCs w:val="32"/>
              </w:rPr>
              <w:t>制发展能源、资源消耗量或排污量较大但效益相对较好的企业发展；开发区内规划的现代物流业禁止贮存和输送有毒、有害化学品和危险品；食品加工类严格限制酿造类项目。</w:t>
            </w:r>
          </w:p>
          <w:p w14:paraId="0C8CD5FB">
            <w:pPr>
              <w:pStyle w:val="6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sz w:val="24"/>
                <w:szCs w:val="32"/>
              </w:rPr>
            </w:pPr>
            <w:bookmarkStart w:id="22" w:name="_Toc292709119"/>
            <w:bookmarkStart w:id="23" w:name="_Toc163710554"/>
            <w:bookmarkStart w:id="24" w:name="_Toc155244499"/>
            <w:bookmarkStart w:id="25" w:name="_Toc173397763"/>
            <w:bookmarkStart w:id="26" w:name="_Toc168755545"/>
            <w:bookmarkStart w:id="27" w:name="_Toc158093508"/>
            <w:bookmarkStart w:id="28" w:name="_Toc158085408"/>
            <w:bookmarkStart w:id="29" w:name="_Toc260685594"/>
            <w:bookmarkStart w:id="30" w:name="_Toc343765612"/>
            <w:bookmarkStart w:id="31" w:name="_Toc156035227"/>
            <w:bookmarkStart w:id="32" w:name="_Toc294036864"/>
            <w:r>
              <w:rPr>
                <w:rFonts w:hint="default" w:ascii="Times New Roman" w:hAnsi="Times New Roman" w:cs="Times New Roman"/>
                <w:color w:val="000000"/>
                <w:sz w:val="24"/>
                <w:szCs w:val="32"/>
              </w:rPr>
              <w:t>3、禁止发展项目</w:t>
            </w:r>
            <w:bookmarkEnd w:id="22"/>
            <w:bookmarkEnd w:id="23"/>
            <w:bookmarkEnd w:id="24"/>
            <w:bookmarkEnd w:id="25"/>
            <w:bookmarkEnd w:id="26"/>
            <w:bookmarkEnd w:id="27"/>
            <w:bookmarkEnd w:id="28"/>
            <w:bookmarkEnd w:id="29"/>
            <w:bookmarkEnd w:id="30"/>
            <w:bookmarkEnd w:id="31"/>
            <w:bookmarkEnd w:id="32"/>
          </w:p>
          <w:p w14:paraId="69F5DE17">
            <w:pPr>
              <w:pStyle w:val="6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sz w:val="24"/>
                <w:szCs w:val="32"/>
              </w:rPr>
            </w:pPr>
            <w:bookmarkStart w:id="33" w:name="_Toc343765613"/>
            <w:r>
              <w:rPr>
                <w:rFonts w:hint="default" w:ascii="Times New Roman" w:hAnsi="Times New Roman" w:cs="Times New Roman"/>
                <w:color w:val="000000"/>
                <w:sz w:val="24"/>
                <w:szCs w:val="32"/>
              </w:rPr>
              <w:t>（1）国家明令禁止建设或投资的、不符合《产业结构调整指导目录》要求的建设项目不得进入开发区。</w:t>
            </w:r>
          </w:p>
          <w:p w14:paraId="0618301E">
            <w:pPr>
              <w:pStyle w:val="6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sz w:val="24"/>
                <w:szCs w:val="32"/>
              </w:rPr>
            </w:pPr>
            <w:r>
              <w:rPr>
                <w:rFonts w:hint="default" w:ascii="Times New Roman" w:hAnsi="Times New Roman" w:cs="Times New Roman"/>
                <w:color w:val="000000"/>
                <w:sz w:val="24"/>
                <w:szCs w:val="32"/>
              </w:rPr>
              <w:t>（2）规模效益差、能源资源消耗大、环境影响严重的企业，严格控制高污染、高能耗、高水耗项目进入；</w:t>
            </w:r>
          </w:p>
          <w:p w14:paraId="5417BFF0">
            <w:pPr>
              <w:pStyle w:val="6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sz w:val="24"/>
                <w:szCs w:val="32"/>
              </w:rPr>
            </w:pPr>
            <w:r>
              <w:rPr>
                <w:rFonts w:hint="default" w:ascii="Times New Roman" w:hAnsi="Times New Roman" w:cs="Times New Roman"/>
                <w:color w:val="000000"/>
                <w:sz w:val="24"/>
                <w:szCs w:val="32"/>
              </w:rPr>
              <w:t>（3）纺织服装类片区禁止新建印染和制革类项目；禁止新建每小时20蒸吨及以下燃煤锅炉的项目；</w:t>
            </w:r>
          </w:p>
          <w:bookmarkEnd w:id="33"/>
          <w:p w14:paraId="48B10312">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b w:val="0"/>
                <w:bCs w:val="0"/>
                <w:color w:val="000000"/>
                <w:sz w:val="24"/>
                <w:szCs w:val="32"/>
                <w:lang w:val="en-US" w:eastAsia="zh-CN"/>
              </w:rPr>
            </w:pPr>
            <w:r>
              <w:rPr>
                <w:rFonts w:hint="default" w:ascii="Times New Roman" w:hAnsi="Times New Roman" w:eastAsia="宋体" w:cs="Times New Roman"/>
                <w:b w:val="0"/>
                <w:bCs w:val="0"/>
                <w:color w:val="000000"/>
                <w:sz w:val="24"/>
                <w:szCs w:val="32"/>
                <w:lang w:val="en-US" w:eastAsia="zh-CN"/>
              </w:rPr>
              <w:t>生态环境准入清单见下表：</w:t>
            </w:r>
          </w:p>
          <w:p w14:paraId="17210A7D">
            <w:pPr>
              <w:keepNext w:val="0"/>
              <w:keepLines w:val="0"/>
              <w:pageBreakBefore w:val="0"/>
              <w:widowControl w:val="0"/>
              <w:kinsoku/>
              <w:wordWrap/>
              <w:overflowPunct/>
              <w:topLinePunct w:val="0"/>
              <w:autoSpaceDE/>
              <w:autoSpaceDN/>
              <w:bidi w:val="0"/>
              <w:adjustRightInd/>
              <w:snapToGrid/>
              <w:spacing w:line="360" w:lineRule="auto"/>
              <w:ind w:firstLine="482"/>
              <w:jc w:val="center"/>
              <w:textAlignment w:val="auto"/>
              <w:rPr>
                <w:rFonts w:hint="default" w:ascii="Times New Roman" w:hAnsi="Times New Roman" w:eastAsia="宋体" w:cs="Times New Roman"/>
                <w:b/>
                <w:color w:val="000000"/>
                <w:szCs w:val="21"/>
              </w:rPr>
            </w:pPr>
            <w:r>
              <w:rPr>
                <w:rFonts w:hint="eastAsia" w:ascii="Times New Roman" w:hAnsi="Times New Roman" w:eastAsia="宋体" w:cs="Times New Roman"/>
                <w:b/>
                <w:color w:val="000000"/>
                <w:szCs w:val="21"/>
                <w:lang w:val="en-US" w:eastAsia="zh-CN"/>
              </w:rPr>
              <w:t xml:space="preserve">表1.14  </w:t>
            </w:r>
            <w:r>
              <w:rPr>
                <w:rFonts w:hint="default" w:ascii="Times New Roman" w:hAnsi="Times New Roman" w:eastAsia="宋体" w:cs="Times New Roman"/>
                <w:b/>
                <w:color w:val="000000"/>
                <w:szCs w:val="21"/>
              </w:rPr>
              <w:t>开发区入园行业一览表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3938"/>
              <w:gridCol w:w="1223"/>
              <w:gridCol w:w="1004"/>
              <w:gridCol w:w="673"/>
            </w:tblGrid>
            <w:tr w14:paraId="1C722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3" w:type="pct"/>
                  <w:noWrap w:val="0"/>
                  <w:vAlign w:val="center"/>
                </w:tcPr>
                <w:p w14:paraId="43E41BAF">
                  <w:pPr>
                    <w:pStyle w:val="9"/>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行业门类</w:t>
                  </w:r>
                </w:p>
              </w:tc>
              <w:tc>
                <w:tcPr>
                  <w:tcW w:w="2375" w:type="pct"/>
                  <w:noWrap w:val="0"/>
                  <w:vAlign w:val="center"/>
                </w:tcPr>
                <w:p w14:paraId="44F8CF12">
                  <w:pPr>
                    <w:pStyle w:val="9"/>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行业名称</w:t>
                  </w:r>
                </w:p>
              </w:tc>
              <w:tc>
                <w:tcPr>
                  <w:tcW w:w="738" w:type="pct"/>
                  <w:noWrap w:val="0"/>
                  <w:vAlign w:val="center"/>
                </w:tcPr>
                <w:p w14:paraId="7D0AB3A0">
                  <w:pPr>
                    <w:pStyle w:val="9"/>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入区建议</w:t>
                  </w:r>
                </w:p>
              </w:tc>
              <w:tc>
                <w:tcPr>
                  <w:tcW w:w="606" w:type="pct"/>
                  <w:noWrap w:val="0"/>
                  <w:vAlign w:val="center"/>
                </w:tcPr>
                <w:p w14:paraId="2E8EA776">
                  <w:pPr>
                    <w:pStyle w:val="9"/>
                    <w:spacing w:line="240" w:lineRule="auto"/>
                    <w:ind w:firstLine="0" w:firstLineChars="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本项目情况</w:t>
                  </w:r>
                </w:p>
              </w:tc>
              <w:tc>
                <w:tcPr>
                  <w:tcW w:w="406" w:type="pct"/>
                  <w:noWrap w:val="0"/>
                  <w:vAlign w:val="center"/>
                </w:tcPr>
                <w:p w14:paraId="363EB7D4">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备注</w:t>
                  </w:r>
                </w:p>
              </w:tc>
            </w:tr>
            <w:tr w14:paraId="4CC45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73" w:type="pct"/>
                  <w:vMerge w:val="restart"/>
                  <w:noWrap w:val="0"/>
                  <w:vAlign w:val="center"/>
                </w:tcPr>
                <w:p w14:paraId="409F8379">
                  <w:pPr>
                    <w:pStyle w:val="9"/>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机械电子</w:t>
                  </w:r>
                </w:p>
              </w:tc>
              <w:tc>
                <w:tcPr>
                  <w:tcW w:w="2375" w:type="pct"/>
                  <w:noWrap w:val="0"/>
                  <w:vAlign w:val="center"/>
                </w:tcPr>
                <w:p w14:paraId="29DEA1ED">
                  <w:pPr>
                    <w:pStyle w:val="9"/>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通用、专用设备制造</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铁路运输设备制造</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汽车、摩托车制造（发动机、零部件)</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自行车制造</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船舶及浮动装置制造</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交通器材及其他交通运输设备制造</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电气机械及器材制造(不含电池制造)</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仪器仪表及文化、办公用机械制造</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电子配件组装</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金属制品加工制造</w:t>
                  </w:r>
                  <w:r>
                    <w:rPr>
                      <w:rFonts w:hint="eastAsia" w:ascii="Times New Roman" w:hAnsi="Times New Roman" w:eastAsia="宋体" w:cs="Times New Roman"/>
                      <w:color w:val="000000"/>
                      <w:sz w:val="21"/>
                      <w:szCs w:val="21"/>
                      <w:lang w:eastAsia="zh-CN"/>
                    </w:rPr>
                    <w:t>；</w:t>
                  </w:r>
                </w:p>
              </w:tc>
              <w:tc>
                <w:tcPr>
                  <w:tcW w:w="738" w:type="pct"/>
                  <w:noWrap w:val="0"/>
                  <w:vAlign w:val="center"/>
                </w:tcPr>
                <w:p w14:paraId="396EE662">
                  <w:pPr>
                    <w:pStyle w:val="9"/>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无电镀、喷漆工艺的</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优先入区</w:t>
                  </w:r>
                </w:p>
              </w:tc>
              <w:tc>
                <w:tcPr>
                  <w:tcW w:w="606" w:type="pct"/>
                  <w:vMerge w:val="restart"/>
                  <w:noWrap w:val="0"/>
                  <w:vAlign w:val="center"/>
                </w:tcPr>
                <w:p w14:paraId="52B70206">
                  <w:pPr>
                    <w:pStyle w:val="9"/>
                    <w:spacing w:line="240" w:lineRule="auto"/>
                    <w:ind w:firstLine="0" w:firstLineChars="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本项目属于</w:t>
                  </w:r>
                  <w:r>
                    <w:rPr>
                      <w:rFonts w:hint="eastAsia" w:ascii="Times New Roman" w:hAnsi="Times New Roman" w:cs="Times New Roman"/>
                      <w:color w:val="auto"/>
                      <w:sz w:val="21"/>
                      <w:szCs w:val="21"/>
                      <w:highlight w:val="none"/>
                      <w:lang w:eastAsia="zh-CN"/>
                    </w:rPr>
                    <w:t>日用塑料制品制造【</w:t>
                  </w:r>
                  <w:r>
                    <w:rPr>
                      <w:rFonts w:hint="eastAsia" w:ascii="Times New Roman" w:hAnsi="Times New Roman" w:cs="Times New Roman"/>
                      <w:color w:val="auto"/>
                      <w:sz w:val="21"/>
                      <w:szCs w:val="21"/>
                      <w:highlight w:val="none"/>
                      <w:lang w:val="en-US" w:eastAsia="zh-CN"/>
                    </w:rPr>
                    <w:t>C</w:t>
                  </w:r>
                  <w:r>
                    <w:rPr>
                      <w:rFonts w:hint="eastAsia" w:ascii="Times New Roman" w:hAnsi="Times New Roman" w:cs="Times New Roman"/>
                      <w:color w:val="auto"/>
                      <w:sz w:val="21"/>
                      <w:szCs w:val="21"/>
                      <w:highlight w:val="none"/>
                      <w:lang w:eastAsia="zh-CN"/>
                    </w:rPr>
                    <w:t>2927】，</w:t>
                  </w:r>
                  <w:r>
                    <w:rPr>
                      <w:rFonts w:hint="eastAsia" w:ascii="Times New Roman" w:hAnsi="Times New Roman" w:cs="Times New Roman"/>
                      <w:color w:val="auto"/>
                      <w:sz w:val="21"/>
                      <w:szCs w:val="21"/>
                      <w:highlight w:val="none"/>
                      <w:lang w:val="en-US" w:eastAsia="zh-CN"/>
                    </w:rPr>
                    <w:t>属于其他行业，</w:t>
                  </w:r>
                  <w:r>
                    <w:rPr>
                      <w:rFonts w:hint="default" w:ascii="Times New Roman" w:hAnsi="Times New Roman" w:eastAsia="宋体" w:cs="Times New Roman"/>
                      <w:color w:val="000000"/>
                      <w:sz w:val="21"/>
                      <w:szCs w:val="21"/>
                    </w:rPr>
                    <w:t>与主导产业不完全相符，但是低能耗、轻污染型周边产</w:t>
                  </w:r>
                  <w:r>
                    <w:rPr>
                      <w:rFonts w:hint="eastAsia" w:ascii="Times New Roman" w:hAnsi="Times New Roman" w:eastAsia="宋体" w:cs="Times New Roman"/>
                      <w:color w:val="000000"/>
                      <w:sz w:val="21"/>
                      <w:szCs w:val="21"/>
                      <w:lang w:val="en-US" w:eastAsia="zh-CN"/>
                    </w:rPr>
                    <w:t>业，本项目在严格落实本评价中提出的污染防治措施后，废气、废水、噪声均可达标排放，固废做到零排放，本项目符合园区入园要求。</w:t>
                  </w:r>
                </w:p>
              </w:tc>
              <w:tc>
                <w:tcPr>
                  <w:tcW w:w="406" w:type="pct"/>
                  <w:vMerge w:val="restart"/>
                  <w:noWrap w:val="0"/>
                  <w:vAlign w:val="center"/>
                </w:tcPr>
                <w:p w14:paraId="127AD9D0">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规划环评</w:t>
                  </w:r>
                </w:p>
              </w:tc>
            </w:tr>
            <w:tr w14:paraId="68E19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73" w:type="pct"/>
                  <w:vMerge w:val="continue"/>
                  <w:noWrap w:val="0"/>
                  <w:vAlign w:val="center"/>
                </w:tcPr>
                <w:p w14:paraId="4F418359">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p>
              </w:tc>
              <w:tc>
                <w:tcPr>
                  <w:tcW w:w="2375" w:type="pct"/>
                  <w:noWrap w:val="0"/>
                  <w:vAlign w:val="center"/>
                </w:tcPr>
                <w:p w14:paraId="686642F0">
                  <w:pPr>
                    <w:pStyle w:val="9"/>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集成电路生产，半导体器件生产</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印刷电路板，电真空器件</w:t>
                  </w:r>
                </w:p>
              </w:tc>
              <w:tc>
                <w:tcPr>
                  <w:tcW w:w="738" w:type="pct"/>
                  <w:noWrap w:val="0"/>
                  <w:vAlign w:val="center"/>
                </w:tcPr>
                <w:p w14:paraId="1E6427E8">
                  <w:pPr>
                    <w:pStyle w:val="9"/>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限制入区</w:t>
                  </w:r>
                </w:p>
              </w:tc>
              <w:tc>
                <w:tcPr>
                  <w:tcW w:w="606" w:type="pct"/>
                  <w:vMerge w:val="continue"/>
                  <w:noWrap w:val="0"/>
                  <w:vAlign w:val="center"/>
                </w:tcPr>
                <w:p w14:paraId="40E32D9E">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p>
              </w:tc>
              <w:tc>
                <w:tcPr>
                  <w:tcW w:w="406" w:type="pct"/>
                  <w:vMerge w:val="continue"/>
                  <w:noWrap w:val="0"/>
                  <w:vAlign w:val="center"/>
                </w:tcPr>
                <w:p w14:paraId="3B585B3A">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p>
              </w:tc>
            </w:tr>
            <w:tr w14:paraId="55BB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1" w:hRule="atLeast"/>
                <w:jc w:val="center"/>
              </w:trPr>
              <w:tc>
                <w:tcPr>
                  <w:tcW w:w="873" w:type="pct"/>
                  <w:vMerge w:val="continue"/>
                  <w:noWrap w:val="0"/>
                  <w:vAlign w:val="center"/>
                </w:tcPr>
                <w:p w14:paraId="70D2A411">
                  <w:pPr>
                    <w:pStyle w:val="9"/>
                    <w:spacing w:line="240" w:lineRule="auto"/>
                    <w:ind w:firstLine="0" w:firstLineChars="0"/>
                    <w:jc w:val="center"/>
                    <w:rPr>
                      <w:color w:val="000000"/>
                    </w:rPr>
                  </w:pPr>
                </w:p>
              </w:tc>
              <w:tc>
                <w:tcPr>
                  <w:tcW w:w="2375" w:type="pct"/>
                  <w:noWrap w:val="0"/>
                  <w:vAlign w:val="center"/>
                </w:tcPr>
                <w:p w14:paraId="62B40D77">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电镀表面处理</w:t>
                  </w:r>
                </w:p>
              </w:tc>
              <w:tc>
                <w:tcPr>
                  <w:tcW w:w="738" w:type="pct"/>
                  <w:noWrap w:val="0"/>
                  <w:vAlign w:val="center"/>
                </w:tcPr>
                <w:p w14:paraId="7BA02E53">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禁止进入</w:t>
                  </w:r>
                </w:p>
              </w:tc>
              <w:tc>
                <w:tcPr>
                  <w:tcW w:w="606" w:type="pct"/>
                  <w:vMerge w:val="continue"/>
                  <w:noWrap w:val="0"/>
                  <w:vAlign w:val="center"/>
                </w:tcPr>
                <w:p w14:paraId="68EB74FA">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p>
              </w:tc>
              <w:tc>
                <w:tcPr>
                  <w:tcW w:w="406" w:type="pct"/>
                  <w:vMerge w:val="continue"/>
                  <w:noWrap w:val="0"/>
                  <w:vAlign w:val="center"/>
                </w:tcPr>
                <w:p w14:paraId="047A8E77">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p>
              </w:tc>
            </w:tr>
            <w:tr w14:paraId="053D9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3" w:type="pct"/>
                  <w:vMerge w:val="restart"/>
                  <w:noWrap w:val="0"/>
                  <w:vAlign w:val="center"/>
                </w:tcPr>
                <w:p w14:paraId="72F0032B">
                  <w:pPr>
                    <w:pStyle w:val="9"/>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纺织服装</w:t>
                  </w:r>
                </w:p>
              </w:tc>
              <w:tc>
                <w:tcPr>
                  <w:tcW w:w="2375" w:type="pct"/>
                  <w:noWrap w:val="0"/>
                  <w:vAlign w:val="center"/>
                </w:tcPr>
                <w:p w14:paraId="66C9CAFE">
                  <w:pPr>
                    <w:pStyle w:val="9"/>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棉纺纱加工、棉织造加工</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毛条和毛纱线加工、毛织造加工</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麻纺织</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家用纺织制成品制造、非家用纺织制</w:t>
                  </w:r>
                </w:p>
              </w:tc>
              <w:tc>
                <w:tcPr>
                  <w:tcW w:w="738" w:type="pct"/>
                  <w:noWrap w:val="0"/>
                  <w:vAlign w:val="center"/>
                </w:tcPr>
                <w:p w14:paraId="32EB8148">
                  <w:pPr>
                    <w:pStyle w:val="9"/>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优先性入区</w:t>
                  </w:r>
                </w:p>
              </w:tc>
              <w:tc>
                <w:tcPr>
                  <w:tcW w:w="606" w:type="pct"/>
                  <w:vMerge w:val="continue"/>
                  <w:noWrap w:val="0"/>
                  <w:vAlign w:val="center"/>
                </w:tcPr>
                <w:p w14:paraId="4E8E9D72">
                  <w:pPr>
                    <w:pStyle w:val="9"/>
                    <w:spacing w:line="240" w:lineRule="auto"/>
                    <w:ind w:firstLine="0" w:firstLineChars="0"/>
                    <w:jc w:val="center"/>
                    <w:rPr>
                      <w:rFonts w:hint="default" w:ascii="Times New Roman" w:hAnsi="Times New Roman" w:eastAsia="宋体" w:cs="Times New Roman"/>
                      <w:color w:val="000000"/>
                      <w:sz w:val="21"/>
                      <w:szCs w:val="21"/>
                    </w:rPr>
                  </w:pPr>
                </w:p>
              </w:tc>
              <w:tc>
                <w:tcPr>
                  <w:tcW w:w="406" w:type="pct"/>
                  <w:vMerge w:val="continue"/>
                  <w:noWrap w:val="0"/>
                  <w:vAlign w:val="center"/>
                </w:tcPr>
                <w:p w14:paraId="016A1518">
                  <w:pPr>
                    <w:pStyle w:val="9"/>
                    <w:spacing w:line="240" w:lineRule="auto"/>
                    <w:ind w:firstLine="0" w:firstLineChars="0"/>
                    <w:jc w:val="center"/>
                    <w:rPr>
                      <w:rFonts w:hint="default" w:ascii="Times New Roman" w:hAnsi="Times New Roman" w:eastAsia="宋体" w:cs="Times New Roman"/>
                      <w:color w:val="000000"/>
                      <w:sz w:val="21"/>
                      <w:szCs w:val="21"/>
                    </w:rPr>
                  </w:pPr>
                </w:p>
              </w:tc>
            </w:tr>
            <w:tr w14:paraId="1F89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73" w:type="pct"/>
                  <w:vMerge w:val="continue"/>
                  <w:noWrap w:val="0"/>
                  <w:vAlign w:val="center"/>
                </w:tcPr>
                <w:p w14:paraId="518ABA40">
                  <w:pPr>
                    <w:pStyle w:val="9"/>
                    <w:spacing w:line="240" w:lineRule="auto"/>
                    <w:ind w:firstLine="0" w:firstLineChars="0"/>
                    <w:jc w:val="center"/>
                    <w:rPr>
                      <w:color w:val="000000"/>
                    </w:rPr>
                  </w:pPr>
                </w:p>
              </w:tc>
              <w:tc>
                <w:tcPr>
                  <w:tcW w:w="2375" w:type="pct"/>
                  <w:noWrap w:val="0"/>
                  <w:vAlign w:val="center"/>
                </w:tcPr>
                <w:p w14:paraId="5DD551A9">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印染和制革</w:t>
                  </w:r>
                </w:p>
              </w:tc>
              <w:tc>
                <w:tcPr>
                  <w:tcW w:w="738" w:type="pct"/>
                  <w:noWrap w:val="0"/>
                  <w:vAlign w:val="center"/>
                </w:tcPr>
                <w:p w14:paraId="6E4558EB">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禁止进入</w:t>
                  </w:r>
                </w:p>
              </w:tc>
              <w:tc>
                <w:tcPr>
                  <w:tcW w:w="606" w:type="pct"/>
                  <w:vMerge w:val="continue"/>
                  <w:noWrap w:val="0"/>
                  <w:vAlign w:val="center"/>
                </w:tcPr>
                <w:p w14:paraId="28BA9B7D">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p>
              </w:tc>
              <w:tc>
                <w:tcPr>
                  <w:tcW w:w="406" w:type="pct"/>
                  <w:vMerge w:val="continue"/>
                  <w:noWrap w:val="0"/>
                  <w:vAlign w:val="center"/>
                </w:tcPr>
                <w:p w14:paraId="20215135">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p>
              </w:tc>
            </w:tr>
            <w:tr w14:paraId="09247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73" w:type="pct"/>
                  <w:vMerge w:val="restart"/>
                  <w:noWrap w:val="0"/>
                  <w:vAlign w:val="center"/>
                </w:tcPr>
                <w:p w14:paraId="346DEF85">
                  <w:pPr>
                    <w:pStyle w:val="9"/>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农副产品深加工</w:t>
                  </w:r>
                </w:p>
              </w:tc>
              <w:tc>
                <w:tcPr>
                  <w:tcW w:w="2375" w:type="pct"/>
                  <w:noWrap w:val="0"/>
                  <w:vAlign w:val="center"/>
                </w:tcPr>
                <w:p w14:paraId="77402B06">
                  <w:pPr>
                    <w:pStyle w:val="9"/>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谷物磨制，饲料加工，蔬菜、水果和坚果加工</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肉禽类加工，蛋品加工</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焙烤食品制造，糖果，巧克力及蜜</w:t>
                  </w:r>
                  <w:r>
                    <w:rPr>
                      <w:rFonts w:hint="eastAsia" w:ascii="Times New Roman" w:hAnsi="Times New Roman" w:eastAsia="宋体" w:cs="Times New Roman"/>
                      <w:color w:val="000000"/>
                      <w:sz w:val="21"/>
                      <w:szCs w:val="21"/>
                      <w:lang w:val="en-US" w:eastAsia="zh-CN"/>
                    </w:rPr>
                    <w:t>饯制造，方便食品制造</w:t>
                  </w:r>
                </w:p>
              </w:tc>
              <w:tc>
                <w:tcPr>
                  <w:tcW w:w="738" w:type="pct"/>
                  <w:noWrap w:val="0"/>
                  <w:vAlign w:val="center"/>
                </w:tcPr>
                <w:p w14:paraId="542863ED">
                  <w:pPr>
                    <w:pStyle w:val="9"/>
                    <w:spacing w:line="240" w:lineRule="auto"/>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优先性入区</w:t>
                  </w:r>
                </w:p>
              </w:tc>
              <w:tc>
                <w:tcPr>
                  <w:tcW w:w="606" w:type="pct"/>
                  <w:vMerge w:val="continue"/>
                  <w:noWrap w:val="0"/>
                  <w:vAlign w:val="center"/>
                </w:tcPr>
                <w:p w14:paraId="676935F5">
                  <w:pPr>
                    <w:pStyle w:val="9"/>
                    <w:spacing w:line="240" w:lineRule="auto"/>
                    <w:ind w:firstLine="0" w:firstLineChars="0"/>
                    <w:jc w:val="center"/>
                    <w:rPr>
                      <w:rFonts w:hint="default" w:ascii="Times New Roman" w:hAnsi="Times New Roman" w:eastAsia="宋体" w:cs="Times New Roman"/>
                      <w:color w:val="000000"/>
                      <w:sz w:val="21"/>
                      <w:szCs w:val="21"/>
                    </w:rPr>
                  </w:pPr>
                </w:p>
              </w:tc>
              <w:tc>
                <w:tcPr>
                  <w:tcW w:w="406" w:type="pct"/>
                  <w:vMerge w:val="continue"/>
                  <w:noWrap w:val="0"/>
                  <w:vAlign w:val="center"/>
                </w:tcPr>
                <w:p w14:paraId="44BBC7A1">
                  <w:pPr>
                    <w:pStyle w:val="9"/>
                    <w:spacing w:line="240" w:lineRule="auto"/>
                    <w:ind w:firstLine="0" w:firstLineChars="0"/>
                    <w:jc w:val="center"/>
                    <w:rPr>
                      <w:rFonts w:hint="default" w:ascii="Times New Roman" w:hAnsi="Times New Roman" w:eastAsia="宋体" w:cs="Times New Roman"/>
                      <w:color w:val="000000"/>
                      <w:sz w:val="21"/>
                      <w:szCs w:val="21"/>
                    </w:rPr>
                  </w:pPr>
                </w:p>
              </w:tc>
            </w:tr>
            <w:tr w14:paraId="04C5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1" w:hRule="atLeast"/>
                <w:jc w:val="center"/>
              </w:trPr>
              <w:tc>
                <w:tcPr>
                  <w:tcW w:w="873" w:type="pct"/>
                  <w:vMerge w:val="continue"/>
                  <w:noWrap w:val="0"/>
                  <w:vAlign w:val="center"/>
                </w:tcPr>
                <w:p w14:paraId="71B99006">
                  <w:pPr>
                    <w:pStyle w:val="9"/>
                    <w:spacing w:line="240" w:lineRule="auto"/>
                    <w:ind w:firstLine="0" w:firstLineChars="0"/>
                    <w:jc w:val="center"/>
                    <w:rPr>
                      <w:color w:val="000000"/>
                    </w:rPr>
                  </w:pPr>
                </w:p>
              </w:tc>
              <w:tc>
                <w:tcPr>
                  <w:tcW w:w="2375" w:type="pct"/>
                  <w:noWrap w:val="0"/>
                  <w:vAlign w:val="center"/>
                </w:tcPr>
                <w:p w14:paraId="55F92B19">
                  <w:pPr>
                    <w:pStyle w:val="9"/>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植物油加工、制糖业、屠宰、酿造类企业</w:t>
                  </w:r>
                </w:p>
              </w:tc>
              <w:tc>
                <w:tcPr>
                  <w:tcW w:w="738" w:type="pct"/>
                  <w:noWrap w:val="0"/>
                  <w:vAlign w:val="center"/>
                </w:tcPr>
                <w:p w14:paraId="526105BB">
                  <w:pPr>
                    <w:pStyle w:val="9"/>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限制入区</w:t>
                  </w:r>
                </w:p>
              </w:tc>
              <w:tc>
                <w:tcPr>
                  <w:tcW w:w="606" w:type="pct"/>
                  <w:vMerge w:val="continue"/>
                  <w:noWrap w:val="0"/>
                  <w:vAlign w:val="center"/>
                </w:tcPr>
                <w:p w14:paraId="32A7810D">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p>
              </w:tc>
              <w:tc>
                <w:tcPr>
                  <w:tcW w:w="406" w:type="pct"/>
                  <w:vMerge w:val="continue"/>
                  <w:noWrap w:val="0"/>
                  <w:vAlign w:val="center"/>
                </w:tcPr>
                <w:p w14:paraId="2260E7A5">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p>
              </w:tc>
            </w:tr>
            <w:tr w14:paraId="5CDD1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73" w:type="pct"/>
                  <w:vMerge w:val="restart"/>
                  <w:noWrap w:val="0"/>
                  <w:vAlign w:val="center"/>
                </w:tcPr>
                <w:p w14:paraId="41B03759">
                  <w:pPr>
                    <w:pStyle w:val="9"/>
                    <w:spacing w:line="240" w:lineRule="auto"/>
                    <w:ind w:firstLine="0" w:firstLineChars="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其他</w:t>
                  </w:r>
                </w:p>
              </w:tc>
              <w:tc>
                <w:tcPr>
                  <w:tcW w:w="2375" w:type="pct"/>
                  <w:noWrap w:val="0"/>
                  <w:vAlign w:val="center"/>
                </w:tcPr>
                <w:p w14:paraId="13C1B084">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与主导产业不完全相符，但是低能耗、轻污染型周边产</w:t>
                  </w:r>
                  <w:r>
                    <w:rPr>
                      <w:rFonts w:hint="eastAsia" w:ascii="Times New Roman" w:hAnsi="Times New Roman" w:eastAsia="宋体" w:cs="Times New Roman"/>
                      <w:color w:val="000000"/>
                      <w:sz w:val="21"/>
                      <w:szCs w:val="21"/>
                      <w:lang w:val="en-US" w:eastAsia="zh-CN"/>
                    </w:rPr>
                    <w:t>业</w:t>
                  </w:r>
                </w:p>
              </w:tc>
              <w:tc>
                <w:tcPr>
                  <w:tcW w:w="738" w:type="pct"/>
                  <w:noWrap w:val="0"/>
                  <w:vAlign w:val="center"/>
                </w:tcPr>
                <w:p w14:paraId="7109AE00">
                  <w:pPr>
                    <w:pStyle w:val="9"/>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适度入区</w:t>
                  </w:r>
                </w:p>
              </w:tc>
              <w:tc>
                <w:tcPr>
                  <w:tcW w:w="606" w:type="pct"/>
                  <w:vMerge w:val="continue"/>
                  <w:noWrap w:val="0"/>
                  <w:vAlign w:val="center"/>
                </w:tcPr>
                <w:p w14:paraId="338656D9">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p>
              </w:tc>
              <w:tc>
                <w:tcPr>
                  <w:tcW w:w="406" w:type="pct"/>
                  <w:vMerge w:val="continue"/>
                  <w:noWrap w:val="0"/>
                  <w:vAlign w:val="center"/>
                </w:tcPr>
                <w:p w14:paraId="32EE3518">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p>
              </w:tc>
            </w:tr>
            <w:tr w14:paraId="5F11C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73" w:type="pct"/>
                  <w:vMerge w:val="continue"/>
                  <w:noWrap w:val="0"/>
                  <w:vAlign w:val="center"/>
                </w:tcPr>
                <w:p w14:paraId="3291C3C1">
                  <w:pPr>
                    <w:pStyle w:val="9"/>
                    <w:spacing w:line="240" w:lineRule="auto"/>
                    <w:ind w:firstLine="0" w:firstLineChars="0"/>
                    <w:jc w:val="center"/>
                    <w:rPr>
                      <w:color w:val="000000"/>
                    </w:rPr>
                  </w:pPr>
                </w:p>
              </w:tc>
              <w:tc>
                <w:tcPr>
                  <w:tcW w:w="2375" w:type="pct"/>
                  <w:noWrap w:val="0"/>
                  <w:vAlign w:val="center"/>
                </w:tcPr>
                <w:p w14:paraId="1811939E">
                  <w:pPr>
                    <w:pStyle w:val="9"/>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高能耗、高污染型项目</w:t>
                  </w:r>
                </w:p>
              </w:tc>
              <w:tc>
                <w:tcPr>
                  <w:tcW w:w="738" w:type="pct"/>
                  <w:noWrap w:val="0"/>
                  <w:vAlign w:val="center"/>
                </w:tcPr>
                <w:p w14:paraId="35D2CDE1">
                  <w:pPr>
                    <w:pStyle w:val="9"/>
                    <w:spacing w:line="240" w:lineRule="auto"/>
                    <w:ind w:firstLine="0" w:firstLineChars="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禁止入区</w:t>
                  </w:r>
                </w:p>
              </w:tc>
              <w:tc>
                <w:tcPr>
                  <w:tcW w:w="606" w:type="pct"/>
                  <w:vMerge w:val="continue"/>
                  <w:noWrap w:val="0"/>
                  <w:vAlign w:val="center"/>
                </w:tcPr>
                <w:p w14:paraId="5DAA5E76">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p>
              </w:tc>
              <w:tc>
                <w:tcPr>
                  <w:tcW w:w="406" w:type="pct"/>
                  <w:vMerge w:val="continue"/>
                  <w:noWrap w:val="0"/>
                  <w:vAlign w:val="center"/>
                </w:tcPr>
                <w:p w14:paraId="08AC89F1">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p>
              </w:tc>
            </w:tr>
            <w:tr w14:paraId="67A6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249" w:type="pct"/>
                  <w:gridSpan w:val="2"/>
                  <w:noWrap w:val="0"/>
                  <w:vAlign w:val="center"/>
                </w:tcPr>
                <w:p w14:paraId="7BF0F0E4">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鼓励引进和优先发展的行业主要以规划主导产业为主，鼓励清洁生产水平高、污染小的配套产业和高新技术产业项目的入驻;鼓励建设市政基础设施及技术改造项目；鼓励有利于园区内企业间循环经济的项目入驻,鼓励企业实施利用先进适用技术进行循环经济改造的项目</w:t>
                  </w:r>
                </w:p>
              </w:tc>
              <w:tc>
                <w:tcPr>
                  <w:tcW w:w="738" w:type="pct"/>
                  <w:noWrap w:val="0"/>
                  <w:vAlign w:val="center"/>
                </w:tcPr>
                <w:p w14:paraId="010199D5">
                  <w:pPr>
                    <w:pStyle w:val="9"/>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鼓励入园</w:t>
                  </w:r>
                </w:p>
              </w:tc>
              <w:tc>
                <w:tcPr>
                  <w:tcW w:w="606" w:type="pct"/>
                  <w:vMerge w:val="continue"/>
                  <w:noWrap w:val="0"/>
                  <w:vAlign w:val="center"/>
                </w:tcPr>
                <w:p w14:paraId="62D9DE8F">
                  <w:pPr>
                    <w:pStyle w:val="9"/>
                    <w:spacing w:line="240" w:lineRule="auto"/>
                    <w:ind w:firstLine="0" w:firstLineChars="0"/>
                    <w:jc w:val="center"/>
                    <w:rPr>
                      <w:rFonts w:hint="default" w:ascii="Times New Roman" w:hAnsi="Times New Roman" w:eastAsia="宋体" w:cs="Times New Roman"/>
                      <w:color w:val="000000"/>
                      <w:sz w:val="21"/>
                      <w:szCs w:val="21"/>
                      <w:lang w:val="en-US" w:eastAsia="zh-CN"/>
                    </w:rPr>
                  </w:pPr>
                </w:p>
              </w:tc>
              <w:tc>
                <w:tcPr>
                  <w:tcW w:w="406" w:type="pct"/>
                  <w:vMerge w:val="restart"/>
                  <w:noWrap w:val="0"/>
                  <w:vAlign w:val="center"/>
                </w:tcPr>
                <w:p w14:paraId="0D2B244F">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跟踪评价</w:t>
                  </w:r>
                </w:p>
              </w:tc>
            </w:tr>
            <w:tr w14:paraId="0385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6" w:hRule="atLeast"/>
                <w:jc w:val="center"/>
              </w:trPr>
              <w:tc>
                <w:tcPr>
                  <w:tcW w:w="3249" w:type="pct"/>
                  <w:gridSpan w:val="2"/>
                  <w:noWrap w:val="0"/>
                  <w:vAlign w:val="center"/>
                </w:tcPr>
                <w:p w14:paraId="2CAA1752">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基于园区的地理位置，为减少园区对泗县城区及园区居住地块的影响，评价建议限制引进排放毒性大的特征大气污染物项目</w:t>
                  </w:r>
                </w:p>
              </w:tc>
              <w:tc>
                <w:tcPr>
                  <w:tcW w:w="738" w:type="pct"/>
                  <w:noWrap w:val="0"/>
                  <w:vAlign w:val="center"/>
                </w:tcPr>
                <w:p w14:paraId="429A72CC">
                  <w:pPr>
                    <w:pStyle w:val="9"/>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限制入园</w:t>
                  </w:r>
                </w:p>
              </w:tc>
              <w:tc>
                <w:tcPr>
                  <w:tcW w:w="606" w:type="pct"/>
                  <w:vMerge w:val="continue"/>
                  <w:noWrap w:val="0"/>
                  <w:vAlign w:val="center"/>
                </w:tcPr>
                <w:p w14:paraId="30A58806">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p>
              </w:tc>
              <w:tc>
                <w:tcPr>
                  <w:tcW w:w="406" w:type="pct"/>
                  <w:vMerge w:val="continue"/>
                  <w:noWrap w:val="0"/>
                  <w:vAlign w:val="center"/>
                </w:tcPr>
                <w:p w14:paraId="6CCAAC69">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p>
              </w:tc>
            </w:tr>
            <w:tr w14:paraId="5AF71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249" w:type="pct"/>
                  <w:gridSpan w:val="2"/>
                  <w:noWrap w:val="0"/>
                  <w:vAlign w:val="center"/>
                </w:tcPr>
                <w:p w14:paraId="6A196657">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新（改、扩）建涉高VOCs含量溶剂型涂料、油墨、胶粘剂等生产和使用的项目禁止入区</w:t>
                  </w:r>
                </w:p>
              </w:tc>
              <w:tc>
                <w:tcPr>
                  <w:tcW w:w="738" w:type="pct"/>
                  <w:noWrap w:val="0"/>
                  <w:vAlign w:val="center"/>
                </w:tcPr>
                <w:p w14:paraId="7EA0AB91">
                  <w:pPr>
                    <w:pStyle w:val="9"/>
                    <w:spacing w:line="240" w:lineRule="auto"/>
                    <w:ind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禁止入园</w:t>
                  </w:r>
                </w:p>
              </w:tc>
              <w:tc>
                <w:tcPr>
                  <w:tcW w:w="606" w:type="pct"/>
                  <w:vMerge w:val="continue"/>
                  <w:noWrap w:val="0"/>
                  <w:vAlign w:val="center"/>
                </w:tcPr>
                <w:p w14:paraId="6FB4452D">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p>
              </w:tc>
              <w:tc>
                <w:tcPr>
                  <w:tcW w:w="406" w:type="pct"/>
                  <w:vMerge w:val="continue"/>
                  <w:noWrap w:val="0"/>
                  <w:vAlign w:val="center"/>
                </w:tcPr>
                <w:p w14:paraId="3E40AE30">
                  <w:pPr>
                    <w:pStyle w:val="9"/>
                    <w:spacing w:line="240" w:lineRule="auto"/>
                    <w:ind w:firstLine="0" w:firstLineChars="0"/>
                    <w:jc w:val="center"/>
                    <w:rPr>
                      <w:rFonts w:hint="eastAsia" w:ascii="Times New Roman" w:hAnsi="Times New Roman" w:eastAsia="宋体" w:cs="Times New Roman"/>
                      <w:color w:val="000000"/>
                      <w:sz w:val="21"/>
                      <w:szCs w:val="21"/>
                      <w:lang w:val="en-US" w:eastAsia="zh-CN"/>
                    </w:rPr>
                  </w:pPr>
                </w:p>
              </w:tc>
            </w:tr>
          </w:tbl>
          <w:p w14:paraId="3788BC62">
            <w:pPr>
              <w:keepNext w:val="0"/>
              <w:keepLines w:val="0"/>
              <w:pageBreakBefore w:val="0"/>
              <w:widowControl w:val="0"/>
              <w:shd w:val="clear"/>
              <w:kinsoku/>
              <w:wordWrap/>
              <w:overflowPunct/>
              <w:topLinePunct w:val="0"/>
              <w:autoSpaceDE/>
              <w:autoSpaceDN/>
              <w:bidi w:val="0"/>
              <w:adjustRightInd/>
              <w:snapToGrid/>
              <w:spacing w:line="360" w:lineRule="auto"/>
              <w:ind w:left="0" w:firstLine="480" w:firstLineChars="200"/>
              <w:jc w:val="both"/>
              <w:textAlignment w:val="auto"/>
              <w:rPr>
                <w:rFonts w:hint="eastAsia" w:ascii="Times New Roman" w:hAnsi="Times New Roman" w:eastAsia="宋体" w:cs="Times New Roman"/>
                <w:b w:val="0"/>
                <w:bCs w:val="0"/>
                <w:color w:val="000000"/>
                <w:sz w:val="24"/>
                <w:highlight w:val="none"/>
                <w:lang w:val="en-US" w:eastAsia="zh-CN"/>
              </w:rPr>
            </w:pPr>
            <w:r>
              <w:rPr>
                <w:rFonts w:hint="eastAsia" w:ascii="Times New Roman" w:hAnsi="Times New Roman" w:eastAsia="宋体" w:cs="Times New Roman"/>
                <w:b w:val="0"/>
                <w:bCs w:val="0"/>
                <w:color w:val="000000"/>
                <w:sz w:val="24"/>
                <w:highlight w:val="none"/>
                <w:lang w:val="en-US" w:eastAsia="zh-CN"/>
              </w:rPr>
              <w:t>3.4与《安徽省生态环境厅关于印发安徽省“三线一单”生态环境分区管控管理办法（暂行）的通知》（皖环发【2022】5 号）符合性分析</w:t>
            </w:r>
          </w:p>
          <w:p w14:paraId="40D9F2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highlight w:val="none"/>
                <w:lang w:val="en-US" w:eastAsia="zh-CN"/>
              </w:rPr>
            </w:pPr>
            <w:r>
              <w:rPr>
                <w:rFonts w:hint="default" w:ascii="Times New Roman" w:hAnsi="Times New Roman" w:cs="Times New Roman"/>
                <w:color w:val="auto"/>
                <w:sz w:val="24"/>
                <w:szCs w:val="24"/>
                <w:highlight w:val="none"/>
                <w:lang w:val="en-US" w:eastAsia="zh-CN"/>
              </w:rPr>
              <w:t>经与“三线一单”成果数据分析，本项目与1个环境管控单元存在交叠，其中优先保护类0个，重点管控类1个</w:t>
            </w:r>
            <w:r>
              <w:rPr>
                <w:rFonts w:hint="eastAsia" w:ascii="Times New Roman" w:hAnsi="Times New Roman" w:cs="Times New Roman"/>
                <w:color w:val="auto"/>
                <w:sz w:val="24"/>
                <w:szCs w:val="24"/>
                <w:highlight w:val="none"/>
                <w:lang w:val="en-US" w:eastAsia="zh-CN"/>
              </w:rPr>
              <w:t>（单元编号：ZH34132420021）</w:t>
            </w:r>
            <w:r>
              <w:rPr>
                <w:rFonts w:hint="default" w:ascii="Times New Roman" w:hAnsi="Times New Roman" w:cs="Times New Roman"/>
                <w:color w:val="auto"/>
                <w:sz w:val="24"/>
                <w:szCs w:val="24"/>
                <w:highlight w:val="none"/>
                <w:lang w:val="en-US" w:eastAsia="zh-CN"/>
              </w:rPr>
              <w:t>，一般管控类0个。具体管控要求及交叠情况详见附件。建设项目在安徽省“三线一单”中的点位分析图（详见附图</w:t>
            </w:r>
            <w:r>
              <w:rPr>
                <w:rFonts w:hint="eastAsia" w:ascii="Times New Roman" w:hAnsi="Times New Roman" w:cs="Times New Roman"/>
                <w:color w:val="auto"/>
                <w:sz w:val="24"/>
                <w:szCs w:val="24"/>
                <w:highlight w:val="none"/>
                <w:lang w:val="en-US" w:eastAsia="zh-CN"/>
              </w:rPr>
              <w:t>13</w:t>
            </w:r>
            <w:r>
              <w:rPr>
                <w:rFonts w:hint="default" w:ascii="Times New Roman" w:hAnsi="Times New Roman" w:cs="Times New Roman"/>
                <w:color w:val="auto"/>
                <w:sz w:val="24"/>
                <w:szCs w:val="24"/>
                <w:highlight w:val="none"/>
                <w:lang w:val="en-US" w:eastAsia="zh-CN"/>
              </w:rPr>
              <w:t>）。</w:t>
            </w:r>
          </w:p>
          <w:p w14:paraId="2EBC4AFB">
            <w:pPr>
              <w:spacing w:line="360" w:lineRule="auto"/>
              <w:ind w:firstLine="482" w:firstLineChars="200"/>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4、与环保相关法规、政策符合性</w:t>
            </w:r>
          </w:p>
          <w:p w14:paraId="21C528F0">
            <w:pPr>
              <w:spacing w:line="360" w:lineRule="auto"/>
              <w:ind w:firstLine="482" w:firstLineChars="200"/>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val="en-US" w:eastAsia="zh-CN"/>
              </w:rPr>
              <w:t>与《</w:t>
            </w:r>
            <w:r>
              <w:rPr>
                <w:rFonts w:hint="eastAsia" w:ascii="Times New Roman" w:hAnsi="Times New Roman" w:cs="Times New Roman"/>
                <w:b/>
                <w:bCs/>
                <w:color w:val="auto"/>
                <w:sz w:val="24"/>
                <w:szCs w:val="24"/>
                <w:highlight w:val="none"/>
                <w:lang w:val="en-US" w:eastAsia="zh-CN"/>
              </w:rPr>
              <w:t>空气质量持续改</w:t>
            </w:r>
            <w:r>
              <w:rPr>
                <w:rFonts w:hint="eastAsia" w:ascii="Times New Roman" w:hAnsi="Times New Roman" w:cs="Times New Roman"/>
                <w:b/>
                <w:bCs/>
                <w:color w:val="auto"/>
                <w:sz w:val="24"/>
                <w:szCs w:val="24"/>
                <w:lang w:val="en-US" w:eastAsia="zh-CN"/>
              </w:rPr>
              <w:t>善行动计划</w:t>
            </w:r>
            <w:r>
              <w:rPr>
                <w:rFonts w:hint="default" w:ascii="Times New Roman" w:hAnsi="Times New Roman"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（国发【2023】24号，2023年11月30日）</w:t>
            </w:r>
            <w:r>
              <w:rPr>
                <w:rFonts w:hint="default" w:ascii="Times New Roman" w:hAnsi="Times New Roman" w:cs="Times New Roman"/>
                <w:b/>
                <w:bCs/>
                <w:color w:val="auto"/>
                <w:sz w:val="24"/>
                <w:szCs w:val="24"/>
                <w:lang w:val="en-US" w:eastAsia="zh-CN"/>
              </w:rPr>
              <w:t>符合性分析</w:t>
            </w:r>
          </w:p>
          <w:p w14:paraId="5CEAF070">
            <w:pPr>
              <w:spacing w:line="360" w:lineRule="auto"/>
              <w:ind w:firstLine="480" w:firstLineChars="200"/>
              <w:rPr>
                <w:rFonts w:hint="eastAsia"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本项目与《</w:t>
            </w:r>
            <w:r>
              <w:rPr>
                <w:rFonts w:hint="eastAsia" w:ascii="Times New Roman" w:hAnsi="Times New Roman" w:cs="Times New Roman"/>
                <w:b w:val="0"/>
                <w:bCs w:val="0"/>
                <w:color w:val="auto"/>
                <w:sz w:val="24"/>
                <w:szCs w:val="24"/>
                <w:lang w:val="en-US" w:eastAsia="zh-CN"/>
              </w:rPr>
              <w:t>空气质量持续改善行动计划</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（国发【2023】24号，2023年11月30日）</w:t>
            </w:r>
            <w:r>
              <w:rPr>
                <w:rFonts w:hint="default" w:ascii="Times New Roman" w:hAnsi="Times New Roman" w:cs="Times New Roman"/>
                <w:b w:val="0"/>
                <w:bCs w:val="0"/>
                <w:color w:val="auto"/>
                <w:sz w:val="24"/>
                <w:szCs w:val="24"/>
                <w:lang w:val="en-US" w:eastAsia="zh-CN"/>
              </w:rPr>
              <w:t>符合性分析见表1.</w:t>
            </w:r>
            <w:r>
              <w:rPr>
                <w:rFonts w:hint="eastAsia" w:ascii="Times New Roman" w:hAnsi="Times New Roman" w:cs="Times New Roman"/>
                <w:b w:val="0"/>
                <w:bCs w:val="0"/>
                <w:color w:val="auto"/>
                <w:sz w:val="24"/>
                <w:szCs w:val="24"/>
                <w:lang w:val="en-US" w:eastAsia="zh-CN"/>
              </w:rPr>
              <w:t>15</w:t>
            </w:r>
            <w:r>
              <w:rPr>
                <w:rFonts w:hint="default" w:ascii="Times New Roman" w:hAnsi="Times New Roman" w:cs="Times New Roman"/>
                <w:b w:val="0"/>
                <w:bCs w:val="0"/>
                <w:color w:val="auto"/>
                <w:sz w:val="24"/>
                <w:szCs w:val="24"/>
                <w:lang w:val="en-US" w:eastAsia="zh-CN"/>
              </w:rPr>
              <w:t>。</w:t>
            </w:r>
          </w:p>
          <w:p w14:paraId="1E4BC921">
            <w:pPr>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表1.</w:t>
            </w:r>
            <w:r>
              <w:rPr>
                <w:rFonts w:hint="eastAsia" w:ascii="Times New Roman" w:hAnsi="Times New Roman" w:cs="Times New Roman"/>
                <w:b/>
                <w:bCs/>
                <w:color w:val="auto"/>
                <w:sz w:val="21"/>
                <w:szCs w:val="21"/>
                <w:lang w:val="en-US" w:eastAsia="zh-CN"/>
              </w:rPr>
              <w:t>15</w:t>
            </w:r>
            <w:r>
              <w:rPr>
                <w:rFonts w:hint="default" w:ascii="Times New Roman" w:hAnsi="Times New Roman" w:cs="Times New Roman"/>
                <w:b/>
                <w:bCs/>
                <w:color w:val="auto"/>
                <w:sz w:val="21"/>
                <w:szCs w:val="21"/>
                <w:lang w:val="en-US" w:eastAsia="zh-CN"/>
              </w:rPr>
              <w:t xml:space="preserve"> </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lang w:val="en-US" w:eastAsia="zh-CN"/>
              </w:rPr>
              <w:t>与《</w:t>
            </w:r>
            <w:r>
              <w:rPr>
                <w:rFonts w:hint="eastAsia" w:ascii="Times New Roman" w:hAnsi="Times New Roman" w:cs="Times New Roman"/>
                <w:b/>
                <w:bCs/>
                <w:color w:val="auto"/>
                <w:sz w:val="21"/>
                <w:szCs w:val="21"/>
                <w:lang w:val="en-US" w:eastAsia="zh-CN"/>
              </w:rPr>
              <w:t>空气质量持续改善行动计划</w:t>
            </w:r>
            <w:r>
              <w:rPr>
                <w:rFonts w:hint="default" w:ascii="Times New Roman" w:hAnsi="Times New Roman" w:cs="Times New Roman"/>
                <w:b/>
                <w:bCs/>
                <w:color w:val="auto"/>
                <w:sz w:val="21"/>
                <w:szCs w:val="21"/>
                <w:lang w:val="en-US" w:eastAsia="zh-CN"/>
              </w:rPr>
              <w:t>》符合性分析</w:t>
            </w:r>
          </w:p>
          <w:tbl>
            <w:tblPr>
              <w:tblStyle w:val="31"/>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428"/>
              <w:gridCol w:w="3422"/>
              <w:gridCol w:w="712"/>
            </w:tblGrid>
            <w:tr w14:paraId="0BC49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256" w:type="dxa"/>
                  <w:gridSpan w:val="2"/>
                  <w:noWrap w:val="0"/>
                  <w:vAlign w:val="center"/>
                </w:tcPr>
                <w:p w14:paraId="6CF5EDE7">
                  <w:pPr>
                    <w:pStyle w:val="48"/>
                    <w:spacing w:line="240" w:lineRule="auto"/>
                    <w:rPr>
                      <w:rFonts w:hint="default" w:ascii="Times New Roman" w:hAnsi="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空气质量持续改善行动计划</w:t>
                  </w:r>
                  <w:r>
                    <w:rPr>
                      <w:rFonts w:hint="default" w:ascii="Times New Roman" w:hAnsi="Times New Roman" w:cs="Times New Roman"/>
                      <w:b w:val="0"/>
                      <w:bCs w:val="0"/>
                      <w:color w:val="auto"/>
                      <w:sz w:val="21"/>
                      <w:szCs w:val="21"/>
                      <w:lang w:val="en-US" w:eastAsia="zh-CN"/>
                    </w:rPr>
                    <w:t>》</w:t>
                  </w:r>
                  <w:r>
                    <w:rPr>
                      <w:rFonts w:hint="default" w:ascii="Times New Roman" w:hAnsi="Times New Roman"/>
                      <w:b w:val="0"/>
                      <w:bCs w:val="0"/>
                      <w:color w:val="auto"/>
                      <w:sz w:val="21"/>
                      <w:szCs w:val="21"/>
                      <w:lang w:val="en-US" w:eastAsia="zh-CN"/>
                    </w:rPr>
                    <w:t>内容</w:t>
                  </w:r>
                </w:p>
              </w:tc>
              <w:tc>
                <w:tcPr>
                  <w:tcW w:w="3422" w:type="dxa"/>
                  <w:noWrap w:val="0"/>
                  <w:vAlign w:val="center"/>
                </w:tcPr>
                <w:p w14:paraId="4A24D881">
                  <w:pPr>
                    <w:pStyle w:val="48"/>
                    <w:spacing w:line="240" w:lineRule="auto"/>
                    <w:rPr>
                      <w:rFonts w:hint="default" w:ascii="Times New Roman" w:hAnsi="Times New Roman"/>
                      <w:b w:val="0"/>
                      <w:bCs w:val="0"/>
                      <w:color w:val="auto"/>
                      <w:sz w:val="21"/>
                      <w:szCs w:val="21"/>
                      <w:lang w:val="en-US" w:eastAsia="zh-CN"/>
                    </w:rPr>
                  </w:pPr>
                  <w:r>
                    <w:rPr>
                      <w:rFonts w:hint="default" w:ascii="Times New Roman" w:hAnsi="Times New Roman"/>
                      <w:b w:val="0"/>
                      <w:bCs w:val="0"/>
                      <w:color w:val="auto"/>
                      <w:sz w:val="21"/>
                      <w:szCs w:val="21"/>
                      <w:lang w:val="en-US" w:eastAsia="zh-CN"/>
                    </w:rPr>
                    <w:t>本项目情况</w:t>
                  </w:r>
                </w:p>
              </w:tc>
              <w:tc>
                <w:tcPr>
                  <w:tcW w:w="712" w:type="dxa"/>
                  <w:noWrap w:val="0"/>
                  <w:vAlign w:val="center"/>
                </w:tcPr>
                <w:p w14:paraId="37AEB1D6">
                  <w:pPr>
                    <w:pStyle w:val="48"/>
                    <w:spacing w:line="240" w:lineRule="auto"/>
                    <w:rPr>
                      <w:rFonts w:hint="default" w:ascii="Times New Roman" w:hAnsi="Times New Roman"/>
                      <w:b w:val="0"/>
                      <w:bCs w:val="0"/>
                      <w:color w:val="auto"/>
                      <w:sz w:val="21"/>
                      <w:szCs w:val="21"/>
                      <w:lang w:val="en-US" w:eastAsia="zh-CN"/>
                    </w:rPr>
                  </w:pPr>
                  <w:r>
                    <w:rPr>
                      <w:rFonts w:hint="default" w:ascii="Times New Roman" w:hAnsi="Times New Roman"/>
                      <w:b w:val="0"/>
                      <w:bCs w:val="0"/>
                      <w:color w:val="auto"/>
                      <w:sz w:val="21"/>
                      <w:szCs w:val="21"/>
                      <w:lang w:val="en-US" w:eastAsia="zh-CN"/>
                    </w:rPr>
                    <w:t xml:space="preserve">符合性 </w:t>
                  </w:r>
                </w:p>
              </w:tc>
            </w:tr>
            <w:tr w14:paraId="66741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28" w:type="dxa"/>
                  <w:vMerge w:val="restart"/>
                  <w:noWrap w:val="0"/>
                  <w:vAlign w:val="center"/>
                </w:tcPr>
                <w:p w14:paraId="486AEBE6">
                  <w:pPr>
                    <w:pStyle w:val="48"/>
                    <w:spacing w:line="240" w:lineRule="auto"/>
                    <w:jc w:val="both"/>
                    <w:rPr>
                      <w:rFonts w:hint="default" w:ascii="Times New Roman" w:hAnsi="Times New Roman"/>
                      <w:b w:val="0"/>
                      <w:bCs w:val="0"/>
                      <w:color w:val="auto"/>
                      <w:sz w:val="21"/>
                      <w:szCs w:val="21"/>
                      <w:lang w:val="en-US" w:eastAsia="zh-CN"/>
                    </w:rPr>
                  </w:pPr>
                  <w:r>
                    <w:rPr>
                      <w:rFonts w:hint="eastAsia" w:ascii="Times New Roman" w:hAnsi="Times New Roman"/>
                      <w:b w:val="0"/>
                      <w:bCs w:val="0"/>
                      <w:color w:val="auto"/>
                      <w:sz w:val="21"/>
                      <w:szCs w:val="21"/>
                      <w:lang w:val="en-US" w:eastAsia="zh-CN"/>
                    </w:rPr>
                    <w:t>二、优化产业结构，促进产业产品绿色升级</w:t>
                  </w:r>
                </w:p>
              </w:tc>
              <w:tc>
                <w:tcPr>
                  <w:tcW w:w="3428" w:type="dxa"/>
                  <w:noWrap w:val="0"/>
                  <w:vAlign w:val="center"/>
                </w:tcPr>
                <w:p w14:paraId="6891A98D">
                  <w:pPr>
                    <w:pStyle w:val="48"/>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b w:val="0"/>
                      <w:bCs w:val="0"/>
                      <w:color w:val="auto"/>
                      <w:sz w:val="21"/>
                      <w:szCs w:val="21"/>
                      <w:lang w:val="en-US" w:eastAsia="zh-CN"/>
                    </w:rPr>
                  </w:pPr>
                  <w:r>
                    <w:rPr>
                      <w:rFonts w:hint="eastAsia" w:ascii="Times New Roman" w:hAnsi="Times New Roman" w:eastAsia="宋体"/>
                      <w:b w:val="0"/>
                      <w:bCs w:val="0"/>
                      <w:color w:val="auto"/>
                      <w:sz w:val="21"/>
                      <w:szCs w:val="21"/>
                      <w:lang w:val="en-US" w:eastAsia="zh-CN"/>
                    </w:rPr>
                    <w:t>（四）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3422" w:type="dxa"/>
                  <w:noWrap w:val="0"/>
                  <w:vAlign w:val="center"/>
                </w:tcPr>
                <w:p w14:paraId="2E88C655">
                  <w:pPr>
                    <w:pStyle w:val="56"/>
                    <w:spacing w:line="240" w:lineRule="auto"/>
                    <w:ind w:firstLine="480"/>
                    <w:jc w:val="both"/>
                    <w:rPr>
                      <w:rFonts w:hint="eastAsia"/>
                      <w:color w:val="auto"/>
                      <w:sz w:val="21"/>
                      <w:szCs w:val="21"/>
                    </w:rPr>
                  </w:pPr>
                  <w:r>
                    <w:rPr>
                      <w:rFonts w:hint="eastAsia" w:ascii="Times New Roman" w:hAnsi="Times New Roman"/>
                      <w:b w:val="0"/>
                      <w:bCs w:val="0"/>
                      <w:color w:val="auto"/>
                      <w:sz w:val="21"/>
                      <w:szCs w:val="21"/>
                      <w:lang w:val="en-US" w:eastAsia="zh-CN"/>
                    </w:rPr>
                    <w:t>①</w:t>
                  </w:r>
                  <w:r>
                    <w:rPr>
                      <w:rFonts w:hint="default"/>
                      <w:color w:val="auto"/>
                      <w:sz w:val="21"/>
                      <w:szCs w:val="21"/>
                    </w:rPr>
                    <w:t>对照</w:t>
                  </w:r>
                  <w:r>
                    <w:rPr>
                      <w:rFonts w:hint="default" w:ascii="Times New Roman" w:hAnsi="Times New Roman" w:cs="Times New Roman"/>
                      <w:color w:val="auto"/>
                      <w:sz w:val="21"/>
                      <w:szCs w:val="21"/>
                    </w:rPr>
                    <w:t>《产业结构调整指导目录（2024年本）》</w:t>
                  </w:r>
                  <w:r>
                    <w:rPr>
                      <w:rFonts w:hint="default"/>
                      <w:color w:val="auto"/>
                      <w:sz w:val="21"/>
                      <w:szCs w:val="21"/>
                    </w:rPr>
                    <w:t>，本项目不属</w:t>
                  </w:r>
                  <w:r>
                    <w:rPr>
                      <w:rFonts w:hint="eastAsia"/>
                      <w:color w:val="auto"/>
                      <w:sz w:val="21"/>
                      <w:szCs w:val="21"/>
                    </w:rPr>
                    <w:t>于“鼓励类”、“限制类”和“淘汰类”，属于“允许类”项目。</w:t>
                  </w:r>
                </w:p>
                <w:p w14:paraId="02460BE2">
                  <w:pPr>
                    <w:pStyle w:val="56"/>
                    <w:spacing w:line="240" w:lineRule="auto"/>
                    <w:ind w:firstLine="480"/>
                    <w:jc w:val="both"/>
                    <w:rPr>
                      <w:rFonts w:hint="eastAsia"/>
                      <w:color w:val="auto"/>
                      <w:sz w:val="21"/>
                      <w:szCs w:val="21"/>
                    </w:rPr>
                  </w:pPr>
                  <w:r>
                    <w:rPr>
                      <w:rFonts w:hint="default"/>
                      <w:color w:val="auto"/>
                      <w:sz w:val="21"/>
                      <w:szCs w:val="21"/>
                    </w:rPr>
                    <w:t>对照</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eastAsia="zh-CN"/>
                    </w:rPr>
                    <w:t>安徽省工业产业结构调整指导目录</w:t>
                  </w:r>
                  <w:r>
                    <w:rPr>
                      <w:rFonts w:hint="default" w:ascii="Times New Roman" w:hAnsi="Times New Roman" w:cs="Times New Roman"/>
                      <w:color w:val="auto"/>
                      <w:sz w:val="21"/>
                      <w:szCs w:val="21"/>
                    </w:rPr>
                    <w:t>》（20</w:t>
                  </w:r>
                  <w:r>
                    <w:rPr>
                      <w:rFonts w:hint="eastAsia" w:ascii="Times New Roman" w:hAnsi="Times New Roman" w:cs="Times New Roman"/>
                      <w:color w:val="auto"/>
                      <w:sz w:val="21"/>
                      <w:szCs w:val="21"/>
                      <w:lang w:val="en-US" w:eastAsia="zh-CN"/>
                    </w:rPr>
                    <w:t>07</w:t>
                  </w:r>
                  <w:r>
                    <w:rPr>
                      <w:rFonts w:hint="default" w:ascii="Times New Roman" w:hAnsi="Times New Roman" w:cs="Times New Roman"/>
                      <w:color w:val="auto"/>
                      <w:sz w:val="21"/>
                      <w:szCs w:val="21"/>
                      <w:lang w:val="en-US" w:eastAsia="zh-CN"/>
                    </w:rPr>
                    <w:t>年本</w:t>
                  </w:r>
                  <w:r>
                    <w:rPr>
                      <w:rFonts w:hint="default" w:ascii="Times New Roman" w:hAnsi="Times New Roman" w:cs="Times New Roman"/>
                      <w:color w:val="auto"/>
                      <w:sz w:val="21"/>
                      <w:szCs w:val="21"/>
                    </w:rPr>
                    <w:t>）</w:t>
                  </w:r>
                  <w:r>
                    <w:rPr>
                      <w:rFonts w:hint="default"/>
                      <w:color w:val="auto"/>
                      <w:sz w:val="21"/>
                      <w:szCs w:val="21"/>
                    </w:rPr>
                    <w:t>，本项目不属</w:t>
                  </w:r>
                  <w:r>
                    <w:rPr>
                      <w:rFonts w:hint="eastAsia"/>
                      <w:color w:val="auto"/>
                      <w:sz w:val="21"/>
                      <w:szCs w:val="21"/>
                    </w:rPr>
                    <w:t>于“鼓励类”、“限制类”和“淘汰类”，属于“允许类”项目。</w:t>
                  </w:r>
                </w:p>
                <w:p w14:paraId="449D7963">
                  <w:pPr>
                    <w:pStyle w:val="56"/>
                    <w:spacing w:line="240" w:lineRule="auto"/>
                    <w:ind w:firstLine="480"/>
                    <w:jc w:val="both"/>
                    <w:rPr>
                      <w:rFonts w:hint="eastAsia" w:ascii="Times New Roman" w:hAnsi="Times New Roman" w:eastAsia="宋体" w:cstheme="minorBidi"/>
                      <w:b w:val="0"/>
                      <w:bCs w:val="0"/>
                      <w:color w:val="auto"/>
                      <w:kern w:val="2"/>
                      <w:sz w:val="21"/>
                      <w:szCs w:val="21"/>
                      <w:lang w:val="en-US" w:eastAsia="zh-CN" w:bidi="ar-SA"/>
                    </w:rPr>
                  </w:pPr>
                  <w:r>
                    <w:rPr>
                      <w:rFonts w:hint="eastAsia" w:ascii="Times New Roman" w:hAnsi="Times New Roman" w:eastAsia="宋体" w:cstheme="minorBidi"/>
                      <w:b w:val="0"/>
                      <w:bCs w:val="0"/>
                      <w:color w:val="auto"/>
                      <w:kern w:val="2"/>
                      <w:sz w:val="21"/>
                      <w:szCs w:val="21"/>
                      <w:lang w:val="en-US" w:eastAsia="zh-CN" w:bidi="ar-SA"/>
                    </w:rPr>
                    <w:t>项目已于2025年11月27日取得了泗县发展和改革委员会下达的《宿州美膳新材料有限公司年产100000套密胺餐具项目备案表》（项目代码：2512-341324-04-05-107085）。</w:t>
                  </w:r>
                </w:p>
                <w:p w14:paraId="5735BA04">
                  <w:pPr>
                    <w:pStyle w:val="56"/>
                    <w:spacing w:line="240" w:lineRule="auto"/>
                    <w:ind w:firstLine="480"/>
                    <w:jc w:val="both"/>
                    <w:rPr>
                      <w:rFonts w:ascii="Times New Roman" w:hAnsi="Times New Roman" w:cs="Times New Roman"/>
                      <w:color w:val="auto"/>
                      <w:sz w:val="21"/>
                      <w:szCs w:val="21"/>
                    </w:rPr>
                  </w:pPr>
                  <w:r>
                    <w:rPr>
                      <w:rFonts w:ascii="Times New Roman" w:hAnsi="Times New Roman" w:cs="Times New Roman"/>
                      <w:color w:val="auto"/>
                      <w:sz w:val="21"/>
                      <w:szCs w:val="21"/>
                    </w:rPr>
                    <w:t>因此，项目的建设符合</w:t>
                  </w:r>
                  <w:r>
                    <w:rPr>
                      <w:rFonts w:hint="eastAsia" w:ascii="Times New Roman" w:hAnsi="Times New Roman" w:cs="Times New Roman"/>
                      <w:color w:val="auto"/>
                      <w:sz w:val="21"/>
                      <w:szCs w:val="21"/>
                      <w:lang w:val="en-US" w:eastAsia="zh-CN"/>
                    </w:rPr>
                    <w:t>国家</w:t>
                  </w:r>
                  <w:r>
                    <w:rPr>
                      <w:rFonts w:ascii="Times New Roman" w:hAnsi="Times New Roman" w:cs="Times New Roman"/>
                      <w:color w:val="auto"/>
                      <w:sz w:val="21"/>
                      <w:szCs w:val="21"/>
                    </w:rPr>
                    <w:t>的产业政策。</w:t>
                  </w:r>
                </w:p>
                <w:p w14:paraId="07326EE4">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b w:val="0"/>
                      <w:bCs w:val="0"/>
                      <w:color w:val="auto"/>
                      <w:sz w:val="21"/>
                      <w:szCs w:val="21"/>
                      <w:lang w:val="en-US" w:eastAsia="zh-CN"/>
                    </w:rPr>
                  </w:pPr>
                  <w:r>
                    <w:rPr>
                      <w:rFonts w:hint="eastAsia" w:ascii="Times New Roman" w:hAnsi="Times New Roman"/>
                      <w:b w:val="0"/>
                      <w:bCs w:val="0"/>
                      <w:color w:val="auto"/>
                      <w:sz w:val="21"/>
                      <w:szCs w:val="21"/>
                      <w:lang w:val="en-US" w:eastAsia="zh-CN"/>
                    </w:rPr>
                    <w:t>②本项目</w:t>
                  </w:r>
                  <w:r>
                    <w:rPr>
                      <w:rFonts w:hint="eastAsia" w:ascii="Times New Roman" w:hAnsi="Times New Roman" w:cs="Times New Roman"/>
                      <w:color w:val="auto"/>
                      <w:sz w:val="21"/>
                      <w:szCs w:val="21"/>
                    </w:rPr>
                    <w:t>属于日用塑料制品制造【</w:t>
                  </w:r>
                  <w:r>
                    <w:rPr>
                      <w:rFonts w:hint="eastAsia" w:cs="Times New Roman"/>
                      <w:color w:val="auto"/>
                      <w:sz w:val="21"/>
                      <w:szCs w:val="21"/>
                      <w:lang w:val="en-US" w:eastAsia="zh-CN"/>
                    </w:rPr>
                    <w:t>C</w:t>
                  </w:r>
                  <w:r>
                    <w:rPr>
                      <w:rFonts w:hint="eastAsia" w:ascii="Times New Roman" w:hAnsi="Times New Roman" w:cs="Times New Roman"/>
                      <w:color w:val="auto"/>
                      <w:sz w:val="21"/>
                      <w:szCs w:val="21"/>
                    </w:rPr>
                    <w:t>2927】</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产品为</w:t>
                  </w:r>
                  <w:r>
                    <w:rPr>
                      <w:rFonts w:hint="eastAsia" w:ascii="Times New Roman" w:hAnsi="Times New Roman" w:cs="Times New Roman"/>
                      <w:color w:val="auto"/>
                      <w:sz w:val="21"/>
                      <w:szCs w:val="21"/>
                      <w:lang w:val="en-US" w:eastAsia="zh-CN"/>
                    </w:rPr>
                    <w:t>密胺餐具</w:t>
                  </w:r>
                  <w:r>
                    <w:rPr>
                      <w:rFonts w:hint="eastAsia" w:ascii="Times New Roman" w:hAnsi="Times New Roman"/>
                      <w:b w:val="0"/>
                      <w:bCs w:val="0"/>
                      <w:color w:val="auto"/>
                      <w:sz w:val="21"/>
                      <w:szCs w:val="21"/>
                      <w:lang w:val="en-US" w:eastAsia="zh-CN"/>
                    </w:rPr>
                    <w:t>。对照《关于印发&lt;安徽省“两高”项目管理目录（试行）&gt;的通知》（皖节能【2022】2号，2022年06月21日，安徽省节能减排及应对气候变化工作领导小组），本项目不属于“两高”项目。</w:t>
                  </w:r>
                </w:p>
              </w:tc>
              <w:tc>
                <w:tcPr>
                  <w:tcW w:w="712" w:type="dxa"/>
                  <w:noWrap w:val="0"/>
                  <w:vAlign w:val="center"/>
                </w:tcPr>
                <w:p w14:paraId="45866C66">
                  <w:pPr>
                    <w:pStyle w:val="48"/>
                    <w:spacing w:line="240" w:lineRule="auto"/>
                    <w:rPr>
                      <w:rFonts w:hint="default" w:ascii="Times New Roman" w:hAnsi="Times New Roman"/>
                      <w:b w:val="0"/>
                      <w:bCs w:val="0"/>
                      <w:color w:val="auto"/>
                      <w:sz w:val="21"/>
                      <w:szCs w:val="21"/>
                      <w:lang w:val="en-US" w:eastAsia="zh-CN"/>
                    </w:rPr>
                  </w:pPr>
                  <w:r>
                    <w:rPr>
                      <w:rFonts w:hint="default" w:ascii="Times New Roman" w:hAnsi="Times New Roman"/>
                      <w:b w:val="0"/>
                      <w:bCs w:val="0"/>
                      <w:color w:val="auto"/>
                      <w:sz w:val="21"/>
                      <w:szCs w:val="21"/>
                      <w:lang w:val="en-US" w:eastAsia="zh-CN"/>
                    </w:rPr>
                    <w:t>符合</w:t>
                  </w:r>
                </w:p>
              </w:tc>
            </w:tr>
            <w:tr w14:paraId="7BA2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28" w:type="dxa"/>
                  <w:vMerge w:val="continue"/>
                  <w:noWrap w:val="0"/>
                  <w:vAlign w:val="center"/>
                </w:tcPr>
                <w:p w14:paraId="307DFDF7">
                  <w:pPr>
                    <w:pStyle w:val="48"/>
                    <w:spacing w:line="240" w:lineRule="auto"/>
                    <w:rPr>
                      <w:rFonts w:hint="eastAsia" w:ascii="Times New Roman" w:hAnsi="Times New Roman"/>
                      <w:b w:val="0"/>
                      <w:bCs w:val="0"/>
                      <w:color w:val="auto"/>
                      <w:sz w:val="21"/>
                      <w:szCs w:val="21"/>
                      <w:lang w:val="en-US" w:eastAsia="zh-CN"/>
                    </w:rPr>
                  </w:pPr>
                </w:p>
              </w:tc>
              <w:tc>
                <w:tcPr>
                  <w:tcW w:w="3428" w:type="dxa"/>
                  <w:noWrap w:val="0"/>
                  <w:vAlign w:val="center"/>
                </w:tcPr>
                <w:p w14:paraId="300A0232">
                  <w:pPr>
                    <w:pStyle w:val="48"/>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b w:val="0"/>
                      <w:bCs w:val="0"/>
                      <w:color w:val="auto"/>
                      <w:sz w:val="21"/>
                      <w:szCs w:val="21"/>
                      <w:lang w:val="en-US" w:eastAsia="zh-CN"/>
                    </w:rPr>
                  </w:pPr>
                  <w:r>
                    <w:rPr>
                      <w:rFonts w:hint="eastAsia" w:ascii="Times New Roman" w:hAnsi="Times New Roman" w:eastAsia="宋体"/>
                      <w:b w:val="0"/>
                      <w:bCs w:val="0"/>
                      <w:color w:val="auto"/>
                      <w:sz w:val="21"/>
                      <w:szCs w:val="21"/>
                      <w:lang w:val="en-US" w:eastAsia="zh-CN"/>
                    </w:rPr>
                    <w:t>（五）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tc>
              <w:tc>
                <w:tcPr>
                  <w:tcW w:w="3422" w:type="dxa"/>
                  <w:noWrap w:val="0"/>
                  <w:vAlign w:val="center"/>
                </w:tcPr>
                <w:p w14:paraId="54AA34FE">
                  <w:pPr>
                    <w:pStyle w:val="56"/>
                    <w:spacing w:line="240" w:lineRule="auto"/>
                    <w:ind w:firstLine="480"/>
                    <w:jc w:val="both"/>
                    <w:rPr>
                      <w:rFonts w:hint="eastAsia"/>
                      <w:color w:val="auto"/>
                      <w:sz w:val="21"/>
                      <w:szCs w:val="21"/>
                    </w:rPr>
                  </w:pPr>
                  <w:r>
                    <w:rPr>
                      <w:rFonts w:hint="eastAsia" w:ascii="Times New Roman" w:hAnsi="Times New Roman"/>
                      <w:b w:val="0"/>
                      <w:bCs w:val="0"/>
                      <w:color w:val="auto"/>
                      <w:sz w:val="21"/>
                      <w:szCs w:val="21"/>
                      <w:lang w:val="en-US" w:eastAsia="zh-CN"/>
                    </w:rPr>
                    <w:t>①</w:t>
                  </w:r>
                  <w:r>
                    <w:rPr>
                      <w:rFonts w:hint="default"/>
                      <w:color w:val="auto"/>
                      <w:sz w:val="21"/>
                      <w:szCs w:val="21"/>
                    </w:rPr>
                    <w:t>对照</w:t>
                  </w:r>
                  <w:r>
                    <w:rPr>
                      <w:rFonts w:hint="default" w:ascii="Times New Roman" w:hAnsi="Times New Roman" w:cs="Times New Roman"/>
                      <w:color w:val="auto"/>
                      <w:sz w:val="21"/>
                      <w:szCs w:val="21"/>
                    </w:rPr>
                    <w:t>《产业结构调整指导目录（2024年本）》</w:t>
                  </w:r>
                  <w:r>
                    <w:rPr>
                      <w:rFonts w:hint="default"/>
                      <w:color w:val="auto"/>
                      <w:sz w:val="21"/>
                      <w:szCs w:val="21"/>
                    </w:rPr>
                    <w:t>，本项目不属</w:t>
                  </w:r>
                  <w:r>
                    <w:rPr>
                      <w:rFonts w:hint="eastAsia"/>
                      <w:color w:val="auto"/>
                      <w:sz w:val="21"/>
                      <w:szCs w:val="21"/>
                    </w:rPr>
                    <w:t>于“鼓励类”、“限制类”和“淘汰类”，属于“允许类”项目。</w:t>
                  </w:r>
                </w:p>
                <w:p w14:paraId="133D6136">
                  <w:pPr>
                    <w:pStyle w:val="56"/>
                    <w:spacing w:line="240" w:lineRule="auto"/>
                    <w:ind w:firstLine="480"/>
                    <w:jc w:val="both"/>
                    <w:rPr>
                      <w:rFonts w:hint="eastAsia"/>
                      <w:color w:val="auto"/>
                      <w:sz w:val="21"/>
                      <w:szCs w:val="21"/>
                    </w:rPr>
                  </w:pPr>
                  <w:r>
                    <w:rPr>
                      <w:rFonts w:hint="default"/>
                      <w:color w:val="auto"/>
                      <w:sz w:val="21"/>
                      <w:szCs w:val="21"/>
                    </w:rPr>
                    <w:t>对照</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eastAsia="zh-CN"/>
                    </w:rPr>
                    <w:t>安徽省工业产业结构调整指导目录</w:t>
                  </w:r>
                  <w:r>
                    <w:rPr>
                      <w:rFonts w:hint="default" w:ascii="Times New Roman" w:hAnsi="Times New Roman" w:cs="Times New Roman"/>
                      <w:color w:val="auto"/>
                      <w:sz w:val="21"/>
                      <w:szCs w:val="21"/>
                    </w:rPr>
                    <w:t>》（20</w:t>
                  </w:r>
                  <w:r>
                    <w:rPr>
                      <w:rFonts w:hint="eastAsia" w:ascii="Times New Roman" w:hAnsi="Times New Roman" w:cs="Times New Roman"/>
                      <w:color w:val="auto"/>
                      <w:sz w:val="21"/>
                      <w:szCs w:val="21"/>
                      <w:lang w:val="en-US" w:eastAsia="zh-CN"/>
                    </w:rPr>
                    <w:t>07</w:t>
                  </w:r>
                  <w:r>
                    <w:rPr>
                      <w:rFonts w:hint="default" w:ascii="Times New Roman" w:hAnsi="Times New Roman" w:cs="Times New Roman"/>
                      <w:color w:val="auto"/>
                      <w:sz w:val="21"/>
                      <w:szCs w:val="21"/>
                      <w:lang w:val="en-US" w:eastAsia="zh-CN"/>
                    </w:rPr>
                    <w:t>年本</w:t>
                  </w:r>
                  <w:r>
                    <w:rPr>
                      <w:rFonts w:hint="default" w:ascii="Times New Roman" w:hAnsi="Times New Roman" w:cs="Times New Roman"/>
                      <w:color w:val="auto"/>
                      <w:sz w:val="21"/>
                      <w:szCs w:val="21"/>
                    </w:rPr>
                    <w:t>）</w:t>
                  </w:r>
                  <w:r>
                    <w:rPr>
                      <w:rFonts w:hint="default"/>
                      <w:color w:val="auto"/>
                      <w:sz w:val="21"/>
                      <w:szCs w:val="21"/>
                    </w:rPr>
                    <w:t>，本项目不属</w:t>
                  </w:r>
                  <w:r>
                    <w:rPr>
                      <w:rFonts w:hint="eastAsia"/>
                      <w:color w:val="auto"/>
                      <w:sz w:val="21"/>
                      <w:szCs w:val="21"/>
                    </w:rPr>
                    <w:t>于“鼓励类”、“限制类”和“淘汰类”，属于“允许类”项目。</w:t>
                  </w:r>
                </w:p>
                <w:p w14:paraId="249AB2BC">
                  <w:pPr>
                    <w:pStyle w:val="56"/>
                    <w:spacing w:line="240" w:lineRule="auto"/>
                    <w:ind w:firstLine="480"/>
                    <w:jc w:val="both"/>
                    <w:rPr>
                      <w:rFonts w:ascii="Times New Roman" w:hAnsi="Times New Roman" w:cs="Times New Roman"/>
                      <w:color w:val="auto"/>
                      <w:sz w:val="21"/>
                      <w:szCs w:val="21"/>
                    </w:rPr>
                  </w:pPr>
                  <w:r>
                    <w:rPr>
                      <w:rFonts w:hint="eastAsia" w:ascii="Times New Roman" w:hAnsi="Times New Roman" w:eastAsia="宋体" w:cstheme="minorBidi"/>
                      <w:b w:val="0"/>
                      <w:bCs w:val="0"/>
                      <w:color w:val="auto"/>
                      <w:kern w:val="2"/>
                      <w:sz w:val="21"/>
                      <w:szCs w:val="21"/>
                      <w:lang w:val="en-US" w:eastAsia="zh-CN" w:bidi="ar-SA"/>
                    </w:rPr>
                    <w:t>项目已于2025年11月27日取得了泗县发展和改革委员会下达的《宿州美膳新材料有限公司年产100000套密胺餐具项目备案表》（项目代码：2512-341324-04-05-107085）。</w:t>
                  </w:r>
                </w:p>
                <w:p w14:paraId="1CD18C90">
                  <w:pPr>
                    <w:pStyle w:val="56"/>
                    <w:spacing w:line="240" w:lineRule="auto"/>
                    <w:ind w:firstLine="480"/>
                    <w:jc w:val="both"/>
                    <w:rPr>
                      <w:rFonts w:ascii="Times New Roman" w:hAnsi="Times New Roman" w:cs="Times New Roman"/>
                      <w:color w:val="auto"/>
                      <w:sz w:val="21"/>
                      <w:szCs w:val="21"/>
                    </w:rPr>
                  </w:pPr>
                  <w:r>
                    <w:rPr>
                      <w:rFonts w:ascii="Times New Roman" w:hAnsi="Times New Roman" w:cs="Times New Roman"/>
                      <w:color w:val="auto"/>
                      <w:sz w:val="21"/>
                      <w:szCs w:val="21"/>
                    </w:rPr>
                    <w:t>因此，项目的建设符合</w:t>
                  </w:r>
                  <w:r>
                    <w:rPr>
                      <w:rFonts w:hint="eastAsia" w:ascii="Times New Roman" w:hAnsi="Times New Roman" w:cs="Times New Roman"/>
                      <w:color w:val="auto"/>
                      <w:sz w:val="21"/>
                      <w:szCs w:val="21"/>
                      <w:lang w:val="en-US" w:eastAsia="zh-CN"/>
                    </w:rPr>
                    <w:t>国家</w:t>
                  </w:r>
                  <w:r>
                    <w:rPr>
                      <w:rFonts w:ascii="Times New Roman" w:hAnsi="Times New Roman" w:cs="Times New Roman"/>
                      <w:color w:val="auto"/>
                      <w:sz w:val="21"/>
                      <w:szCs w:val="21"/>
                    </w:rPr>
                    <w:t>的产业政策。</w:t>
                  </w:r>
                </w:p>
                <w:p w14:paraId="31C5A823">
                  <w:pPr>
                    <w:pStyle w:val="56"/>
                    <w:spacing w:line="240" w:lineRule="auto"/>
                    <w:ind w:firstLine="480"/>
                    <w:jc w:val="both"/>
                    <w:rPr>
                      <w:rFonts w:hint="default" w:ascii="Times New Roman" w:hAnsi="Times New Roman"/>
                      <w:b w:val="0"/>
                      <w:bCs w:val="0"/>
                      <w:color w:val="auto"/>
                      <w:sz w:val="21"/>
                      <w:szCs w:val="21"/>
                      <w:lang w:val="en-US" w:eastAsia="zh-CN"/>
                    </w:rPr>
                  </w:pPr>
                  <w:r>
                    <w:rPr>
                      <w:rFonts w:hint="eastAsia" w:ascii="Times New Roman" w:hAnsi="Times New Roman"/>
                      <w:b w:val="0"/>
                      <w:bCs w:val="0"/>
                      <w:color w:val="auto"/>
                      <w:sz w:val="21"/>
                      <w:szCs w:val="21"/>
                      <w:lang w:val="en-US" w:eastAsia="zh-CN"/>
                    </w:rPr>
                    <w:t>②本项目</w:t>
                  </w:r>
                  <w:r>
                    <w:rPr>
                      <w:rFonts w:hint="eastAsia" w:ascii="Times New Roman" w:hAnsi="Times New Roman" w:cs="Times New Roman"/>
                      <w:color w:val="auto"/>
                      <w:sz w:val="21"/>
                      <w:szCs w:val="21"/>
                    </w:rPr>
                    <w:t>属于日用塑料制品制造【</w:t>
                  </w:r>
                  <w:r>
                    <w:rPr>
                      <w:rFonts w:hint="eastAsia" w:ascii="Times New Roman" w:hAnsi="Times New Roman" w:cs="Times New Roman"/>
                      <w:color w:val="auto"/>
                      <w:sz w:val="21"/>
                      <w:szCs w:val="21"/>
                      <w:lang w:val="en-US" w:eastAsia="zh-CN"/>
                    </w:rPr>
                    <w:t>C</w:t>
                  </w:r>
                  <w:r>
                    <w:rPr>
                      <w:rFonts w:hint="eastAsia" w:ascii="Times New Roman" w:hAnsi="Times New Roman" w:cs="Times New Roman"/>
                      <w:color w:val="auto"/>
                      <w:sz w:val="21"/>
                      <w:szCs w:val="21"/>
                    </w:rPr>
                    <w:t>2927】</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产品为</w:t>
                  </w:r>
                  <w:r>
                    <w:rPr>
                      <w:rFonts w:hint="eastAsia" w:ascii="Times New Roman" w:hAnsi="Times New Roman" w:cs="Times New Roman"/>
                      <w:color w:val="auto"/>
                      <w:sz w:val="21"/>
                      <w:szCs w:val="21"/>
                      <w:lang w:val="en-US" w:eastAsia="zh-CN"/>
                    </w:rPr>
                    <w:t>密胺餐具</w:t>
                  </w:r>
                  <w:r>
                    <w:rPr>
                      <w:rFonts w:hint="eastAsia" w:ascii="Times New Roman" w:hAnsi="Times New Roman"/>
                      <w:b w:val="0"/>
                      <w:bCs w:val="0"/>
                      <w:color w:val="auto"/>
                      <w:sz w:val="21"/>
                      <w:szCs w:val="21"/>
                      <w:lang w:val="en-US" w:eastAsia="zh-CN"/>
                    </w:rPr>
                    <w:t>。对照《关于印发&lt;安徽省“两高”项目管理目录（试行）&gt;的通知》（皖节能【2022】2号，2022年06月21日，安徽省节能减排及应对气候变化工作领导小组），本项目不属于“两高”项目。</w:t>
                  </w:r>
                </w:p>
              </w:tc>
              <w:tc>
                <w:tcPr>
                  <w:tcW w:w="712" w:type="dxa"/>
                  <w:noWrap w:val="0"/>
                  <w:vAlign w:val="center"/>
                </w:tcPr>
                <w:p w14:paraId="09641178">
                  <w:pPr>
                    <w:pStyle w:val="48"/>
                    <w:spacing w:line="240" w:lineRule="auto"/>
                    <w:rPr>
                      <w:rFonts w:hint="default" w:ascii="Times New Roman" w:hAnsi="Times New Roman"/>
                      <w:b w:val="0"/>
                      <w:bCs w:val="0"/>
                      <w:color w:val="auto"/>
                      <w:sz w:val="21"/>
                      <w:szCs w:val="21"/>
                      <w:lang w:val="en-US" w:eastAsia="zh-CN"/>
                    </w:rPr>
                  </w:pPr>
                  <w:r>
                    <w:rPr>
                      <w:rFonts w:hint="default" w:ascii="Times New Roman" w:hAnsi="Times New Roman"/>
                      <w:b w:val="0"/>
                      <w:bCs w:val="0"/>
                      <w:color w:val="auto"/>
                      <w:sz w:val="21"/>
                      <w:szCs w:val="21"/>
                      <w:lang w:val="en-US" w:eastAsia="zh-CN"/>
                    </w:rPr>
                    <w:t>符合</w:t>
                  </w:r>
                </w:p>
              </w:tc>
            </w:tr>
            <w:tr w14:paraId="314A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28" w:type="dxa"/>
                  <w:vMerge w:val="continue"/>
                  <w:noWrap w:val="0"/>
                  <w:vAlign w:val="center"/>
                </w:tcPr>
                <w:p w14:paraId="47F618AE">
                  <w:pPr>
                    <w:pStyle w:val="48"/>
                    <w:spacing w:line="240" w:lineRule="auto"/>
                    <w:rPr>
                      <w:rFonts w:hint="eastAsia" w:ascii="Times New Roman" w:hAnsi="Times New Roman"/>
                      <w:b w:val="0"/>
                      <w:bCs w:val="0"/>
                      <w:color w:val="auto"/>
                      <w:sz w:val="21"/>
                      <w:szCs w:val="21"/>
                      <w:lang w:val="en-US" w:eastAsia="zh-CN"/>
                    </w:rPr>
                  </w:pPr>
                </w:p>
              </w:tc>
              <w:tc>
                <w:tcPr>
                  <w:tcW w:w="3428" w:type="dxa"/>
                  <w:noWrap w:val="0"/>
                  <w:vAlign w:val="center"/>
                </w:tcPr>
                <w:p w14:paraId="1BF09549">
                  <w:pPr>
                    <w:pStyle w:val="48"/>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b w:val="0"/>
                      <w:bCs w:val="0"/>
                      <w:color w:val="auto"/>
                      <w:sz w:val="21"/>
                      <w:szCs w:val="21"/>
                      <w:lang w:val="en-US" w:eastAsia="zh-CN"/>
                    </w:rPr>
                  </w:pPr>
                  <w:r>
                    <w:rPr>
                      <w:rFonts w:hint="eastAsia" w:ascii="Times New Roman" w:hAnsi="Times New Roman" w:eastAsia="宋体"/>
                      <w:b w:val="0"/>
                      <w:bCs w:val="0"/>
                      <w:color w:val="auto"/>
                      <w:sz w:val="21"/>
                      <w:szCs w:val="21"/>
                      <w:lang w:val="en-US" w:eastAsia="zh-CN"/>
                    </w:rPr>
                    <w:t>（六）全面开展传统产业集群升级改造。中小型传统制造企业集中的城市要制定涉气产业集群发展规划，严格项目审批，严防污染下乡。针对现有产业集群制定专项整治方案，依法淘汰关停一批、搬迁入园一批、就地改造一批、做优做强一批。各地要结合产业集群特点，因地制宜建设集中供热中心、集中喷涂中心、有机溶剂集中回收处置中心、活性炭集中再生中心。</w:t>
                  </w:r>
                </w:p>
              </w:tc>
              <w:tc>
                <w:tcPr>
                  <w:tcW w:w="3422" w:type="dxa"/>
                  <w:noWrap w:val="0"/>
                  <w:vAlign w:val="center"/>
                </w:tcPr>
                <w:p w14:paraId="1673A3EF">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b w:val="0"/>
                      <w:bCs w:val="0"/>
                      <w:color w:val="auto"/>
                      <w:sz w:val="21"/>
                      <w:szCs w:val="21"/>
                      <w:lang w:val="en-US" w:eastAsia="zh-CN"/>
                    </w:rPr>
                  </w:pPr>
                  <w:r>
                    <w:rPr>
                      <w:rFonts w:hint="eastAsia" w:ascii="Times New Roman" w:hAnsi="Times New Roman" w:cs="Times New Roman"/>
                      <w:color w:val="auto"/>
                      <w:sz w:val="21"/>
                      <w:szCs w:val="21"/>
                      <w:vertAlign w:val="baseline"/>
                      <w:lang w:val="en-US" w:eastAsia="zh-CN"/>
                    </w:rPr>
                    <w:t>本项目建设地点位于安徽泗县经济开发区，各类污染物经本评价提出的污染防治措施处理后均可达标排放，不属于污染下乡项目</w:t>
                  </w:r>
                  <w:r>
                    <w:rPr>
                      <w:rFonts w:hint="eastAsia" w:ascii="Times New Roman" w:hAnsi="Times New Roman" w:eastAsia="宋体" w:cs="Times New Roman"/>
                      <w:color w:val="auto"/>
                      <w:sz w:val="21"/>
                      <w:szCs w:val="21"/>
                      <w:vertAlign w:val="baseline"/>
                      <w:lang w:val="en-US" w:eastAsia="zh-CN"/>
                    </w:rPr>
                    <w:t>。</w:t>
                  </w:r>
                </w:p>
              </w:tc>
              <w:tc>
                <w:tcPr>
                  <w:tcW w:w="712" w:type="dxa"/>
                  <w:noWrap w:val="0"/>
                  <w:vAlign w:val="center"/>
                </w:tcPr>
                <w:p w14:paraId="79335215">
                  <w:pPr>
                    <w:pStyle w:val="48"/>
                    <w:spacing w:line="240" w:lineRule="auto"/>
                    <w:rPr>
                      <w:rFonts w:hint="default" w:ascii="Times New Roman" w:hAnsi="Times New Roman"/>
                      <w:b w:val="0"/>
                      <w:bCs w:val="0"/>
                      <w:color w:val="auto"/>
                      <w:sz w:val="21"/>
                      <w:szCs w:val="21"/>
                      <w:lang w:val="en-US" w:eastAsia="zh-CN"/>
                    </w:rPr>
                  </w:pPr>
                  <w:r>
                    <w:rPr>
                      <w:rFonts w:hint="default" w:ascii="Times New Roman" w:hAnsi="Times New Roman"/>
                      <w:b w:val="0"/>
                      <w:bCs w:val="0"/>
                      <w:color w:val="auto"/>
                      <w:sz w:val="21"/>
                      <w:szCs w:val="21"/>
                      <w:lang w:val="en-US" w:eastAsia="zh-CN"/>
                    </w:rPr>
                    <w:t>符合</w:t>
                  </w:r>
                </w:p>
              </w:tc>
            </w:tr>
          </w:tbl>
          <w:p w14:paraId="7ABBAB36">
            <w:p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与《挥发性有机物</w:t>
            </w:r>
            <w:r>
              <w:rPr>
                <w:rFonts w:hint="eastAsia" w:ascii="Times New Roman" w:hAnsi="Times New Roman" w:cs="Times New Roman"/>
                <w:b/>
                <w:bCs/>
                <w:color w:val="auto"/>
                <w:sz w:val="24"/>
                <w:szCs w:val="24"/>
                <w:lang w:val="en-US" w:eastAsia="zh-CN"/>
              </w:rPr>
              <w:t>（VOCs）</w:t>
            </w:r>
            <w:r>
              <w:rPr>
                <w:rFonts w:hint="default" w:ascii="Times New Roman" w:hAnsi="Times New Roman" w:cs="Times New Roman"/>
                <w:b/>
                <w:bCs/>
                <w:color w:val="auto"/>
                <w:sz w:val="24"/>
                <w:szCs w:val="24"/>
                <w:lang w:val="en-US" w:eastAsia="zh-CN"/>
              </w:rPr>
              <w:t>污染防治技术政策》（环境保护部，公告2013年第31</w:t>
            </w:r>
            <w:r>
              <w:rPr>
                <w:rFonts w:hint="default" w:ascii="Times New Roman" w:hAnsi="Times New Roman" w:cs="Times New Roman"/>
                <w:b/>
                <w:bCs/>
                <w:color w:val="auto"/>
                <w:sz w:val="24"/>
                <w:szCs w:val="24"/>
                <w:highlight w:val="none"/>
                <w:lang w:val="en-US" w:eastAsia="zh-CN"/>
              </w:rPr>
              <w:t>号）符合性分析</w:t>
            </w:r>
          </w:p>
          <w:p w14:paraId="35ECA82A">
            <w:pPr>
              <w:spacing w:line="360" w:lineRule="auto"/>
              <w:ind w:firstLine="480" w:firstLineChars="200"/>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本项目与《挥发性有机物</w:t>
            </w:r>
            <w:r>
              <w:rPr>
                <w:rFonts w:hint="eastAsia" w:ascii="Times New Roman" w:hAnsi="Times New Roman" w:cs="Times New Roman"/>
                <w:b w:val="0"/>
                <w:bCs w:val="0"/>
                <w:color w:val="auto"/>
                <w:sz w:val="24"/>
                <w:szCs w:val="24"/>
                <w:highlight w:val="none"/>
                <w:lang w:val="en-US" w:eastAsia="zh-CN"/>
              </w:rPr>
              <w:t>（VOCs）</w:t>
            </w:r>
            <w:r>
              <w:rPr>
                <w:rFonts w:hint="default" w:ascii="Times New Roman" w:hAnsi="Times New Roman" w:cs="Times New Roman"/>
                <w:b w:val="0"/>
                <w:bCs w:val="0"/>
                <w:color w:val="auto"/>
                <w:sz w:val="24"/>
                <w:szCs w:val="24"/>
                <w:highlight w:val="none"/>
                <w:lang w:val="en-US" w:eastAsia="zh-CN"/>
              </w:rPr>
              <w:t>污染防治技术政策》（环境保护部，公告2013年第31号）符合性分析见表1.</w:t>
            </w:r>
            <w:r>
              <w:rPr>
                <w:rFonts w:hint="eastAsia" w:ascii="Times New Roman" w:hAnsi="Times New Roman" w:cs="Times New Roman"/>
                <w:b w:val="0"/>
                <w:bCs w:val="0"/>
                <w:color w:val="auto"/>
                <w:sz w:val="24"/>
                <w:szCs w:val="24"/>
                <w:highlight w:val="none"/>
                <w:lang w:val="en-US" w:eastAsia="zh-CN"/>
              </w:rPr>
              <w:t>16</w:t>
            </w:r>
            <w:r>
              <w:rPr>
                <w:rFonts w:hint="default" w:ascii="Times New Roman" w:hAnsi="Times New Roman" w:cs="Times New Roman"/>
                <w:b w:val="0"/>
                <w:bCs w:val="0"/>
                <w:color w:val="auto"/>
                <w:sz w:val="24"/>
                <w:szCs w:val="24"/>
                <w:highlight w:val="none"/>
                <w:lang w:val="en-US" w:eastAsia="zh-CN"/>
              </w:rPr>
              <w:t>。</w:t>
            </w:r>
          </w:p>
          <w:p w14:paraId="6CF77849">
            <w:pPr>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表1.</w:t>
            </w:r>
            <w:r>
              <w:rPr>
                <w:rFonts w:hint="eastAsia" w:ascii="Times New Roman" w:hAnsi="Times New Roman" w:cs="Times New Roman"/>
                <w:b/>
                <w:bCs/>
                <w:color w:val="auto"/>
                <w:sz w:val="21"/>
                <w:szCs w:val="21"/>
                <w:lang w:val="en-US" w:eastAsia="zh-CN"/>
              </w:rPr>
              <w:t>16</w:t>
            </w:r>
            <w:r>
              <w:rPr>
                <w:rFonts w:hint="default" w:ascii="Times New Roman" w:hAnsi="Times New Roman" w:cs="Times New Roman"/>
                <w:b/>
                <w:bCs/>
                <w:color w:val="auto"/>
                <w:sz w:val="21"/>
                <w:szCs w:val="21"/>
                <w:lang w:val="en-US" w:eastAsia="zh-CN"/>
              </w:rPr>
              <w:t xml:space="preserve">  与《挥发性有机物</w:t>
            </w:r>
            <w:r>
              <w:rPr>
                <w:rFonts w:hint="eastAsia" w:ascii="Times New Roman" w:hAnsi="Times New Roman" w:cs="Times New Roman"/>
                <w:b/>
                <w:bCs/>
                <w:color w:val="auto"/>
                <w:sz w:val="21"/>
                <w:szCs w:val="21"/>
                <w:lang w:val="en-US" w:eastAsia="zh-CN"/>
              </w:rPr>
              <w:t>（VOCs）</w:t>
            </w:r>
            <w:r>
              <w:rPr>
                <w:rFonts w:hint="default" w:ascii="Times New Roman" w:hAnsi="Times New Roman" w:cs="Times New Roman"/>
                <w:b/>
                <w:bCs/>
                <w:color w:val="auto"/>
                <w:sz w:val="21"/>
                <w:szCs w:val="21"/>
                <w:lang w:val="en-US" w:eastAsia="zh-CN"/>
              </w:rPr>
              <w:t>污染防治技术政策》符合性分析</w:t>
            </w:r>
          </w:p>
          <w:tbl>
            <w:tblPr>
              <w:tblStyle w:val="31"/>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2"/>
              <w:gridCol w:w="2668"/>
              <w:gridCol w:w="3152"/>
              <w:gridCol w:w="668"/>
            </w:tblGrid>
            <w:tr w14:paraId="68CC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70" w:type="dxa"/>
                  <w:gridSpan w:val="2"/>
                  <w:noWrap w:val="0"/>
                  <w:vAlign w:val="center"/>
                </w:tcPr>
                <w:p w14:paraId="02FC44C8">
                  <w:pPr>
                    <w:pStyle w:val="48"/>
                    <w:spacing w:line="240" w:lineRule="auto"/>
                    <w:rPr>
                      <w:rFonts w:hint="eastAsia"/>
                      <w:color w:val="auto"/>
                      <w:sz w:val="21"/>
                      <w:szCs w:val="21"/>
                      <w:lang w:val="en-US" w:eastAsia="zh-CN"/>
                    </w:rPr>
                  </w:pPr>
                  <w:r>
                    <w:rPr>
                      <w:rFonts w:hint="eastAsia"/>
                      <w:color w:val="auto"/>
                      <w:sz w:val="21"/>
                      <w:szCs w:val="21"/>
                      <w:lang w:val="en-US" w:eastAsia="zh-CN"/>
                    </w:rPr>
                    <w:t>《</w:t>
                  </w:r>
                  <w:r>
                    <w:rPr>
                      <w:rFonts w:hint="default"/>
                      <w:color w:val="auto"/>
                      <w:sz w:val="21"/>
                      <w:szCs w:val="21"/>
                      <w:lang w:val="en-US" w:eastAsia="zh-CN"/>
                    </w:rPr>
                    <w:t>挥发性有机物</w:t>
                  </w:r>
                  <w:r>
                    <w:rPr>
                      <w:rFonts w:hint="eastAsia"/>
                      <w:color w:val="auto"/>
                      <w:sz w:val="21"/>
                      <w:szCs w:val="21"/>
                      <w:lang w:val="en-US" w:eastAsia="zh-CN"/>
                    </w:rPr>
                    <w:t>（VOCs）</w:t>
                  </w:r>
                  <w:r>
                    <w:rPr>
                      <w:rFonts w:hint="default"/>
                      <w:color w:val="auto"/>
                      <w:sz w:val="21"/>
                      <w:szCs w:val="21"/>
                      <w:lang w:val="en-US" w:eastAsia="zh-CN"/>
                    </w:rPr>
                    <w:t>污染防治技术政策</w:t>
                  </w:r>
                  <w:r>
                    <w:rPr>
                      <w:rFonts w:hint="eastAsia"/>
                      <w:color w:val="auto"/>
                      <w:sz w:val="21"/>
                      <w:szCs w:val="21"/>
                      <w:lang w:val="en-US" w:eastAsia="zh-CN"/>
                    </w:rPr>
                    <w:t>》内容</w:t>
                  </w:r>
                </w:p>
              </w:tc>
              <w:tc>
                <w:tcPr>
                  <w:tcW w:w="3152" w:type="dxa"/>
                  <w:noWrap w:val="0"/>
                  <w:vAlign w:val="center"/>
                </w:tcPr>
                <w:p w14:paraId="6239ED6B">
                  <w:pPr>
                    <w:pStyle w:val="48"/>
                    <w:spacing w:line="240" w:lineRule="auto"/>
                    <w:rPr>
                      <w:rFonts w:hint="default"/>
                      <w:color w:val="auto"/>
                      <w:sz w:val="21"/>
                      <w:szCs w:val="21"/>
                      <w:lang w:val="en-US" w:eastAsia="zh-CN"/>
                    </w:rPr>
                  </w:pPr>
                  <w:r>
                    <w:rPr>
                      <w:rFonts w:hint="default"/>
                      <w:color w:val="auto"/>
                      <w:sz w:val="21"/>
                      <w:szCs w:val="21"/>
                      <w:lang w:val="en-US" w:eastAsia="zh-CN"/>
                    </w:rPr>
                    <w:t>本项目</w:t>
                  </w:r>
                  <w:r>
                    <w:rPr>
                      <w:rFonts w:hint="eastAsia"/>
                      <w:color w:val="auto"/>
                      <w:sz w:val="21"/>
                      <w:szCs w:val="21"/>
                      <w:lang w:val="en-US" w:eastAsia="zh-CN"/>
                    </w:rPr>
                    <w:t>情况</w:t>
                  </w:r>
                </w:p>
              </w:tc>
              <w:tc>
                <w:tcPr>
                  <w:tcW w:w="668" w:type="dxa"/>
                  <w:noWrap w:val="0"/>
                  <w:vAlign w:val="center"/>
                </w:tcPr>
                <w:p w14:paraId="254FA9E7">
                  <w:pPr>
                    <w:pStyle w:val="48"/>
                    <w:spacing w:line="240" w:lineRule="auto"/>
                    <w:rPr>
                      <w:rFonts w:hint="default"/>
                      <w:color w:val="auto"/>
                      <w:sz w:val="21"/>
                      <w:szCs w:val="21"/>
                      <w:lang w:val="en-US" w:eastAsia="zh-CN"/>
                    </w:rPr>
                  </w:pPr>
                  <w:r>
                    <w:rPr>
                      <w:rFonts w:hint="eastAsia"/>
                      <w:color w:val="auto"/>
                      <w:sz w:val="21"/>
                      <w:szCs w:val="21"/>
                      <w:lang w:eastAsia="zh-CN"/>
                    </w:rPr>
                    <w:t>符合性</w:t>
                  </w:r>
                </w:p>
              </w:tc>
            </w:tr>
            <w:tr w14:paraId="183D1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02" w:type="dxa"/>
                  <w:vMerge w:val="restart"/>
                  <w:noWrap w:val="0"/>
                  <w:vAlign w:val="center"/>
                </w:tcPr>
                <w:p w14:paraId="1B4D6EBE">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三、末端治理与综合利用</w:t>
                  </w:r>
                </w:p>
              </w:tc>
              <w:tc>
                <w:tcPr>
                  <w:tcW w:w="2668" w:type="dxa"/>
                  <w:tcBorders>
                    <w:left w:val="nil"/>
                  </w:tcBorders>
                  <w:noWrap w:val="0"/>
                  <w:vAlign w:val="center"/>
                </w:tcPr>
                <w:p w14:paraId="14AEEC1C">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color w:val="auto"/>
                      <w:sz w:val="21"/>
                      <w:szCs w:val="21"/>
                      <w:lang w:val="en-US" w:eastAsia="zh-CN"/>
                    </w:rPr>
                  </w:pPr>
                  <w:r>
                    <w:rPr>
                      <w:rFonts w:hint="default"/>
                      <w:color w:val="auto"/>
                      <w:sz w:val="21"/>
                      <w:szCs w:val="21"/>
                      <w:lang w:val="en-US" w:eastAsia="zh-CN"/>
                    </w:rPr>
                    <w:t>（十五）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3152" w:type="dxa"/>
                  <w:noWrap w:val="0"/>
                  <w:vAlign w:val="center"/>
                </w:tcPr>
                <w:p w14:paraId="3274E031">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color w:val="auto"/>
                      <w:sz w:val="21"/>
                      <w:szCs w:val="21"/>
                      <w:lang w:val="en-US" w:eastAsia="zh-CN"/>
                    </w:rPr>
                  </w:pPr>
                  <w:r>
                    <w:rPr>
                      <w:rFonts w:hint="eastAsia"/>
                      <w:color w:val="auto"/>
                      <w:sz w:val="21"/>
                      <w:szCs w:val="21"/>
                      <w:lang w:val="en-US" w:eastAsia="zh-CN"/>
                    </w:rPr>
                    <w:t>本项目运营期烤料、热压成型</w:t>
                  </w:r>
                  <w:r>
                    <w:rPr>
                      <w:rFonts w:hint="eastAsia" w:cs="Times New Roman"/>
                      <w:color w:val="auto"/>
                      <w:sz w:val="21"/>
                      <w:szCs w:val="21"/>
                      <w:lang w:eastAsia="zh-CN"/>
                    </w:rPr>
                    <w:t>工序</w:t>
                  </w:r>
                  <w:r>
                    <w:rPr>
                      <w:rFonts w:hint="eastAsia"/>
                      <w:color w:val="auto"/>
                      <w:sz w:val="21"/>
                      <w:szCs w:val="21"/>
                      <w:lang w:val="en-US" w:eastAsia="zh-CN"/>
                    </w:rPr>
                    <w:t>产生的有机废气浓度为低等浓度VOCs废气。</w:t>
                  </w:r>
                </w:p>
                <w:p w14:paraId="55A46E17">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color w:val="auto"/>
                      <w:sz w:val="21"/>
                      <w:szCs w:val="21"/>
                      <w:lang w:val="en-US" w:eastAsia="zh-CN"/>
                    </w:rPr>
                  </w:pPr>
                  <w:r>
                    <w:rPr>
                      <w:rFonts w:hint="eastAsia" w:ascii="Times New Roman" w:hAnsi="Times New Roman" w:eastAsia="宋体" w:cs="Times New Roman"/>
                      <w:color w:val="auto"/>
                      <w:sz w:val="21"/>
                      <w:szCs w:val="21"/>
                      <w:lang w:val="en-US" w:eastAsia="zh-CN"/>
                    </w:rPr>
                    <w:t>运营期</w:t>
                  </w:r>
                  <w:r>
                    <w:rPr>
                      <w:rFonts w:hint="eastAsia"/>
                      <w:color w:val="auto"/>
                      <w:sz w:val="21"/>
                      <w:szCs w:val="21"/>
                      <w:lang w:val="en-US" w:eastAsia="zh-CN"/>
                    </w:rPr>
                    <w:t>烤料、热压成型</w:t>
                  </w:r>
                  <w:r>
                    <w:rPr>
                      <w:rFonts w:hint="eastAsia" w:cs="Times New Roman"/>
                      <w:color w:val="auto"/>
                      <w:sz w:val="21"/>
                      <w:szCs w:val="21"/>
                      <w:lang w:eastAsia="zh-CN"/>
                    </w:rPr>
                    <w:t>工序</w:t>
                  </w:r>
                  <w:r>
                    <w:rPr>
                      <w:rFonts w:hint="eastAsia" w:cs="Times New Roman"/>
                      <w:color w:val="auto"/>
                      <w:sz w:val="21"/>
                      <w:szCs w:val="21"/>
                      <w:lang w:val="en-US" w:eastAsia="zh-CN"/>
                    </w:rPr>
                    <w:t>工序</w:t>
                  </w:r>
                  <w:r>
                    <w:rPr>
                      <w:rFonts w:hint="eastAsia" w:ascii="Times New Roman" w:hAnsi="Times New Roman" w:eastAsia="宋体" w:cs="Times New Roman"/>
                      <w:color w:val="auto"/>
                      <w:sz w:val="21"/>
                      <w:szCs w:val="21"/>
                      <w:lang w:val="en-US" w:eastAsia="zh-CN"/>
                    </w:rPr>
                    <w:t>产生的挥发性有机物（</w:t>
                  </w:r>
                  <w:r>
                    <w:rPr>
                      <w:rFonts w:hint="default" w:ascii="Times New Roman" w:hAnsi="Times New Roman" w:eastAsia="宋体" w:cs="Times New Roman"/>
                      <w:color w:val="auto"/>
                      <w:sz w:val="21"/>
                      <w:szCs w:val="21"/>
                      <w:lang w:val="en-US" w:eastAsia="zh-CN"/>
                    </w:rPr>
                    <w:t>VOCs</w:t>
                  </w:r>
                  <w:r>
                    <w:rPr>
                      <w:rFonts w:hint="eastAsia" w:ascii="Times New Roman" w:hAnsi="Times New Roman" w:eastAsia="宋体" w:cs="Times New Roman"/>
                      <w:color w:val="auto"/>
                      <w:sz w:val="21"/>
                      <w:szCs w:val="21"/>
                      <w:lang w:val="en-US" w:eastAsia="zh-CN"/>
                    </w:rPr>
                    <w:t>）采用“</w:t>
                  </w:r>
                  <w:r>
                    <w:rPr>
                      <w:rFonts w:hint="eastAsia" w:cs="Times New Roman"/>
                      <w:color w:val="auto"/>
                      <w:sz w:val="21"/>
                      <w:szCs w:val="21"/>
                      <w:lang w:val="en-US" w:eastAsia="zh-CN"/>
                    </w:rPr>
                    <w:t>两级活性炭吸附箱</w:t>
                  </w:r>
                  <w:r>
                    <w:rPr>
                      <w:rFonts w:hint="eastAsia" w:ascii="Times New Roman" w:hAnsi="Times New Roman" w:eastAsia="宋体" w:cs="Times New Roman"/>
                      <w:color w:val="auto"/>
                      <w:sz w:val="21"/>
                      <w:szCs w:val="21"/>
                      <w:lang w:val="en-US" w:eastAsia="zh-CN"/>
                    </w:rPr>
                    <w:t>”处理，</w:t>
                  </w:r>
                  <w:r>
                    <w:rPr>
                      <w:rFonts w:hint="eastAsia" w:cs="Times New Roman"/>
                      <w:color w:val="auto"/>
                      <w:sz w:val="21"/>
                      <w:szCs w:val="21"/>
                      <w:lang w:val="en-US" w:eastAsia="zh-CN"/>
                    </w:rPr>
                    <w:t>两级活性炭</w:t>
                  </w:r>
                  <w:r>
                    <w:rPr>
                      <w:rFonts w:hint="eastAsia"/>
                      <w:color w:val="auto"/>
                      <w:sz w:val="21"/>
                      <w:szCs w:val="21"/>
                      <w:lang w:val="en-US" w:eastAsia="zh-CN"/>
                    </w:rPr>
                    <w:t>净化效率设计为90%</w:t>
                  </w:r>
                  <w:r>
                    <w:rPr>
                      <w:rFonts w:hint="eastAsia" w:ascii="Times New Roman" w:hAnsi="Times New Roman" w:eastAsia="宋体" w:cs="Times New Roman"/>
                      <w:color w:val="auto"/>
                      <w:sz w:val="21"/>
                      <w:szCs w:val="21"/>
                      <w:lang w:val="en-US" w:eastAsia="zh-CN"/>
                    </w:rPr>
                    <w:t>。</w:t>
                  </w:r>
                </w:p>
              </w:tc>
              <w:tc>
                <w:tcPr>
                  <w:tcW w:w="668" w:type="dxa"/>
                  <w:noWrap w:val="0"/>
                  <w:vAlign w:val="center"/>
                </w:tcPr>
                <w:p w14:paraId="231DCDF1">
                  <w:pPr>
                    <w:pStyle w:val="48"/>
                    <w:spacing w:line="240" w:lineRule="auto"/>
                    <w:rPr>
                      <w:rFonts w:hint="eastAsia"/>
                      <w:color w:val="auto"/>
                      <w:sz w:val="21"/>
                      <w:szCs w:val="21"/>
                      <w:lang w:val="en-US" w:eastAsia="zh-CN"/>
                    </w:rPr>
                  </w:pPr>
                  <w:r>
                    <w:rPr>
                      <w:rFonts w:hint="eastAsia"/>
                      <w:color w:val="auto"/>
                      <w:sz w:val="21"/>
                      <w:szCs w:val="21"/>
                      <w:lang w:val="en-US" w:eastAsia="zh-CN"/>
                    </w:rPr>
                    <w:t>符合</w:t>
                  </w:r>
                </w:p>
              </w:tc>
            </w:tr>
            <w:tr w14:paraId="24B7E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02" w:type="dxa"/>
                  <w:vMerge w:val="continue"/>
                  <w:noWrap w:val="0"/>
                  <w:vAlign w:val="center"/>
                </w:tcPr>
                <w:p w14:paraId="447A9223">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default"/>
                      <w:color w:val="auto"/>
                      <w:sz w:val="21"/>
                      <w:szCs w:val="21"/>
                      <w:lang w:val="en-US" w:eastAsia="zh-CN"/>
                    </w:rPr>
                  </w:pPr>
                </w:p>
              </w:tc>
              <w:tc>
                <w:tcPr>
                  <w:tcW w:w="2668" w:type="dxa"/>
                  <w:tcBorders>
                    <w:left w:val="nil"/>
                  </w:tcBorders>
                  <w:noWrap w:val="0"/>
                  <w:vAlign w:val="center"/>
                </w:tcPr>
                <w:p w14:paraId="5BF2B0DF">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color w:val="auto"/>
                      <w:sz w:val="21"/>
                      <w:szCs w:val="21"/>
                      <w:lang w:val="en-US" w:eastAsia="zh-CN"/>
                    </w:rPr>
                  </w:pPr>
                  <w:r>
                    <w:rPr>
                      <w:rFonts w:hint="eastAsia"/>
                      <w:color w:val="auto"/>
                      <w:sz w:val="21"/>
                      <w:szCs w:val="21"/>
                      <w:lang w:val="en-US" w:eastAsia="zh-CN"/>
                    </w:rPr>
                    <w:t>（二十）</w:t>
                  </w:r>
                  <w:r>
                    <w:rPr>
                      <w:rFonts w:hint="default"/>
                      <w:color w:val="auto"/>
                      <w:sz w:val="21"/>
                      <w:szCs w:val="21"/>
                      <w:lang w:val="en-US" w:eastAsia="zh-CN"/>
                    </w:rPr>
                    <w:t>对于不能再生的过滤材料、吸附剂及催化剂等净化材料，应按照国家固体废物管理的相关规定处理处置。</w:t>
                  </w:r>
                </w:p>
              </w:tc>
              <w:tc>
                <w:tcPr>
                  <w:tcW w:w="3152" w:type="dxa"/>
                  <w:noWrap w:val="0"/>
                  <w:vAlign w:val="center"/>
                </w:tcPr>
                <w:p w14:paraId="45867ABB">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color w:val="auto"/>
                      <w:sz w:val="21"/>
                      <w:szCs w:val="21"/>
                      <w:lang w:val="en-US" w:eastAsia="zh-CN"/>
                    </w:rPr>
                  </w:pPr>
                  <w:r>
                    <w:rPr>
                      <w:rFonts w:hint="eastAsia"/>
                      <w:color w:val="auto"/>
                      <w:sz w:val="21"/>
                      <w:szCs w:val="21"/>
                      <w:lang w:val="en-US" w:eastAsia="zh-CN"/>
                    </w:rPr>
                    <w:t>企业拟对废活性炭等耗材，按照</w:t>
                  </w:r>
                  <w:r>
                    <w:rPr>
                      <w:rFonts w:hint="default" w:ascii="Times New Roman" w:hAnsi="Times New Roman" w:cs="Times New Roman"/>
                      <w:color w:val="auto"/>
                      <w:sz w:val="21"/>
                      <w:szCs w:val="21"/>
                    </w:rPr>
                    <w:t>《危险废物贮存污染控制标准》（GB18597-20</w:t>
                  </w:r>
                  <w:r>
                    <w:rPr>
                      <w:rFonts w:hint="eastAsia" w:ascii="Times New Roman" w:hAnsi="Times New Roman" w:cs="Times New Roman"/>
                      <w:color w:val="auto"/>
                      <w:sz w:val="21"/>
                      <w:szCs w:val="21"/>
                      <w:lang w:val="en-US" w:eastAsia="zh-CN"/>
                    </w:rPr>
                    <w:t>23</w:t>
                  </w:r>
                  <w:r>
                    <w:rPr>
                      <w:rFonts w:hint="default" w:ascii="Times New Roman" w:hAnsi="Times New Roman" w:cs="Times New Roman"/>
                      <w:color w:val="auto"/>
                      <w:sz w:val="21"/>
                      <w:szCs w:val="21"/>
                    </w:rPr>
                    <w:t>）</w:t>
                  </w:r>
                  <w:r>
                    <w:rPr>
                      <w:rFonts w:hint="eastAsia"/>
                      <w:color w:val="auto"/>
                      <w:sz w:val="21"/>
                      <w:szCs w:val="21"/>
                      <w:lang w:val="en-US" w:eastAsia="zh-CN"/>
                    </w:rPr>
                    <w:t>中相关规定进行收集、储存及转运，集中收集后定期委托有资质单位处置。</w:t>
                  </w:r>
                </w:p>
              </w:tc>
              <w:tc>
                <w:tcPr>
                  <w:tcW w:w="668" w:type="dxa"/>
                  <w:noWrap w:val="0"/>
                  <w:vAlign w:val="center"/>
                </w:tcPr>
                <w:p w14:paraId="6638E05F">
                  <w:pPr>
                    <w:pStyle w:val="48"/>
                    <w:spacing w:line="240" w:lineRule="auto"/>
                    <w:rPr>
                      <w:rFonts w:hint="eastAsia"/>
                      <w:color w:val="auto"/>
                      <w:sz w:val="21"/>
                      <w:szCs w:val="21"/>
                      <w:lang w:val="en-US" w:eastAsia="zh-CN"/>
                    </w:rPr>
                  </w:pPr>
                  <w:r>
                    <w:rPr>
                      <w:rFonts w:hint="eastAsia"/>
                      <w:color w:val="auto"/>
                      <w:sz w:val="21"/>
                      <w:szCs w:val="21"/>
                      <w:lang w:val="en-US" w:eastAsia="zh-CN"/>
                    </w:rPr>
                    <w:t>符合</w:t>
                  </w:r>
                </w:p>
              </w:tc>
            </w:tr>
            <w:tr w14:paraId="1AFC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02" w:type="dxa"/>
                  <w:vMerge w:val="restart"/>
                  <w:noWrap w:val="0"/>
                  <w:vAlign w:val="center"/>
                </w:tcPr>
                <w:p w14:paraId="7488FD9C">
                  <w:pPr>
                    <w:pStyle w:val="4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四、运行与监测</w:t>
                  </w:r>
                </w:p>
              </w:tc>
              <w:tc>
                <w:tcPr>
                  <w:tcW w:w="2668" w:type="dxa"/>
                  <w:tcBorders>
                    <w:left w:val="nil"/>
                  </w:tcBorders>
                  <w:noWrap w:val="0"/>
                  <w:vAlign w:val="center"/>
                </w:tcPr>
                <w:p w14:paraId="6E0BE6D3">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color w:val="auto"/>
                      <w:sz w:val="21"/>
                      <w:szCs w:val="21"/>
                      <w:lang w:val="en-US" w:eastAsia="zh-CN"/>
                    </w:rPr>
                  </w:pPr>
                  <w:r>
                    <w:rPr>
                      <w:rFonts w:hint="eastAsia"/>
                      <w:color w:val="auto"/>
                      <w:sz w:val="21"/>
                      <w:szCs w:val="21"/>
                      <w:lang w:val="en-US" w:eastAsia="zh-CN"/>
                    </w:rPr>
                    <w:t>（二十五）</w:t>
                  </w:r>
                  <w:r>
                    <w:rPr>
                      <w:rFonts w:hint="default"/>
                      <w:color w:val="auto"/>
                      <w:sz w:val="21"/>
                      <w:szCs w:val="21"/>
                      <w:lang w:val="en-US" w:eastAsia="zh-CN"/>
                    </w:rPr>
                    <w:t>鼓励企业自行开展VOCs监测，并及时主动向当地环保行政主管部门报送监测结果。</w:t>
                  </w:r>
                </w:p>
              </w:tc>
              <w:tc>
                <w:tcPr>
                  <w:tcW w:w="3152" w:type="dxa"/>
                  <w:noWrap w:val="0"/>
                  <w:vAlign w:val="center"/>
                </w:tcPr>
                <w:p w14:paraId="019EEC12">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color w:val="auto"/>
                      <w:sz w:val="21"/>
                      <w:szCs w:val="21"/>
                      <w:lang w:val="en-US" w:eastAsia="zh-CN"/>
                    </w:rPr>
                  </w:pPr>
                  <w:r>
                    <w:rPr>
                      <w:rFonts w:hint="eastAsia"/>
                      <w:color w:val="auto"/>
                      <w:sz w:val="21"/>
                      <w:szCs w:val="21"/>
                      <w:lang w:val="en-US" w:eastAsia="zh-CN"/>
                    </w:rPr>
                    <w:t>企业拟自行开展</w:t>
                  </w:r>
                  <w:r>
                    <w:rPr>
                      <w:rFonts w:hint="eastAsia" w:ascii="Times New Roman" w:hAnsi="Times New Roman" w:cs="Times New Roman"/>
                      <w:color w:val="auto"/>
                      <w:sz w:val="21"/>
                      <w:szCs w:val="21"/>
                      <w:lang w:val="en-US" w:eastAsia="zh-CN"/>
                    </w:rPr>
                    <w:t>挥发性有机物</w:t>
                  </w:r>
                  <w:r>
                    <w:rPr>
                      <w:rFonts w:hint="eastAsia" w:ascii="Times New Roman" w:hAnsi="Times New Roman" w:cs="Times New Roman"/>
                      <w:b w:val="0"/>
                      <w:bCs w:val="0"/>
                      <w:color w:val="auto"/>
                      <w:sz w:val="21"/>
                      <w:szCs w:val="21"/>
                      <w:lang w:eastAsia="zh-CN"/>
                    </w:rPr>
                    <w:t>（</w:t>
                  </w:r>
                  <w:r>
                    <w:rPr>
                      <w:rFonts w:hint="eastAsia" w:ascii="Times New Roman" w:hAnsi="Times New Roman" w:cs="Times New Roman"/>
                      <w:b w:val="0"/>
                      <w:bCs w:val="0"/>
                      <w:color w:val="auto"/>
                      <w:sz w:val="21"/>
                      <w:szCs w:val="21"/>
                      <w:lang w:val="en-US" w:eastAsia="zh-CN"/>
                    </w:rPr>
                    <w:t>VOCs</w:t>
                  </w:r>
                  <w:r>
                    <w:rPr>
                      <w:rFonts w:hint="eastAsia" w:ascii="Times New Roman" w:hAnsi="Times New Roman" w:cs="Times New Roman"/>
                      <w:b w:val="0"/>
                      <w:bCs w:val="0"/>
                      <w:color w:val="auto"/>
                      <w:sz w:val="21"/>
                      <w:szCs w:val="21"/>
                      <w:lang w:eastAsia="zh-CN"/>
                    </w:rPr>
                    <w:t>）</w:t>
                  </w:r>
                  <w:r>
                    <w:rPr>
                      <w:rFonts w:hint="eastAsia"/>
                      <w:color w:val="auto"/>
                      <w:sz w:val="21"/>
                      <w:szCs w:val="21"/>
                      <w:lang w:val="en-US" w:eastAsia="zh-CN"/>
                    </w:rPr>
                    <w:t>监测，并及时主动向当地环保行政主管部门报送监测果。</w:t>
                  </w:r>
                </w:p>
              </w:tc>
              <w:tc>
                <w:tcPr>
                  <w:tcW w:w="668" w:type="dxa"/>
                  <w:noWrap w:val="0"/>
                  <w:vAlign w:val="center"/>
                </w:tcPr>
                <w:p w14:paraId="0C8DCE0B">
                  <w:pPr>
                    <w:pStyle w:val="48"/>
                    <w:spacing w:line="240" w:lineRule="auto"/>
                    <w:rPr>
                      <w:rFonts w:hint="eastAsia"/>
                      <w:color w:val="auto"/>
                      <w:sz w:val="21"/>
                      <w:szCs w:val="21"/>
                      <w:lang w:val="en-US" w:eastAsia="zh-CN"/>
                    </w:rPr>
                  </w:pPr>
                  <w:r>
                    <w:rPr>
                      <w:rFonts w:hint="eastAsia"/>
                      <w:color w:val="auto"/>
                      <w:sz w:val="21"/>
                      <w:szCs w:val="21"/>
                      <w:lang w:val="en-US" w:eastAsia="zh-CN"/>
                    </w:rPr>
                    <w:t>符合</w:t>
                  </w:r>
                </w:p>
              </w:tc>
            </w:tr>
            <w:tr w14:paraId="0B5B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902" w:type="dxa"/>
                  <w:vMerge w:val="continue"/>
                  <w:noWrap w:val="0"/>
                  <w:vAlign w:val="center"/>
                </w:tcPr>
                <w:p w14:paraId="6817379F">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default"/>
                      <w:color w:val="auto"/>
                      <w:sz w:val="21"/>
                      <w:szCs w:val="21"/>
                      <w:lang w:val="en-US" w:eastAsia="zh-CN"/>
                    </w:rPr>
                  </w:pPr>
                </w:p>
              </w:tc>
              <w:tc>
                <w:tcPr>
                  <w:tcW w:w="2668" w:type="dxa"/>
                  <w:tcBorders>
                    <w:left w:val="nil"/>
                  </w:tcBorders>
                  <w:noWrap w:val="0"/>
                  <w:vAlign w:val="center"/>
                </w:tcPr>
                <w:p w14:paraId="2BD84677">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eastAsia"/>
                      <w:color w:val="auto"/>
                      <w:sz w:val="21"/>
                      <w:szCs w:val="21"/>
                      <w:lang w:val="en-US" w:eastAsia="zh-CN"/>
                    </w:rPr>
                  </w:pPr>
                  <w:r>
                    <w:rPr>
                      <w:rFonts w:hint="eastAsia"/>
                      <w:color w:val="auto"/>
                      <w:sz w:val="21"/>
                      <w:szCs w:val="21"/>
                      <w:lang w:val="en-US" w:eastAsia="zh-CN"/>
                    </w:rPr>
                    <w:t>（二十六）</w:t>
                  </w:r>
                  <w:r>
                    <w:rPr>
                      <w:rFonts w:hint="default"/>
                      <w:color w:val="auto"/>
                      <w:sz w:val="21"/>
                      <w:szCs w:val="21"/>
                      <w:lang w:val="en-US" w:eastAsia="zh-CN"/>
                    </w:rPr>
                    <w:t>企业应建立健全VOCs治理设施的运行维护规程和台帐等日常管理制度，并根据工艺要求定期对各类设备、电气、自控仪表等进行检修维护，确保设施的稳定运行。</w:t>
                  </w:r>
                </w:p>
              </w:tc>
              <w:tc>
                <w:tcPr>
                  <w:tcW w:w="3152" w:type="dxa"/>
                  <w:noWrap w:val="0"/>
                  <w:vAlign w:val="center"/>
                </w:tcPr>
                <w:p w14:paraId="6EDB3F00">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color w:val="auto"/>
                      <w:sz w:val="21"/>
                      <w:szCs w:val="21"/>
                      <w:lang w:val="en-US" w:eastAsia="zh-CN"/>
                    </w:rPr>
                  </w:pPr>
                  <w:r>
                    <w:rPr>
                      <w:rFonts w:hint="default"/>
                      <w:color w:val="auto"/>
                      <w:sz w:val="21"/>
                      <w:szCs w:val="21"/>
                      <w:lang w:val="en-US" w:eastAsia="zh-CN"/>
                    </w:rPr>
                    <w:t>企业</w:t>
                  </w:r>
                  <w:r>
                    <w:rPr>
                      <w:rFonts w:hint="eastAsia"/>
                      <w:color w:val="auto"/>
                      <w:sz w:val="21"/>
                      <w:szCs w:val="21"/>
                      <w:lang w:val="en-US" w:eastAsia="zh-CN"/>
                    </w:rPr>
                    <w:t>拟</w:t>
                  </w:r>
                  <w:r>
                    <w:rPr>
                      <w:rFonts w:hint="default"/>
                      <w:color w:val="auto"/>
                      <w:sz w:val="21"/>
                      <w:szCs w:val="21"/>
                      <w:lang w:val="en-US" w:eastAsia="zh-CN"/>
                    </w:rPr>
                    <w:t>建立健全</w:t>
                  </w:r>
                  <w:r>
                    <w:rPr>
                      <w:rFonts w:hint="eastAsia" w:ascii="Times New Roman" w:hAnsi="Times New Roman" w:cs="Times New Roman"/>
                      <w:color w:val="auto"/>
                      <w:sz w:val="21"/>
                      <w:szCs w:val="21"/>
                      <w:lang w:val="en-US" w:eastAsia="zh-CN"/>
                    </w:rPr>
                    <w:t>挥发性有机物</w:t>
                  </w:r>
                  <w:r>
                    <w:rPr>
                      <w:rFonts w:hint="eastAsia" w:ascii="Times New Roman" w:hAnsi="Times New Roman" w:cs="Times New Roman"/>
                      <w:b w:val="0"/>
                      <w:bCs w:val="0"/>
                      <w:color w:val="auto"/>
                      <w:sz w:val="21"/>
                      <w:szCs w:val="21"/>
                      <w:lang w:eastAsia="zh-CN"/>
                    </w:rPr>
                    <w:t>（</w:t>
                  </w:r>
                  <w:r>
                    <w:rPr>
                      <w:rFonts w:hint="eastAsia" w:ascii="Times New Roman" w:hAnsi="Times New Roman" w:cs="Times New Roman"/>
                      <w:b w:val="0"/>
                      <w:bCs w:val="0"/>
                      <w:color w:val="auto"/>
                      <w:sz w:val="21"/>
                      <w:szCs w:val="21"/>
                      <w:lang w:val="en-US" w:eastAsia="zh-CN"/>
                    </w:rPr>
                    <w:t>VOCs</w:t>
                  </w:r>
                  <w:r>
                    <w:rPr>
                      <w:rFonts w:hint="eastAsia" w:ascii="Times New Roman" w:hAnsi="Times New Roman" w:cs="Times New Roman"/>
                      <w:b w:val="0"/>
                      <w:bCs w:val="0"/>
                      <w:color w:val="auto"/>
                      <w:sz w:val="21"/>
                      <w:szCs w:val="21"/>
                      <w:lang w:eastAsia="zh-CN"/>
                    </w:rPr>
                    <w:t>）</w:t>
                  </w:r>
                  <w:r>
                    <w:rPr>
                      <w:rFonts w:hint="default"/>
                      <w:color w:val="auto"/>
                      <w:sz w:val="21"/>
                      <w:szCs w:val="21"/>
                      <w:lang w:val="en-US" w:eastAsia="zh-CN"/>
                    </w:rPr>
                    <w:t>治理设施的运行维护规程和台帐等日常管理制度，并根据工艺要求定期对各类设备、电气、自控仪表等进行检修维护，确保设施的稳定运行。</w:t>
                  </w:r>
                </w:p>
              </w:tc>
              <w:tc>
                <w:tcPr>
                  <w:tcW w:w="668" w:type="dxa"/>
                  <w:noWrap w:val="0"/>
                  <w:vAlign w:val="center"/>
                </w:tcPr>
                <w:p w14:paraId="0DE333F9">
                  <w:pPr>
                    <w:pStyle w:val="48"/>
                    <w:spacing w:line="240" w:lineRule="auto"/>
                    <w:rPr>
                      <w:rFonts w:hint="eastAsia"/>
                      <w:color w:val="auto"/>
                      <w:sz w:val="21"/>
                      <w:szCs w:val="21"/>
                      <w:lang w:val="en-US" w:eastAsia="zh-CN"/>
                    </w:rPr>
                  </w:pPr>
                  <w:r>
                    <w:rPr>
                      <w:rFonts w:hint="eastAsia"/>
                      <w:color w:val="auto"/>
                      <w:sz w:val="21"/>
                      <w:szCs w:val="21"/>
                      <w:lang w:val="en-US" w:eastAsia="zh-CN"/>
                    </w:rPr>
                    <w:t>符合</w:t>
                  </w:r>
                </w:p>
              </w:tc>
            </w:tr>
          </w:tbl>
          <w:p w14:paraId="26C3B406">
            <w:pPr>
              <w:spacing w:line="360" w:lineRule="auto"/>
              <w:ind w:firstLine="482" w:firstLineChars="200"/>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（3）与</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关于印发</w:t>
            </w:r>
            <w:r>
              <w:rPr>
                <w:rFonts w:hint="eastAsia" w:ascii="Times New Roman" w:hAnsi="Times New Roman" w:cs="Times New Roman"/>
                <w:b/>
                <w:bCs/>
                <w:color w:val="auto"/>
                <w:sz w:val="24"/>
                <w:szCs w:val="24"/>
                <w:lang w:val="en-US" w:eastAsia="zh-CN"/>
              </w:rPr>
              <w:t>&lt;</w:t>
            </w:r>
            <w:r>
              <w:rPr>
                <w:rFonts w:hint="eastAsia" w:ascii="宋体" w:hAnsi="宋体" w:eastAsia="宋体" w:cs="宋体"/>
                <w:b/>
                <w:bCs/>
                <w:color w:val="auto"/>
                <w:sz w:val="24"/>
                <w:szCs w:val="24"/>
                <w:lang w:val="en-US" w:eastAsia="zh-CN"/>
              </w:rPr>
              <w:t>重点行业挥发性有机物综合治理方案</w:t>
            </w:r>
            <w:r>
              <w:rPr>
                <w:rFonts w:hint="eastAsia" w:ascii="Times New Roman" w:hAnsi="Times New Roman" w:cs="Times New Roman"/>
                <w:b w:val="0"/>
                <w:bCs w:val="0"/>
                <w:color w:val="auto"/>
                <w:sz w:val="24"/>
                <w:szCs w:val="24"/>
                <w:lang w:val="en-US" w:eastAsia="zh-CN"/>
              </w:rPr>
              <w:t>&gt;</w:t>
            </w:r>
            <w:r>
              <w:rPr>
                <w:rFonts w:hint="eastAsia" w:ascii="宋体" w:hAnsi="宋体" w:eastAsia="宋体" w:cs="宋体"/>
                <w:b/>
                <w:bCs/>
                <w:color w:val="auto"/>
                <w:sz w:val="24"/>
                <w:szCs w:val="24"/>
                <w:lang w:val="en-US" w:eastAsia="zh-CN"/>
              </w:rPr>
              <w:t>的通知</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b/>
                <w:bCs/>
                <w:color w:val="auto"/>
                <w:sz w:val="24"/>
                <w:szCs w:val="24"/>
                <w:lang w:eastAsia="zh-CN"/>
              </w:rPr>
              <w:t>（环大气【</w:t>
            </w:r>
            <w:r>
              <w:rPr>
                <w:rFonts w:hint="default" w:ascii="Times New Roman" w:hAnsi="Times New Roman" w:eastAsia="宋体" w:cs="Times New Roman"/>
                <w:b/>
                <w:bCs/>
                <w:color w:val="auto"/>
                <w:sz w:val="24"/>
                <w:szCs w:val="24"/>
                <w:lang w:val="en-US" w:eastAsia="zh-CN"/>
              </w:rPr>
              <w:t>2019</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53号</w:t>
            </w:r>
            <w:r>
              <w:rPr>
                <w:rFonts w:hint="default" w:ascii="Times New Roman" w:hAnsi="Times New Roman" w:eastAsia="宋体" w:cs="Times New Roman"/>
                <w:b/>
                <w:bCs/>
                <w:color w:val="auto"/>
                <w:sz w:val="24"/>
                <w:szCs w:val="24"/>
                <w:lang w:eastAsia="zh-CN"/>
              </w:rPr>
              <w:t>）</w:t>
            </w:r>
            <w:r>
              <w:rPr>
                <w:rFonts w:hint="default" w:ascii="Times New Roman" w:hAnsi="Times New Roman" w:cs="Times New Roman"/>
                <w:b/>
                <w:bCs/>
                <w:color w:val="auto"/>
                <w:sz w:val="24"/>
                <w:szCs w:val="24"/>
                <w:lang w:val="en-US" w:eastAsia="zh-CN"/>
              </w:rPr>
              <w:t>符合性分析</w:t>
            </w:r>
          </w:p>
          <w:p w14:paraId="69A00537">
            <w:pPr>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本项目与</w:t>
            </w:r>
            <w:r>
              <w:rPr>
                <w:rFonts w:hint="eastAsia" w:ascii="Times New Roman" w:hAnsi="Times New Roman" w:cs="Times New Roman"/>
                <w:b w:val="0"/>
                <w:bCs w:val="0"/>
                <w:color w:val="auto"/>
                <w:sz w:val="24"/>
                <w:szCs w:val="24"/>
                <w:lang w:val="en-US" w:eastAsia="zh-CN"/>
              </w:rPr>
              <w:t>《关于印发&lt;重点行业挥发性有机物综合治理方案&gt;的通知</w:t>
            </w:r>
            <w:r>
              <w:rPr>
                <w:rFonts w:hint="default" w:ascii="Times New Roman" w:hAnsi="Times New Roman" w:cs="Times New Roman"/>
                <w:b w:val="0"/>
                <w:bCs w:val="0"/>
                <w:color w:val="auto"/>
                <w:sz w:val="24"/>
                <w:szCs w:val="24"/>
                <w:lang w:val="en-US" w:eastAsia="zh-CN"/>
              </w:rPr>
              <w:t>》（环大气【2019】53号）符合性分析见表1.</w:t>
            </w:r>
            <w:r>
              <w:rPr>
                <w:rFonts w:hint="eastAsia" w:ascii="Times New Roman" w:hAnsi="Times New Roman" w:cs="Times New Roman"/>
                <w:b w:val="0"/>
                <w:bCs w:val="0"/>
                <w:color w:val="auto"/>
                <w:sz w:val="24"/>
                <w:szCs w:val="24"/>
                <w:lang w:val="en-US" w:eastAsia="zh-CN"/>
              </w:rPr>
              <w:t>17</w:t>
            </w:r>
            <w:r>
              <w:rPr>
                <w:rFonts w:hint="default" w:ascii="Times New Roman" w:hAnsi="Times New Roman" w:cs="Times New Roman"/>
                <w:b w:val="0"/>
                <w:bCs w:val="0"/>
                <w:color w:val="auto"/>
                <w:sz w:val="24"/>
                <w:szCs w:val="24"/>
                <w:lang w:val="en-US" w:eastAsia="zh-CN"/>
              </w:rPr>
              <w:t>。</w:t>
            </w:r>
          </w:p>
          <w:p w14:paraId="5B9270B2">
            <w:pPr>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表1.</w:t>
            </w:r>
            <w:r>
              <w:rPr>
                <w:rFonts w:hint="eastAsia" w:ascii="Times New Roman" w:hAnsi="Times New Roman" w:cs="Times New Roman"/>
                <w:b/>
                <w:bCs/>
                <w:color w:val="auto"/>
                <w:sz w:val="21"/>
                <w:szCs w:val="21"/>
                <w:lang w:val="en-US" w:eastAsia="zh-CN"/>
              </w:rPr>
              <w:t>17</w:t>
            </w:r>
            <w:r>
              <w:rPr>
                <w:rFonts w:hint="default" w:ascii="Times New Roman" w:hAnsi="Times New Roman" w:cs="Times New Roman"/>
                <w:b/>
                <w:bCs/>
                <w:color w:val="auto"/>
                <w:sz w:val="21"/>
                <w:szCs w:val="21"/>
                <w:lang w:val="en-US" w:eastAsia="zh-CN"/>
              </w:rPr>
              <w:t xml:space="preserve">  与《</w:t>
            </w:r>
            <w:r>
              <w:rPr>
                <w:rFonts w:hint="eastAsia" w:ascii="Times New Roman" w:hAnsi="Times New Roman" w:cs="Times New Roman"/>
                <w:b/>
                <w:bCs/>
                <w:color w:val="auto"/>
                <w:sz w:val="21"/>
                <w:szCs w:val="21"/>
                <w:lang w:val="en-US" w:eastAsia="zh-CN"/>
              </w:rPr>
              <w:t>重点行业挥发性有机物综合治理方案</w:t>
            </w:r>
            <w:r>
              <w:rPr>
                <w:rFonts w:hint="default" w:ascii="Times New Roman" w:hAnsi="Times New Roman" w:cs="Times New Roman"/>
                <w:b/>
                <w:bCs/>
                <w:color w:val="auto"/>
                <w:sz w:val="21"/>
                <w:szCs w:val="21"/>
                <w:lang w:val="en-US" w:eastAsia="zh-CN"/>
              </w:rPr>
              <w:t>》符合性分析</w:t>
            </w:r>
          </w:p>
          <w:tbl>
            <w:tblPr>
              <w:tblStyle w:val="31"/>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5555"/>
              <w:gridCol w:w="1561"/>
              <w:gridCol w:w="638"/>
            </w:tblGrid>
            <w:tr w14:paraId="2CEF0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91" w:type="dxa"/>
                  <w:gridSpan w:val="2"/>
                  <w:noWrap w:val="0"/>
                  <w:vAlign w:val="center"/>
                </w:tcPr>
                <w:p w14:paraId="3EFEBB73">
                  <w:pPr>
                    <w:pStyle w:val="48"/>
                    <w:spacing w:line="240" w:lineRule="auto"/>
                    <w:rPr>
                      <w:rFonts w:hint="eastAsia" w:eastAsia="宋体"/>
                      <w:color w:val="auto"/>
                      <w:sz w:val="21"/>
                      <w:szCs w:val="21"/>
                      <w:lang w:val="en-US" w:eastAsia="zh-CN"/>
                    </w:rPr>
                  </w:pPr>
                  <w:r>
                    <w:rPr>
                      <w:rFonts w:hint="default" w:ascii="Times New Roman" w:hAnsi="Times New Roman" w:cs="Times New Roman"/>
                      <w:color w:val="auto"/>
                      <w:sz w:val="21"/>
                      <w:szCs w:val="21"/>
                    </w:rPr>
                    <w:t>《</w:t>
                  </w:r>
                  <w:r>
                    <w:rPr>
                      <w:rFonts w:hint="eastAsia" w:ascii="Times New Roman" w:hAnsi="Times New Roman" w:cs="Times New Roman"/>
                      <w:b w:val="0"/>
                      <w:bCs w:val="0"/>
                      <w:color w:val="auto"/>
                      <w:sz w:val="21"/>
                      <w:szCs w:val="21"/>
                      <w:lang w:val="en-US" w:eastAsia="zh-CN"/>
                    </w:rPr>
                    <w:t>重点行业挥发性有机物综合治理方案</w:t>
                  </w:r>
                  <w:r>
                    <w:rPr>
                      <w:rFonts w:hint="default" w:ascii="Times New Roman" w:hAnsi="Times New Roman" w:cs="Times New Roman"/>
                      <w:color w:val="auto"/>
                      <w:sz w:val="21"/>
                      <w:szCs w:val="21"/>
                    </w:rPr>
                    <w:t>》</w:t>
                  </w:r>
                  <w:r>
                    <w:rPr>
                      <w:rFonts w:hint="eastAsia" w:cs="Times New Roman"/>
                      <w:color w:val="auto"/>
                      <w:sz w:val="21"/>
                      <w:szCs w:val="21"/>
                      <w:lang w:eastAsia="zh-CN"/>
                    </w:rPr>
                    <w:t>内容</w:t>
                  </w:r>
                </w:p>
              </w:tc>
              <w:tc>
                <w:tcPr>
                  <w:tcW w:w="1561" w:type="dxa"/>
                  <w:noWrap w:val="0"/>
                  <w:vAlign w:val="center"/>
                </w:tcPr>
                <w:p w14:paraId="49AE9DC2">
                  <w:pPr>
                    <w:pStyle w:val="48"/>
                    <w:spacing w:line="240" w:lineRule="auto"/>
                    <w:rPr>
                      <w:rFonts w:hint="default"/>
                      <w:color w:val="auto"/>
                      <w:sz w:val="21"/>
                      <w:szCs w:val="21"/>
                      <w:lang w:val="en-US" w:eastAsia="zh-CN"/>
                    </w:rPr>
                  </w:pPr>
                  <w:r>
                    <w:rPr>
                      <w:rFonts w:hint="default"/>
                      <w:color w:val="auto"/>
                      <w:sz w:val="21"/>
                      <w:szCs w:val="21"/>
                      <w:lang w:val="en-US" w:eastAsia="zh-CN"/>
                    </w:rPr>
                    <w:t>本项目</w:t>
                  </w:r>
                  <w:r>
                    <w:rPr>
                      <w:rFonts w:hint="eastAsia"/>
                      <w:color w:val="auto"/>
                      <w:sz w:val="21"/>
                      <w:szCs w:val="21"/>
                      <w:lang w:val="en-US" w:eastAsia="zh-CN"/>
                    </w:rPr>
                    <w:t>情况</w:t>
                  </w:r>
                </w:p>
              </w:tc>
              <w:tc>
                <w:tcPr>
                  <w:tcW w:w="638" w:type="dxa"/>
                  <w:noWrap w:val="0"/>
                  <w:vAlign w:val="center"/>
                </w:tcPr>
                <w:p w14:paraId="72F89EA9">
                  <w:pPr>
                    <w:pStyle w:val="48"/>
                    <w:spacing w:line="240" w:lineRule="auto"/>
                    <w:rPr>
                      <w:rFonts w:hint="default"/>
                      <w:color w:val="auto"/>
                      <w:sz w:val="21"/>
                      <w:szCs w:val="21"/>
                      <w:lang w:val="en-US" w:eastAsia="zh-CN"/>
                    </w:rPr>
                  </w:pPr>
                  <w:r>
                    <w:rPr>
                      <w:rFonts w:hint="eastAsia"/>
                      <w:color w:val="auto"/>
                      <w:sz w:val="21"/>
                      <w:szCs w:val="21"/>
                      <w:lang w:eastAsia="zh-CN"/>
                    </w:rPr>
                    <w:t>符合性</w:t>
                  </w:r>
                </w:p>
              </w:tc>
            </w:tr>
            <w:tr w14:paraId="0A49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6" w:type="dxa"/>
                  <w:vMerge w:val="restart"/>
                  <w:noWrap w:val="0"/>
                  <w:vAlign w:val="center"/>
                </w:tcPr>
                <w:p w14:paraId="2744917E">
                  <w:pPr>
                    <w:pStyle w:val="48"/>
                    <w:spacing w:line="240" w:lineRule="auto"/>
                    <w:rPr>
                      <w:rFonts w:hint="eastAsia"/>
                      <w:color w:val="auto"/>
                      <w:sz w:val="21"/>
                      <w:szCs w:val="21"/>
                      <w:lang w:val="en-US" w:eastAsia="zh-CN"/>
                    </w:rPr>
                  </w:pPr>
                  <w:r>
                    <w:rPr>
                      <w:rFonts w:hint="eastAsia"/>
                      <w:color w:val="auto"/>
                      <w:sz w:val="21"/>
                      <w:szCs w:val="21"/>
                      <w:lang w:val="en-US" w:eastAsia="zh-CN"/>
                    </w:rPr>
                    <w:t>三、控制思路与要求</w:t>
                  </w:r>
                </w:p>
              </w:tc>
              <w:tc>
                <w:tcPr>
                  <w:tcW w:w="5555" w:type="dxa"/>
                  <w:tcBorders>
                    <w:left w:val="nil"/>
                  </w:tcBorders>
                  <w:noWrap w:val="0"/>
                  <w:vAlign w:val="center"/>
                </w:tcPr>
                <w:p w14:paraId="692CFFA7">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color w:val="auto"/>
                      <w:sz w:val="21"/>
                      <w:szCs w:val="21"/>
                      <w:lang w:val="en-US" w:eastAsia="zh-CN"/>
                    </w:rPr>
                  </w:pPr>
                  <w:r>
                    <w:rPr>
                      <w:rFonts w:hint="eastAsia"/>
                      <w:color w:val="auto"/>
                      <w:sz w:val="21"/>
                      <w:szCs w:val="21"/>
                      <w:lang w:val="en-US" w:eastAsia="zh-CN"/>
                    </w:rPr>
                    <w:t>（一）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p w14:paraId="0B74FC0E">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color w:val="auto"/>
                      <w:sz w:val="21"/>
                      <w:szCs w:val="21"/>
                      <w:lang w:val="en-US" w:eastAsia="zh-CN"/>
                    </w:rPr>
                  </w:pPr>
                  <w:r>
                    <w:rPr>
                      <w:rFonts w:hint="eastAsia"/>
                      <w:color w:val="auto"/>
                      <w:sz w:val="21"/>
                      <w:szCs w:val="21"/>
                      <w:lang w:val="en-US" w:eastAsia="zh-CN"/>
                    </w:rPr>
                    <w:t>加强政策引导。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1561" w:type="dxa"/>
                  <w:noWrap w:val="0"/>
                  <w:vAlign w:val="center"/>
                </w:tcPr>
                <w:p w14:paraId="1F5022CC">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本项目为塑料制品业，不涉及涂料、油墨、胶粘剂、清洗剂等使用，运营期使用密胺粉，根据检测报告（报告编号：No.(2025)QS</w:t>
                  </w:r>
                </w:p>
                <w:p w14:paraId="1B00AF0C">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eastAsia="宋体"/>
                      <w:color w:val="auto"/>
                      <w:sz w:val="21"/>
                      <w:szCs w:val="21"/>
                      <w:lang w:val="en-US" w:eastAsia="zh-CN"/>
                    </w:rPr>
                  </w:pPr>
                  <w:r>
                    <w:rPr>
                      <w:rFonts w:hint="eastAsia" w:ascii="Times New Roman" w:hAnsi="Times New Roman" w:eastAsia="宋体" w:cs="Times New Roman"/>
                      <w:color w:val="auto"/>
                      <w:sz w:val="21"/>
                      <w:szCs w:val="21"/>
                      <w:lang w:val="en-US" w:eastAsia="zh-CN"/>
                    </w:rPr>
                    <w:t>WJ01160），符合《食品安全国家标准 食品接触用塑料材料及制品》（GB 4806.7-2023）标准要求。</w:t>
                  </w:r>
                </w:p>
              </w:tc>
              <w:tc>
                <w:tcPr>
                  <w:tcW w:w="638" w:type="dxa"/>
                  <w:noWrap w:val="0"/>
                  <w:vAlign w:val="center"/>
                </w:tcPr>
                <w:p w14:paraId="009FC832">
                  <w:pPr>
                    <w:pStyle w:val="48"/>
                    <w:spacing w:line="240" w:lineRule="auto"/>
                    <w:rPr>
                      <w:rFonts w:hint="eastAsia"/>
                      <w:color w:val="auto"/>
                      <w:sz w:val="21"/>
                      <w:szCs w:val="21"/>
                      <w:lang w:val="en-US" w:eastAsia="zh-CN"/>
                    </w:rPr>
                  </w:pPr>
                  <w:r>
                    <w:rPr>
                      <w:rFonts w:hint="eastAsia"/>
                      <w:color w:val="auto"/>
                      <w:sz w:val="21"/>
                      <w:szCs w:val="21"/>
                      <w:lang w:val="en-US" w:eastAsia="zh-CN"/>
                    </w:rPr>
                    <w:t>符合</w:t>
                  </w:r>
                </w:p>
              </w:tc>
            </w:tr>
            <w:tr w14:paraId="1B020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6" w:type="dxa"/>
                  <w:vMerge w:val="continue"/>
                  <w:noWrap w:val="0"/>
                  <w:vAlign w:val="center"/>
                </w:tcPr>
                <w:p w14:paraId="672B090F">
                  <w:pPr>
                    <w:pStyle w:val="48"/>
                    <w:spacing w:line="240" w:lineRule="auto"/>
                    <w:rPr>
                      <w:rFonts w:hint="eastAsia"/>
                      <w:color w:val="auto"/>
                      <w:sz w:val="21"/>
                      <w:szCs w:val="21"/>
                      <w:lang w:val="en-US" w:eastAsia="zh-CN"/>
                    </w:rPr>
                  </w:pPr>
                </w:p>
              </w:tc>
              <w:tc>
                <w:tcPr>
                  <w:tcW w:w="5555" w:type="dxa"/>
                  <w:tcBorders>
                    <w:left w:val="nil"/>
                  </w:tcBorders>
                  <w:noWrap w:val="0"/>
                  <w:vAlign w:val="center"/>
                </w:tcPr>
                <w:p w14:paraId="49B8D00E">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color w:val="auto"/>
                      <w:sz w:val="21"/>
                      <w:szCs w:val="21"/>
                      <w:lang w:val="en-US" w:eastAsia="zh-CN"/>
                    </w:rPr>
                  </w:pPr>
                  <w:r>
                    <w:rPr>
                      <w:rFonts w:hint="default"/>
                      <w:color w:val="auto"/>
                      <w:sz w:val="21"/>
                      <w:szCs w:val="21"/>
                      <w:lang w:val="en-US" w:eastAsia="zh-CN"/>
                    </w:rPr>
                    <w:t>（三）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p w14:paraId="1229B7B7">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color w:val="auto"/>
                      <w:sz w:val="21"/>
                      <w:szCs w:val="21"/>
                      <w:lang w:val="en-US" w:eastAsia="zh-CN"/>
                    </w:rPr>
                  </w:pPr>
                  <w:r>
                    <w:rPr>
                      <w:rFonts w:hint="default"/>
                      <w:color w:val="auto"/>
                      <w:sz w:val="21"/>
                      <w:szCs w:val="21"/>
                      <w:lang w:val="en-US" w:eastAsia="zh-CN"/>
                    </w:rPr>
                    <w:t>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561" w:type="dxa"/>
                  <w:noWrap w:val="0"/>
                  <w:vAlign w:val="center"/>
                </w:tcPr>
                <w:p w14:paraId="253775EF">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color w:val="auto"/>
                      <w:sz w:val="21"/>
                      <w:szCs w:val="21"/>
                      <w:lang w:val="en-US" w:eastAsia="zh-CN"/>
                    </w:rPr>
                  </w:pPr>
                  <w:r>
                    <w:rPr>
                      <w:rFonts w:hint="eastAsia"/>
                      <w:color w:val="auto"/>
                      <w:sz w:val="21"/>
                      <w:szCs w:val="21"/>
                      <w:lang w:val="en-US" w:eastAsia="zh-CN"/>
                    </w:rPr>
                    <w:t>本项目运营期烤料、热压成型</w:t>
                  </w:r>
                  <w:r>
                    <w:rPr>
                      <w:rFonts w:hint="eastAsia" w:cs="Times New Roman"/>
                      <w:color w:val="auto"/>
                      <w:sz w:val="21"/>
                      <w:szCs w:val="21"/>
                      <w:lang w:eastAsia="zh-CN"/>
                    </w:rPr>
                    <w:t>工序</w:t>
                  </w:r>
                  <w:r>
                    <w:rPr>
                      <w:rFonts w:hint="eastAsia"/>
                      <w:color w:val="auto"/>
                      <w:sz w:val="21"/>
                      <w:szCs w:val="21"/>
                      <w:lang w:val="en-US" w:eastAsia="zh-CN"/>
                    </w:rPr>
                    <w:t>产生的有机废气浓度为低等浓度VOCs废气。</w:t>
                  </w:r>
                </w:p>
                <w:p w14:paraId="3E987925">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color w:val="auto"/>
                      <w:sz w:val="21"/>
                      <w:szCs w:val="21"/>
                      <w:lang w:val="en-US" w:eastAsia="zh-CN"/>
                    </w:rPr>
                  </w:pPr>
                  <w:r>
                    <w:rPr>
                      <w:rFonts w:hint="eastAsia" w:ascii="Times New Roman" w:hAnsi="Times New Roman" w:eastAsia="宋体" w:cs="Times New Roman"/>
                      <w:color w:val="auto"/>
                      <w:sz w:val="21"/>
                      <w:szCs w:val="21"/>
                      <w:lang w:val="en-US" w:eastAsia="zh-CN"/>
                    </w:rPr>
                    <w:t>运营期</w:t>
                  </w:r>
                  <w:r>
                    <w:rPr>
                      <w:rFonts w:hint="eastAsia"/>
                      <w:color w:val="auto"/>
                      <w:sz w:val="21"/>
                      <w:szCs w:val="21"/>
                      <w:lang w:val="en-US" w:eastAsia="zh-CN"/>
                    </w:rPr>
                    <w:t>烤料、热压成型</w:t>
                  </w:r>
                  <w:r>
                    <w:rPr>
                      <w:rFonts w:hint="eastAsia" w:cs="Times New Roman"/>
                      <w:color w:val="auto"/>
                      <w:sz w:val="21"/>
                      <w:szCs w:val="21"/>
                      <w:lang w:eastAsia="zh-CN"/>
                    </w:rPr>
                    <w:t>工序</w:t>
                  </w:r>
                  <w:r>
                    <w:rPr>
                      <w:rFonts w:hint="eastAsia" w:cs="Times New Roman"/>
                      <w:color w:val="auto"/>
                      <w:sz w:val="21"/>
                      <w:szCs w:val="21"/>
                      <w:lang w:val="en-US" w:eastAsia="zh-CN"/>
                    </w:rPr>
                    <w:t>工序</w:t>
                  </w:r>
                  <w:r>
                    <w:rPr>
                      <w:rFonts w:hint="eastAsia" w:ascii="Times New Roman" w:hAnsi="Times New Roman" w:eastAsia="宋体" w:cs="Times New Roman"/>
                      <w:color w:val="auto"/>
                      <w:sz w:val="21"/>
                      <w:szCs w:val="21"/>
                      <w:lang w:val="en-US" w:eastAsia="zh-CN"/>
                    </w:rPr>
                    <w:t>产生的挥发性有机物（</w:t>
                  </w:r>
                  <w:r>
                    <w:rPr>
                      <w:rFonts w:hint="default" w:ascii="Times New Roman" w:hAnsi="Times New Roman" w:eastAsia="宋体" w:cs="Times New Roman"/>
                      <w:color w:val="auto"/>
                      <w:sz w:val="21"/>
                      <w:szCs w:val="21"/>
                      <w:lang w:val="en-US" w:eastAsia="zh-CN"/>
                    </w:rPr>
                    <w:t>VOCs</w:t>
                  </w:r>
                  <w:r>
                    <w:rPr>
                      <w:rFonts w:hint="eastAsia" w:ascii="Times New Roman" w:hAnsi="Times New Roman" w:eastAsia="宋体" w:cs="Times New Roman"/>
                      <w:color w:val="auto"/>
                      <w:sz w:val="21"/>
                      <w:szCs w:val="21"/>
                      <w:lang w:val="en-US" w:eastAsia="zh-CN"/>
                    </w:rPr>
                    <w:t>）采用“</w:t>
                  </w:r>
                  <w:r>
                    <w:rPr>
                      <w:rFonts w:hint="eastAsia" w:cs="Times New Roman"/>
                      <w:color w:val="auto"/>
                      <w:sz w:val="21"/>
                      <w:szCs w:val="21"/>
                      <w:lang w:val="en-US" w:eastAsia="zh-CN"/>
                    </w:rPr>
                    <w:t>两级活性炭吸附箱</w:t>
                  </w:r>
                  <w:r>
                    <w:rPr>
                      <w:rFonts w:hint="eastAsia" w:ascii="Times New Roman" w:hAnsi="Times New Roman" w:eastAsia="宋体" w:cs="Times New Roman"/>
                      <w:color w:val="auto"/>
                      <w:sz w:val="21"/>
                      <w:szCs w:val="21"/>
                      <w:lang w:val="en-US" w:eastAsia="zh-CN"/>
                    </w:rPr>
                    <w:t>”处理，</w:t>
                  </w:r>
                  <w:r>
                    <w:rPr>
                      <w:rFonts w:hint="eastAsia" w:cs="Times New Roman"/>
                      <w:color w:val="auto"/>
                      <w:sz w:val="21"/>
                      <w:szCs w:val="21"/>
                      <w:lang w:val="en-US" w:eastAsia="zh-CN"/>
                    </w:rPr>
                    <w:t>两级活性炭</w:t>
                  </w:r>
                  <w:r>
                    <w:rPr>
                      <w:rFonts w:hint="eastAsia"/>
                      <w:color w:val="auto"/>
                      <w:sz w:val="21"/>
                      <w:szCs w:val="21"/>
                      <w:lang w:val="en-US" w:eastAsia="zh-CN"/>
                    </w:rPr>
                    <w:t>净化效率设计为90%</w:t>
                  </w:r>
                  <w:r>
                    <w:rPr>
                      <w:rFonts w:hint="eastAsia" w:ascii="Times New Roman" w:hAnsi="Times New Roman" w:eastAsia="宋体" w:cs="Times New Roman"/>
                      <w:color w:val="auto"/>
                      <w:sz w:val="21"/>
                      <w:szCs w:val="21"/>
                      <w:lang w:val="en-US" w:eastAsia="zh-CN"/>
                    </w:rPr>
                    <w:t>。</w:t>
                  </w:r>
                </w:p>
              </w:tc>
              <w:tc>
                <w:tcPr>
                  <w:tcW w:w="638" w:type="dxa"/>
                  <w:noWrap w:val="0"/>
                  <w:vAlign w:val="center"/>
                </w:tcPr>
                <w:p w14:paraId="4E681604">
                  <w:pPr>
                    <w:pStyle w:val="48"/>
                    <w:spacing w:line="240" w:lineRule="auto"/>
                    <w:rPr>
                      <w:rFonts w:hint="eastAsia"/>
                      <w:color w:val="auto"/>
                      <w:sz w:val="21"/>
                      <w:szCs w:val="21"/>
                      <w:lang w:val="en-US" w:eastAsia="zh-CN"/>
                    </w:rPr>
                  </w:pPr>
                  <w:r>
                    <w:rPr>
                      <w:rFonts w:hint="eastAsia"/>
                      <w:color w:val="auto"/>
                      <w:sz w:val="21"/>
                      <w:szCs w:val="21"/>
                      <w:lang w:val="en-US" w:eastAsia="zh-CN"/>
                    </w:rPr>
                    <w:t>符合</w:t>
                  </w:r>
                </w:p>
              </w:tc>
            </w:tr>
            <w:tr w14:paraId="2115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36" w:type="dxa"/>
                  <w:noWrap w:val="0"/>
                  <w:vAlign w:val="center"/>
                </w:tcPr>
                <w:p w14:paraId="58166B61">
                  <w:pPr>
                    <w:pStyle w:val="48"/>
                    <w:spacing w:line="240" w:lineRule="auto"/>
                    <w:rPr>
                      <w:rFonts w:hint="eastAsia"/>
                      <w:color w:val="auto"/>
                      <w:sz w:val="21"/>
                      <w:szCs w:val="21"/>
                      <w:lang w:val="en-US" w:eastAsia="zh-CN"/>
                    </w:rPr>
                  </w:pPr>
                  <w:r>
                    <w:rPr>
                      <w:rFonts w:hint="eastAsia"/>
                      <w:color w:val="auto"/>
                      <w:sz w:val="21"/>
                      <w:szCs w:val="21"/>
                      <w:lang w:val="en-US" w:eastAsia="zh-CN"/>
                    </w:rPr>
                    <w:t>四、重点行业治理任务</w:t>
                  </w:r>
                </w:p>
              </w:tc>
              <w:tc>
                <w:tcPr>
                  <w:tcW w:w="5555" w:type="dxa"/>
                  <w:tcBorders>
                    <w:left w:val="nil"/>
                  </w:tcBorders>
                  <w:noWrap w:val="0"/>
                  <w:vAlign w:val="center"/>
                </w:tcPr>
                <w:p w14:paraId="0E862BF1">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color w:val="auto"/>
                      <w:sz w:val="21"/>
                      <w:szCs w:val="21"/>
                      <w:lang w:val="en-US" w:eastAsia="zh-CN"/>
                    </w:rPr>
                  </w:pPr>
                  <w:r>
                    <w:rPr>
                      <w:rFonts w:hint="default"/>
                      <w:color w:val="auto"/>
                      <w:sz w:val="21"/>
                      <w:szCs w:val="21"/>
                      <w:lang w:val="en-US" w:eastAsia="zh-CN"/>
                    </w:rPr>
                    <w:t>（三）工业涂装VOCs综合治理。加大汽车、家具、集装箱、电子产品、工程机械等行业VOCs治理力度，重点区域应结合本地产业特征，加快实施其他行业涂装VOCs综合治理。</w:t>
                  </w:r>
                </w:p>
                <w:p w14:paraId="167D842D">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color w:val="auto"/>
                      <w:sz w:val="21"/>
                      <w:szCs w:val="21"/>
                      <w:lang w:val="en-US" w:eastAsia="zh-CN"/>
                    </w:rPr>
                  </w:pPr>
                  <w:r>
                    <w:rPr>
                      <w:rFonts w:hint="default"/>
                      <w:color w:val="auto"/>
                      <w:sz w:val="21"/>
                      <w:szCs w:val="21"/>
                      <w:lang w:val="en-US" w:eastAsia="zh-CN"/>
                    </w:rPr>
                    <w:t>强化源头控制，加快使用粉末、水性、高固体分、辐射固化等低VOCs含量的涂料替代溶剂型涂料。重点区域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w:t>
                  </w:r>
                </w:p>
                <w:p w14:paraId="753B0BAD">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color w:val="auto"/>
                      <w:sz w:val="21"/>
                      <w:szCs w:val="21"/>
                      <w:lang w:val="en-US" w:eastAsia="zh-CN"/>
                    </w:rPr>
                  </w:pPr>
                  <w:r>
                    <w:rPr>
                      <w:rFonts w:hint="eastAsia" w:ascii="宋体" w:hAnsi="宋体" w:eastAsia="宋体" w:cs="宋体"/>
                      <w:color w:val="auto"/>
                      <w:sz w:val="21"/>
                      <w:szCs w:val="21"/>
                      <w:lang w:val="en-US" w:eastAsia="zh-CN"/>
                    </w:rPr>
                    <w:t>加快推广紧凑式涂装工艺、先进涂装技术和设备。汽车制造整车生产推广使用“三涂一烘”“两涂一烘”或免中涂等紧凑型工艺、静电喷涂技术、自动化喷涂设备。汽车金属零配件企业鼓励采用粉末静电喷涂技术。</w:t>
                  </w:r>
                  <w:r>
                    <w:rPr>
                      <w:rFonts w:hint="default"/>
                      <w:color w:val="auto"/>
                      <w:sz w:val="21"/>
                      <w:szCs w:val="21"/>
                      <w:lang w:val="en-US" w:eastAsia="zh-CN"/>
                    </w:rPr>
                    <w:t>集装箱制造一次打砂工序钢板处理采用辊涂工艺。木质家具推广使用高效的往复式喷涂箱、机械手和静电喷涂技术。板式家具采用喷涂工艺的，推广使用粉末静电喷涂技术；采用溶剂型、辐射固化涂料的，推广使用辊涂、淋涂等工艺。工程机械制造要提高室内涂装比例，鼓励采用自动喷涂、静电喷涂等技术。电子产品制造推广使用静电喷涂等技术。</w:t>
                  </w:r>
                </w:p>
                <w:p w14:paraId="59767F8E">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color w:val="auto"/>
                      <w:sz w:val="21"/>
                      <w:szCs w:val="21"/>
                      <w:lang w:val="en-US" w:eastAsia="zh-CN"/>
                    </w:rPr>
                  </w:pPr>
                  <w:r>
                    <w:rPr>
                      <w:rFonts w:hint="default"/>
                      <w:color w:val="auto"/>
                      <w:sz w:val="21"/>
                      <w:szCs w:val="21"/>
                      <w:lang w:val="en-US" w:eastAsia="zh-CN"/>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排放工序应配备有效的废气收集系统。</w:t>
                  </w:r>
                </w:p>
                <w:p w14:paraId="5846FD4E">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color w:val="auto"/>
                      <w:sz w:val="21"/>
                      <w:szCs w:val="21"/>
                      <w:lang w:val="en-US" w:eastAsia="zh-CN"/>
                    </w:rPr>
                  </w:pPr>
                  <w:r>
                    <w:rPr>
                      <w:rFonts w:hint="default"/>
                      <w:color w:val="auto"/>
                      <w:sz w:val="21"/>
                      <w:szCs w:val="21"/>
                      <w:lang w:val="en-US" w:eastAsia="zh-CN"/>
                    </w:rPr>
                    <w:t>推进建设适宜高效的治污设施。喷涂废气应设置高效漆雾处理装置。喷涂、晾（风）干废气宜采用吸附浓缩+燃烧处理方式，小风量的可采用一次性活性炭吸附等工艺。调配、流平等废气可与喷涂、晾（风）干废气一并处理。使用溶剂型涂料的生产线，烘干废气宜采用燃烧方式单独处理，具备条件的可采用回收式热力燃烧装置。</w:t>
                  </w:r>
                </w:p>
              </w:tc>
              <w:tc>
                <w:tcPr>
                  <w:tcW w:w="1561" w:type="dxa"/>
                  <w:noWrap w:val="0"/>
                  <w:vAlign w:val="center"/>
                </w:tcPr>
                <w:p w14:paraId="1ED9B079">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color w:val="auto"/>
                      <w:sz w:val="21"/>
                      <w:szCs w:val="21"/>
                      <w:lang w:val="en-US" w:eastAsia="zh-CN"/>
                    </w:rPr>
                  </w:pPr>
                  <w:r>
                    <w:rPr>
                      <w:rFonts w:hint="eastAsia"/>
                      <w:color w:val="auto"/>
                      <w:sz w:val="21"/>
                      <w:szCs w:val="21"/>
                      <w:lang w:val="en-US" w:eastAsia="zh-CN"/>
                    </w:rPr>
                    <w:t>本项目运营期烤料、热压成型</w:t>
                  </w:r>
                  <w:r>
                    <w:rPr>
                      <w:rFonts w:hint="eastAsia" w:cs="Times New Roman"/>
                      <w:color w:val="auto"/>
                      <w:sz w:val="21"/>
                      <w:szCs w:val="21"/>
                      <w:lang w:eastAsia="zh-CN"/>
                    </w:rPr>
                    <w:t>工序</w:t>
                  </w:r>
                  <w:r>
                    <w:rPr>
                      <w:rFonts w:hint="eastAsia"/>
                      <w:color w:val="auto"/>
                      <w:sz w:val="21"/>
                      <w:szCs w:val="21"/>
                      <w:lang w:val="en-US" w:eastAsia="zh-CN"/>
                    </w:rPr>
                    <w:t>产生的有机废气浓度为低等浓度VOCs废气。</w:t>
                  </w:r>
                </w:p>
                <w:p w14:paraId="4D9736FD">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color w:val="auto"/>
                      <w:sz w:val="21"/>
                      <w:szCs w:val="21"/>
                      <w:lang w:val="en-US" w:eastAsia="zh-CN"/>
                    </w:rPr>
                  </w:pPr>
                  <w:r>
                    <w:rPr>
                      <w:rFonts w:hint="eastAsia" w:ascii="Times New Roman" w:hAnsi="Times New Roman" w:eastAsia="宋体" w:cs="Times New Roman"/>
                      <w:color w:val="auto"/>
                      <w:sz w:val="21"/>
                      <w:szCs w:val="21"/>
                      <w:lang w:val="en-US" w:eastAsia="zh-CN"/>
                    </w:rPr>
                    <w:t>运营期</w:t>
                  </w:r>
                  <w:r>
                    <w:rPr>
                      <w:rFonts w:hint="eastAsia"/>
                      <w:color w:val="auto"/>
                      <w:sz w:val="21"/>
                      <w:szCs w:val="21"/>
                      <w:lang w:val="en-US" w:eastAsia="zh-CN"/>
                    </w:rPr>
                    <w:t>烤料、热压成型</w:t>
                  </w:r>
                  <w:r>
                    <w:rPr>
                      <w:rFonts w:hint="eastAsia" w:cs="Times New Roman"/>
                      <w:color w:val="auto"/>
                      <w:sz w:val="21"/>
                      <w:szCs w:val="21"/>
                      <w:lang w:eastAsia="zh-CN"/>
                    </w:rPr>
                    <w:t>工序</w:t>
                  </w:r>
                  <w:r>
                    <w:rPr>
                      <w:rFonts w:hint="eastAsia" w:cs="Times New Roman"/>
                      <w:color w:val="auto"/>
                      <w:sz w:val="21"/>
                      <w:szCs w:val="21"/>
                      <w:lang w:val="en-US" w:eastAsia="zh-CN"/>
                    </w:rPr>
                    <w:t>工序</w:t>
                  </w:r>
                  <w:r>
                    <w:rPr>
                      <w:rFonts w:hint="eastAsia" w:ascii="Times New Roman" w:hAnsi="Times New Roman" w:eastAsia="宋体" w:cs="Times New Roman"/>
                      <w:color w:val="auto"/>
                      <w:sz w:val="21"/>
                      <w:szCs w:val="21"/>
                      <w:lang w:val="en-US" w:eastAsia="zh-CN"/>
                    </w:rPr>
                    <w:t>产生的挥发性有机物（</w:t>
                  </w:r>
                  <w:r>
                    <w:rPr>
                      <w:rFonts w:hint="default" w:ascii="Times New Roman" w:hAnsi="Times New Roman" w:eastAsia="宋体" w:cs="Times New Roman"/>
                      <w:color w:val="auto"/>
                      <w:sz w:val="21"/>
                      <w:szCs w:val="21"/>
                      <w:lang w:val="en-US" w:eastAsia="zh-CN"/>
                    </w:rPr>
                    <w:t>VOCs</w:t>
                  </w:r>
                  <w:r>
                    <w:rPr>
                      <w:rFonts w:hint="eastAsia" w:ascii="Times New Roman" w:hAnsi="Times New Roman" w:eastAsia="宋体" w:cs="Times New Roman"/>
                      <w:color w:val="auto"/>
                      <w:sz w:val="21"/>
                      <w:szCs w:val="21"/>
                      <w:lang w:val="en-US" w:eastAsia="zh-CN"/>
                    </w:rPr>
                    <w:t>）采用“</w:t>
                  </w:r>
                  <w:r>
                    <w:rPr>
                      <w:rFonts w:hint="eastAsia" w:cs="Times New Roman"/>
                      <w:color w:val="auto"/>
                      <w:sz w:val="21"/>
                      <w:szCs w:val="21"/>
                      <w:lang w:val="en-US" w:eastAsia="zh-CN"/>
                    </w:rPr>
                    <w:t>两级活性炭吸附箱</w:t>
                  </w:r>
                  <w:r>
                    <w:rPr>
                      <w:rFonts w:hint="eastAsia" w:ascii="Times New Roman" w:hAnsi="Times New Roman" w:eastAsia="宋体" w:cs="Times New Roman"/>
                      <w:color w:val="auto"/>
                      <w:sz w:val="21"/>
                      <w:szCs w:val="21"/>
                      <w:lang w:val="en-US" w:eastAsia="zh-CN"/>
                    </w:rPr>
                    <w:t>”处理，</w:t>
                  </w:r>
                  <w:r>
                    <w:rPr>
                      <w:rFonts w:hint="eastAsia" w:cs="Times New Roman"/>
                      <w:color w:val="auto"/>
                      <w:sz w:val="21"/>
                      <w:szCs w:val="21"/>
                      <w:lang w:val="en-US" w:eastAsia="zh-CN"/>
                    </w:rPr>
                    <w:t>两级活性炭</w:t>
                  </w:r>
                  <w:r>
                    <w:rPr>
                      <w:rFonts w:hint="eastAsia"/>
                      <w:color w:val="auto"/>
                      <w:sz w:val="21"/>
                      <w:szCs w:val="21"/>
                      <w:lang w:val="en-US" w:eastAsia="zh-CN"/>
                    </w:rPr>
                    <w:t>净化效率设计为90%</w:t>
                  </w:r>
                  <w:r>
                    <w:rPr>
                      <w:rFonts w:hint="eastAsia" w:ascii="Times New Roman" w:hAnsi="Times New Roman" w:eastAsia="宋体" w:cs="Times New Roman"/>
                      <w:color w:val="auto"/>
                      <w:sz w:val="21"/>
                      <w:szCs w:val="21"/>
                      <w:lang w:val="en-US" w:eastAsia="zh-CN"/>
                    </w:rPr>
                    <w:t>。</w:t>
                  </w:r>
                </w:p>
              </w:tc>
              <w:tc>
                <w:tcPr>
                  <w:tcW w:w="638" w:type="dxa"/>
                  <w:noWrap w:val="0"/>
                  <w:vAlign w:val="center"/>
                </w:tcPr>
                <w:p w14:paraId="074CDDF7">
                  <w:pPr>
                    <w:pStyle w:val="48"/>
                    <w:spacing w:line="240" w:lineRule="auto"/>
                    <w:rPr>
                      <w:rFonts w:hint="default"/>
                      <w:color w:val="auto"/>
                      <w:sz w:val="21"/>
                      <w:szCs w:val="21"/>
                      <w:lang w:val="en-US" w:eastAsia="zh-CN"/>
                    </w:rPr>
                  </w:pPr>
                  <w:r>
                    <w:rPr>
                      <w:rFonts w:hint="eastAsia"/>
                      <w:color w:val="auto"/>
                      <w:sz w:val="21"/>
                      <w:szCs w:val="21"/>
                      <w:lang w:val="en-US" w:eastAsia="zh-CN"/>
                    </w:rPr>
                    <w:t>符合</w:t>
                  </w:r>
                </w:p>
              </w:tc>
            </w:tr>
          </w:tbl>
          <w:p w14:paraId="1312A68F">
            <w:pPr>
              <w:spacing w:line="360" w:lineRule="auto"/>
              <w:ind w:firstLine="482" w:firstLineChars="200"/>
              <w:rPr>
                <w:rFonts w:ascii="宋体" w:hAnsi="宋体" w:eastAsia="宋体" w:cs="宋体"/>
                <w:b/>
                <w:bCs/>
                <w:color w:val="auto"/>
                <w:sz w:val="24"/>
              </w:rPr>
            </w:pPr>
            <w:r>
              <w:rPr>
                <w:rFonts w:hint="eastAsia" w:ascii="Times New Roman" w:hAnsi="Times New Roman" w:cs="Times New Roman"/>
                <w:b/>
                <w:bCs/>
                <w:color w:val="auto"/>
                <w:sz w:val="24"/>
                <w:lang w:val="en-US" w:eastAsia="zh-CN"/>
              </w:rPr>
              <w:t>（4）</w:t>
            </w:r>
            <w:r>
              <w:rPr>
                <w:rFonts w:hint="eastAsia" w:ascii="Times New Roman" w:hAnsi="Times New Roman" w:cs="Times New Roman"/>
                <w:b/>
                <w:bCs/>
                <w:color w:val="auto"/>
                <w:sz w:val="24"/>
              </w:rPr>
              <w:t>与《关于印发&lt;安徽省“两高”项目管理目录（试行）&gt;的通知》（皖节能【2022】2号，2022年06月21日，安徽省节能减排及应对气候变化工作领导小组）</w:t>
            </w:r>
            <w:r>
              <w:rPr>
                <w:rFonts w:hint="eastAsia" w:ascii="宋体" w:hAnsi="宋体" w:eastAsia="宋体" w:cs="宋体"/>
                <w:b/>
                <w:bCs/>
                <w:color w:val="auto"/>
                <w:sz w:val="24"/>
              </w:rPr>
              <w:t>符合性分析</w:t>
            </w:r>
          </w:p>
          <w:p w14:paraId="18CEB66B">
            <w:pPr>
              <w:pStyle w:val="38"/>
              <w:spacing w:line="360" w:lineRule="auto"/>
              <w:ind w:firstLine="480" w:firstLineChars="200"/>
              <w:rPr>
                <w:b w:val="0"/>
                <w:bCs/>
                <w:color w:val="auto"/>
              </w:rPr>
            </w:pPr>
            <w:r>
              <w:rPr>
                <w:rFonts w:hint="eastAsia"/>
                <w:b w:val="0"/>
                <w:bCs/>
                <w:color w:val="auto"/>
              </w:rPr>
              <w:t>安徽省“两高”项目管理名录（试行）见表1.</w:t>
            </w:r>
            <w:r>
              <w:rPr>
                <w:rFonts w:hint="eastAsia"/>
                <w:b w:val="0"/>
                <w:bCs/>
                <w:color w:val="auto"/>
                <w:lang w:val="en-US" w:eastAsia="zh-CN"/>
              </w:rPr>
              <w:t>18</w:t>
            </w:r>
            <w:r>
              <w:rPr>
                <w:rFonts w:hint="eastAsia"/>
                <w:b w:val="0"/>
                <w:bCs/>
                <w:color w:val="auto"/>
              </w:rPr>
              <w:t>。</w:t>
            </w:r>
          </w:p>
          <w:p w14:paraId="3406A6F6">
            <w:pPr>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表1.</w:t>
            </w:r>
            <w:r>
              <w:rPr>
                <w:rFonts w:hint="eastAsia" w:ascii="Times New Roman" w:hAnsi="Times New Roman" w:cs="Times New Roman"/>
                <w:b/>
                <w:bCs/>
                <w:color w:val="auto"/>
                <w:sz w:val="21"/>
                <w:szCs w:val="21"/>
                <w:lang w:val="en-US" w:eastAsia="zh-CN"/>
              </w:rPr>
              <w:t>18</w:t>
            </w:r>
            <w:r>
              <w:rPr>
                <w:rFonts w:hint="eastAsia" w:ascii="Times New Roman" w:hAnsi="Times New Roman" w:cs="Times New Roman"/>
                <w:b/>
                <w:bCs/>
                <w:color w:val="auto"/>
                <w:sz w:val="21"/>
                <w:szCs w:val="21"/>
              </w:rPr>
              <w:t xml:space="preserve">  安徽省“两高”项目管理目录（试行）</w:t>
            </w:r>
          </w:p>
          <w:tbl>
            <w:tblPr>
              <w:tblStyle w:val="32"/>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894"/>
              <w:gridCol w:w="1974"/>
              <w:gridCol w:w="941"/>
              <w:gridCol w:w="3919"/>
            </w:tblGrid>
            <w:tr w14:paraId="4317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6A6B5B1C">
                  <w:pPr>
                    <w:pStyle w:val="48"/>
                    <w:spacing w:line="240" w:lineRule="auto"/>
                    <w:rPr>
                      <w:rFonts w:cs="Times New Roman"/>
                      <w:color w:val="auto"/>
                      <w:sz w:val="21"/>
                      <w:szCs w:val="21"/>
                    </w:rPr>
                  </w:pPr>
                  <w:r>
                    <w:rPr>
                      <w:rFonts w:hint="eastAsia" w:cs="Times New Roman"/>
                      <w:color w:val="auto"/>
                      <w:sz w:val="21"/>
                      <w:szCs w:val="21"/>
                    </w:rPr>
                    <w:t>序号</w:t>
                  </w:r>
                </w:p>
              </w:tc>
              <w:tc>
                <w:tcPr>
                  <w:tcW w:w="883" w:type="dxa"/>
                  <w:vAlign w:val="center"/>
                </w:tcPr>
                <w:p w14:paraId="0C6F457A">
                  <w:pPr>
                    <w:pStyle w:val="48"/>
                    <w:spacing w:line="240" w:lineRule="auto"/>
                    <w:rPr>
                      <w:rFonts w:cs="Times New Roman"/>
                      <w:color w:val="auto"/>
                      <w:sz w:val="21"/>
                      <w:szCs w:val="21"/>
                    </w:rPr>
                  </w:pPr>
                  <w:r>
                    <w:rPr>
                      <w:rFonts w:hint="eastAsia" w:cs="Times New Roman"/>
                      <w:color w:val="auto"/>
                      <w:sz w:val="21"/>
                      <w:szCs w:val="21"/>
                    </w:rPr>
                    <w:t>行业</w:t>
                  </w:r>
                </w:p>
              </w:tc>
              <w:tc>
                <w:tcPr>
                  <w:tcW w:w="1950" w:type="dxa"/>
                  <w:vAlign w:val="center"/>
                </w:tcPr>
                <w:p w14:paraId="78B4C8D0">
                  <w:pPr>
                    <w:pStyle w:val="48"/>
                    <w:spacing w:line="240" w:lineRule="auto"/>
                    <w:rPr>
                      <w:rFonts w:cs="Times New Roman"/>
                      <w:color w:val="auto"/>
                      <w:sz w:val="21"/>
                      <w:szCs w:val="21"/>
                    </w:rPr>
                  </w:pPr>
                  <w:r>
                    <w:rPr>
                      <w:rFonts w:hint="eastAsia" w:cs="Times New Roman"/>
                      <w:color w:val="auto"/>
                      <w:sz w:val="21"/>
                      <w:szCs w:val="21"/>
                    </w:rPr>
                    <w:t>国民经济行业分类名称</w:t>
                  </w:r>
                </w:p>
              </w:tc>
              <w:tc>
                <w:tcPr>
                  <w:tcW w:w="930" w:type="dxa"/>
                  <w:vAlign w:val="center"/>
                </w:tcPr>
                <w:p w14:paraId="6611F688">
                  <w:pPr>
                    <w:pStyle w:val="48"/>
                    <w:spacing w:line="240" w:lineRule="auto"/>
                    <w:rPr>
                      <w:rFonts w:cs="Times New Roman"/>
                      <w:color w:val="auto"/>
                      <w:sz w:val="21"/>
                      <w:szCs w:val="21"/>
                    </w:rPr>
                  </w:pPr>
                  <w:r>
                    <w:rPr>
                      <w:rFonts w:hint="eastAsia" w:cs="Times New Roman"/>
                      <w:color w:val="auto"/>
                      <w:sz w:val="21"/>
                      <w:szCs w:val="21"/>
                    </w:rPr>
                    <w:t>行业小类代码</w:t>
                  </w:r>
                </w:p>
              </w:tc>
              <w:tc>
                <w:tcPr>
                  <w:tcW w:w="3871" w:type="dxa"/>
                  <w:vAlign w:val="center"/>
                </w:tcPr>
                <w:p w14:paraId="53A566EA">
                  <w:pPr>
                    <w:pStyle w:val="48"/>
                    <w:spacing w:line="240" w:lineRule="auto"/>
                    <w:rPr>
                      <w:rFonts w:cs="Times New Roman"/>
                      <w:color w:val="auto"/>
                      <w:sz w:val="21"/>
                      <w:szCs w:val="21"/>
                    </w:rPr>
                  </w:pPr>
                  <w:r>
                    <w:rPr>
                      <w:rFonts w:hint="eastAsia" w:cs="Times New Roman"/>
                      <w:color w:val="auto"/>
                      <w:sz w:val="21"/>
                      <w:szCs w:val="21"/>
                    </w:rPr>
                    <w:t>包含内容</w:t>
                  </w:r>
                </w:p>
              </w:tc>
            </w:tr>
            <w:tr w14:paraId="378CD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654" w:type="dxa"/>
                  <w:vAlign w:val="center"/>
                </w:tcPr>
                <w:p w14:paraId="0EA29138">
                  <w:pPr>
                    <w:pStyle w:val="48"/>
                    <w:spacing w:line="240" w:lineRule="auto"/>
                    <w:rPr>
                      <w:rFonts w:cs="Times New Roman"/>
                      <w:color w:val="auto"/>
                      <w:sz w:val="21"/>
                      <w:szCs w:val="21"/>
                    </w:rPr>
                  </w:pPr>
                  <w:r>
                    <w:rPr>
                      <w:rFonts w:hint="eastAsia" w:cs="Times New Roman"/>
                      <w:color w:val="auto"/>
                      <w:sz w:val="21"/>
                      <w:szCs w:val="21"/>
                    </w:rPr>
                    <w:t>1</w:t>
                  </w:r>
                </w:p>
              </w:tc>
              <w:tc>
                <w:tcPr>
                  <w:tcW w:w="883" w:type="dxa"/>
                  <w:vAlign w:val="center"/>
                </w:tcPr>
                <w:p w14:paraId="39601BA4">
                  <w:pPr>
                    <w:pStyle w:val="48"/>
                    <w:spacing w:line="240" w:lineRule="auto"/>
                    <w:rPr>
                      <w:rFonts w:cs="Times New Roman"/>
                      <w:color w:val="auto"/>
                      <w:sz w:val="21"/>
                      <w:szCs w:val="21"/>
                    </w:rPr>
                  </w:pPr>
                  <w:r>
                    <w:rPr>
                      <w:rFonts w:hint="eastAsia" w:cs="Times New Roman"/>
                      <w:color w:val="auto"/>
                      <w:sz w:val="21"/>
                      <w:szCs w:val="21"/>
                    </w:rPr>
                    <w:t>石化</w:t>
                  </w:r>
                </w:p>
              </w:tc>
              <w:tc>
                <w:tcPr>
                  <w:tcW w:w="1950" w:type="dxa"/>
                  <w:vAlign w:val="center"/>
                </w:tcPr>
                <w:p w14:paraId="2A3426C2">
                  <w:pPr>
                    <w:pStyle w:val="48"/>
                    <w:spacing w:line="240" w:lineRule="auto"/>
                    <w:rPr>
                      <w:rFonts w:cs="Times New Roman"/>
                      <w:color w:val="auto"/>
                      <w:sz w:val="21"/>
                      <w:szCs w:val="21"/>
                    </w:rPr>
                  </w:pPr>
                  <w:r>
                    <w:rPr>
                      <w:rFonts w:hint="eastAsia" w:cs="Times New Roman"/>
                      <w:color w:val="auto"/>
                      <w:sz w:val="21"/>
                      <w:szCs w:val="21"/>
                    </w:rPr>
                    <w:t>原油加工及石油制品制造</w:t>
                  </w:r>
                </w:p>
              </w:tc>
              <w:tc>
                <w:tcPr>
                  <w:tcW w:w="930" w:type="dxa"/>
                  <w:vAlign w:val="center"/>
                </w:tcPr>
                <w:p w14:paraId="41E57E06">
                  <w:pPr>
                    <w:pStyle w:val="48"/>
                    <w:spacing w:line="240" w:lineRule="auto"/>
                    <w:rPr>
                      <w:rFonts w:cs="Times New Roman"/>
                      <w:color w:val="auto"/>
                      <w:sz w:val="21"/>
                      <w:szCs w:val="21"/>
                    </w:rPr>
                  </w:pPr>
                  <w:r>
                    <w:rPr>
                      <w:rFonts w:hint="eastAsia" w:cs="Times New Roman"/>
                      <w:color w:val="auto"/>
                      <w:sz w:val="21"/>
                      <w:szCs w:val="21"/>
                    </w:rPr>
                    <w:t>2511</w:t>
                  </w:r>
                </w:p>
              </w:tc>
              <w:tc>
                <w:tcPr>
                  <w:tcW w:w="3871" w:type="dxa"/>
                  <w:vAlign w:val="center"/>
                </w:tcPr>
                <w:p w14:paraId="3A556303">
                  <w:pPr>
                    <w:pStyle w:val="48"/>
                    <w:spacing w:line="240" w:lineRule="auto"/>
                    <w:rPr>
                      <w:rFonts w:cs="Times New Roman"/>
                      <w:color w:val="auto"/>
                      <w:sz w:val="21"/>
                      <w:szCs w:val="21"/>
                    </w:rPr>
                  </w:pPr>
                  <w:r>
                    <w:rPr>
                      <w:rFonts w:hint="eastAsia" w:cs="Times New Roman"/>
                      <w:color w:val="auto"/>
                      <w:sz w:val="21"/>
                      <w:szCs w:val="21"/>
                    </w:rPr>
                    <w:t>炼油</w:t>
                  </w:r>
                </w:p>
              </w:tc>
            </w:tr>
            <w:tr w14:paraId="5220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793D2702">
                  <w:pPr>
                    <w:pStyle w:val="48"/>
                    <w:spacing w:line="240" w:lineRule="auto"/>
                    <w:rPr>
                      <w:rFonts w:cs="Times New Roman"/>
                      <w:color w:val="auto"/>
                      <w:sz w:val="21"/>
                      <w:szCs w:val="21"/>
                    </w:rPr>
                  </w:pPr>
                  <w:r>
                    <w:rPr>
                      <w:rFonts w:hint="eastAsia" w:cs="Times New Roman"/>
                      <w:color w:val="auto"/>
                      <w:sz w:val="21"/>
                      <w:szCs w:val="21"/>
                    </w:rPr>
                    <w:t>2</w:t>
                  </w:r>
                </w:p>
              </w:tc>
              <w:tc>
                <w:tcPr>
                  <w:tcW w:w="883" w:type="dxa"/>
                  <w:vAlign w:val="center"/>
                </w:tcPr>
                <w:p w14:paraId="2D61FB1C">
                  <w:pPr>
                    <w:pStyle w:val="48"/>
                    <w:spacing w:line="240" w:lineRule="auto"/>
                    <w:rPr>
                      <w:rFonts w:cs="Times New Roman"/>
                      <w:color w:val="auto"/>
                      <w:sz w:val="21"/>
                      <w:szCs w:val="21"/>
                    </w:rPr>
                  </w:pPr>
                  <w:r>
                    <w:rPr>
                      <w:rFonts w:hint="eastAsia" w:cs="Times New Roman"/>
                      <w:color w:val="auto"/>
                      <w:sz w:val="21"/>
                      <w:szCs w:val="21"/>
                    </w:rPr>
                    <w:t>焦化</w:t>
                  </w:r>
                </w:p>
              </w:tc>
              <w:tc>
                <w:tcPr>
                  <w:tcW w:w="1950" w:type="dxa"/>
                  <w:vAlign w:val="center"/>
                </w:tcPr>
                <w:p w14:paraId="23E51E15">
                  <w:pPr>
                    <w:pStyle w:val="48"/>
                    <w:spacing w:line="240" w:lineRule="auto"/>
                    <w:rPr>
                      <w:rFonts w:cs="Times New Roman"/>
                      <w:color w:val="auto"/>
                      <w:sz w:val="21"/>
                      <w:szCs w:val="21"/>
                    </w:rPr>
                  </w:pPr>
                  <w:r>
                    <w:rPr>
                      <w:rFonts w:hint="eastAsia" w:cs="Times New Roman"/>
                      <w:color w:val="auto"/>
                      <w:sz w:val="21"/>
                      <w:szCs w:val="21"/>
                    </w:rPr>
                    <w:t>炼焦</w:t>
                  </w:r>
                </w:p>
              </w:tc>
              <w:tc>
                <w:tcPr>
                  <w:tcW w:w="930" w:type="dxa"/>
                  <w:vAlign w:val="center"/>
                </w:tcPr>
                <w:p w14:paraId="2055D794">
                  <w:pPr>
                    <w:pStyle w:val="48"/>
                    <w:spacing w:line="240" w:lineRule="auto"/>
                    <w:rPr>
                      <w:rFonts w:cs="Times New Roman"/>
                      <w:color w:val="auto"/>
                      <w:sz w:val="21"/>
                      <w:szCs w:val="21"/>
                    </w:rPr>
                  </w:pPr>
                  <w:r>
                    <w:rPr>
                      <w:rFonts w:hint="eastAsia" w:cs="Times New Roman"/>
                      <w:color w:val="auto"/>
                      <w:sz w:val="21"/>
                      <w:szCs w:val="21"/>
                    </w:rPr>
                    <w:t>2521</w:t>
                  </w:r>
                </w:p>
              </w:tc>
              <w:tc>
                <w:tcPr>
                  <w:tcW w:w="3871" w:type="dxa"/>
                  <w:vAlign w:val="center"/>
                </w:tcPr>
                <w:p w14:paraId="344AE6EC">
                  <w:pPr>
                    <w:pStyle w:val="48"/>
                    <w:spacing w:line="240" w:lineRule="auto"/>
                    <w:rPr>
                      <w:rFonts w:cs="Times New Roman"/>
                      <w:color w:val="auto"/>
                      <w:sz w:val="21"/>
                      <w:szCs w:val="21"/>
                    </w:rPr>
                  </w:pPr>
                  <w:r>
                    <w:rPr>
                      <w:rFonts w:hint="eastAsia" w:cs="Times New Roman"/>
                      <w:color w:val="auto"/>
                      <w:sz w:val="21"/>
                      <w:szCs w:val="21"/>
                    </w:rPr>
                    <w:t>煤制焦炭、石油焦（焦炭类）、沥青焦、其他原材料生产焦炭、机焦、型焦、土焦、半焦炭、其他工艺生产焦炭、矿物油焦、兰炭</w:t>
                  </w:r>
                </w:p>
              </w:tc>
            </w:tr>
            <w:tr w14:paraId="62216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431DA385">
                  <w:pPr>
                    <w:pStyle w:val="48"/>
                    <w:spacing w:line="240" w:lineRule="auto"/>
                    <w:rPr>
                      <w:rFonts w:cs="Times New Roman"/>
                      <w:color w:val="auto"/>
                      <w:sz w:val="21"/>
                      <w:szCs w:val="21"/>
                    </w:rPr>
                  </w:pPr>
                  <w:r>
                    <w:rPr>
                      <w:rFonts w:hint="eastAsia" w:cs="Times New Roman"/>
                      <w:color w:val="auto"/>
                      <w:sz w:val="21"/>
                      <w:szCs w:val="21"/>
                    </w:rPr>
                    <w:t>3</w:t>
                  </w:r>
                </w:p>
              </w:tc>
              <w:tc>
                <w:tcPr>
                  <w:tcW w:w="883" w:type="dxa"/>
                  <w:vAlign w:val="center"/>
                </w:tcPr>
                <w:p w14:paraId="41716885">
                  <w:pPr>
                    <w:pStyle w:val="48"/>
                    <w:spacing w:line="240" w:lineRule="auto"/>
                    <w:rPr>
                      <w:rFonts w:cs="Times New Roman"/>
                      <w:color w:val="auto"/>
                      <w:sz w:val="21"/>
                      <w:szCs w:val="21"/>
                    </w:rPr>
                  </w:pPr>
                  <w:r>
                    <w:rPr>
                      <w:rFonts w:hint="eastAsia" w:cs="Times New Roman"/>
                      <w:color w:val="auto"/>
                      <w:sz w:val="21"/>
                      <w:szCs w:val="21"/>
                    </w:rPr>
                    <w:t>煤化工</w:t>
                  </w:r>
                </w:p>
              </w:tc>
              <w:tc>
                <w:tcPr>
                  <w:tcW w:w="1950" w:type="dxa"/>
                  <w:vAlign w:val="center"/>
                </w:tcPr>
                <w:p w14:paraId="2A22F095">
                  <w:pPr>
                    <w:pStyle w:val="48"/>
                    <w:spacing w:line="240" w:lineRule="auto"/>
                    <w:rPr>
                      <w:rFonts w:cs="Times New Roman"/>
                      <w:color w:val="auto"/>
                      <w:sz w:val="21"/>
                      <w:szCs w:val="21"/>
                    </w:rPr>
                  </w:pPr>
                  <w:r>
                    <w:rPr>
                      <w:rFonts w:hint="eastAsia" w:cs="Times New Roman"/>
                      <w:color w:val="auto"/>
                      <w:sz w:val="21"/>
                      <w:szCs w:val="21"/>
                    </w:rPr>
                    <w:t>煤制液体燃料生产</w:t>
                  </w:r>
                </w:p>
              </w:tc>
              <w:tc>
                <w:tcPr>
                  <w:tcW w:w="930" w:type="dxa"/>
                  <w:vAlign w:val="center"/>
                </w:tcPr>
                <w:p w14:paraId="0ABF6486">
                  <w:pPr>
                    <w:pStyle w:val="48"/>
                    <w:spacing w:line="240" w:lineRule="auto"/>
                    <w:rPr>
                      <w:rFonts w:cs="Times New Roman"/>
                      <w:color w:val="auto"/>
                      <w:sz w:val="21"/>
                      <w:szCs w:val="21"/>
                    </w:rPr>
                  </w:pPr>
                  <w:r>
                    <w:rPr>
                      <w:rFonts w:hint="eastAsia" w:cs="Times New Roman"/>
                      <w:color w:val="auto"/>
                      <w:sz w:val="21"/>
                      <w:szCs w:val="21"/>
                    </w:rPr>
                    <w:t>2523</w:t>
                  </w:r>
                </w:p>
              </w:tc>
              <w:tc>
                <w:tcPr>
                  <w:tcW w:w="3871" w:type="dxa"/>
                  <w:vAlign w:val="center"/>
                </w:tcPr>
                <w:p w14:paraId="1497A7A6">
                  <w:pPr>
                    <w:pStyle w:val="48"/>
                    <w:spacing w:line="240" w:lineRule="auto"/>
                    <w:rPr>
                      <w:rFonts w:cs="Times New Roman"/>
                      <w:color w:val="auto"/>
                      <w:sz w:val="21"/>
                      <w:szCs w:val="21"/>
                    </w:rPr>
                  </w:pPr>
                  <w:r>
                    <w:rPr>
                      <w:rFonts w:hint="eastAsia" w:cs="Times New Roman"/>
                      <w:color w:val="auto"/>
                      <w:sz w:val="21"/>
                      <w:szCs w:val="21"/>
                    </w:rPr>
                    <w:t>甲醇、烯烃、乙二醇</w:t>
                  </w:r>
                </w:p>
              </w:tc>
            </w:tr>
            <w:tr w14:paraId="03A2E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5F617465">
                  <w:pPr>
                    <w:pStyle w:val="48"/>
                    <w:spacing w:line="240" w:lineRule="auto"/>
                    <w:rPr>
                      <w:rFonts w:cs="Times New Roman"/>
                      <w:color w:val="auto"/>
                      <w:sz w:val="21"/>
                      <w:szCs w:val="21"/>
                    </w:rPr>
                  </w:pPr>
                  <w:r>
                    <w:rPr>
                      <w:rFonts w:hint="eastAsia" w:cs="Times New Roman"/>
                      <w:color w:val="auto"/>
                      <w:sz w:val="21"/>
                      <w:szCs w:val="21"/>
                    </w:rPr>
                    <w:t>4</w:t>
                  </w:r>
                </w:p>
              </w:tc>
              <w:tc>
                <w:tcPr>
                  <w:tcW w:w="883" w:type="dxa"/>
                  <w:vMerge w:val="restart"/>
                  <w:vAlign w:val="center"/>
                </w:tcPr>
                <w:p w14:paraId="1DCE53A1">
                  <w:pPr>
                    <w:pStyle w:val="48"/>
                    <w:spacing w:line="240" w:lineRule="auto"/>
                    <w:rPr>
                      <w:rFonts w:cs="Times New Roman"/>
                      <w:color w:val="auto"/>
                      <w:sz w:val="21"/>
                      <w:szCs w:val="21"/>
                    </w:rPr>
                  </w:pPr>
                  <w:r>
                    <w:rPr>
                      <w:rFonts w:hint="eastAsia" w:cs="Times New Roman"/>
                      <w:color w:val="auto"/>
                      <w:sz w:val="21"/>
                      <w:szCs w:val="21"/>
                    </w:rPr>
                    <w:t>化工</w:t>
                  </w:r>
                </w:p>
              </w:tc>
              <w:tc>
                <w:tcPr>
                  <w:tcW w:w="1950" w:type="dxa"/>
                  <w:vAlign w:val="center"/>
                </w:tcPr>
                <w:p w14:paraId="371F8408">
                  <w:pPr>
                    <w:pStyle w:val="48"/>
                    <w:spacing w:line="240" w:lineRule="auto"/>
                    <w:rPr>
                      <w:rFonts w:cs="Times New Roman"/>
                      <w:color w:val="auto"/>
                      <w:sz w:val="21"/>
                      <w:szCs w:val="21"/>
                    </w:rPr>
                  </w:pPr>
                  <w:r>
                    <w:rPr>
                      <w:rFonts w:hint="eastAsia" w:cs="Times New Roman"/>
                      <w:color w:val="auto"/>
                      <w:sz w:val="21"/>
                      <w:szCs w:val="21"/>
                    </w:rPr>
                    <w:t>无机碱制造</w:t>
                  </w:r>
                </w:p>
              </w:tc>
              <w:tc>
                <w:tcPr>
                  <w:tcW w:w="930" w:type="dxa"/>
                  <w:vAlign w:val="center"/>
                </w:tcPr>
                <w:p w14:paraId="5930650D">
                  <w:pPr>
                    <w:pStyle w:val="48"/>
                    <w:spacing w:line="240" w:lineRule="auto"/>
                    <w:rPr>
                      <w:rFonts w:cs="Times New Roman"/>
                      <w:color w:val="auto"/>
                      <w:sz w:val="21"/>
                      <w:szCs w:val="21"/>
                    </w:rPr>
                  </w:pPr>
                  <w:r>
                    <w:rPr>
                      <w:rFonts w:hint="eastAsia" w:cs="Times New Roman"/>
                      <w:color w:val="auto"/>
                      <w:sz w:val="21"/>
                      <w:szCs w:val="21"/>
                    </w:rPr>
                    <w:t>2612</w:t>
                  </w:r>
                </w:p>
              </w:tc>
              <w:tc>
                <w:tcPr>
                  <w:tcW w:w="3871" w:type="dxa"/>
                  <w:vAlign w:val="center"/>
                </w:tcPr>
                <w:p w14:paraId="25422A42">
                  <w:pPr>
                    <w:pStyle w:val="48"/>
                    <w:spacing w:line="240" w:lineRule="auto"/>
                    <w:rPr>
                      <w:rFonts w:cs="Times New Roman"/>
                      <w:color w:val="auto"/>
                      <w:sz w:val="21"/>
                      <w:szCs w:val="21"/>
                    </w:rPr>
                  </w:pPr>
                  <w:r>
                    <w:rPr>
                      <w:rFonts w:hint="eastAsia" w:cs="Times New Roman"/>
                      <w:color w:val="auto"/>
                      <w:sz w:val="21"/>
                      <w:szCs w:val="21"/>
                    </w:rPr>
                    <w:t>烧碱、纯碱</w:t>
                  </w:r>
                </w:p>
              </w:tc>
            </w:tr>
            <w:tr w14:paraId="34BC1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4F2B3499">
                  <w:pPr>
                    <w:pStyle w:val="48"/>
                    <w:spacing w:line="240" w:lineRule="auto"/>
                    <w:rPr>
                      <w:rFonts w:cs="Times New Roman"/>
                      <w:color w:val="auto"/>
                      <w:sz w:val="21"/>
                      <w:szCs w:val="21"/>
                    </w:rPr>
                  </w:pPr>
                  <w:r>
                    <w:rPr>
                      <w:rFonts w:hint="eastAsia" w:cs="Times New Roman"/>
                      <w:color w:val="auto"/>
                      <w:sz w:val="21"/>
                      <w:szCs w:val="21"/>
                    </w:rPr>
                    <w:t>5</w:t>
                  </w:r>
                </w:p>
              </w:tc>
              <w:tc>
                <w:tcPr>
                  <w:tcW w:w="883" w:type="dxa"/>
                  <w:vMerge w:val="continue"/>
                  <w:vAlign w:val="center"/>
                </w:tcPr>
                <w:p w14:paraId="73053D94">
                  <w:pPr>
                    <w:pStyle w:val="48"/>
                    <w:spacing w:line="240" w:lineRule="auto"/>
                    <w:rPr>
                      <w:rFonts w:cs="Times New Roman"/>
                      <w:color w:val="auto"/>
                      <w:sz w:val="21"/>
                      <w:szCs w:val="21"/>
                    </w:rPr>
                  </w:pPr>
                </w:p>
              </w:tc>
              <w:tc>
                <w:tcPr>
                  <w:tcW w:w="1950" w:type="dxa"/>
                  <w:vAlign w:val="center"/>
                </w:tcPr>
                <w:p w14:paraId="4A87006D">
                  <w:pPr>
                    <w:pStyle w:val="48"/>
                    <w:spacing w:line="240" w:lineRule="auto"/>
                    <w:rPr>
                      <w:rFonts w:cs="Times New Roman"/>
                      <w:color w:val="auto"/>
                      <w:sz w:val="21"/>
                      <w:szCs w:val="21"/>
                    </w:rPr>
                  </w:pPr>
                  <w:r>
                    <w:rPr>
                      <w:rFonts w:hint="eastAsia" w:cs="Times New Roman"/>
                      <w:color w:val="auto"/>
                      <w:sz w:val="21"/>
                      <w:szCs w:val="21"/>
                    </w:rPr>
                    <w:t>无机盐制造</w:t>
                  </w:r>
                </w:p>
              </w:tc>
              <w:tc>
                <w:tcPr>
                  <w:tcW w:w="930" w:type="dxa"/>
                  <w:vAlign w:val="center"/>
                </w:tcPr>
                <w:p w14:paraId="404CAA15">
                  <w:pPr>
                    <w:pStyle w:val="48"/>
                    <w:spacing w:line="240" w:lineRule="auto"/>
                    <w:rPr>
                      <w:rFonts w:cs="Times New Roman"/>
                      <w:color w:val="auto"/>
                      <w:sz w:val="21"/>
                      <w:szCs w:val="21"/>
                    </w:rPr>
                  </w:pPr>
                  <w:r>
                    <w:rPr>
                      <w:rFonts w:hint="eastAsia" w:cs="Times New Roman"/>
                      <w:color w:val="auto"/>
                      <w:sz w:val="21"/>
                      <w:szCs w:val="21"/>
                    </w:rPr>
                    <w:t>2613</w:t>
                  </w:r>
                </w:p>
              </w:tc>
              <w:tc>
                <w:tcPr>
                  <w:tcW w:w="3871" w:type="dxa"/>
                  <w:vAlign w:val="center"/>
                </w:tcPr>
                <w:p w14:paraId="1193D50D">
                  <w:pPr>
                    <w:pStyle w:val="48"/>
                    <w:spacing w:line="240" w:lineRule="auto"/>
                    <w:rPr>
                      <w:rFonts w:cs="Times New Roman"/>
                      <w:color w:val="auto"/>
                      <w:sz w:val="21"/>
                      <w:szCs w:val="21"/>
                    </w:rPr>
                  </w:pPr>
                  <w:r>
                    <w:rPr>
                      <w:rFonts w:hint="eastAsia" w:cs="Times New Roman"/>
                      <w:color w:val="auto"/>
                      <w:sz w:val="21"/>
                      <w:szCs w:val="21"/>
                    </w:rPr>
                    <w:t>电石</w:t>
                  </w:r>
                </w:p>
              </w:tc>
            </w:tr>
            <w:tr w14:paraId="7557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49F37A0A">
                  <w:pPr>
                    <w:pStyle w:val="48"/>
                    <w:spacing w:line="240" w:lineRule="auto"/>
                    <w:rPr>
                      <w:rFonts w:cs="Times New Roman"/>
                      <w:color w:val="auto"/>
                      <w:sz w:val="21"/>
                      <w:szCs w:val="21"/>
                    </w:rPr>
                  </w:pPr>
                  <w:r>
                    <w:rPr>
                      <w:rFonts w:hint="eastAsia" w:cs="Times New Roman"/>
                      <w:color w:val="auto"/>
                      <w:sz w:val="21"/>
                      <w:szCs w:val="21"/>
                    </w:rPr>
                    <w:t>6</w:t>
                  </w:r>
                </w:p>
              </w:tc>
              <w:tc>
                <w:tcPr>
                  <w:tcW w:w="883" w:type="dxa"/>
                  <w:vMerge w:val="continue"/>
                  <w:vAlign w:val="center"/>
                </w:tcPr>
                <w:p w14:paraId="1DACB32E">
                  <w:pPr>
                    <w:pStyle w:val="48"/>
                    <w:spacing w:line="240" w:lineRule="auto"/>
                    <w:rPr>
                      <w:rFonts w:cs="Times New Roman"/>
                      <w:color w:val="auto"/>
                      <w:sz w:val="21"/>
                      <w:szCs w:val="21"/>
                    </w:rPr>
                  </w:pPr>
                </w:p>
              </w:tc>
              <w:tc>
                <w:tcPr>
                  <w:tcW w:w="1950" w:type="dxa"/>
                  <w:vAlign w:val="center"/>
                </w:tcPr>
                <w:p w14:paraId="145D99C8">
                  <w:pPr>
                    <w:pStyle w:val="48"/>
                    <w:spacing w:line="240" w:lineRule="auto"/>
                    <w:rPr>
                      <w:rFonts w:cs="Times New Roman"/>
                      <w:color w:val="auto"/>
                      <w:sz w:val="21"/>
                      <w:szCs w:val="21"/>
                    </w:rPr>
                  </w:pPr>
                  <w:r>
                    <w:rPr>
                      <w:rFonts w:hint="eastAsia" w:cs="Times New Roman"/>
                      <w:color w:val="auto"/>
                      <w:sz w:val="21"/>
                      <w:szCs w:val="21"/>
                    </w:rPr>
                    <w:t>有机化学原料制造</w:t>
                  </w:r>
                </w:p>
              </w:tc>
              <w:tc>
                <w:tcPr>
                  <w:tcW w:w="930" w:type="dxa"/>
                  <w:vAlign w:val="center"/>
                </w:tcPr>
                <w:p w14:paraId="2BC904B0">
                  <w:pPr>
                    <w:pStyle w:val="48"/>
                    <w:spacing w:line="240" w:lineRule="auto"/>
                    <w:rPr>
                      <w:rFonts w:cs="Times New Roman"/>
                      <w:color w:val="auto"/>
                      <w:sz w:val="21"/>
                      <w:szCs w:val="21"/>
                    </w:rPr>
                  </w:pPr>
                  <w:r>
                    <w:rPr>
                      <w:rFonts w:hint="eastAsia" w:cs="Times New Roman"/>
                      <w:color w:val="auto"/>
                      <w:sz w:val="21"/>
                      <w:szCs w:val="21"/>
                    </w:rPr>
                    <w:t>2614</w:t>
                  </w:r>
                </w:p>
              </w:tc>
              <w:tc>
                <w:tcPr>
                  <w:tcW w:w="3871" w:type="dxa"/>
                  <w:vAlign w:val="center"/>
                </w:tcPr>
                <w:p w14:paraId="4864E9B7">
                  <w:pPr>
                    <w:pStyle w:val="48"/>
                    <w:spacing w:line="240" w:lineRule="auto"/>
                    <w:rPr>
                      <w:rFonts w:cs="Times New Roman"/>
                      <w:color w:val="auto"/>
                      <w:sz w:val="21"/>
                      <w:szCs w:val="21"/>
                    </w:rPr>
                  </w:pPr>
                  <w:r>
                    <w:rPr>
                      <w:rFonts w:hint="eastAsia" w:cs="Times New Roman"/>
                      <w:color w:val="auto"/>
                      <w:sz w:val="21"/>
                      <w:szCs w:val="21"/>
                    </w:rPr>
                    <w:t>醋酸、乙烯、对二甲苯、丁二醇、二苯基甲烷二异氰酸酯、乙酸乙烯酯、用汞的氯乙烯</w:t>
                  </w:r>
                </w:p>
              </w:tc>
            </w:tr>
            <w:tr w14:paraId="7046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0C5B1E04">
                  <w:pPr>
                    <w:pStyle w:val="48"/>
                    <w:spacing w:line="240" w:lineRule="auto"/>
                    <w:rPr>
                      <w:rFonts w:cs="Times New Roman"/>
                      <w:color w:val="auto"/>
                      <w:sz w:val="21"/>
                      <w:szCs w:val="21"/>
                    </w:rPr>
                  </w:pPr>
                  <w:r>
                    <w:rPr>
                      <w:rFonts w:hint="eastAsia" w:cs="Times New Roman"/>
                      <w:color w:val="auto"/>
                      <w:sz w:val="21"/>
                      <w:szCs w:val="21"/>
                    </w:rPr>
                    <w:t>7</w:t>
                  </w:r>
                </w:p>
              </w:tc>
              <w:tc>
                <w:tcPr>
                  <w:tcW w:w="883" w:type="dxa"/>
                  <w:vMerge w:val="continue"/>
                  <w:vAlign w:val="center"/>
                </w:tcPr>
                <w:p w14:paraId="56A85512">
                  <w:pPr>
                    <w:pStyle w:val="48"/>
                    <w:spacing w:line="240" w:lineRule="auto"/>
                    <w:rPr>
                      <w:rFonts w:cs="Times New Roman"/>
                      <w:color w:val="auto"/>
                      <w:sz w:val="21"/>
                      <w:szCs w:val="21"/>
                    </w:rPr>
                  </w:pPr>
                </w:p>
              </w:tc>
              <w:tc>
                <w:tcPr>
                  <w:tcW w:w="1950" w:type="dxa"/>
                  <w:vAlign w:val="center"/>
                </w:tcPr>
                <w:p w14:paraId="604B179F">
                  <w:pPr>
                    <w:pStyle w:val="48"/>
                    <w:spacing w:line="240" w:lineRule="auto"/>
                    <w:rPr>
                      <w:rFonts w:cs="Times New Roman"/>
                      <w:color w:val="auto"/>
                      <w:sz w:val="21"/>
                      <w:szCs w:val="21"/>
                    </w:rPr>
                  </w:pPr>
                  <w:r>
                    <w:rPr>
                      <w:rFonts w:hint="eastAsia" w:cs="Times New Roman"/>
                      <w:color w:val="auto"/>
                      <w:sz w:val="21"/>
                      <w:szCs w:val="21"/>
                    </w:rPr>
                    <w:t>其他基础化学原料制造</w:t>
                  </w:r>
                </w:p>
              </w:tc>
              <w:tc>
                <w:tcPr>
                  <w:tcW w:w="930" w:type="dxa"/>
                  <w:vAlign w:val="center"/>
                </w:tcPr>
                <w:p w14:paraId="424C488D">
                  <w:pPr>
                    <w:pStyle w:val="48"/>
                    <w:spacing w:line="240" w:lineRule="auto"/>
                    <w:rPr>
                      <w:rFonts w:cs="Times New Roman"/>
                      <w:color w:val="auto"/>
                      <w:sz w:val="21"/>
                      <w:szCs w:val="21"/>
                    </w:rPr>
                  </w:pPr>
                  <w:r>
                    <w:rPr>
                      <w:rFonts w:hint="eastAsia" w:cs="Times New Roman"/>
                      <w:color w:val="auto"/>
                      <w:sz w:val="21"/>
                      <w:szCs w:val="21"/>
                    </w:rPr>
                    <w:t>2619</w:t>
                  </w:r>
                </w:p>
              </w:tc>
              <w:tc>
                <w:tcPr>
                  <w:tcW w:w="3871" w:type="dxa"/>
                  <w:vAlign w:val="center"/>
                </w:tcPr>
                <w:p w14:paraId="43FF9FF0">
                  <w:pPr>
                    <w:pStyle w:val="48"/>
                    <w:spacing w:line="240" w:lineRule="auto"/>
                    <w:rPr>
                      <w:rFonts w:cs="Times New Roman"/>
                      <w:color w:val="auto"/>
                      <w:sz w:val="21"/>
                      <w:szCs w:val="21"/>
                    </w:rPr>
                  </w:pPr>
                  <w:r>
                    <w:rPr>
                      <w:rFonts w:hint="eastAsia" w:cs="Times New Roman"/>
                      <w:color w:val="auto"/>
                      <w:sz w:val="21"/>
                      <w:szCs w:val="21"/>
                    </w:rPr>
                    <w:t>黄磷</w:t>
                  </w:r>
                </w:p>
              </w:tc>
            </w:tr>
            <w:tr w14:paraId="0DD79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3CB8F4BB">
                  <w:pPr>
                    <w:pStyle w:val="48"/>
                    <w:spacing w:line="240" w:lineRule="auto"/>
                    <w:rPr>
                      <w:rFonts w:cs="Times New Roman"/>
                      <w:color w:val="auto"/>
                      <w:sz w:val="21"/>
                      <w:szCs w:val="21"/>
                    </w:rPr>
                  </w:pPr>
                  <w:r>
                    <w:rPr>
                      <w:rFonts w:hint="eastAsia" w:cs="Times New Roman"/>
                      <w:color w:val="auto"/>
                      <w:sz w:val="21"/>
                      <w:szCs w:val="21"/>
                    </w:rPr>
                    <w:t>8</w:t>
                  </w:r>
                </w:p>
              </w:tc>
              <w:tc>
                <w:tcPr>
                  <w:tcW w:w="883" w:type="dxa"/>
                  <w:vMerge w:val="continue"/>
                  <w:vAlign w:val="center"/>
                </w:tcPr>
                <w:p w14:paraId="193DD710">
                  <w:pPr>
                    <w:pStyle w:val="48"/>
                    <w:spacing w:line="240" w:lineRule="auto"/>
                    <w:rPr>
                      <w:rFonts w:cs="Times New Roman"/>
                      <w:color w:val="auto"/>
                      <w:sz w:val="21"/>
                      <w:szCs w:val="21"/>
                    </w:rPr>
                  </w:pPr>
                </w:p>
              </w:tc>
              <w:tc>
                <w:tcPr>
                  <w:tcW w:w="1950" w:type="dxa"/>
                  <w:vAlign w:val="center"/>
                </w:tcPr>
                <w:p w14:paraId="648974C4">
                  <w:pPr>
                    <w:pStyle w:val="48"/>
                    <w:spacing w:line="240" w:lineRule="auto"/>
                    <w:rPr>
                      <w:rFonts w:cs="Times New Roman"/>
                      <w:color w:val="auto"/>
                      <w:sz w:val="21"/>
                      <w:szCs w:val="21"/>
                    </w:rPr>
                  </w:pPr>
                  <w:r>
                    <w:rPr>
                      <w:rFonts w:hint="eastAsia" w:cs="Times New Roman"/>
                      <w:color w:val="auto"/>
                      <w:sz w:val="21"/>
                      <w:szCs w:val="21"/>
                    </w:rPr>
                    <w:t>氮肥制造</w:t>
                  </w:r>
                </w:p>
              </w:tc>
              <w:tc>
                <w:tcPr>
                  <w:tcW w:w="930" w:type="dxa"/>
                  <w:vAlign w:val="center"/>
                </w:tcPr>
                <w:p w14:paraId="615E28D0">
                  <w:pPr>
                    <w:pStyle w:val="48"/>
                    <w:spacing w:line="240" w:lineRule="auto"/>
                    <w:rPr>
                      <w:rFonts w:cs="Times New Roman"/>
                      <w:color w:val="auto"/>
                      <w:sz w:val="21"/>
                      <w:szCs w:val="21"/>
                    </w:rPr>
                  </w:pPr>
                  <w:r>
                    <w:rPr>
                      <w:rFonts w:hint="eastAsia" w:cs="Times New Roman"/>
                      <w:color w:val="auto"/>
                      <w:sz w:val="21"/>
                      <w:szCs w:val="21"/>
                    </w:rPr>
                    <w:t>2621</w:t>
                  </w:r>
                </w:p>
              </w:tc>
              <w:tc>
                <w:tcPr>
                  <w:tcW w:w="3871" w:type="dxa"/>
                  <w:vAlign w:val="center"/>
                </w:tcPr>
                <w:p w14:paraId="67C10B3E">
                  <w:pPr>
                    <w:pStyle w:val="48"/>
                    <w:spacing w:line="240" w:lineRule="auto"/>
                    <w:rPr>
                      <w:rFonts w:cs="Times New Roman"/>
                      <w:color w:val="auto"/>
                      <w:sz w:val="21"/>
                      <w:szCs w:val="21"/>
                    </w:rPr>
                  </w:pPr>
                  <w:r>
                    <w:rPr>
                      <w:rFonts w:hint="eastAsia" w:cs="Times New Roman"/>
                      <w:color w:val="auto"/>
                      <w:sz w:val="21"/>
                      <w:szCs w:val="21"/>
                    </w:rPr>
                    <w:t>合成氨、氮肥（含尿素）</w:t>
                  </w:r>
                </w:p>
              </w:tc>
            </w:tr>
            <w:tr w14:paraId="0C43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1959EBB4">
                  <w:pPr>
                    <w:pStyle w:val="48"/>
                    <w:spacing w:line="240" w:lineRule="auto"/>
                    <w:rPr>
                      <w:rFonts w:cs="Times New Roman"/>
                      <w:color w:val="auto"/>
                      <w:sz w:val="21"/>
                      <w:szCs w:val="21"/>
                    </w:rPr>
                  </w:pPr>
                  <w:r>
                    <w:rPr>
                      <w:rFonts w:hint="eastAsia" w:cs="Times New Roman"/>
                      <w:color w:val="auto"/>
                      <w:sz w:val="21"/>
                      <w:szCs w:val="21"/>
                    </w:rPr>
                    <w:t>9</w:t>
                  </w:r>
                </w:p>
              </w:tc>
              <w:tc>
                <w:tcPr>
                  <w:tcW w:w="883" w:type="dxa"/>
                  <w:vMerge w:val="continue"/>
                  <w:vAlign w:val="center"/>
                </w:tcPr>
                <w:p w14:paraId="00D4CC35">
                  <w:pPr>
                    <w:pStyle w:val="48"/>
                    <w:spacing w:line="240" w:lineRule="auto"/>
                    <w:rPr>
                      <w:rFonts w:cs="Times New Roman"/>
                      <w:color w:val="auto"/>
                      <w:sz w:val="21"/>
                      <w:szCs w:val="21"/>
                    </w:rPr>
                  </w:pPr>
                </w:p>
              </w:tc>
              <w:tc>
                <w:tcPr>
                  <w:tcW w:w="1950" w:type="dxa"/>
                  <w:vAlign w:val="center"/>
                </w:tcPr>
                <w:p w14:paraId="3ABD8681">
                  <w:pPr>
                    <w:pStyle w:val="48"/>
                    <w:spacing w:line="240" w:lineRule="auto"/>
                    <w:rPr>
                      <w:rFonts w:cs="Times New Roman"/>
                      <w:color w:val="auto"/>
                      <w:sz w:val="21"/>
                      <w:szCs w:val="21"/>
                    </w:rPr>
                  </w:pPr>
                  <w:r>
                    <w:rPr>
                      <w:rFonts w:hint="eastAsia" w:cs="Times New Roman"/>
                      <w:color w:val="auto"/>
                      <w:sz w:val="21"/>
                      <w:szCs w:val="21"/>
                    </w:rPr>
                    <w:t>磷肥制造</w:t>
                  </w:r>
                </w:p>
              </w:tc>
              <w:tc>
                <w:tcPr>
                  <w:tcW w:w="930" w:type="dxa"/>
                  <w:vAlign w:val="center"/>
                </w:tcPr>
                <w:p w14:paraId="090C22B7">
                  <w:pPr>
                    <w:pStyle w:val="48"/>
                    <w:spacing w:line="240" w:lineRule="auto"/>
                    <w:rPr>
                      <w:rFonts w:cs="Times New Roman"/>
                      <w:color w:val="auto"/>
                      <w:sz w:val="21"/>
                      <w:szCs w:val="21"/>
                    </w:rPr>
                  </w:pPr>
                  <w:r>
                    <w:rPr>
                      <w:rFonts w:hint="eastAsia" w:cs="Times New Roman"/>
                      <w:color w:val="auto"/>
                      <w:sz w:val="21"/>
                      <w:szCs w:val="21"/>
                    </w:rPr>
                    <w:t>2622</w:t>
                  </w:r>
                </w:p>
              </w:tc>
              <w:tc>
                <w:tcPr>
                  <w:tcW w:w="3871" w:type="dxa"/>
                  <w:vAlign w:val="center"/>
                </w:tcPr>
                <w:p w14:paraId="3385361B">
                  <w:pPr>
                    <w:pStyle w:val="48"/>
                    <w:spacing w:line="240" w:lineRule="auto"/>
                    <w:rPr>
                      <w:rFonts w:cs="Times New Roman"/>
                      <w:color w:val="auto"/>
                      <w:sz w:val="21"/>
                      <w:szCs w:val="21"/>
                    </w:rPr>
                  </w:pPr>
                  <w:r>
                    <w:rPr>
                      <w:rFonts w:hint="eastAsia" w:cs="Times New Roman"/>
                      <w:color w:val="auto"/>
                      <w:sz w:val="21"/>
                      <w:szCs w:val="21"/>
                    </w:rPr>
                    <w:t>磷酸一铵、磷酸二铵</w:t>
                  </w:r>
                </w:p>
              </w:tc>
            </w:tr>
            <w:tr w14:paraId="5396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7A8B9531">
                  <w:pPr>
                    <w:pStyle w:val="48"/>
                    <w:spacing w:line="240" w:lineRule="auto"/>
                    <w:rPr>
                      <w:rFonts w:cs="Times New Roman"/>
                      <w:color w:val="auto"/>
                      <w:sz w:val="21"/>
                      <w:szCs w:val="21"/>
                    </w:rPr>
                  </w:pPr>
                  <w:r>
                    <w:rPr>
                      <w:rFonts w:hint="eastAsia" w:cs="Times New Roman"/>
                      <w:color w:val="auto"/>
                      <w:sz w:val="21"/>
                      <w:szCs w:val="21"/>
                    </w:rPr>
                    <w:t>10</w:t>
                  </w:r>
                </w:p>
              </w:tc>
              <w:tc>
                <w:tcPr>
                  <w:tcW w:w="883" w:type="dxa"/>
                  <w:vMerge w:val="continue"/>
                  <w:vAlign w:val="center"/>
                </w:tcPr>
                <w:p w14:paraId="75B16046">
                  <w:pPr>
                    <w:pStyle w:val="48"/>
                    <w:spacing w:line="240" w:lineRule="auto"/>
                    <w:rPr>
                      <w:rFonts w:cs="Times New Roman"/>
                      <w:color w:val="auto"/>
                      <w:sz w:val="21"/>
                      <w:szCs w:val="21"/>
                    </w:rPr>
                  </w:pPr>
                </w:p>
              </w:tc>
              <w:tc>
                <w:tcPr>
                  <w:tcW w:w="1950" w:type="dxa"/>
                  <w:vAlign w:val="center"/>
                </w:tcPr>
                <w:p w14:paraId="0CD1C895">
                  <w:pPr>
                    <w:pStyle w:val="48"/>
                    <w:spacing w:line="240" w:lineRule="auto"/>
                    <w:rPr>
                      <w:rFonts w:cs="Times New Roman"/>
                      <w:color w:val="auto"/>
                      <w:sz w:val="21"/>
                      <w:szCs w:val="21"/>
                    </w:rPr>
                  </w:pPr>
                  <w:r>
                    <w:rPr>
                      <w:rFonts w:hint="eastAsia" w:cs="Times New Roman"/>
                      <w:color w:val="auto"/>
                      <w:sz w:val="21"/>
                      <w:szCs w:val="21"/>
                    </w:rPr>
                    <w:t>初级形态塑料及合成树脂制造</w:t>
                  </w:r>
                </w:p>
              </w:tc>
              <w:tc>
                <w:tcPr>
                  <w:tcW w:w="930" w:type="dxa"/>
                  <w:vAlign w:val="center"/>
                </w:tcPr>
                <w:p w14:paraId="04A846B0">
                  <w:pPr>
                    <w:pStyle w:val="48"/>
                    <w:spacing w:line="240" w:lineRule="auto"/>
                    <w:rPr>
                      <w:rFonts w:cs="Times New Roman"/>
                      <w:color w:val="auto"/>
                      <w:sz w:val="21"/>
                      <w:szCs w:val="21"/>
                    </w:rPr>
                  </w:pPr>
                  <w:r>
                    <w:rPr>
                      <w:rFonts w:hint="eastAsia" w:cs="Times New Roman"/>
                      <w:color w:val="auto"/>
                      <w:sz w:val="21"/>
                      <w:szCs w:val="21"/>
                    </w:rPr>
                    <w:t>2651</w:t>
                  </w:r>
                </w:p>
              </w:tc>
              <w:tc>
                <w:tcPr>
                  <w:tcW w:w="3871" w:type="dxa"/>
                  <w:vAlign w:val="center"/>
                </w:tcPr>
                <w:p w14:paraId="3EAF3FED">
                  <w:pPr>
                    <w:pStyle w:val="48"/>
                    <w:spacing w:line="240" w:lineRule="auto"/>
                    <w:rPr>
                      <w:rFonts w:cs="Times New Roman"/>
                      <w:color w:val="auto"/>
                      <w:sz w:val="21"/>
                      <w:szCs w:val="21"/>
                    </w:rPr>
                  </w:pPr>
                  <w:r>
                    <w:rPr>
                      <w:rFonts w:hint="eastAsia" w:cs="Times New Roman"/>
                      <w:color w:val="auto"/>
                      <w:sz w:val="21"/>
                      <w:szCs w:val="21"/>
                    </w:rPr>
                    <w:t>用汞的聚氯乙烯</w:t>
                  </w:r>
                </w:p>
              </w:tc>
            </w:tr>
            <w:tr w14:paraId="34A2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47D32D0C">
                  <w:pPr>
                    <w:pStyle w:val="48"/>
                    <w:spacing w:line="240" w:lineRule="auto"/>
                    <w:rPr>
                      <w:rFonts w:cs="Times New Roman"/>
                      <w:color w:val="auto"/>
                      <w:sz w:val="21"/>
                      <w:szCs w:val="21"/>
                    </w:rPr>
                  </w:pPr>
                  <w:r>
                    <w:rPr>
                      <w:rFonts w:hint="eastAsia" w:cs="Times New Roman"/>
                      <w:color w:val="auto"/>
                      <w:sz w:val="21"/>
                      <w:szCs w:val="21"/>
                    </w:rPr>
                    <w:t>11</w:t>
                  </w:r>
                </w:p>
              </w:tc>
              <w:tc>
                <w:tcPr>
                  <w:tcW w:w="883" w:type="dxa"/>
                  <w:vMerge w:val="restart"/>
                  <w:vAlign w:val="center"/>
                </w:tcPr>
                <w:p w14:paraId="658B8F1F">
                  <w:pPr>
                    <w:pStyle w:val="48"/>
                    <w:spacing w:line="240" w:lineRule="auto"/>
                    <w:rPr>
                      <w:rFonts w:cs="Times New Roman"/>
                      <w:color w:val="auto"/>
                      <w:sz w:val="21"/>
                      <w:szCs w:val="21"/>
                    </w:rPr>
                  </w:pPr>
                  <w:r>
                    <w:rPr>
                      <w:rFonts w:hint="eastAsia" w:cs="Times New Roman"/>
                      <w:color w:val="auto"/>
                      <w:sz w:val="21"/>
                      <w:szCs w:val="21"/>
                    </w:rPr>
                    <w:t>建材</w:t>
                  </w:r>
                </w:p>
              </w:tc>
              <w:tc>
                <w:tcPr>
                  <w:tcW w:w="1950" w:type="dxa"/>
                  <w:vAlign w:val="center"/>
                </w:tcPr>
                <w:p w14:paraId="3172BC39">
                  <w:pPr>
                    <w:pStyle w:val="48"/>
                    <w:spacing w:line="240" w:lineRule="auto"/>
                    <w:rPr>
                      <w:rFonts w:cs="Times New Roman"/>
                      <w:color w:val="auto"/>
                      <w:sz w:val="21"/>
                      <w:szCs w:val="21"/>
                    </w:rPr>
                  </w:pPr>
                  <w:r>
                    <w:rPr>
                      <w:rFonts w:hint="eastAsia" w:cs="Times New Roman"/>
                      <w:color w:val="auto"/>
                      <w:sz w:val="21"/>
                      <w:szCs w:val="21"/>
                    </w:rPr>
                    <w:t>水泥制造</w:t>
                  </w:r>
                </w:p>
              </w:tc>
              <w:tc>
                <w:tcPr>
                  <w:tcW w:w="930" w:type="dxa"/>
                  <w:vAlign w:val="center"/>
                </w:tcPr>
                <w:p w14:paraId="653481F8">
                  <w:pPr>
                    <w:pStyle w:val="48"/>
                    <w:spacing w:line="240" w:lineRule="auto"/>
                    <w:rPr>
                      <w:rFonts w:cs="Times New Roman"/>
                      <w:color w:val="auto"/>
                      <w:sz w:val="21"/>
                      <w:szCs w:val="21"/>
                    </w:rPr>
                  </w:pPr>
                  <w:r>
                    <w:rPr>
                      <w:rFonts w:hint="eastAsia" w:cs="Times New Roman"/>
                      <w:color w:val="auto"/>
                      <w:sz w:val="21"/>
                      <w:szCs w:val="21"/>
                    </w:rPr>
                    <w:t>3011</w:t>
                  </w:r>
                </w:p>
              </w:tc>
              <w:tc>
                <w:tcPr>
                  <w:tcW w:w="3871" w:type="dxa"/>
                  <w:vAlign w:val="center"/>
                </w:tcPr>
                <w:p w14:paraId="026084B6">
                  <w:pPr>
                    <w:pStyle w:val="48"/>
                    <w:spacing w:line="240" w:lineRule="auto"/>
                    <w:rPr>
                      <w:rFonts w:cs="Times New Roman"/>
                      <w:color w:val="auto"/>
                      <w:sz w:val="21"/>
                      <w:szCs w:val="21"/>
                    </w:rPr>
                  </w:pPr>
                  <w:r>
                    <w:rPr>
                      <w:rFonts w:hint="eastAsia" w:cs="Times New Roman"/>
                      <w:color w:val="auto"/>
                      <w:sz w:val="21"/>
                      <w:szCs w:val="21"/>
                    </w:rPr>
                    <w:t>水泥熟料</w:t>
                  </w:r>
                </w:p>
              </w:tc>
            </w:tr>
            <w:tr w14:paraId="2674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7EBE08E7">
                  <w:pPr>
                    <w:pStyle w:val="48"/>
                    <w:spacing w:line="240" w:lineRule="auto"/>
                    <w:rPr>
                      <w:rFonts w:cs="Times New Roman"/>
                      <w:color w:val="auto"/>
                      <w:sz w:val="21"/>
                      <w:szCs w:val="21"/>
                    </w:rPr>
                  </w:pPr>
                  <w:r>
                    <w:rPr>
                      <w:rFonts w:hint="eastAsia" w:cs="Times New Roman"/>
                      <w:color w:val="auto"/>
                      <w:sz w:val="21"/>
                      <w:szCs w:val="21"/>
                    </w:rPr>
                    <w:t>12</w:t>
                  </w:r>
                </w:p>
              </w:tc>
              <w:tc>
                <w:tcPr>
                  <w:tcW w:w="883" w:type="dxa"/>
                  <w:vMerge w:val="continue"/>
                  <w:vAlign w:val="center"/>
                </w:tcPr>
                <w:p w14:paraId="10D97B66">
                  <w:pPr>
                    <w:pStyle w:val="48"/>
                    <w:spacing w:line="240" w:lineRule="auto"/>
                    <w:rPr>
                      <w:rFonts w:cs="Times New Roman"/>
                      <w:color w:val="auto"/>
                      <w:sz w:val="21"/>
                      <w:szCs w:val="21"/>
                    </w:rPr>
                  </w:pPr>
                </w:p>
              </w:tc>
              <w:tc>
                <w:tcPr>
                  <w:tcW w:w="1950" w:type="dxa"/>
                  <w:vAlign w:val="center"/>
                </w:tcPr>
                <w:p w14:paraId="503FFE24">
                  <w:pPr>
                    <w:pStyle w:val="48"/>
                    <w:spacing w:line="240" w:lineRule="auto"/>
                    <w:rPr>
                      <w:rFonts w:cs="Times New Roman"/>
                      <w:color w:val="auto"/>
                      <w:sz w:val="21"/>
                      <w:szCs w:val="21"/>
                    </w:rPr>
                  </w:pPr>
                  <w:r>
                    <w:rPr>
                      <w:rFonts w:hint="eastAsia" w:cs="Times New Roman"/>
                      <w:color w:val="auto"/>
                      <w:sz w:val="21"/>
                      <w:szCs w:val="21"/>
                    </w:rPr>
                    <w:t>石灰和石膏制造</w:t>
                  </w:r>
                </w:p>
              </w:tc>
              <w:tc>
                <w:tcPr>
                  <w:tcW w:w="930" w:type="dxa"/>
                  <w:vAlign w:val="center"/>
                </w:tcPr>
                <w:p w14:paraId="5C2BDD17">
                  <w:pPr>
                    <w:pStyle w:val="48"/>
                    <w:spacing w:line="240" w:lineRule="auto"/>
                    <w:rPr>
                      <w:rFonts w:cs="Times New Roman"/>
                      <w:color w:val="auto"/>
                      <w:sz w:val="21"/>
                      <w:szCs w:val="21"/>
                    </w:rPr>
                  </w:pPr>
                  <w:r>
                    <w:rPr>
                      <w:rFonts w:hint="eastAsia" w:cs="Times New Roman"/>
                      <w:color w:val="auto"/>
                      <w:sz w:val="21"/>
                      <w:szCs w:val="21"/>
                    </w:rPr>
                    <w:t>3012</w:t>
                  </w:r>
                </w:p>
              </w:tc>
              <w:tc>
                <w:tcPr>
                  <w:tcW w:w="3871" w:type="dxa"/>
                  <w:vAlign w:val="center"/>
                </w:tcPr>
                <w:p w14:paraId="04F1E62D">
                  <w:pPr>
                    <w:pStyle w:val="48"/>
                    <w:spacing w:line="240" w:lineRule="auto"/>
                    <w:rPr>
                      <w:rFonts w:cs="Times New Roman"/>
                      <w:color w:val="auto"/>
                      <w:sz w:val="21"/>
                      <w:szCs w:val="21"/>
                    </w:rPr>
                  </w:pPr>
                  <w:r>
                    <w:rPr>
                      <w:rFonts w:hint="eastAsia" w:cs="Times New Roman"/>
                      <w:color w:val="auto"/>
                      <w:sz w:val="21"/>
                      <w:szCs w:val="21"/>
                    </w:rPr>
                    <w:t>石灰</w:t>
                  </w:r>
                </w:p>
              </w:tc>
            </w:tr>
            <w:tr w14:paraId="64C7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Align w:val="center"/>
                </w:tcPr>
                <w:p w14:paraId="77AE7804">
                  <w:pPr>
                    <w:pStyle w:val="48"/>
                    <w:spacing w:line="240" w:lineRule="auto"/>
                    <w:rPr>
                      <w:rFonts w:cs="Times New Roman"/>
                      <w:color w:val="auto"/>
                      <w:sz w:val="21"/>
                      <w:szCs w:val="21"/>
                    </w:rPr>
                  </w:pPr>
                  <w:r>
                    <w:rPr>
                      <w:rFonts w:hint="eastAsia" w:cs="Times New Roman"/>
                      <w:color w:val="auto"/>
                      <w:sz w:val="21"/>
                      <w:szCs w:val="21"/>
                    </w:rPr>
                    <w:t>13</w:t>
                  </w:r>
                </w:p>
              </w:tc>
              <w:tc>
                <w:tcPr>
                  <w:tcW w:w="883" w:type="dxa"/>
                  <w:vMerge w:val="continue"/>
                  <w:vAlign w:val="center"/>
                </w:tcPr>
                <w:p w14:paraId="5326EEF9">
                  <w:pPr>
                    <w:pStyle w:val="48"/>
                    <w:spacing w:line="240" w:lineRule="auto"/>
                    <w:rPr>
                      <w:rFonts w:cs="Times New Roman"/>
                      <w:color w:val="auto"/>
                      <w:sz w:val="21"/>
                      <w:szCs w:val="21"/>
                    </w:rPr>
                  </w:pPr>
                </w:p>
              </w:tc>
              <w:tc>
                <w:tcPr>
                  <w:tcW w:w="1950" w:type="dxa"/>
                  <w:vAlign w:val="center"/>
                </w:tcPr>
                <w:p w14:paraId="02E5AD35">
                  <w:pPr>
                    <w:pStyle w:val="48"/>
                    <w:spacing w:line="240" w:lineRule="auto"/>
                    <w:rPr>
                      <w:rFonts w:cs="Times New Roman"/>
                      <w:color w:val="auto"/>
                      <w:sz w:val="21"/>
                      <w:szCs w:val="21"/>
                    </w:rPr>
                  </w:pPr>
                  <w:r>
                    <w:rPr>
                      <w:rFonts w:hint="eastAsia" w:cs="Times New Roman"/>
                      <w:color w:val="auto"/>
                      <w:sz w:val="21"/>
                      <w:szCs w:val="21"/>
                    </w:rPr>
                    <w:t>粘土砖瓦及建筑砌块制造</w:t>
                  </w:r>
                </w:p>
              </w:tc>
              <w:tc>
                <w:tcPr>
                  <w:tcW w:w="930" w:type="dxa"/>
                  <w:vAlign w:val="center"/>
                </w:tcPr>
                <w:p w14:paraId="537441D2">
                  <w:pPr>
                    <w:pStyle w:val="48"/>
                    <w:spacing w:line="240" w:lineRule="auto"/>
                    <w:rPr>
                      <w:rFonts w:cs="Times New Roman"/>
                      <w:color w:val="auto"/>
                      <w:sz w:val="21"/>
                      <w:szCs w:val="21"/>
                    </w:rPr>
                  </w:pPr>
                  <w:r>
                    <w:rPr>
                      <w:rFonts w:hint="eastAsia" w:cs="Times New Roman"/>
                      <w:color w:val="auto"/>
                      <w:sz w:val="21"/>
                      <w:szCs w:val="21"/>
                    </w:rPr>
                    <w:t>3031</w:t>
                  </w:r>
                </w:p>
              </w:tc>
              <w:tc>
                <w:tcPr>
                  <w:tcW w:w="3871" w:type="dxa"/>
                  <w:vAlign w:val="center"/>
                </w:tcPr>
                <w:p w14:paraId="65941DB9">
                  <w:pPr>
                    <w:pStyle w:val="48"/>
                    <w:spacing w:line="240" w:lineRule="auto"/>
                    <w:rPr>
                      <w:rFonts w:cs="Times New Roman"/>
                      <w:color w:val="auto"/>
                      <w:sz w:val="21"/>
                      <w:szCs w:val="21"/>
                    </w:rPr>
                  </w:pPr>
                  <w:r>
                    <w:rPr>
                      <w:rFonts w:hint="eastAsia" w:cs="Times New Roman"/>
                      <w:color w:val="auto"/>
                      <w:sz w:val="21"/>
                      <w:szCs w:val="21"/>
                    </w:rPr>
                    <w:t>烧结砖瓦，不包括资源综合利用项目</w:t>
                  </w:r>
                </w:p>
              </w:tc>
            </w:tr>
            <w:tr w14:paraId="7E24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57AAD5F6">
                  <w:pPr>
                    <w:pStyle w:val="48"/>
                    <w:spacing w:line="240" w:lineRule="auto"/>
                    <w:rPr>
                      <w:rFonts w:cs="Times New Roman"/>
                      <w:color w:val="auto"/>
                      <w:sz w:val="21"/>
                      <w:szCs w:val="21"/>
                    </w:rPr>
                  </w:pPr>
                  <w:r>
                    <w:rPr>
                      <w:rFonts w:hint="eastAsia" w:cs="Times New Roman"/>
                      <w:color w:val="auto"/>
                      <w:sz w:val="21"/>
                      <w:szCs w:val="21"/>
                    </w:rPr>
                    <w:t>14</w:t>
                  </w:r>
                </w:p>
              </w:tc>
              <w:tc>
                <w:tcPr>
                  <w:tcW w:w="883" w:type="dxa"/>
                  <w:vMerge w:val="continue"/>
                  <w:vAlign w:val="center"/>
                </w:tcPr>
                <w:p w14:paraId="75629908">
                  <w:pPr>
                    <w:pStyle w:val="48"/>
                    <w:spacing w:line="240" w:lineRule="auto"/>
                    <w:rPr>
                      <w:rFonts w:cs="Times New Roman"/>
                      <w:color w:val="auto"/>
                      <w:sz w:val="21"/>
                      <w:szCs w:val="21"/>
                    </w:rPr>
                  </w:pPr>
                </w:p>
              </w:tc>
              <w:tc>
                <w:tcPr>
                  <w:tcW w:w="1950" w:type="dxa"/>
                  <w:vAlign w:val="center"/>
                </w:tcPr>
                <w:p w14:paraId="75E679CF">
                  <w:pPr>
                    <w:pStyle w:val="48"/>
                    <w:spacing w:line="240" w:lineRule="auto"/>
                    <w:rPr>
                      <w:rFonts w:cs="Times New Roman"/>
                      <w:color w:val="auto"/>
                      <w:sz w:val="21"/>
                      <w:szCs w:val="21"/>
                    </w:rPr>
                  </w:pPr>
                  <w:r>
                    <w:rPr>
                      <w:rFonts w:hint="eastAsia" w:cs="Times New Roman"/>
                      <w:color w:val="auto"/>
                      <w:sz w:val="21"/>
                      <w:szCs w:val="21"/>
                    </w:rPr>
                    <w:t>平板玻璃制造</w:t>
                  </w:r>
                </w:p>
              </w:tc>
              <w:tc>
                <w:tcPr>
                  <w:tcW w:w="930" w:type="dxa"/>
                  <w:vAlign w:val="center"/>
                </w:tcPr>
                <w:p w14:paraId="4464D226">
                  <w:pPr>
                    <w:pStyle w:val="48"/>
                    <w:spacing w:line="240" w:lineRule="auto"/>
                    <w:rPr>
                      <w:rFonts w:cs="Times New Roman"/>
                      <w:color w:val="auto"/>
                      <w:sz w:val="21"/>
                      <w:szCs w:val="21"/>
                    </w:rPr>
                  </w:pPr>
                  <w:r>
                    <w:rPr>
                      <w:rFonts w:hint="eastAsia" w:cs="Times New Roman"/>
                      <w:color w:val="auto"/>
                      <w:sz w:val="21"/>
                      <w:szCs w:val="21"/>
                    </w:rPr>
                    <w:t>3041</w:t>
                  </w:r>
                </w:p>
              </w:tc>
              <w:tc>
                <w:tcPr>
                  <w:tcW w:w="3871" w:type="dxa"/>
                  <w:vAlign w:val="center"/>
                </w:tcPr>
                <w:p w14:paraId="669C3C8E">
                  <w:pPr>
                    <w:pStyle w:val="48"/>
                    <w:spacing w:line="240" w:lineRule="auto"/>
                    <w:rPr>
                      <w:rFonts w:cs="Times New Roman"/>
                      <w:color w:val="auto"/>
                      <w:sz w:val="21"/>
                      <w:szCs w:val="21"/>
                    </w:rPr>
                  </w:pPr>
                  <w:r>
                    <w:rPr>
                      <w:rFonts w:hint="eastAsia" w:cs="Times New Roman"/>
                      <w:color w:val="auto"/>
                      <w:sz w:val="21"/>
                      <w:szCs w:val="21"/>
                    </w:rPr>
                    <w:t>平板玻璃，不包括光伏压延玻璃、显示玻璃</w:t>
                  </w:r>
                </w:p>
              </w:tc>
            </w:tr>
            <w:tr w14:paraId="0552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1C1D709C">
                  <w:pPr>
                    <w:pStyle w:val="48"/>
                    <w:spacing w:line="240" w:lineRule="auto"/>
                    <w:rPr>
                      <w:rFonts w:cs="Times New Roman"/>
                      <w:color w:val="auto"/>
                      <w:sz w:val="21"/>
                      <w:szCs w:val="21"/>
                    </w:rPr>
                  </w:pPr>
                  <w:r>
                    <w:rPr>
                      <w:rFonts w:hint="eastAsia" w:cs="Times New Roman"/>
                      <w:color w:val="auto"/>
                      <w:sz w:val="21"/>
                      <w:szCs w:val="21"/>
                    </w:rPr>
                    <w:t>15</w:t>
                  </w:r>
                </w:p>
              </w:tc>
              <w:tc>
                <w:tcPr>
                  <w:tcW w:w="883" w:type="dxa"/>
                  <w:vMerge w:val="continue"/>
                  <w:vAlign w:val="center"/>
                </w:tcPr>
                <w:p w14:paraId="5F5F7E68">
                  <w:pPr>
                    <w:pStyle w:val="48"/>
                    <w:spacing w:line="240" w:lineRule="auto"/>
                    <w:rPr>
                      <w:rFonts w:cs="Times New Roman"/>
                      <w:color w:val="auto"/>
                      <w:sz w:val="21"/>
                      <w:szCs w:val="21"/>
                    </w:rPr>
                  </w:pPr>
                </w:p>
              </w:tc>
              <w:tc>
                <w:tcPr>
                  <w:tcW w:w="1950" w:type="dxa"/>
                  <w:vAlign w:val="center"/>
                </w:tcPr>
                <w:p w14:paraId="44DE6D17">
                  <w:pPr>
                    <w:pStyle w:val="48"/>
                    <w:spacing w:line="240" w:lineRule="auto"/>
                    <w:rPr>
                      <w:rFonts w:cs="Times New Roman"/>
                      <w:color w:val="auto"/>
                      <w:sz w:val="21"/>
                      <w:szCs w:val="21"/>
                    </w:rPr>
                  </w:pPr>
                  <w:r>
                    <w:rPr>
                      <w:rFonts w:hint="eastAsia" w:cs="Times New Roman"/>
                      <w:color w:val="auto"/>
                      <w:sz w:val="21"/>
                      <w:szCs w:val="21"/>
                    </w:rPr>
                    <w:t>建筑陶瓷制品制造</w:t>
                  </w:r>
                </w:p>
              </w:tc>
              <w:tc>
                <w:tcPr>
                  <w:tcW w:w="930" w:type="dxa"/>
                  <w:vAlign w:val="center"/>
                </w:tcPr>
                <w:p w14:paraId="6656DF19">
                  <w:pPr>
                    <w:pStyle w:val="48"/>
                    <w:spacing w:line="240" w:lineRule="auto"/>
                    <w:rPr>
                      <w:rFonts w:cs="Times New Roman"/>
                      <w:color w:val="auto"/>
                      <w:sz w:val="21"/>
                      <w:szCs w:val="21"/>
                    </w:rPr>
                  </w:pPr>
                  <w:r>
                    <w:rPr>
                      <w:rFonts w:hint="eastAsia" w:cs="Times New Roman"/>
                      <w:color w:val="auto"/>
                      <w:sz w:val="21"/>
                      <w:szCs w:val="21"/>
                    </w:rPr>
                    <w:t>3071</w:t>
                  </w:r>
                </w:p>
              </w:tc>
              <w:tc>
                <w:tcPr>
                  <w:tcW w:w="3871" w:type="dxa"/>
                  <w:vAlign w:val="center"/>
                </w:tcPr>
                <w:p w14:paraId="39FE132E">
                  <w:pPr>
                    <w:pStyle w:val="48"/>
                    <w:spacing w:line="240" w:lineRule="auto"/>
                    <w:rPr>
                      <w:rFonts w:cs="Times New Roman"/>
                      <w:color w:val="auto"/>
                      <w:sz w:val="21"/>
                      <w:szCs w:val="21"/>
                    </w:rPr>
                  </w:pPr>
                  <w:r>
                    <w:rPr>
                      <w:rFonts w:hint="eastAsia" w:cs="Times New Roman"/>
                      <w:color w:val="auto"/>
                      <w:sz w:val="21"/>
                      <w:szCs w:val="21"/>
                    </w:rPr>
                    <w:t>建筑陶瓷</w:t>
                  </w:r>
                </w:p>
              </w:tc>
            </w:tr>
            <w:tr w14:paraId="3F3E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09C366C5">
                  <w:pPr>
                    <w:pStyle w:val="48"/>
                    <w:spacing w:line="240" w:lineRule="auto"/>
                    <w:rPr>
                      <w:rFonts w:cs="Times New Roman"/>
                      <w:color w:val="auto"/>
                      <w:sz w:val="21"/>
                      <w:szCs w:val="21"/>
                    </w:rPr>
                  </w:pPr>
                  <w:r>
                    <w:rPr>
                      <w:rFonts w:hint="eastAsia" w:cs="Times New Roman"/>
                      <w:color w:val="auto"/>
                      <w:sz w:val="21"/>
                      <w:szCs w:val="21"/>
                    </w:rPr>
                    <w:t>16</w:t>
                  </w:r>
                </w:p>
              </w:tc>
              <w:tc>
                <w:tcPr>
                  <w:tcW w:w="883" w:type="dxa"/>
                  <w:vMerge w:val="continue"/>
                  <w:vAlign w:val="center"/>
                </w:tcPr>
                <w:p w14:paraId="4997C7F3">
                  <w:pPr>
                    <w:pStyle w:val="48"/>
                    <w:spacing w:line="240" w:lineRule="auto"/>
                    <w:rPr>
                      <w:rFonts w:cs="Times New Roman"/>
                      <w:color w:val="auto"/>
                      <w:sz w:val="21"/>
                      <w:szCs w:val="21"/>
                    </w:rPr>
                  </w:pPr>
                </w:p>
              </w:tc>
              <w:tc>
                <w:tcPr>
                  <w:tcW w:w="1950" w:type="dxa"/>
                  <w:vAlign w:val="center"/>
                </w:tcPr>
                <w:p w14:paraId="52C2561C">
                  <w:pPr>
                    <w:pStyle w:val="48"/>
                    <w:spacing w:line="240" w:lineRule="auto"/>
                    <w:rPr>
                      <w:rFonts w:cs="Times New Roman"/>
                      <w:color w:val="auto"/>
                      <w:sz w:val="21"/>
                      <w:szCs w:val="21"/>
                    </w:rPr>
                  </w:pPr>
                  <w:r>
                    <w:rPr>
                      <w:rFonts w:hint="eastAsia" w:cs="Times New Roman"/>
                      <w:color w:val="auto"/>
                      <w:sz w:val="21"/>
                      <w:szCs w:val="21"/>
                    </w:rPr>
                    <w:t>卫生陶瓷制品制造</w:t>
                  </w:r>
                </w:p>
              </w:tc>
              <w:tc>
                <w:tcPr>
                  <w:tcW w:w="930" w:type="dxa"/>
                  <w:vAlign w:val="center"/>
                </w:tcPr>
                <w:p w14:paraId="2EB6E8B2">
                  <w:pPr>
                    <w:pStyle w:val="48"/>
                    <w:spacing w:line="240" w:lineRule="auto"/>
                    <w:rPr>
                      <w:rFonts w:cs="Times New Roman"/>
                      <w:color w:val="auto"/>
                      <w:sz w:val="21"/>
                      <w:szCs w:val="21"/>
                    </w:rPr>
                  </w:pPr>
                  <w:r>
                    <w:rPr>
                      <w:rFonts w:hint="eastAsia" w:cs="Times New Roman"/>
                      <w:color w:val="auto"/>
                      <w:sz w:val="21"/>
                      <w:szCs w:val="21"/>
                    </w:rPr>
                    <w:t>3072</w:t>
                  </w:r>
                </w:p>
              </w:tc>
              <w:tc>
                <w:tcPr>
                  <w:tcW w:w="3871" w:type="dxa"/>
                  <w:vAlign w:val="center"/>
                </w:tcPr>
                <w:p w14:paraId="724816EA">
                  <w:pPr>
                    <w:pStyle w:val="48"/>
                    <w:spacing w:line="240" w:lineRule="auto"/>
                    <w:rPr>
                      <w:rFonts w:cs="Times New Roman"/>
                      <w:color w:val="auto"/>
                      <w:sz w:val="21"/>
                      <w:szCs w:val="21"/>
                    </w:rPr>
                  </w:pPr>
                  <w:r>
                    <w:rPr>
                      <w:rFonts w:hint="eastAsia" w:cs="Times New Roman"/>
                      <w:color w:val="auto"/>
                      <w:sz w:val="21"/>
                      <w:szCs w:val="21"/>
                    </w:rPr>
                    <w:t>卫生陶瓷</w:t>
                  </w:r>
                </w:p>
              </w:tc>
            </w:tr>
            <w:tr w14:paraId="3EDB9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610D8121">
                  <w:pPr>
                    <w:pStyle w:val="48"/>
                    <w:spacing w:line="240" w:lineRule="auto"/>
                    <w:rPr>
                      <w:rFonts w:cs="Times New Roman"/>
                      <w:color w:val="auto"/>
                      <w:sz w:val="21"/>
                      <w:szCs w:val="21"/>
                    </w:rPr>
                  </w:pPr>
                  <w:r>
                    <w:rPr>
                      <w:rFonts w:hint="eastAsia" w:cs="Times New Roman"/>
                      <w:color w:val="auto"/>
                      <w:sz w:val="21"/>
                      <w:szCs w:val="21"/>
                    </w:rPr>
                    <w:t>17</w:t>
                  </w:r>
                </w:p>
              </w:tc>
              <w:tc>
                <w:tcPr>
                  <w:tcW w:w="883" w:type="dxa"/>
                  <w:vMerge w:val="continue"/>
                  <w:vAlign w:val="center"/>
                </w:tcPr>
                <w:p w14:paraId="0307A40F">
                  <w:pPr>
                    <w:pStyle w:val="48"/>
                    <w:spacing w:line="240" w:lineRule="auto"/>
                    <w:rPr>
                      <w:rFonts w:cs="Times New Roman"/>
                      <w:color w:val="auto"/>
                      <w:sz w:val="21"/>
                      <w:szCs w:val="21"/>
                    </w:rPr>
                  </w:pPr>
                </w:p>
              </w:tc>
              <w:tc>
                <w:tcPr>
                  <w:tcW w:w="1950" w:type="dxa"/>
                  <w:vAlign w:val="center"/>
                </w:tcPr>
                <w:p w14:paraId="06F8841F">
                  <w:pPr>
                    <w:pStyle w:val="48"/>
                    <w:spacing w:line="240" w:lineRule="auto"/>
                    <w:rPr>
                      <w:rFonts w:cs="Times New Roman"/>
                      <w:color w:val="auto"/>
                      <w:sz w:val="21"/>
                      <w:szCs w:val="21"/>
                    </w:rPr>
                  </w:pPr>
                  <w:r>
                    <w:rPr>
                      <w:rFonts w:hint="eastAsia" w:cs="Times New Roman"/>
                      <w:color w:val="auto"/>
                      <w:sz w:val="21"/>
                      <w:szCs w:val="21"/>
                    </w:rPr>
                    <w:t>耐火材料制品制造</w:t>
                  </w:r>
                </w:p>
              </w:tc>
              <w:tc>
                <w:tcPr>
                  <w:tcW w:w="930" w:type="dxa"/>
                  <w:vAlign w:val="center"/>
                </w:tcPr>
                <w:p w14:paraId="7436C639">
                  <w:pPr>
                    <w:pStyle w:val="48"/>
                    <w:spacing w:line="240" w:lineRule="auto"/>
                    <w:rPr>
                      <w:rFonts w:cs="Times New Roman"/>
                      <w:color w:val="auto"/>
                      <w:sz w:val="21"/>
                      <w:szCs w:val="21"/>
                    </w:rPr>
                  </w:pPr>
                  <w:r>
                    <w:rPr>
                      <w:rFonts w:cs="Times New Roman"/>
                      <w:color w:val="auto"/>
                      <w:sz w:val="21"/>
                      <w:szCs w:val="21"/>
                    </w:rPr>
                    <w:t>3081</w:t>
                  </w:r>
                </w:p>
                <w:p w14:paraId="2EA54D3D">
                  <w:pPr>
                    <w:pStyle w:val="48"/>
                    <w:spacing w:line="240" w:lineRule="auto"/>
                    <w:rPr>
                      <w:rFonts w:cs="Times New Roman"/>
                      <w:color w:val="auto"/>
                      <w:sz w:val="21"/>
                      <w:szCs w:val="21"/>
                    </w:rPr>
                  </w:pPr>
                  <w:r>
                    <w:rPr>
                      <w:rFonts w:cs="Times New Roman"/>
                      <w:color w:val="auto"/>
                      <w:sz w:val="21"/>
                      <w:szCs w:val="21"/>
                    </w:rPr>
                    <w:t>3082</w:t>
                  </w:r>
                </w:p>
                <w:p w14:paraId="6C98B0E5">
                  <w:pPr>
                    <w:pStyle w:val="48"/>
                    <w:spacing w:line="240" w:lineRule="auto"/>
                    <w:rPr>
                      <w:rFonts w:cs="Times New Roman"/>
                      <w:color w:val="auto"/>
                      <w:sz w:val="21"/>
                      <w:szCs w:val="21"/>
                    </w:rPr>
                  </w:pPr>
                  <w:r>
                    <w:rPr>
                      <w:rFonts w:cs="Times New Roman"/>
                      <w:color w:val="auto"/>
                      <w:sz w:val="21"/>
                      <w:szCs w:val="21"/>
                    </w:rPr>
                    <w:t>3083</w:t>
                  </w:r>
                </w:p>
              </w:tc>
              <w:tc>
                <w:tcPr>
                  <w:tcW w:w="3871" w:type="dxa"/>
                  <w:vAlign w:val="center"/>
                </w:tcPr>
                <w:p w14:paraId="17E866C0">
                  <w:pPr>
                    <w:pStyle w:val="48"/>
                    <w:spacing w:line="240" w:lineRule="auto"/>
                    <w:rPr>
                      <w:rFonts w:cs="Times New Roman"/>
                      <w:color w:val="auto"/>
                      <w:sz w:val="21"/>
                      <w:szCs w:val="21"/>
                    </w:rPr>
                  </w:pPr>
                  <w:r>
                    <w:rPr>
                      <w:rFonts w:hint="eastAsia" w:cs="Times New Roman"/>
                      <w:color w:val="auto"/>
                      <w:sz w:val="21"/>
                      <w:szCs w:val="21"/>
                    </w:rPr>
                    <w:t>烧结工序制造的硅砖、镁铬砖、铝含量42%以下的粘土砖，不包括资源综合利用项目</w:t>
                  </w:r>
                </w:p>
              </w:tc>
            </w:tr>
            <w:tr w14:paraId="41E5B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461BC488">
                  <w:pPr>
                    <w:pStyle w:val="48"/>
                    <w:spacing w:line="240" w:lineRule="auto"/>
                    <w:rPr>
                      <w:rFonts w:cs="Times New Roman"/>
                      <w:color w:val="auto"/>
                      <w:sz w:val="21"/>
                      <w:szCs w:val="21"/>
                    </w:rPr>
                  </w:pPr>
                  <w:r>
                    <w:rPr>
                      <w:rFonts w:hint="eastAsia" w:cs="Times New Roman"/>
                      <w:color w:val="auto"/>
                      <w:sz w:val="21"/>
                      <w:szCs w:val="21"/>
                    </w:rPr>
                    <w:t>18</w:t>
                  </w:r>
                </w:p>
              </w:tc>
              <w:tc>
                <w:tcPr>
                  <w:tcW w:w="883" w:type="dxa"/>
                  <w:vMerge w:val="continue"/>
                  <w:vAlign w:val="center"/>
                </w:tcPr>
                <w:p w14:paraId="69662A9F">
                  <w:pPr>
                    <w:pStyle w:val="48"/>
                    <w:spacing w:line="240" w:lineRule="auto"/>
                    <w:rPr>
                      <w:rFonts w:cs="Times New Roman"/>
                      <w:color w:val="auto"/>
                      <w:sz w:val="21"/>
                      <w:szCs w:val="21"/>
                    </w:rPr>
                  </w:pPr>
                </w:p>
              </w:tc>
              <w:tc>
                <w:tcPr>
                  <w:tcW w:w="1950" w:type="dxa"/>
                  <w:vAlign w:val="center"/>
                </w:tcPr>
                <w:p w14:paraId="63DFBCFE">
                  <w:pPr>
                    <w:pStyle w:val="48"/>
                    <w:spacing w:line="240" w:lineRule="auto"/>
                    <w:rPr>
                      <w:rFonts w:cs="Times New Roman"/>
                      <w:color w:val="auto"/>
                      <w:sz w:val="21"/>
                      <w:szCs w:val="21"/>
                    </w:rPr>
                  </w:pPr>
                  <w:r>
                    <w:rPr>
                      <w:rFonts w:hint="eastAsia" w:cs="Times New Roman"/>
                      <w:color w:val="auto"/>
                      <w:sz w:val="21"/>
                      <w:szCs w:val="21"/>
                    </w:rPr>
                    <w:t>石墨及碳素制品制造</w:t>
                  </w:r>
                </w:p>
              </w:tc>
              <w:tc>
                <w:tcPr>
                  <w:tcW w:w="930" w:type="dxa"/>
                  <w:vAlign w:val="center"/>
                </w:tcPr>
                <w:p w14:paraId="4B96274A">
                  <w:pPr>
                    <w:pStyle w:val="48"/>
                    <w:spacing w:line="240" w:lineRule="auto"/>
                    <w:rPr>
                      <w:rFonts w:cs="Times New Roman"/>
                      <w:color w:val="auto"/>
                      <w:sz w:val="21"/>
                      <w:szCs w:val="21"/>
                    </w:rPr>
                  </w:pPr>
                  <w:r>
                    <w:rPr>
                      <w:rFonts w:hint="eastAsia" w:cs="Times New Roman"/>
                      <w:color w:val="auto"/>
                      <w:sz w:val="21"/>
                      <w:szCs w:val="21"/>
                    </w:rPr>
                    <w:t>3091</w:t>
                  </w:r>
                </w:p>
              </w:tc>
              <w:tc>
                <w:tcPr>
                  <w:tcW w:w="3871" w:type="dxa"/>
                  <w:vAlign w:val="center"/>
                </w:tcPr>
                <w:p w14:paraId="48970E1F">
                  <w:pPr>
                    <w:pStyle w:val="48"/>
                    <w:spacing w:line="240" w:lineRule="auto"/>
                    <w:rPr>
                      <w:rFonts w:cs="Times New Roman"/>
                      <w:color w:val="auto"/>
                      <w:sz w:val="21"/>
                      <w:szCs w:val="21"/>
                    </w:rPr>
                  </w:pPr>
                  <w:r>
                    <w:rPr>
                      <w:rFonts w:hint="eastAsia" w:cs="Times New Roman"/>
                      <w:color w:val="auto"/>
                      <w:sz w:val="21"/>
                      <w:szCs w:val="21"/>
                    </w:rPr>
                    <w:t>铝用碳素</w:t>
                  </w:r>
                </w:p>
              </w:tc>
            </w:tr>
            <w:tr w14:paraId="51E12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5C4C5B16">
                  <w:pPr>
                    <w:pStyle w:val="48"/>
                    <w:spacing w:line="240" w:lineRule="auto"/>
                    <w:rPr>
                      <w:rFonts w:cs="Times New Roman"/>
                      <w:color w:val="auto"/>
                      <w:sz w:val="21"/>
                      <w:szCs w:val="21"/>
                    </w:rPr>
                  </w:pPr>
                  <w:r>
                    <w:rPr>
                      <w:rFonts w:hint="eastAsia" w:cs="Times New Roman"/>
                      <w:color w:val="auto"/>
                      <w:sz w:val="21"/>
                      <w:szCs w:val="21"/>
                    </w:rPr>
                    <w:t>19</w:t>
                  </w:r>
                </w:p>
              </w:tc>
              <w:tc>
                <w:tcPr>
                  <w:tcW w:w="883" w:type="dxa"/>
                  <w:vMerge w:val="restart"/>
                  <w:vAlign w:val="center"/>
                </w:tcPr>
                <w:p w14:paraId="2E69E7B9">
                  <w:pPr>
                    <w:pStyle w:val="48"/>
                    <w:spacing w:line="240" w:lineRule="auto"/>
                    <w:rPr>
                      <w:rFonts w:cs="Times New Roman"/>
                      <w:color w:val="auto"/>
                      <w:sz w:val="21"/>
                      <w:szCs w:val="21"/>
                    </w:rPr>
                  </w:pPr>
                  <w:r>
                    <w:rPr>
                      <w:rFonts w:hint="eastAsia" w:cs="Times New Roman"/>
                      <w:color w:val="auto"/>
                      <w:sz w:val="21"/>
                      <w:szCs w:val="21"/>
                    </w:rPr>
                    <w:t>钢铁</w:t>
                  </w:r>
                </w:p>
              </w:tc>
              <w:tc>
                <w:tcPr>
                  <w:tcW w:w="1950" w:type="dxa"/>
                  <w:vAlign w:val="center"/>
                </w:tcPr>
                <w:p w14:paraId="41DFA060">
                  <w:pPr>
                    <w:pStyle w:val="48"/>
                    <w:spacing w:line="240" w:lineRule="auto"/>
                    <w:rPr>
                      <w:rFonts w:cs="Times New Roman"/>
                      <w:color w:val="auto"/>
                      <w:sz w:val="21"/>
                      <w:szCs w:val="21"/>
                    </w:rPr>
                  </w:pPr>
                  <w:r>
                    <w:rPr>
                      <w:rFonts w:hint="eastAsia" w:cs="Times New Roman"/>
                      <w:color w:val="auto"/>
                      <w:sz w:val="21"/>
                      <w:szCs w:val="21"/>
                    </w:rPr>
                    <w:t>炼铁</w:t>
                  </w:r>
                </w:p>
              </w:tc>
              <w:tc>
                <w:tcPr>
                  <w:tcW w:w="930" w:type="dxa"/>
                  <w:vAlign w:val="center"/>
                </w:tcPr>
                <w:p w14:paraId="57DCEB56">
                  <w:pPr>
                    <w:pStyle w:val="48"/>
                    <w:spacing w:line="240" w:lineRule="auto"/>
                    <w:rPr>
                      <w:rFonts w:cs="Times New Roman"/>
                      <w:color w:val="auto"/>
                      <w:sz w:val="21"/>
                      <w:szCs w:val="21"/>
                    </w:rPr>
                  </w:pPr>
                  <w:r>
                    <w:rPr>
                      <w:rFonts w:hint="eastAsia" w:cs="Times New Roman"/>
                      <w:color w:val="auto"/>
                      <w:sz w:val="21"/>
                      <w:szCs w:val="21"/>
                    </w:rPr>
                    <w:t>3110</w:t>
                  </w:r>
                </w:p>
              </w:tc>
              <w:tc>
                <w:tcPr>
                  <w:tcW w:w="3871" w:type="dxa"/>
                  <w:vAlign w:val="center"/>
                </w:tcPr>
                <w:p w14:paraId="58974514">
                  <w:pPr>
                    <w:pStyle w:val="48"/>
                    <w:spacing w:line="240" w:lineRule="auto"/>
                    <w:rPr>
                      <w:rFonts w:cs="Times New Roman"/>
                      <w:color w:val="auto"/>
                      <w:sz w:val="21"/>
                      <w:szCs w:val="21"/>
                    </w:rPr>
                  </w:pPr>
                  <w:r>
                    <w:rPr>
                      <w:rFonts w:hint="eastAsia" w:cs="Times New Roman"/>
                      <w:color w:val="auto"/>
                      <w:sz w:val="21"/>
                      <w:szCs w:val="21"/>
                    </w:rPr>
                    <w:t>炼钢用高炉生铁、直接还原铁、熔融还原铁</w:t>
                  </w:r>
                </w:p>
              </w:tc>
            </w:tr>
            <w:tr w14:paraId="1EAAA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0F3A5D13">
                  <w:pPr>
                    <w:pStyle w:val="48"/>
                    <w:spacing w:line="240" w:lineRule="auto"/>
                    <w:rPr>
                      <w:rFonts w:cs="Times New Roman"/>
                      <w:color w:val="auto"/>
                      <w:sz w:val="21"/>
                      <w:szCs w:val="21"/>
                    </w:rPr>
                  </w:pPr>
                  <w:r>
                    <w:rPr>
                      <w:rFonts w:hint="eastAsia" w:cs="Times New Roman"/>
                      <w:color w:val="auto"/>
                      <w:sz w:val="21"/>
                      <w:szCs w:val="21"/>
                    </w:rPr>
                    <w:t>20</w:t>
                  </w:r>
                </w:p>
              </w:tc>
              <w:tc>
                <w:tcPr>
                  <w:tcW w:w="883" w:type="dxa"/>
                  <w:vMerge w:val="continue"/>
                  <w:vAlign w:val="center"/>
                </w:tcPr>
                <w:p w14:paraId="1806C644">
                  <w:pPr>
                    <w:pStyle w:val="48"/>
                    <w:spacing w:line="240" w:lineRule="auto"/>
                    <w:rPr>
                      <w:rFonts w:cs="Times New Roman"/>
                      <w:color w:val="auto"/>
                      <w:sz w:val="21"/>
                      <w:szCs w:val="21"/>
                    </w:rPr>
                  </w:pPr>
                </w:p>
              </w:tc>
              <w:tc>
                <w:tcPr>
                  <w:tcW w:w="1950" w:type="dxa"/>
                  <w:vAlign w:val="center"/>
                </w:tcPr>
                <w:p w14:paraId="6D895B59">
                  <w:pPr>
                    <w:pStyle w:val="48"/>
                    <w:spacing w:line="240" w:lineRule="auto"/>
                    <w:rPr>
                      <w:rFonts w:cs="Times New Roman"/>
                      <w:color w:val="auto"/>
                      <w:sz w:val="21"/>
                      <w:szCs w:val="21"/>
                    </w:rPr>
                  </w:pPr>
                  <w:r>
                    <w:rPr>
                      <w:rFonts w:hint="eastAsia" w:cs="Times New Roman"/>
                      <w:color w:val="auto"/>
                      <w:sz w:val="21"/>
                      <w:szCs w:val="21"/>
                    </w:rPr>
                    <w:t>炼钢</w:t>
                  </w:r>
                </w:p>
              </w:tc>
              <w:tc>
                <w:tcPr>
                  <w:tcW w:w="930" w:type="dxa"/>
                  <w:vAlign w:val="center"/>
                </w:tcPr>
                <w:p w14:paraId="589A247B">
                  <w:pPr>
                    <w:pStyle w:val="48"/>
                    <w:spacing w:line="240" w:lineRule="auto"/>
                    <w:rPr>
                      <w:rFonts w:cs="Times New Roman"/>
                      <w:color w:val="auto"/>
                      <w:sz w:val="21"/>
                      <w:szCs w:val="21"/>
                    </w:rPr>
                  </w:pPr>
                  <w:r>
                    <w:rPr>
                      <w:rFonts w:hint="eastAsia" w:cs="Times New Roman"/>
                      <w:color w:val="auto"/>
                      <w:sz w:val="21"/>
                      <w:szCs w:val="21"/>
                    </w:rPr>
                    <w:t>3120</w:t>
                  </w:r>
                </w:p>
              </w:tc>
              <w:tc>
                <w:tcPr>
                  <w:tcW w:w="3871" w:type="dxa"/>
                  <w:vAlign w:val="center"/>
                </w:tcPr>
                <w:p w14:paraId="343274BC">
                  <w:pPr>
                    <w:pStyle w:val="48"/>
                    <w:spacing w:line="240" w:lineRule="auto"/>
                    <w:rPr>
                      <w:rFonts w:cs="Times New Roman"/>
                      <w:color w:val="auto"/>
                      <w:sz w:val="21"/>
                      <w:szCs w:val="21"/>
                    </w:rPr>
                  </w:pPr>
                  <w:r>
                    <w:rPr>
                      <w:rFonts w:hint="eastAsia" w:cs="Times New Roman"/>
                      <w:color w:val="auto"/>
                      <w:sz w:val="21"/>
                      <w:szCs w:val="21"/>
                    </w:rPr>
                    <w:t>非合金钢粗钢、低合金钢粗钢、合金钢粗钢（不包括高炉-转炉长流程炼钢就地改造转型发展电炉短流程炼钢等未增加产能的技术改造项目）</w:t>
                  </w:r>
                </w:p>
              </w:tc>
            </w:tr>
            <w:tr w14:paraId="4DF4F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7125685F">
                  <w:pPr>
                    <w:pStyle w:val="48"/>
                    <w:spacing w:line="240" w:lineRule="auto"/>
                    <w:rPr>
                      <w:rFonts w:cs="Times New Roman"/>
                      <w:color w:val="auto"/>
                      <w:sz w:val="21"/>
                      <w:szCs w:val="21"/>
                    </w:rPr>
                  </w:pPr>
                  <w:r>
                    <w:rPr>
                      <w:rFonts w:hint="eastAsia" w:cs="Times New Roman"/>
                      <w:color w:val="auto"/>
                      <w:sz w:val="21"/>
                      <w:szCs w:val="21"/>
                    </w:rPr>
                    <w:t>21</w:t>
                  </w:r>
                </w:p>
              </w:tc>
              <w:tc>
                <w:tcPr>
                  <w:tcW w:w="883" w:type="dxa"/>
                  <w:vMerge w:val="continue"/>
                  <w:vAlign w:val="center"/>
                </w:tcPr>
                <w:p w14:paraId="191204B3">
                  <w:pPr>
                    <w:pStyle w:val="48"/>
                    <w:spacing w:line="240" w:lineRule="auto"/>
                    <w:rPr>
                      <w:rFonts w:cs="Times New Roman"/>
                      <w:color w:val="auto"/>
                      <w:sz w:val="21"/>
                      <w:szCs w:val="21"/>
                    </w:rPr>
                  </w:pPr>
                </w:p>
              </w:tc>
              <w:tc>
                <w:tcPr>
                  <w:tcW w:w="1950" w:type="dxa"/>
                  <w:vAlign w:val="center"/>
                </w:tcPr>
                <w:p w14:paraId="4FB9F023">
                  <w:pPr>
                    <w:pStyle w:val="48"/>
                    <w:spacing w:line="240" w:lineRule="auto"/>
                    <w:rPr>
                      <w:rFonts w:cs="Times New Roman"/>
                      <w:color w:val="auto"/>
                      <w:sz w:val="21"/>
                      <w:szCs w:val="21"/>
                    </w:rPr>
                  </w:pPr>
                  <w:r>
                    <w:rPr>
                      <w:rFonts w:hint="eastAsia" w:cs="Times New Roman"/>
                      <w:color w:val="auto"/>
                      <w:sz w:val="21"/>
                      <w:szCs w:val="21"/>
                    </w:rPr>
                    <w:t>铁合金冶炼</w:t>
                  </w:r>
                </w:p>
              </w:tc>
              <w:tc>
                <w:tcPr>
                  <w:tcW w:w="930" w:type="dxa"/>
                  <w:vAlign w:val="center"/>
                </w:tcPr>
                <w:p w14:paraId="35FAA796">
                  <w:pPr>
                    <w:pStyle w:val="48"/>
                    <w:spacing w:line="240" w:lineRule="auto"/>
                    <w:rPr>
                      <w:rFonts w:cs="Times New Roman"/>
                      <w:color w:val="auto"/>
                      <w:sz w:val="21"/>
                      <w:szCs w:val="21"/>
                    </w:rPr>
                  </w:pPr>
                  <w:r>
                    <w:rPr>
                      <w:rFonts w:hint="eastAsia" w:cs="Times New Roman"/>
                      <w:color w:val="auto"/>
                      <w:sz w:val="21"/>
                      <w:szCs w:val="21"/>
                    </w:rPr>
                    <w:t>3140</w:t>
                  </w:r>
                </w:p>
              </w:tc>
              <w:tc>
                <w:tcPr>
                  <w:tcW w:w="3871" w:type="dxa"/>
                  <w:vAlign w:val="center"/>
                </w:tcPr>
                <w:p w14:paraId="12FA485E">
                  <w:pPr>
                    <w:pStyle w:val="48"/>
                    <w:spacing w:line="240" w:lineRule="auto"/>
                    <w:rPr>
                      <w:rFonts w:cs="Times New Roman"/>
                      <w:color w:val="auto"/>
                      <w:sz w:val="21"/>
                      <w:szCs w:val="21"/>
                    </w:rPr>
                  </w:pPr>
                  <w:r>
                    <w:rPr>
                      <w:rFonts w:hint="eastAsia" w:cs="Times New Roman"/>
                      <w:color w:val="auto"/>
                      <w:sz w:val="21"/>
                      <w:szCs w:val="21"/>
                    </w:rPr>
                    <w:t>普通铁合金、特种铁合金、锰的冶炼、铁基合金粉末</w:t>
                  </w:r>
                </w:p>
              </w:tc>
            </w:tr>
            <w:tr w14:paraId="78C8C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5F17790D">
                  <w:pPr>
                    <w:pStyle w:val="48"/>
                    <w:spacing w:line="240" w:lineRule="auto"/>
                    <w:rPr>
                      <w:rFonts w:cs="Times New Roman"/>
                      <w:color w:val="auto"/>
                      <w:sz w:val="21"/>
                      <w:szCs w:val="21"/>
                    </w:rPr>
                  </w:pPr>
                  <w:r>
                    <w:rPr>
                      <w:rFonts w:hint="eastAsia" w:cs="Times New Roman"/>
                      <w:color w:val="auto"/>
                      <w:sz w:val="21"/>
                      <w:szCs w:val="21"/>
                    </w:rPr>
                    <w:t>22</w:t>
                  </w:r>
                </w:p>
              </w:tc>
              <w:tc>
                <w:tcPr>
                  <w:tcW w:w="883" w:type="dxa"/>
                  <w:vMerge w:val="restart"/>
                  <w:vAlign w:val="center"/>
                </w:tcPr>
                <w:p w14:paraId="6C30FF15">
                  <w:pPr>
                    <w:pStyle w:val="48"/>
                    <w:spacing w:line="240" w:lineRule="auto"/>
                    <w:rPr>
                      <w:rFonts w:cs="Times New Roman"/>
                      <w:color w:val="auto"/>
                      <w:sz w:val="21"/>
                      <w:szCs w:val="21"/>
                    </w:rPr>
                  </w:pPr>
                  <w:r>
                    <w:rPr>
                      <w:rFonts w:hint="eastAsia" w:cs="Times New Roman"/>
                      <w:color w:val="auto"/>
                      <w:sz w:val="21"/>
                      <w:szCs w:val="21"/>
                    </w:rPr>
                    <w:t>有色</w:t>
                  </w:r>
                </w:p>
              </w:tc>
              <w:tc>
                <w:tcPr>
                  <w:tcW w:w="1950" w:type="dxa"/>
                  <w:vAlign w:val="center"/>
                </w:tcPr>
                <w:p w14:paraId="4688AC55">
                  <w:pPr>
                    <w:pStyle w:val="48"/>
                    <w:spacing w:line="240" w:lineRule="auto"/>
                    <w:rPr>
                      <w:rFonts w:cs="Times New Roman"/>
                      <w:color w:val="auto"/>
                      <w:sz w:val="21"/>
                      <w:szCs w:val="21"/>
                    </w:rPr>
                  </w:pPr>
                  <w:r>
                    <w:rPr>
                      <w:rFonts w:hint="eastAsia" w:cs="Times New Roman"/>
                      <w:color w:val="auto"/>
                      <w:sz w:val="21"/>
                      <w:szCs w:val="21"/>
                    </w:rPr>
                    <w:t>铜冶炼</w:t>
                  </w:r>
                </w:p>
              </w:tc>
              <w:tc>
                <w:tcPr>
                  <w:tcW w:w="930" w:type="dxa"/>
                  <w:vAlign w:val="center"/>
                </w:tcPr>
                <w:p w14:paraId="5B242D77">
                  <w:pPr>
                    <w:pStyle w:val="48"/>
                    <w:spacing w:line="240" w:lineRule="auto"/>
                    <w:rPr>
                      <w:rFonts w:cs="Times New Roman"/>
                      <w:color w:val="auto"/>
                      <w:sz w:val="21"/>
                      <w:szCs w:val="21"/>
                    </w:rPr>
                  </w:pPr>
                  <w:r>
                    <w:rPr>
                      <w:rFonts w:hint="eastAsia" w:cs="Times New Roman"/>
                      <w:color w:val="auto"/>
                      <w:sz w:val="21"/>
                      <w:szCs w:val="21"/>
                    </w:rPr>
                    <w:t>3211</w:t>
                  </w:r>
                </w:p>
              </w:tc>
              <w:tc>
                <w:tcPr>
                  <w:tcW w:w="3871" w:type="dxa"/>
                  <w:vAlign w:val="center"/>
                </w:tcPr>
                <w:p w14:paraId="733AFD62">
                  <w:pPr>
                    <w:pStyle w:val="48"/>
                    <w:spacing w:line="240" w:lineRule="auto"/>
                    <w:rPr>
                      <w:rFonts w:cs="Times New Roman"/>
                      <w:color w:val="auto"/>
                      <w:sz w:val="21"/>
                      <w:szCs w:val="21"/>
                    </w:rPr>
                  </w:pPr>
                  <w:r>
                    <w:rPr>
                      <w:rFonts w:hint="eastAsia" w:cs="Times New Roman"/>
                      <w:color w:val="auto"/>
                      <w:sz w:val="21"/>
                      <w:szCs w:val="21"/>
                    </w:rPr>
                    <w:t>铜冶炼，不包括再生铜冶炼项目</w:t>
                  </w:r>
                </w:p>
              </w:tc>
            </w:tr>
            <w:tr w14:paraId="2B58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363E2E2B">
                  <w:pPr>
                    <w:pStyle w:val="48"/>
                    <w:spacing w:line="240" w:lineRule="auto"/>
                    <w:rPr>
                      <w:rFonts w:cs="Times New Roman"/>
                      <w:color w:val="auto"/>
                      <w:sz w:val="21"/>
                      <w:szCs w:val="21"/>
                    </w:rPr>
                  </w:pPr>
                  <w:r>
                    <w:rPr>
                      <w:rFonts w:hint="eastAsia" w:cs="Times New Roman"/>
                      <w:color w:val="auto"/>
                      <w:sz w:val="21"/>
                      <w:szCs w:val="21"/>
                    </w:rPr>
                    <w:t>23</w:t>
                  </w:r>
                </w:p>
              </w:tc>
              <w:tc>
                <w:tcPr>
                  <w:tcW w:w="883" w:type="dxa"/>
                  <w:vMerge w:val="continue"/>
                  <w:vAlign w:val="center"/>
                </w:tcPr>
                <w:p w14:paraId="789A6BB8">
                  <w:pPr>
                    <w:pStyle w:val="48"/>
                    <w:spacing w:line="240" w:lineRule="auto"/>
                    <w:rPr>
                      <w:rFonts w:cs="Times New Roman"/>
                      <w:color w:val="auto"/>
                      <w:sz w:val="21"/>
                      <w:szCs w:val="21"/>
                    </w:rPr>
                  </w:pPr>
                </w:p>
              </w:tc>
              <w:tc>
                <w:tcPr>
                  <w:tcW w:w="1950" w:type="dxa"/>
                  <w:vAlign w:val="center"/>
                </w:tcPr>
                <w:p w14:paraId="6F706C20">
                  <w:pPr>
                    <w:pStyle w:val="48"/>
                    <w:spacing w:line="240" w:lineRule="auto"/>
                    <w:rPr>
                      <w:rFonts w:cs="Times New Roman"/>
                      <w:color w:val="auto"/>
                      <w:sz w:val="21"/>
                      <w:szCs w:val="21"/>
                    </w:rPr>
                  </w:pPr>
                  <w:r>
                    <w:rPr>
                      <w:rFonts w:hint="eastAsia" w:cs="Times New Roman"/>
                      <w:color w:val="auto"/>
                      <w:sz w:val="21"/>
                      <w:szCs w:val="21"/>
                    </w:rPr>
                    <w:t>铅锌冶炼</w:t>
                  </w:r>
                </w:p>
              </w:tc>
              <w:tc>
                <w:tcPr>
                  <w:tcW w:w="930" w:type="dxa"/>
                  <w:vAlign w:val="center"/>
                </w:tcPr>
                <w:p w14:paraId="2B7AD373">
                  <w:pPr>
                    <w:pStyle w:val="48"/>
                    <w:spacing w:line="240" w:lineRule="auto"/>
                    <w:rPr>
                      <w:rFonts w:cs="Times New Roman"/>
                      <w:color w:val="auto"/>
                      <w:sz w:val="21"/>
                      <w:szCs w:val="21"/>
                    </w:rPr>
                  </w:pPr>
                  <w:r>
                    <w:rPr>
                      <w:rFonts w:hint="eastAsia" w:cs="Times New Roman"/>
                      <w:color w:val="auto"/>
                      <w:sz w:val="21"/>
                      <w:szCs w:val="21"/>
                    </w:rPr>
                    <w:t>3212</w:t>
                  </w:r>
                </w:p>
              </w:tc>
              <w:tc>
                <w:tcPr>
                  <w:tcW w:w="3871" w:type="dxa"/>
                  <w:vAlign w:val="center"/>
                </w:tcPr>
                <w:p w14:paraId="7F216C6D">
                  <w:pPr>
                    <w:pStyle w:val="48"/>
                    <w:spacing w:line="240" w:lineRule="auto"/>
                    <w:rPr>
                      <w:rFonts w:cs="Times New Roman"/>
                      <w:color w:val="auto"/>
                      <w:sz w:val="21"/>
                      <w:szCs w:val="21"/>
                    </w:rPr>
                  </w:pPr>
                  <w:r>
                    <w:rPr>
                      <w:rFonts w:hint="eastAsia" w:cs="Times New Roman"/>
                      <w:color w:val="auto"/>
                      <w:sz w:val="21"/>
                      <w:szCs w:val="21"/>
                    </w:rPr>
                    <w:t>铅冶炼、锌冶炼，不包括再生铅、再生锌冶炼项目</w:t>
                  </w:r>
                </w:p>
              </w:tc>
            </w:tr>
            <w:tr w14:paraId="6DAE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Align w:val="center"/>
                </w:tcPr>
                <w:p w14:paraId="0A803C27">
                  <w:pPr>
                    <w:pStyle w:val="48"/>
                    <w:spacing w:line="240" w:lineRule="auto"/>
                    <w:rPr>
                      <w:rFonts w:cs="Times New Roman"/>
                      <w:color w:val="auto"/>
                      <w:sz w:val="21"/>
                      <w:szCs w:val="21"/>
                    </w:rPr>
                  </w:pPr>
                  <w:r>
                    <w:rPr>
                      <w:rFonts w:hint="eastAsia" w:cs="Times New Roman"/>
                      <w:color w:val="auto"/>
                      <w:sz w:val="21"/>
                      <w:szCs w:val="21"/>
                    </w:rPr>
                    <w:t>24</w:t>
                  </w:r>
                </w:p>
              </w:tc>
              <w:tc>
                <w:tcPr>
                  <w:tcW w:w="883" w:type="dxa"/>
                  <w:vMerge w:val="continue"/>
                  <w:vAlign w:val="center"/>
                </w:tcPr>
                <w:p w14:paraId="7725876A">
                  <w:pPr>
                    <w:pStyle w:val="48"/>
                    <w:spacing w:line="240" w:lineRule="auto"/>
                    <w:rPr>
                      <w:rFonts w:cs="Times New Roman"/>
                      <w:color w:val="auto"/>
                      <w:sz w:val="21"/>
                      <w:szCs w:val="21"/>
                    </w:rPr>
                  </w:pPr>
                </w:p>
              </w:tc>
              <w:tc>
                <w:tcPr>
                  <w:tcW w:w="1950" w:type="dxa"/>
                  <w:vAlign w:val="center"/>
                </w:tcPr>
                <w:p w14:paraId="048D0C30">
                  <w:pPr>
                    <w:pStyle w:val="48"/>
                    <w:spacing w:line="240" w:lineRule="auto"/>
                    <w:rPr>
                      <w:rFonts w:cs="Times New Roman"/>
                      <w:color w:val="auto"/>
                      <w:sz w:val="21"/>
                      <w:szCs w:val="21"/>
                    </w:rPr>
                  </w:pPr>
                  <w:r>
                    <w:rPr>
                      <w:rFonts w:hint="eastAsia" w:cs="Times New Roman"/>
                      <w:color w:val="auto"/>
                      <w:sz w:val="21"/>
                      <w:szCs w:val="21"/>
                    </w:rPr>
                    <w:t>铝冶炼</w:t>
                  </w:r>
                </w:p>
              </w:tc>
              <w:tc>
                <w:tcPr>
                  <w:tcW w:w="930" w:type="dxa"/>
                  <w:vAlign w:val="center"/>
                </w:tcPr>
                <w:p w14:paraId="7F5E18D1">
                  <w:pPr>
                    <w:pStyle w:val="48"/>
                    <w:spacing w:line="240" w:lineRule="auto"/>
                    <w:rPr>
                      <w:rFonts w:cs="Times New Roman"/>
                      <w:color w:val="auto"/>
                      <w:sz w:val="21"/>
                      <w:szCs w:val="21"/>
                    </w:rPr>
                  </w:pPr>
                  <w:r>
                    <w:rPr>
                      <w:rFonts w:hint="eastAsia" w:cs="Times New Roman"/>
                      <w:color w:val="auto"/>
                      <w:sz w:val="21"/>
                      <w:szCs w:val="21"/>
                    </w:rPr>
                    <w:t>3216</w:t>
                  </w:r>
                </w:p>
              </w:tc>
              <w:tc>
                <w:tcPr>
                  <w:tcW w:w="3871" w:type="dxa"/>
                  <w:vAlign w:val="center"/>
                </w:tcPr>
                <w:p w14:paraId="498EF6AC">
                  <w:pPr>
                    <w:pStyle w:val="48"/>
                    <w:spacing w:line="240" w:lineRule="auto"/>
                    <w:rPr>
                      <w:rFonts w:cs="Times New Roman"/>
                      <w:color w:val="auto"/>
                      <w:sz w:val="21"/>
                      <w:szCs w:val="21"/>
                    </w:rPr>
                  </w:pPr>
                  <w:r>
                    <w:rPr>
                      <w:rFonts w:hint="eastAsia" w:cs="Times New Roman"/>
                      <w:color w:val="auto"/>
                      <w:sz w:val="21"/>
                      <w:szCs w:val="21"/>
                    </w:rPr>
                    <w:t>氧化铝（不包括以铝酸钠、氢氧化铝或氧化铝为原料深加工形成的非冶金及氧化铝）、电解铝</w:t>
                  </w:r>
                </w:p>
              </w:tc>
            </w:tr>
            <w:tr w14:paraId="2E225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77EB051E">
                  <w:pPr>
                    <w:pStyle w:val="48"/>
                    <w:spacing w:line="240" w:lineRule="auto"/>
                    <w:rPr>
                      <w:rFonts w:cs="Times New Roman"/>
                      <w:color w:val="auto"/>
                      <w:sz w:val="21"/>
                      <w:szCs w:val="21"/>
                    </w:rPr>
                  </w:pPr>
                  <w:r>
                    <w:rPr>
                      <w:rFonts w:hint="eastAsia" w:cs="Times New Roman"/>
                      <w:color w:val="auto"/>
                      <w:sz w:val="21"/>
                      <w:szCs w:val="21"/>
                    </w:rPr>
                    <w:t>25</w:t>
                  </w:r>
                </w:p>
              </w:tc>
              <w:tc>
                <w:tcPr>
                  <w:tcW w:w="883" w:type="dxa"/>
                  <w:vMerge w:val="continue"/>
                  <w:vAlign w:val="center"/>
                </w:tcPr>
                <w:p w14:paraId="7128AEE3">
                  <w:pPr>
                    <w:pStyle w:val="48"/>
                    <w:spacing w:line="240" w:lineRule="auto"/>
                    <w:rPr>
                      <w:rFonts w:cs="Times New Roman"/>
                      <w:color w:val="auto"/>
                      <w:sz w:val="21"/>
                      <w:szCs w:val="21"/>
                    </w:rPr>
                  </w:pPr>
                </w:p>
              </w:tc>
              <w:tc>
                <w:tcPr>
                  <w:tcW w:w="1950" w:type="dxa"/>
                  <w:vAlign w:val="center"/>
                </w:tcPr>
                <w:p w14:paraId="556B7BCA">
                  <w:pPr>
                    <w:pStyle w:val="48"/>
                    <w:spacing w:line="240" w:lineRule="auto"/>
                    <w:rPr>
                      <w:rFonts w:cs="Times New Roman"/>
                      <w:color w:val="auto"/>
                      <w:sz w:val="21"/>
                      <w:szCs w:val="21"/>
                    </w:rPr>
                  </w:pPr>
                  <w:r>
                    <w:rPr>
                      <w:rFonts w:hint="eastAsia" w:cs="Times New Roman"/>
                      <w:color w:val="auto"/>
                      <w:sz w:val="21"/>
                      <w:szCs w:val="21"/>
                    </w:rPr>
                    <w:t>硅冶炼</w:t>
                  </w:r>
                </w:p>
              </w:tc>
              <w:tc>
                <w:tcPr>
                  <w:tcW w:w="930" w:type="dxa"/>
                  <w:vAlign w:val="center"/>
                </w:tcPr>
                <w:p w14:paraId="7C1BE22D">
                  <w:pPr>
                    <w:pStyle w:val="48"/>
                    <w:spacing w:line="240" w:lineRule="auto"/>
                    <w:rPr>
                      <w:rFonts w:cs="Times New Roman"/>
                      <w:color w:val="auto"/>
                      <w:sz w:val="21"/>
                      <w:szCs w:val="21"/>
                    </w:rPr>
                  </w:pPr>
                  <w:r>
                    <w:rPr>
                      <w:rFonts w:hint="eastAsia" w:cs="Times New Roman"/>
                      <w:color w:val="auto"/>
                      <w:sz w:val="21"/>
                      <w:szCs w:val="21"/>
                    </w:rPr>
                    <w:t>3218</w:t>
                  </w:r>
                </w:p>
              </w:tc>
              <w:tc>
                <w:tcPr>
                  <w:tcW w:w="3871" w:type="dxa"/>
                  <w:vAlign w:val="center"/>
                </w:tcPr>
                <w:p w14:paraId="62EE0497">
                  <w:pPr>
                    <w:pStyle w:val="48"/>
                    <w:spacing w:line="240" w:lineRule="auto"/>
                    <w:rPr>
                      <w:rFonts w:cs="Times New Roman"/>
                      <w:color w:val="auto"/>
                      <w:sz w:val="21"/>
                      <w:szCs w:val="21"/>
                    </w:rPr>
                  </w:pPr>
                  <w:r>
                    <w:rPr>
                      <w:rFonts w:hint="eastAsia" w:cs="Times New Roman"/>
                      <w:color w:val="auto"/>
                      <w:sz w:val="21"/>
                      <w:szCs w:val="21"/>
                    </w:rPr>
                    <w:t>工业硅</w:t>
                  </w:r>
                </w:p>
              </w:tc>
            </w:tr>
            <w:tr w14:paraId="5A22B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1844784C">
                  <w:pPr>
                    <w:pStyle w:val="48"/>
                    <w:spacing w:line="240" w:lineRule="auto"/>
                    <w:rPr>
                      <w:rFonts w:cs="Times New Roman"/>
                      <w:color w:val="auto"/>
                      <w:sz w:val="21"/>
                      <w:szCs w:val="21"/>
                    </w:rPr>
                  </w:pPr>
                  <w:r>
                    <w:rPr>
                      <w:rFonts w:hint="eastAsia" w:cs="Times New Roman"/>
                      <w:color w:val="auto"/>
                      <w:sz w:val="21"/>
                      <w:szCs w:val="21"/>
                    </w:rPr>
                    <w:t>26</w:t>
                  </w:r>
                </w:p>
              </w:tc>
              <w:tc>
                <w:tcPr>
                  <w:tcW w:w="883" w:type="dxa"/>
                  <w:vMerge w:val="restart"/>
                  <w:vAlign w:val="center"/>
                </w:tcPr>
                <w:p w14:paraId="17495156">
                  <w:pPr>
                    <w:pStyle w:val="48"/>
                    <w:spacing w:line="240" w:lineRule="auto"/>
                    <w:rPr>
                      <w:rFonts w:cs="Times New Roman"/>
                      <w:color w:val="auto"/>
                      <w:sz w:val="21"/>
                      <w:szCs w:val="21"/>
                    </w:rPr>
                  </w:pPr>
                  <w:r>
                    <w:rPr>
                      <w:rFonts w:hint="eastAsia" w:cs="Times New Roman"/>
                      <w:color w:val="auto"/>
                      <w:sz w:val="21"/>
                      <w:szCs w:val="21"/>
                    </w:rPr>
                    <w:t>煤电</w:t>
                  </w:r>
                </w:p>
              </w:tc>
              <w:tc>
                <w:tcPr>
                  <w:tcW w:w="1950" w:type="dxa"/>
                  <w:vAlign w:val="center"/>
                </w:tcPr>
                <w:p w14:paraId="589CC1D1">
                  <w:pPr>
                    <w:pStyle w:val="48"/>
                    <w:spacing w:line="240" w:lineRule="auto"/>
                    <w:rPr>
                      <w:rFonts w:cs="Times New Roman"/>
                      <w:color w:val="auto"/>
                      <w:sz w:val="21"/>
                      <w:szCs w:val="21"/>
                    </w:rPr>
                  </w:pPr>
                  <w:r>
                    <w:rPr>
                      <w:rFonts w:hint="eastAsia" w:cs="Times New Roman"/>
                      <w:color w:val="auto"/>
                      <w:sz w:val="21"/>
                      <w:szCs w:val="21"/>
                    </w:rPr>
                    <w:t>火力发电</w:t>
                  </w:r>
                </w:p>
              </w:tc>
              <w:tc>
                <w:tcPr>
                  <w:tcW w:w="930" w:type="dxa"/>
                  <w:vAlign w:val="center"/>
                </w:tcPr>
                <w:p w14:paraId="33372FA1">
                  <w:pPr>
                    <w:pStyle w:val="48"/>
                    <w:spacing w:line="240" w:lineRule="auto"/>
                    <w:rPr>
                      <w:rFonts w:cs="Times New Roman"/>
                      <w:color w:val="auto"/>
                      <w:sz w:val="21"/>
                      <w:szCs w:val="21"/>
                    </w:rPr>
                  </w:pPr>
                  <w:r>
                    <w:rPr>
                      <w:rFonts w:hint="eastAsia" w:cs="Times New Roman"/>
                      <w:color w:val="auto"/>
                      <w:sz w:val="21"/>
                      <w:szCs w:val="21"/>
                    </w:rPr>
                    <w:t>4411</w:t>
                  </w:r>
                </w:p>
              </w:tc>
              <w:tc>
                <w:tcPr>
                  <w:tcW w:w="3871" w:type="dxa"/>
                  <w:vAlign w:val="center"/>
                </w:tcPr>
                <w:p w14:paraId="21A3F12A">
                  <w:pPr>
                    <w:pStyle w:val="48"/>
                    <w:spacing w:line="240" w:lineRule="auto"/>
                    <w:rPr>
                      <w:rFonts w:cs="Times New Roman"/>
                      <w:color w:val="auto"/>
                      <w:sz w:val="21"/>
                      <w:szCs w:val="21"/>
                    </w:rPr>
                  </w:pPr>
                  <w:r>
                    <w:rPr>
                      <w:rFonts w:hint="eastAsia" w:cs="Times New Roman"/>
                      <w:color w:val="auto"/>
                      <w:sz w:val="21"/>
                      <w:szCs w:val="21"/>
                    </w:rPr>
                    <w:t>燃煤发电</w:t>
                  </w:r>
                </w:p>
              </w:tc>
            </w:tr>
            <w:tr w14:paraId="721C6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4" w:type="dxa"/>
                  <w:vAlign w:val="center"/>
                </w:tcPr>
                <w:p w14:paraId="3E3C3EC6">
                  <w:pPr>
                    <w:pStyle w:val="48"/>
                    <w:spacing w:line="240" w:lineRule="auto"/>
                    <w:rPr>
                      <w:rFonts w:cs="Times New Roman"/>
                      <w:color w:val="auto"/>
                      <w:sz w:val="21"/>
                      <w:szCs w:val="21"/>
                    </w:rPr>
                  </w:pPr>
                  <w:r>
                    <w:rPr>
                      <w:rFonts w:hint="eastAsia" w:cs="Times New Roman"/>
                      <w:color w:val="auto"/>
                      <w:sz w:val="21"/>
                      <w:szCs w:val="21"/>
                    </w:rPr>
                    <w:t>27</w:t>
                  </w:r>
                </w:p>
              </w:tc>
              <w:tc>
                <w:tcPr>
                  <w:tcW w:w="883" w:type="dxa"/>
                  <w:vMerge w:val="continue"/>
                  <w:vAlign w:val="center"/>
                </w:tcPr>
                <w:p w14:paraId="3DB47140">
                  <w:pPr>
                    <w:pStyle w:val="48"/>
                    <w:spacing w:line="240" w:lineRule="auto"/>
                    <w:rPr>
                      <w:rFonts w:cs="Times New Roman"/>
                      <w:color w:val="auto"/>
                      <w:sz w:val="21"/>
                      <w:szCs w:val="21"/>
                    </w:rPr>
                  </w:pPr>
                </w:p>
              </w:tc>
              <w:tc>
                <w:tcPr>
                  <w:tcW w:w="1950" w:type="dxa"/>
                  <w:vAlign w:val="center"/>
                </w:tcPr>
                <w:p w14:paraId="44A71E74">
                  <w:pPr>
                    <w:pStyle w:val="48"/>
                    <w:spacing w:line="240" w:lineRule="auto"/>
                    <w:rPr>
                      <w:rFonts w:cs="Times New Roman"/>
                      <w:color w:val="auto"/>
                      <w:sz w:val="21"/>
                      <w:szCs w:val="21"/>
                    </w:rPr>
                  </w:pPr>
                  <w:r>
                    <w:rPr>
                      <w:rFonts w:hint="eastAsia" w:cs="Times New Roman"/>
                      <w:color w:val="auto"/>
                      <w:sz w:val="21"/>
                      <w:szCs w:val="21"/>
                    </w:rPr>
                    <w:t>热电联产</w:t>
                  </w:r>
                </w:p>
              </w:tc>
              <w:tc>
                <w:tcPr>
                  <w:tcW w:w="930" w:type="dxa"/>
                  <w:vAlign w:val="center"/>
                </w:tcPr>
                <w:p w14:paraId="0AA7820B">
                  <w:pPr>
                    <w:pStyle w:val="48"/>
                    <w:spacing w:line="240" w:lineRule="auto"/>
                    <w:rPr>
                      <w:rFonts w:cs="Times New Roman"/>
                      <w:color w:val="auto"/>
                      <w:sz w:val="21"/>
                      <w:szCs w:val="21"/>
                    </w:rPr>
                  </w:pPr>
                  <w:r>
                    <w:rPr>
                      <w:rFonts w:hint="eastAsia" w:cs="Times New Roman"/>
                      <w:color w:val="auto"/>
                      <w:sz w:val="21"/>
                      <w:szCs w:val="21"/>
                    </w:rPr>
                    <w:t>4412</w:t>
                  </w:r>
                </w:p>
              </w:tc>
              <w:tc>
                <w:tcPr>
                  <w:tcW w:w="3871" w:type="dxa"/>
                  <w:vAlign w:val="center"/>
                </w:tcPr>
                <w:p w14:paraId="21CD27AB">
                  <w:pPr>
                    <w:pStyle w:val="48"/>
                    <w:spacing w:line="240" w:lineRule="auto"/>
                    <w:rPr>
                      <w:rFonts w:cs="Times New Roman"/>
                      <w:color w:val="auto"/>
                      <w:sz w:val="21"/>
                      <w:szCs w:val="21"/>
                    </w:rPr>
                  </w:pPr>
                  <w:r>
                    <w:rPr>
                      <w:rFonts w:hint="eastAsia" w:cs="Times New Roman"/>
                      <w:color w:val="auto"/>
                      <w:sz w:val="21"/>
                      <w:szCs w:val="21"/>
                    </w:rPr>
                    <w:t>燃煤热电联产</w:t>
                  </w:r>
                </w:p>
              </w:tc>
            </w:tr>
          </w:tbl>
          <w:p w14:paraId="3357C4C6">
            <w:pPr>
              <w:spacing w:line="360" w:lineRule="auto"/>
              <w:ind w:firstLine="480" w:firstLineChars="200"/>
              <w:rPr>
                <w:rFonts w:ascii="Times New Roman" w:hAnsi="Times New Roman" w:cs="Times New Roman"/>
                <w:color w:val="auto"/>
                <w:sz w:val="24"/>
              </w:rPr>
            </w:pPr>
            <w:r>
              <w:rPr>
                <w:rFonts w:hint="eastAsia" w:ascii="Times New Roman" w:hAnsi="Times New Roman" w:cs="Times New Roman"/>
                <w:color w:val="auto"/>
                <w:sz w:val="24"/>
              </w:rPr>
              <w:t>本项目</w:t>
            </w:r>
            <w:r>
              <w:rPr>
                <w:rFonts w:hint="eastAsia" w:ascii="Times New Roman" w:hAnsi="Times New Roman" w:cs="Times New Roman"/>
                <w:color w:val="auto"/>
                <w:sz w:val="24"/>
                <w:szCs w:val="24"/>
                <w:lang w:val="en-US" w:eastAsia="zh-CN"/>
              </w:rPr>
              <w:t>属于日用塑料制品制造【C2927】</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产品</w:t>
            </w:r>
            <w:r>
              <w:rPr>
                <w:rFonts w:hint="eastAsia" w:ascii="Times New Roman" w:hAnsi="Times New Roman" w:cs="Times New Roman"/>
                <w:color w:val="auto"/>
                <w:sz w:val="24"/>
                <w:szCs w:val="24"/>
                <w:lang w:val="en-US" w:eastAsia="zh-CN"/>
              </w:rPr>
              <w:t>为密胺餐具</w:t>
            </w:r>
            <w:r>
              <w:rPr>
                <w:rFonts w:hint="eastAsia" w:ascii="Times New Roman" w:hAnsi="Times New Roman" w:cs="Times New Roman"/>
                <w:color w:val="auto"/>
                <w:sz w:val="24"/>
              </w:rPr>
              <w:t>，对照上表1.</w:t>
            </w:r>
            <w:r>
              <w:rPr>
                <w:rFonts w:hint="eastAsia" w:ascii="Times New Roman" w:hAnsi="Times New Roman" w:cs="Times New Roman"/>
                <w:color w:val="auto"/>
                <w:sz w:val="24"/>
                <w:lang w:val="en-US" w:eastAsia="zh-CN"/>
              </w:rPr>
              <w:t>18</w:t>
            </w:r>
            <w:r>
              <w:rPr>
                <w:rFonts w:hint="eastAsia" w:ascii="Times New Roman" w:hAnsi="Times New Roman" w:cs="Times New Roman"/>
                <w:color w:val="auto"/>
                <w:sz w:val="24"/>
              </w:rPr>
              <w:t>，本项目不属于“两高”项目。</w:t>
            </w:r>
          </w:p>
          <w:p w14:paraId="20D25D5C">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ascii="宋体" w:hAnsi="宋体" w:eastAsia="宋体" w:cs="宋体"/>
                <w:b/>
                <w:bCs/>
                <w:color w:val="auto"/>
                <w:sz w:val="24"/>
              </w:rPr>
            </w:pPr>
            <w:r>
              <w:rPr>
                <w:rFonts w:hint="eastAsia" w:ascii="Times New Roman" w:hAnsi="Times New Roman" w:cs="Times New Roman"/>
                <w:b/>
                <w:bCs/>
                <w:color w:val="auto"/>
                <w:sz w:val="24"/>
                <w:lang w:val="en-US" w:eastAsia="zh-CN"/>
              </w:rPr>
              <w:t>（5）</w:t>
            </w:r>
            <w:r>
              <w:rPr>
                <w:rFonts w:hint="eastAsia" w:ascii="Times New Roman" w:hAnsi="Times New Roman" w:cs="Times New Roman"/>
                <w:b/>
                <w:bCs/>
                <w:color w:val="auto"/>
                <w:sz w:val="24"/>
              </w:rPr>
              <w:t>与《</w:t>
            </w:r>
            <w:r>
              <w:rPr>
                <w:rFonts w:hint="eastAsia" w:ascii="Times New Roman" w:hAnsi="Times New Roman" w:cs="Times New Roman"/>
                <w:b/>
                <w:bCs/>
                <w:color w:val="auto"/>
                <w:sz w:val="24"/>
                <w:lang w:eastAsia="zh-CN"/>
              </w:rPr>
              <w:t>安徽省淮河流域水污染防治条例</w:t>
            </w:r>
            <w:r>
              <w:rPr>
                <w:rFonts w:hint="eastAsia" w:ascii="Times New Roman" w:hAnsi="Times New Roman" w:cs="Times New Roman"/>
                <w:b/>
                <w:bCs/>
                <w:color w:val="auto"/>
                <w:sz w:val="24"/>
              </w:rPr>
              <w:t>》（20</w:t>
            </w:r>
            <w:r>
              <w:rPr>
                <w:rFonts w:hint="eastAsia" w:ascii="Times New Roman" w:hAnsi="Times New Roman" w:cs="Times New Roman"/>
                <w:b/>
                <w:bCs/>
                <w:color w:val="auto"/>
                <w:sz w:val="24"/>
                <w:lang w:val="en-US" w:eastAsia="zh-CN"/>
              </w:rPr>
              <w:t>19</w:t>
            </w:r>
            <w:r>
              <w:rPr>
                <w:rFonts w:hint="eastAsia" w:ascii="Times New Roman" w:hAnsi="Times New Roman" w:cs="Times New Roman"/>
                <w:b/>
                <w:bCs/>
                <w:color w:val="auto"/>
                <w:sz w:val="24"/>
              </w:rPr>
              <w:t>年0</w:t>
            </w:r>
            <w:r>
              <w:rPr>
                <w:rFonts w:hint="eastAsia" w:ascii="Times New Roman" w:hAnsi="Times New Roman" w:cs="Times New Roman"/>
                <w:b/>
                <w:bCs/>
                <w:color w:val="auto"/>
                <w:sz w:val="24"/>
                <w:lang w:val="en-US" w:eastAsia="zh-CN"/>
              </w:rPr>
              <w:t>1</w:t>
            </w:r>
            <w:r>
              <w:rPr>
                <w:rFonts w:hint="eastAsia" w:ascii="Times New Roman" w:hAnsi="Times New Roman" w:cs="Times New Roman"/>
                <w:b/>
                <w:bCs/>
                <w:color w:val="auto"/>
                <w:sz w:val="24"/>
              </w:rPr>
              <w:t>月</w:t>
            </w:r>
            <w:r>
              <w:rPr>
                <w:rFonts w:hint="eastAsia" w:ascii="Times New Roman" w:hAnsi="Times New Roman" w:cs="Times New Roman"/>
                <w:b/>
                <w:bCs/>
                <w:color w:val="auto"/>
                <w:sz w:val="24"/>
                <w:lang w:val="en-US" w:eastAsia="zh-CN"/>
              </w:rPr>
              <w:t>0</w:t>
            </w:r>
            <w:r>
              <w:rPr>
                <w:rFonts w:hint="eastAsia" w:ascii="Times New Roman" w:hAnsi="Times New Roman" w:cs="Times New Roman"/>
                <w:b/>
                <w:bCs/>
                <w:color w:val="auto"/>
                <w:sz w:val="24"/>
              </w:rPr>
              <w:t>1日，安徽省</w:t>
            </w:r>
            <w:r>
              <w:rPr>
                <w:rFonts w:hint="eastAsia" w:ascii="Times New Roman" w:hAnsi="Times New Roman" w:cs="Times New Roman"/>
                <w:b/>
                <w:bCs/>
                <w:color w:val="auto"/>
                <w:sz w:val="24"/>
                <w:lang w:eastAsia="zh-CN"/>
              </w:rPr>
              <w:t>人民代表大会</w:t>
            </w:r>
            <w:r>
              <w:rPr>
                <w:rFonts w:hint="eastAsia" w:ascii="Times New Roman" w:hAnsi="Times New Roman" w:cs="Times New Roman"/>
                <w:b/>
                <w:bCs/>
                <w:color w:val="auto"/>
                <w:sz w:val="24"/>
              </w:rPr>
              <w:t>）</w:t>
            </w:r>
            <w:r>
              <w:rPr>
                <w:rFonts w:hint="eastAsia" w:ascii="宋体" w:hAnsi="宋体" w:eastAsia="宋体" w:cs="宋体"/>
                <w:b/>
                <w:bCs/>
                <w:color w:val="auto"/>
                <w:sz w:val="24"/>
              </w:rPr>
              <w:t>符合性分析</w:t>
            </w:r>
          </w:p>
          <w:p w14:paraId="0954EB2A">
            <w:pPr>
              <w:spacing w:line="360" w:lineRule="auto"/>
              <w:ind w:firstLine="480" w:firstLineChars="200"/>
              <w:rPr>
                <w:rFonts w:hint="default" w:ascii="Times New Roman" w:hAnsi="Times New Roman"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本项目与</w:t>
            </w:r>
            <w:r>
              <w:rPr>
                <w:rFonts w:hint="eastAsia" w:ascii="Times New Roman" w:hAnsi="Times New Roman" w:cs="Times New Roman"/>
                <w:b w:val="0"/>
                <w:bCs w:val="0"/>
                <w:color w:val="auto"/>
                <w:sz w:val="24"/>
              </w:rPr>
              <w:t>《</w:t>
            </w:r>
            <w:r>
              <w:rPr>
                <w:rFonts w:hint="eastAsia" w:ascii="Times New Roman" w:hAnsi="Times New Roman" w:cs="Times New Roman"/>
                <w:b w:val="0"/>
                <w:bCs w:val="0"/>
                <w:color w:val="auto"/>
                <w:sz w:val="24"/>
                <w:lang w:eastAsia="zh-CN"/>
              </w:rPr>
              <w:t>安徽省淮河流域水污染防治条例</w:t>
            </w:r>
            <w:r>
              <w:rPr>
                <w:rFonts w:hint="eastAsia" w:ascii="Times New Roman" w:hAnsi="Times New Roman" w:cs="Times New Roman"/>
                <w:b w:val="0"/>
                <w:bCs w:val="0"/>
                <w:color w:val="auto"/>
                <w:sz w:val="24"/>
              </w:rPr>
              <w:t>》（20</w:t>
            </w:r>
            <w:r>
              <w:rPr>
                <w:rFonts w:hint="eastAsia" w:ascii="Times New Roman" w:hAnsi="Times New Roman" w:cs="Times New Roman"/>
                <w:b w:val="0"/>
                <w:bCs w:val="0"/>
                <w:color w:val="auto"/>
                <w:sz w:val="24"/>
                <w:lang w:val="en-US" w:eastAsia="zh-CN"/>
              </w:rPr>
              <w:t>19</w:t>
            </w:r>
            <w:r>
              <w:rPr>
                <w:rFonts w:hint="eastAsia" w:ascii="Times New Roman" w:hAnsi="Times New Roman" w:cs="Times New Roman"/>
                <w:b w:val="0"/>
                <w:bCs w:val="0"/>
                <w:color w:val="auto"/>
                <w:sz w:val="24"/>
              </w:rPr>
              <w:t>年0</w:t>
            </w:r>
            <w:r>
              <w:rPr>
                <w:rFonts w:hint="eastAsia" w:ascii="Times New Roman" w:hAnsi="Times New Roman" w:cs="Times New Roman"/>
                <w:b w:val="0"/>
                <w:bCs w:val="0"/>
                <w:color w:val="auto"/>
                <w:sz w:val="24"/>
                <w:lang w:val="en-US" w:eastAsia="zh-CN"/>
              </w:rPr>
              <w:t>1</w:t>
            </w:r>
            <w:r>
              <w:rPr>
                <w:rFonts w:hint="eastAsia" w:ascii="Times New Roman" w:hAnsi="Times New Roman" w:cs="Times New Roman"/>
                <w:b w:val="0"/>
                <w:bCs w:val="0"/>
                <w:color w:val="auto"/>
                <w:sz w:val="24"/>
              </w:rPr>
              <w:t>月</w:t>
            </w:r>
            <w:r>
              <w:rPr>
                <w:rFonts w:hint="eastAsia" w:ascii="Times New Roman" w:hAnsi="Times New Roman" w:cs="Times New Roman"/>
                <w:b w:val="0"/>
                <w:bCs w:val="0"/>
                <w:color w:val="auto"/>
                <w:sz w:val="24"/>
                <w:lang w:val="en-US" w:eastAsia="zh-CN"/>
              </w:rPr>
              <w:t>0</w:t>
            </w:r>
            <w:r>
              <w:rPr>
                <w:rFonts w:hint="eastAsia" w:ascii="Times New Roman" w:hAnsi="Times New Roman" w:cs="Times New Roman"/>
                <w:b w:val="0"/>
                <w:bCs w:val="0"/>
                <w:color w:val="auto"/>
                <w:sz w:val="24"/>
              </w:rPr>
              <w:t>1日，安徽省</w:t>
            </w:r>
            <w:r>
              <w:rPr>
                <w:rFonts w:hint="eastAsia" w:ascii="Times New Roman" w:hAnsi="Times New Roman" w:cs="Times New Roman"/>
                <w:b w:val="0"/>
                <w:bCs w:val="0"/>
                <w:color w:val="auto"/>
                <w:sz w:val="24"/>
                <w:lang w:eastAsia="zh-CN"/>
              </w:rPr>
              <w:t>人民代表大会</w:t>
            </w:r>
            <w:r>
              <w:rPr>
                <w:rFonts w:hint="eastAsia" w:ascii="Times New Roman" w:hAnsi="Times New Roman" w:cs="Times New Roman"/>
                <w:b w:val="0"/>
                <w:bCs w:val="0"/>
                <w:color w:val="auto"/>
                <w:sz w:val="24"/>
              </w:rPr>
              <w:t>）</w:t>
            </w:r>
            <w:r>
              <w:rPr>
                <w:rFonts w:hint="default" w:ascii="Times New Roman" w:hAnsi="Times New Roman" w:cs="Times New Roman"/>
                <w:b w:val="0"/>
                <w:bCs w:val="0"/>
                <w:color w:val="auto"/>
                <w:sz w:val="24"/>
                <w:lang w:val="en-US" w:eastAsia="zh-CN"/>
              </w:rPr>
              <w:t>符合性分析见表</w:t>
            </w:r>
            <w:r>
              <w:rPr>
                <w:rFonts w:hint="eastAsia" w:ascii="Times New Roman" w:hAnsi="Times New Roman" w:cs="Times New Roman"/>
                <w:b w:val="0"/>
                <w:bCs w:val="0"/>
                <w:color w:val="auto"/>
                <w:sz w:val="24"/>
                <w:lang w:val="en-US" w:eastAsia="zh-CN"/>
              </w:rPr>
              <w:t>1.19</w:t>
            </w:r>
            <w:r>
              <w:rPr>
                <w:rFonts w:hint="default" w:ascii="Times New Roman" w:hAnsi="Times New Roman" w:cs="Times New Roman"/>
                <w:b w:val="0"/>
                <w:bCs w:val="0"/>
                <w:color w:val="auto"/>
                <w:sz w:val="24"/>
                <w:lang w:val="en-US" w:eastAsia="zh-CN"/>
              </w:rPr>
              <w:t>。</w:t>
            </w:r>
          </w:p>
          <w:p w14:paraId="08026E37">
            <w:pPr>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表1.</w:t>
            </w:r>
            <w:r>
              <w:rPr>
                <w:rFonts w:hint="eastAsia" w:ascii="Times New Roman" w:hAnsi="Times New Roman" w:cs="Times New Roman"/>
                <w:b/>
                <w:bCs/>
                <w:color w:val="auto"/>
                <w:sz w:val="21"/>
                <w:szCs w:val="21"/>
                <w:lang w:val="en-US" w:eastAsia="zh-CN"/>
              </w:rPr>
              <w:t>19</w:t>
            </w:r>
            <w:r>
              <w:rPr>
                <w:rFonts w:hint="default" w:ascii="Times New Roman" w:hAnsi="Times New Roman" w:cs="Times New Roman"/>
                <w:b/>
                <w:bCs/>
                <w:color w:val="auto"/>
                <w:sz w:val="21"/>
                <w:szCs w:val="21"/>
                <w:lang w:val="en-US" w:eastAsia="zh-CN"/>
              </w:rPr>
              <w:t xml:space="preserve"> </w:t>
            </w:r>
            <w:r>
              <w:rPr>
                <w:rFonts w:hint="eastAsia" w:ascii="Times New Roman" w:hAnsi="Times New Roman" w:cs="Times New Roman"/>
                <w:b/>
                <w:bCs/>
                <w:color w:val="auto"/>
                <w:sz w:val="21"/>
                <w:szCs w:val="21"/>
                <w:lang w:val="en-US" w:eastAsia="zh-CN"/>
              </w:rPr>
              <w:t xml:space="preserve"> </w:t>
            </w:r>
            <w:r>
              <w:rPr>
                <w:rFonts w:hint="default" w:ascii="Times New Roman" w:hAnsi="Times New Roman" w:cs="Times New Roman"/>
                <w:b/>
                <w:bCs/>
                <w:color w:val="auto"/>
                <w:sz w:val="21"/>
                <w:szCs w:val="21"/>
                <w:lang w:val="en-US" w:eastAsia="zh-CN"/>
              </w:rPr>
              <w:t>与</w:t>
            </w:r>
            <w:r>
              <w:rPr>
                <w:rFonts w:hint="eastAsia" w:ascii="Times New Roman" w:hAnsi="Times New Roman" w:cs="Times New Roman"/>
                <w:b/>
                <w:bCs/>
                <w:color w:val="auto"/>
                <w:sz w:val="21"/>
                <w:szCs w:val="21"/>
              </w:rPr>
              <w:t>《</w:t>
            </w:r>
            <w:r>
              <w:rPr>
                <w:rFonts w:hint="eastAsia" w:ascii="Times New Roman" w:hAnsi="Times New Roman" w:cs="Times New Roman"/>
                <w:b/>
                <w:bCs/>
                <w:color w:val="auto"/>
                <w:sz w:val="21"/>
                <w:szCs w:val="21"/>
                <w:lang w:eastAsia="zh-CN"/>
              </w:rPr>
              <w:t>安徽省淮河流域水污染防治条例</w:t>
            </w:r>
            <w:r>
              <w:rPr>
                <w:rFonts w:hint="eastAsia"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符合性分析</w:t>
            </w:r>
          </w:p>
          <w:tbl>
            <w:tblPr>
              <w:tblStyle w:val="31"/>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225"/>
              <w:gridCol w:w="2640"/>
              <w:gridCol w:w="697"/>
            </w:tblGrid>
            <w:tr w14:paraId="2C14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053" w:type="dxa"/>
                  <w:gridSpan w:val="2"/>
                  <w:noWrap w:val="0"/>
                  <w:vAlign w:val="center"/>
                </w:tcPr>
                <w:p w14:paraId="1322F7CA">
                  <w:pPr>
                    <w:jc w:val="center"/>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rPr>
                    <w:t>《</w:t>
                  </w:r>
                  <w:r>
                    <w:rPr>
                      <w:rFonts w:hint="eastAsia" w:ascii="Times New Roman" w:hAnsi="Times New Roman" w:cs="Times New Roman"/>
                      <w:b w:val="0"/>
                      <w:bCs w:val="0"/>
                      <w:color w:val="auto"/>
                      <w:sz w:val="21"/>
                      <w:szCs w:val="21"/>
                      <w:lang w:eastAsia="zh-CN"/>
                    </w:rPr>
                    <w:t>安徽省淮河流域水污染防治条例</w:t>
                  </w:r>
                  <w:r>
                    <w:rPr>
                      <w:rFonts w:hint="eastAsia" w:ascii="Times New Roman" w:hAnsi="Times New Roman" w:cs="Times New Roman"/>
                      <w:b w:val="0"/>
                      <w:bCs w:val="0"/>
                      <w:color w:val="auto"/>
                      <w:sz w:val="21"/>
                      <w:szCs w:val="21"/>
                    </w:rPr>
                    <w:t>》</w:t>
                  </w:r>
                  <w:r>
                    <w:rPr>
                      <w:rFonts w:hint="default" w:ascii="Times New Roman" w:hAnsi="Times New Roman" w:cs="Times New Roman"/>
                      <w:b w:val="0"/>
                      <w:bCs w:val="0"/>
                      <w:color w:val="auto"/>
                      <w:sz w:val="21"/>
                      <w:szCs w:val="21"/>
                      <w:lang w:val="en-US" w:eastAsia="zh-CN"/>
                    </w:rPr>
                    <w:t>内容</w:t>
                  </w:r>
                </w:p>
              </w:tc>
              <w:tc>
                <w:tcPr>
                  <w:tcW w:w="2640" w:type="dxa"/>
                  <w:noWrap w:val="0"/>
                  <w:vAlign w:val="center"/>
                </w:tcPr>
                <w:p w14:paraId="4035C6E6">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本项目情况</w:t>
                  </w:r>
                </w:p>
              </w:tc>
              <w:tc>
                <w:tcPr>
                  <w:tcW w:w="697" w:type="dxa"/>
                  <w:noWrap w:val="0"/>
                  <w:vAlign w:val="center"/>
                </w:tcPr>
                <w:p w14:paraId="27C52D4D">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lang w:eastAsia="zh-CN"/>
                    </w:rPr>
                    <w:t>符合性</w:t>
                  </w:r>
                  <w:r>
                    <w:rPr>
                      <w:rFonts w:hint="default" w:ascii="Times New Roman" w:hAnsi="Times New Roman" w:cs="Times New Roman"/>
                      <w:b w:val="0"/>
                      <w:bCs w:val="0"/>
                      <w:color w:val="auto"/>
                      <w:sz w:val="21"/>
                      <w:szCs w:val="21"/>
                    </w:rPr>
                    <w:t xml:space="preserve"> </w:t>
                  </w:r>
                </w:p>
              </w:tc>
            </w:tr>
            <w:tr w14:paraId="403F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9" w:hRule="atLeast"/>
                <w:jc w:val="center"/>
              </w:trPr>
              <w:tc>
                <w:tcPr>
                  <w:tcW w:w="828" w:type="dxa"/>
                  <w:noWrap w:val="0"/>
                  <w:vAlign w:val="center"/>
                </w:tcPr>
                <w:p w14:paraId="31F5B9EF">
                  <w:pPr>
                    <w:autoSpaceDE w:val="0"/>
                    <w:autoSpaceDN w:val="0"/>
                    <w:jc w:val="center"/>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eastAsia="zh-CN"/>
                    </w:rPr>
                    <w:t>第三章防治水污染</w:t>
                  </w:r>
                </w:p>
              </w:tc>
              <w:tc>
                <w:tcPr>
                  <w:tcW w:w="4225" w:type="dxa"/>
                  <w:noWrap w:val="0"/>
                  <w:vAlign w:val="center"/>
                </w:tcPr>
                <w:p w14:paraId="0040EE17">
                  <w:pPr>
                    <w:keepNext w:val="0"/>
                    <w:keepLines w:val="0"/>
                    <w:pageBreakBefore w:val="0"/>
                    <w:widowControl w:val="0"/>
                    <w:kinsoku/>
                    <w:wordWrap/>
                    <w:overflowPunct/>
                    <w:topLinePunct w:val="0"/>
                    <w:autoSpaceDE w:val="0"/>
                    <w:autoSpaceDN w:val="0"/>
                    <w:bidi w:val="0"/>
                    <w:adjustRightInd/>
                    <w:snapToGrid/>
                    <w:ind w:firstLine="420" w:firstLineChars="20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第十三条 禁止在淮河流域新建化学制浆造纸企业和印染、制革、化工、电镀、酿造等污染严重的小型企业。</w:t>
                  </w:r>
                </w:p>
                <w:p w14:paraId="1485740D">
                  <w:pPr>
                    <w:keepNext w:val="0"/>
                    <w:keepLines w:val="0"/>
                    <w:pageBreakBefore w:val="0"/>
                    <w:widowControl w:val="0"/>
                    <w:kinsoku/>
                    <w:wordWrap/>
                    <w:overflowPunct/>
                    <w:topLinePunct w:val="0"/>
                    <w:autoSpaceDE w:val="0"/>
                    <w:autoSpaceDN w:val="0"/>
                    <w:bidi w:val="0"/>
                    <w:adjustRightInd/>
                    <w:snapToGrid/>
                    <w:ind w:firstLine="420" w:firstLineChars="20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严格限制在淮河流域新建印染、制革、化工、电镀、酿造等大中型项目或者其他污染严重的项目；建设该类项目的，应当事前征得省人民政府生态环境行政主管部门的同意，并按照规定办理有关手续。</w:t>
                  </w:r>
                </w:p>
              </w:tc>
              <w:tc>
                <w:tcPr>
                  <w:tcW w:w="2640" w:type="dxa"/>
                  <w:noWrap w:val="0"/>
                  <w:vAlign w:val="center"/>
                </w:tcPr>
                <w:p w14:paraId="31653B71">
                  <w:pPr>
                    <w:keepNext w:val="0"/>
                    <w:keepLines w:val="0"/>
                    <w:pageBreakBefore w:val="0"/>
                    <w:widowControl w:val="0"/>
                    <w:kinsoku/>
                    <w:wordWrap/>
                    <w:overflowPunct/>
                    <w:topLinePunct w:val="0"/>
                    <w:autoSpaceDE w:val="0"/>
                    <w:autoSpaceDN w:val="0"/>
                    <w:bidi w:val="0"/>
                    <w:adjustRightInd/>
                    <w:snapToGrid/>
                    <w:ind w:firstLine="420" w:firstLineChars="200"/>
                    <w:textAlignment w:val="auto"/>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color w:val="auto"/>
                      <w:sz w:val="21"/>
                      <w:szCs w:val="21"/>
                    </w:rPr>
                    <w:t>本项目属于日用塑料制品制造【</w:t>
                  </w:r>
                  <w:r>
                    <w:rPr>
                      <w:rFonts w:hint="eastAsia" w:ascii="Times New Roman" w:hAnsi="Times New Roman" w:cs="Times New Roman"/>
                      <w:color w:val="auto"/>
                      <w:sz w:val="21"/>
                      <w:szCs w:val="21"/>
                      <w:lang w:val="en-US" w:eastAsia="zh-CN"/>
                    </w:rPr>
                    <w:t>C</w:t>
                  </w:r>
                  <w:r>
                    <w:rPr>
                      <w:rFonts w:hint="eastAsia" w:ascii="Times New Roman" w:hAnsi="Times New Roman" w:cs="Times New Roman"/>
                      <w:color w:val="auto"/>
                      <w:sz w:val="21"/>
                      <w:szCs w:val="21"/>
                    </w:rPr>
                    <w:t>2927】，产品为</w:t>
                  </w:r>
                  <w:r>
                    <w:rPr>
                      <w:rFonts w:hint="eastAsia" w:ascii="Times New Roman" w:hAnsi="Times New Roman" w:cs="Times New Roman"/>
                      <w:color w:val="auto"/>
                      <w:sz w:val="21"/>
                      <w:szCs w:val="21"/>
                      <w:lang w:val="en-US" w:eastAsia="zh-CN"/>
                    </w:rPr>
                    <w:t>密胺餐具</w:t>
                  </w:r>
                  <w:r>
                    <w:rPr>
                      <w:rFonts w:hint="eastAsia" w:ascii="Times New Roman" w:hAnsi="Times New Roman" w:cs="Times New Roman"/>
                      <w:color w:val="auto"/>
                      <w:sz w:val="21"/>
                      <w:szCs w:val="21"/>
                      <w:lang w:eastAsia="zh-CN"/>
                    </w:rPr>
                    <w:t>，不属于</w:t>
                  </w:r>
                  <w:r>
                    <w:rPr>
                      <w:rFonts w:hint="default" w:ascii="Times New Roman" w:hAnsi="Times New Roman" w:cs="Times New Roman"/>
                      <w:b w:val="0"/>
                      <w:bCs w:val="0"/>
                      <w:color w:val="auto"/>
                      <w:sz w:val="21"/>
                      <w:szCs w:val="21"/>
                    </w:rPr>
                    <w:t>新建化学制浆造纸企业和印染、制革、化工、电镀、酿造等污染严重的小型企业</w:t>
                  </w:r>
                  <w:r>
                    <w:rPr>
                      <w:rFonts w:hint="eastAsia" w:ascii="Times New Roman" w:hAnsi="Times New Roman" w:cs="Times New Roman"/>
                      <w:b w:val="0"/>
                      <w:bCs w:val="0"/>
                      <w:color w:val="auto"/>
                      <w:sz w:val="21"/>
                      <w:szCs w:val="21"/>
                      <w:lang w:eastAsia="zh-CN"/>
                    </w:rPr>
                    <w:t>。</w:t>
                  </w:r>
                </w:p>
              </w:tc>
              <w:tc>
                <w:tcPr>
                  <w:tcW w:w="697" w:type="dxa"/>
                  <w:noWrap w:val="0"/>
                  <w:vAlign w:val="center"/>
                </w:tcPr>
                <w:p w14:paraId="305CFD47">
                  <w:pPr>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符合</w:t>
                  </w:r>
                </w:p>
              </w:tc>
            </w:tr>
          </w:tbl>
          <w:p w14:paraId="673CD1D9">
            <w:pPr>
              <w:spacing w:line="360" w:lineRule="auto"/>
              <w:ind w:firstLine="482" w:firstLineChars="200"/>
              <w:rPr>
                <w:rFonts w:hint="default"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（6）</w:t>
            </w:r>
            <w:r>
              <w:rPr>
                <w:rFonts w:hint="default" w:ascii="Times New Roman" w:hAnsi="Times New Roman" w:cs="Times New Roman"/>
                <w:b/>
                <w:bCs/>
                <w:color w:val="auto"/>
                <w:sz w:val="24"/>
                <w:lang w:val="en-US" w:eastAsia="zh-CN"/>
              </w:rPr>
              <w:t>与《关于印发&lt;</w:t>
            </w:r>
            <w:r>
              <w:rPr>
                <w:rFonts w:hint="eastAsia" w:ascii="Times New Roman" w:hAnsi="Times New Roman" w:cs="Times New Roman"/>
                <w:b/>
                <w:bCs/>
                <w:color w:val="auto"/>
                <w:sz w:val="24"/>
                <w:lang w:val="en-US" w:eastAsia="zh-CN"/>
              </w:rPr>
              <w:t>皖北六市空气质量提升攻坚行动方案</w:t>
            </w:r>
            <w:r>
              <w:rPr>
                <w:rFonts w:hint="default" w:ascii="Times New Roman" w:hAnsi="Times New Roman" w:cs="Times New Roman"/>
                <w:b/>
                <w:bCs/>
                <w:color w:val="auto"/>
                <w:sz w:val="24"/>
                <w:lang w:val="en-US" w:eastAsia="zh-CN"/>
              </w:rPr>
              <w:t>&gt;的通知》（</w:t>
            </w:r>
            <w:r>
              <w:rPr>
                <w:rFonts w:hint="eastAsia" w:ascii="Times New Roman" w:hAnsi="Times New Roman" w:cs="Times New Roman"/>
                <w:b/>
                <w:bCs/>
                <w:color w:val="auto"/>
                <w:sz w:val="24"/>
                <w:lang w:val="en-US" w:eastAsia="zh-CN"/>
              </w:rPr>
              <w:t>皖政办秘</w:t>
            </w:r>
            <w:r>
              <w:rPr>
                <w:rFonts w:hint="default" w:ascii="Times New Roman" w:hAnsi="Times New Roman" w:cs="Times New Roman"/>
                <w:b/>
                <w:bCs/>
                <w:color w:val="auto"/>
                <w:sz w:val="24"/>
                <w:lang w:val="en-US" w:eastAsia="zh-CN"/>
              </w:rPr>
              <w:t>【202</w:t>
            </w:r>
            <w:r>
              <w:rPr>
                <w:rFonts w:hint="eastAsia" w:ascii="Times New Roman" w:hAnsi="Times New Roman" w:cs="Times New Roman"/>
                <w:b/>
                <w:bCs/>
                <w:color w:val="auto"/>
                <w:sz w:val="24"/>
                <w:lang w:val="en-US" w:eastAsia="zh-CN"/>
              </w:rPr>
              <w:t>3</w:t>
            </w:r>
            <w:r>
              <w:rPr>
                <w:rFonts w:hint="default" w:ascii="Times New Roman" w:hAnsi="Times New Roman" w:cs="Times New Roman"/>
                <w:b/>
                <w:bCs/>
                <w:color w:val="auto"/>
                <w:sz w:val="24"/>
                <w:lang w:val="en-US" w:eastAsia="zh-CN"/>
              </w:rPr>
              <w:t>】</w:t>
            </w:r>
            <w:r>
              <w:rPr>
                <w:rFonts w:hint="eastAsia" w:ascii="Times New Roman" w:hAnsi="Times New Roman" w:cs="Times New Roman"/>
                <w:b/>
                <w:bCs/>
                <w:color w:val="auto"/>
                <w:sz w:val="24"/>
                <w:lang w:val="en-US" w:eastAsia="zh-CN"/>
              </w:rPr>
              <w:t>58</w:t>
            </w:r>
            <w:r>
              <w:rPr>
                <w:rFonts w:hint="default" w:ascii="Times New Roman" w:hAnsi="Times New Roman" w:cs="Times New Roman"/>
                <w:b/>
                <w:bCs/>
                <w:color w:val="auto"/>
                <w:sz w:val="24"/>
                <w:lang w:val="en-US" w:eastAsia="zh-CN"/>
              </w:rPr>
              <w:t>号</w:t>
            </w:r>
            <w:r>
              <w:rPr>
                <w:rFonts w:hint="eastAsia" w:ascii="Times New Roman" w:hAnsi="Times New Roman" w:cs="Times New Roman"/>
                <w:b/>
                <w:bCs/>
                <w:color w:val="auto"/>
                <w:sz w:val="24"/>
                <w:lang w:val="en-US" w:eastAsia="zh-CN"/>
              </w:rPr>
              <w:t>，安徽省人民政府办公厅，2023年12月08日</w:t>
            </w:r>
            <w:r>
              <w:rPr>
                <w:rFonts w:hint="default" w:ascii="Times New Roman" w:hAnsi="Times New Roman" w:cs="Times New Roman"/>
                <w:b/>
                <w:bCs/>
                <w:color w:val="auto"/>
                <w:sz w:val="24"/>
                <w:lang w:val="en-US" w:eastAsia="zh-CN"/>
              </w:rPr>
              <w:t>）符合性分析</w:t>
            </w:r>
          </w:p>
          <w:p w14:paraId="1844E686">
            <w:pPr>
              <w:spacing w:line="360" w:lineRule="auto"/>
              <w:ind w:firstLine="480" w:firstLineChars="200"/>
              <w:rPr>
                <w:rFonts w:hint="default" w:ascii="Times New Roman" w:hAnsi="Times New Roman" w:cs="Times New Roman"/>
                <w:b w:val="0"/>
                <w:bCs w:val="0"/>
                <w:color w:val="auto"/>
                <w:sz w:val="24"/>
                <w:lang w:val="en-US" w:eastAsia="zh-CN"/>
              </w:rPr>
            </w:pPr>
            <w:r>
              <w:rPr>
                <w:rFonts w:hint="default" w:ascii="Times New Roman" w:hAnsi="Times New Roman" w:cs="Times New Roman"/>
                <w:b w:val="0"/>
                <w:bCs w:val="0"/>
                <w:color w:val="auto"/>
                <w:sz w:val="24"/>
                <w:lang w:val="en-US" w:eastAsia="zh-CN"/>
              </w:rPr>
              <w:t>本项目与《关于印发&lt;</w:t>
            </w:r>
            <w:r>
              <w:rPr>
                <w:rFonts w:hint="eastAsia" w:ascii="Times New Roman" w:hAnsi="Times New Roman" w:cs="Times New Roman"/>
                <w:b w:val="0"/>
                <w:bCs w:val="0"/>
                <w:color w:val="auto"/>
                <w:sz w:val="24"/>
                <w:lang w:val="en-US" w:eastAsia="zh-CN"/>
              </w:rPr>
              <w:t>皖北六市空气质量提升攻坚行动方案</w:t>
            </w:r>
            <w:r>
              <w:rPr>
                <w:rFonts w:hint="default" w:ascii="Times New Roman" w:hAnsi="Times New Roman" w:cs="Times New Roman"/>
                <w:b w:val="0"/>
                <w:bCs w:val="0"/>
                <w:color w:val="auto"/>
                <w:sz w:val="24"/>
                <w:lang w:val="en-US" w:eastAsia="zh-CN"/>
              </w:rPr>
              <w:t>&gt;的通知》（</w:t>
            </w:r>
            <w:r>
              <w:rPr>
                <w:rFonts w:hint="eastAsia" w:ascii="Times New Roman" w:hAnsi="Times New Roman" w:cs="Times New Roman"/>
                <w:b w:val="0"/>
                <w:bCs w:val="0"/>
                <w:color w:val="auto"/>
                <w:sz w:val="24"/>
                <w:lang w:val="en-US" w:eastAsia="zh-CN"/>
              </w:rPr>
              <w:t>皖政办秘</w:t>
            </w:r>
            <w:r>
              <w:rPr>
                <w:rFonts w:hint="default" w:ascii="Times New Roman" w:hAnsi="Times New Roman" w:cs="Times New Roman"/>
                <w:b w:val="0"/>
                <w:bCs w:val="0"/>
                <w:color w:val="auto"/>
                <w:sz w:val="24"/>
                <w:lang w:val="en-US" w:eastAsia="zh-CN"/>
              </w:rPr>
              <w:t>【202</w:t>
            </w:r>
            <w:r>
              <w:rPr>
                <w:rFonts w:hint="eastAsia" w:ascii="Times New Roman" w:hAnsi="Times New Roman" w:cs="Times New Roman"/>
                <w:b w:val="0"/>
                <w:bCs w:val="0"/>
                <w:color w:val="auto"/>
                <w:sz w:val="24"/>
                <w:lang w:val="en-US" w:eastAsia="zh-CN"/>
              </w:rPr>
              <w:t>3</w:t>
            </w:r>
            <w:r>
              <w:rPr>
                <w:rFonts w:hint="default" w:ascii="Times New Roman" w:hAnsi="Times New Roman" w:cs="Times New Roman"/>
                <w:b w:val="0"/>
                <w:bCs w:val="0"/>
                <w:color w:val="auto"/>
                <w:sz w:val="24"/>
                <w:lang w:val="en-US" w:eastAsia="zh-CN"/>
              </w:rPr>
              <w:t>】</w:t>
            </w:r>
            <w:r>
              <w:rPr>
                <w:rFonts w:hint="eastAsia" w:ascii="Times New Roman" w:hAnsi="Times New Roman" w:cs="Times New Roman"/>
                <w:b w:val="0"/>
                <w:bCs w:val="0"/>
                <w:color w:val="auto"/>
                <w:sz w:val="24"/>
                <w:lang w:val="en-US" w:eastAsia="zh-CN"/>
              </w:rPr>
              <w:t>58</w:t>
            </w:r>
            <w:r>
              <w:rPr>
                <w:rFonts w:hint="default" w:ascii="Times New Roman" w:hAnsi="Times New Roman" w:cs="Times New Roman"/>
                <w:b w:val="0"/>
                <w:bCs w:val="0"/>
                <w:color w:val="auto"/>
                <w:sz w:val="24"/>
                <w:lang w:val="en-US" w:eastAsia="zh-CN"/>
              </w:rPr>
              <w:t>号</w:t>
            </w:r>
            <w:r>
              <w:rPr>
                <w:rFonts w:hint="eastAsia" w:ascii="Times New Roman" w:hAnsi="Times New Roman" w:cs="Times New Roman"/>
                <w:b w:val="0"/>
                <w:bCs w:val="0"/>
                <w:color w:val="auto"/>
                <w:sz w:val="24"/>
                <w:lang w:val="en-US" w:eastAsia="zh-CN"/>
              </w:rPr>
              <w:t>，安徽省人民政府办公厅，2023年12月08日</w:t>
            </w:r>
            <w:r>
              <w:rPr>
                <w:rFonts w:hint="default" w:ascii="Times New Roman" w:hAnsi="Times New Roman" w:cs="Times New Roman"/>
                <w:b w:val="0"/>
                <w:bCs w:val="0"/>
                <w:color w:val="auto"/>
                <w:sz w:val="24"/>
                <w:lang w:val="en-US" w:eastAsia="zh-CN"/>
              </w:rPr>
              <w:t>）符合性分析见表</w:t>
            </w:r>
            <w:r>
              <w:rPr>
                <w:rFonts w:hint="eastAsia" w:ascii="Times New Roman" w:hAnsi="Times New Roman" w:cs="Times New Roman"/>
                <w:b w:val="0"/>
                <w:bCs w:val="0"/>
                <w:color w:val="auto"/>
                <w:sz w:val="24"/>
                <w:lang w:val="en-US" w:eastAsia="zh-CN"/>
              </w:rPr>
              <w:t>1.20</w:t>
            </w:r>
            <w:r>
              <w:rPr>
                <w:rFonts w:hint="default" w:ascii="Times New Roman" w:hAnsi="Times New Roman" w:cs="Times New Roman"/>
                <w:b w:val="0"/>
                <w:bCs w:val="0"/>
                <w:color w:val="auto"/>
                <w:sz w:val="24"/>
                <w:lang w:val="en-US" w:eastAsia="zh-CN"/>
              </w:rPr>
              <w:t>。</w:t>
            </w:r>
          </w:p>
          <w:p w14:paraId="78F8736A">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 xml:space="preserve">1.20  </w:t>
            </w:r>
            <w:r>
              <w:rPr>
                <w:rFonts w:hint="default" w:ascii="Times New Roman" w:hAnsi="Times New Roman" w:cs="Times New Roman"/>
                <w:b/>
                <w:bCs/>
                <w:color w:val="auto"/>
                <w:sz w:val="21"/>
                <w:szCs w:val="21"/>
              </w:rPr>
              <w:t>与</w:t>
            </w:r>
            <w:r>
              <w:rPr>
                <w:rFonts w:hint="default" w:ascii="Times New Roman" w:hAnsi="Times New Roman" w:cs="Times New Roman"/>
                <w:b/>
                <w:bCs/>
                <w:color w:val="auto"/>
                <w:sz w:val="21"/>
                <w:szCs w:val="21"/>
                <w:lang w:val="en-US" w:eastAsia="zh-CN"/>
              </w:rPr>
              <w:t>《关于印发&lt;</w:t>
            </w:r>
            <w:r>
              <w:rPr>
                <w:rFonts w:hint="eastAsia" w:ascii="Times New Roman" w:hAnsi="Times New Roman" w:cs="Times New Roman"/>
                <w:b/>
                <w:bCs/>
                <w:color w:val="auto"/>
                <w:sz w:val="21"/>
                <w:szCs w:val="21"/>
                <w:lang w:val="en-US" w:eastAsia="zh-CN"/>
              </w:rPr>
              <w:t>皖北六市空气质量提升攻坚行动方案</w:t>
            </w:r>
            <w:r>
              <w:rPr>
                <w:rFonts w:hint="default" w:ascii="Times New Roman" w:hAnsi="Times New Roman" w:cs="Times New Roman"/>
                <w:b/>
                <w:bCs/>
                <w:color w:val="auto"/>
                <w:sz w:val="21"/>
                <w:szCs w:val="21"/>
                <w:lang w:val="en-US" w:eastAsia="zh-CN"/>
              </w:rPr>
              <w:t>&gt;的通知》</w:t>
            </w:r>
            <w:r>
              <w:rPr>
                <w:rFonts w:hint="default" w:ascii="Times New Roman" w:hAnsi="Times New Roman" w:cs="Times New Roman"/>
                <w:b/>
                <w:bCs/>
                <w:color w:val="auto"/>
                <w:sz w:val="21"/>
                <w:szCs w:val="21"/>
              </w:rPr>
              <w:t>符合性分析</w:t>
            </w:r>
          </w:p>
          <w:tbl>
            <w:tblPr>
              <w:tblStyle w:val="31"/>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3435"/>
              <w:gridCol w:w="3451"/>
              <w:gridCol w:w="606"/>
            </w:tblGrid>
            <w:tr w14:paraId="3F6F8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4333" w:type="dxa"/>
                  <w:gridSpan w:val="2"/>
                  <w:noWrap w:val="0"/>
                  <w:vAlign w:val="center"/>
                </w:tcPr>
                <w:p w14:paraId="50B22C47">
                  <w:pPr>
                    <w:widowControl/>
                    <w:adjustRightInd w:val="0"/>
                    <w:snapToGrid w:val="0"/>
                    <w:spacing w:line="240" w:lineRule="auto"/>
                    <w:jc w:val="center"/>
                    <w:rPr>
                      <w:rFonts w:hint="default" w:ascii="Times New Roman" w:hAnsi="Times New Roman" w:cs="Times New Roman"/>
                      <w:b w:val="0"/>
                      <w:bCs w:val="0"/>
                      <w:color w:val="auto"/>
                      <w:sz w:val="21"/>
                      <w:szCs w:val="21"/>
                      <w:lang w:bidi="ar"/>
                    </w:rPr>
                  </w:pPr>
                  <w:r>
                    <w:rPr>
                      <w:rFonts w:hint="default" w:ascii="Times New Roman" w:hAnsi="Times New Roman" w:cs="Times New Roman"/>
                      <w:b w:val="0"/>
                      <w:bCs w:val="0"/>
                      <w:color w:val="auto"/>
                      <w:sz w:val="21"/>
                      <w:szCs w:val="21"/>
                      <w:lang w:val="en-US" w:eastAsia="zh-CN"/>
                    </w:rPr>
                    <w:t>《关于印发&lt;皖北六市空气质量提升攻坚行动方案&gt;的通知》（皖政办秘【2023】58号）</w:t>
                  </w:r>
                  <w:r>
                    <w:rPr>
                      <w:rFonts w:hint="default" w:ascii="Times New Roman" w:hAnsi="Times New Roman" w:cs="Times New Roman"/>
                      <w:b w:val="0"/>
                      <w:bCs w:val="0"/>
                      <w:color w:val="auto"/>
                      <w:sz w:val="21"/>
                      <w:szCs w:val="21"/>
                      <w:lang w:bidi="ar"/>
                    </w:rPr>
                    <w:t>内容</w:t>
                  </w:r>
                </w:p>
              </w:tc>
              <w:tc>
                <w:tcPr>
                  <w:tcW w:w="3451" w:type="dxa"/>
                  <w:noWrap w:val="0"/>
                  <w:vAlign w:val="center"/>
                </w:tcPr>
                <w:p w14:paraId="5F66B3AE">
                  <w:pPr>
                    <w:widowControl/>
                    <w:adjustRightInd w:val="0"/>
                    <w:snapToGrid w:val="0"/>
                    <w:spacing w:line="240" w:lineRule="auto"/>
                    <w:jc w:val="center"/>
                    <w:rPr>
                      <w:rFonts w:hint="default" w:ascii="Times New Roman" w:hAnsi="Times New Roman" w:cs="Times New Roman"/>
                      <w:b w:val="0"/>
                      <w:bCs w:val="0"/>
                      <w:color w:val="auto"/>
                      <w:sz w:val="21"/>
                      <w:szCs w:val="21"/>
                      <w:lang w:bidi="ar"/>
                    </w:rPr>
                  </w:pPr>
                  <w:r>
                    <w:rPr>
                      <w:rFonts w:hint="default" w:ascii="Times New Roman" w:hAnsi="Times New Roman" w:cs="Times New Roman"/>
                      <w:b w:val="0"/>
                      <w:bCs w:val="0"/>
                      <w:color w:val="auto"/>
                      <w:sz w:val="21"/>
                      <w:szCs w:val="21"/>
                      <w:lang w:bidi="ar"/>
                    </w:rPr>
                    <w:t>本项目建设内容</w:t>
                  </w:r>
                </w:p>
              </w:tc>
              <w:tc>
                <w:tcPr>
                  <w:tcW w:w="606" w:type="dxa"/>
                  <w:noWrap w:val="0"/>
                  <w:vAlign w:val="center"/>
                </w:tcPr>
                <w:p w14:paraId="2F831FA9">
                  <w:pPr>
                    <w:widowControl/>
                    <w:adjustRightInd w:val="0"/>
                    <w:snapToGrid w:val="0"/>
                    <w:spacing w:line="240" w:lineRule="auto"/>
                    <w:jc w:val="center"/>
                    <w:rPr>
                      <w:rFonts w:hint="default" w:ascii="Times New Roman" w:hAnsi="Times New Roman" w:cs="Times New Roman"/>
                      <w:b w:val="0"/>
                      <w:bCs w:val="0"/>
                      <w:color w:val="auto"/>
                      <w:sz w:val="21"/>
                      <w:szCs w:val="21"/>
                      <w:lang w:bidi="ar"/>
                    </w:rPr>
                  </w:pPr>
                  <w:r>
                    <w:rPr>
                      <w:rFonts w:hint="default" w:ascii="Times New Roman" w:hAnsi="Times New Roman" w:cs="Times New Roman"/>
                      <w:b w:val="0"/>
                      <w:bCs w:val="0"/>
                      <w:color w:val="auto"/>
                      <w:sz w:val="21"/>
                      <w:szCs w:val="21"/>
                      <w:lang w:bidi="ar"/>
                    </w:rPr>
                    <w:t>相符性</w:t>
                  </w:r>
                </w:p>
              </w:tc>
            </w:tr>
            <w:tr w14:paraId="0087C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5" w:hRule="atLeast"/>
                <w:jc w:val="center"/>
              </w:trPr>
              <w:tc>
                <w:tcPr>
                  <w:tcW w:w="898" w:type="dxa"/>
                  <w:vMerge w:val="restart"/>
                  <w:noWrap w:val="0"/>
                  <w:vAlign w:val="center"/>
                </w:tcPr>
                <w:p w14:paraId="4B24C020">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cs="Times New Roman" w:eastAsiaTheme="minorEastAsia"/>
                      <w:b w:val="0"/>
                      <w:bCs w:val="0"/>
                      <w:color w:val="auto"/>
                      <w:sz w:val="21"/>
                      <w:szCs w:val="21"/>
                      <w:lang w:val="en-US" w:eastAsia="zh-CN" w:bidi="ar"/>
                    </w:rPr>
                  </w:pPr>
                  <w:r>
                    <w:rPr>
                      <w:rFonts w:hint="eastAsia" w:ascii="Times New Roman" w:hAnsi="Times New Roman" w:cs="Times New Roman"/>
                      <w:b w:val="0"/>
                      <w:bCs w:val="0"/>
                      <w:color w:val="auto"/>
                      <w:sz w:val="21"/>
                      <w:szCs w:val="21"/>
                      <w:lang w:val="en-US" w:eastAsia="zh-CN" w:bidi="ar"/>
                    </w:rPr>
                    <w:t>二、重点工作-（一）开展产业绿色发展提升行动。</w:t>
                  </w:r>
                </w:p>
              </w:tc>
              <w:tc>
                <w:tcPr>
                  <w:tcW w:w="3435" w:type="dxa"/>
                  <w:noWrap w:val="0"/>
                  <w:vAlign w:val="center"/>
                </w:tcPr>
                <w:p w14:paraId="3B4A68C7">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cs="Times New Roman"/>
                      <w:b w:val="0"/>
                      <w:bCs w:val="0"/>
                      <w:color w:val="auto"/>
                      <w:sz w:val="21"/>
                      <w:szCs w:val="21"/>
                      <w:lang w:bidi="ar"/>
                    </w:rPr>
                  </w:pPr>
                  <w:r>
                    <w:rPr>
                      <w:rFonts w:hint="default" w:ascii="Times New Roman" w:hAnsi="Times New Roman" w:cs="Times New Roman"/>
                      <w:b w:val="0"/>
                      <w:bCs w:val="0"/>
                      <w:color w:val="auto"/>
                      <w:sz w:val="21"/>
                      <w:szCs w:val="21"/>
                      <w:lang w:bidi="ar"/>
                    </w:rPr>
                    <w:t>1</w:t>
                  </w:r>
                  <w:r>
                    <w:rPr>
                      <w:rFonts w:hint="eastAsia" w:ascii="Times New Roman" w:hAnsi="Times New Roman" w:cs="Times New Roman"/>
                      <w:b w:val="0"/>
                      <w:bCs w:val="0"/>
                      <w:color w:val="auto"/>
                      <w:sz w:val="21"/>
                      <w:szCs w:val="21"/>
                      <w:lang w:val="en-US" w:eastAsia="zh-CN" w:bidi="ar"/>
                    </w:rPr>
                    <w:t>.</w:t>
                  </w:r>
                  <w:r>
                    <w:rPr>
                      <w:rFonts w:hint="default" w:ascii="Times New Roman" w:hAnsi="Times New Roman" w:cs="Times New Roman"/>
                      <w:b w:val="0"/>
                      <w:bCs w:val="0"/>
                      <w:color w:val="auto"/>
                      <w:sz w:val="21"/>
                      <w:szCs w:val="21"/>
                      <w:lang w:bidi="ar"/>
                    </w:rPr>
                    <w:t>坚决遏</w:t>
                  </w:r>
                  <w:r>
                    <w:rPr>
                      <w:rFonts w:hint="eastAsia" w:ascii="宋体" w:hAnsi="宋体" w:eastAsia="宋体" w:cs="宋体"/>
                      <w:b w:val="0"/>
                      <w:bCs w:val="0"/>
                      <w:color w:val="auto"/>
                      <w:sz w:val="21"/>
                      <w:szCs w:val="21"/>
                      <w:lang w:bidi="ar"/>
                    </w:rPr>
                    <w:t>制“两高”项目盲目发展。对淮南市的火电、煤化工，淮北市的火电、焦化，蚌埠市的化工、玻璃，阜阳市的化工、建材，宿州市的水泥、陶瓷等“两高”项目，实施清单管理、动态监控，严格落实错峰生产和重污染天气应急管理措施，新建“两高”项</w:t>
                  </w:r>
                  <w:r>
                    <w:rPr>
                      <w:rFonts w:hint="default" w:ascii="Times New Roman" w:hAnsi="Times New Roman" w:cs="Times New Roman"/>
                      <w:b w:val="0"/>
                      <w:bCs w:val="0"/>
                      <w:color w:val="auto"/>
                      <w:sz w:val="21"/>
                      <w:szCs w:val="21"/>
                      <w:lang w:bidi="ar"/>
                    </w:rPr>
                    <w:t>目按照重污染天气A级绩效指标建设。</w:t>
                  </w:r>
                </w:p>
              </w:tc>
              <w:tc>
                <w:tcPr>
                  <w:tcW w:w="3451" w:type="dxa"/>
                  <w:noWrap w:val="0"/>
                  <w:vAlign w:val="center"/>
                </w:tcPr>
                <w:p w14:paraId="05404E54">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cs="Times New Roman"/>
                      <w:b w:val="0"/>
                      <w:bCs w:val="0"/>
                      <w:color w:val="auto"/>
                      <w:sz w:val="21"/>
                      <w:szCs w:val="21"/>
                      <w:lang w:bidi="ar"/>
                    </w:rPr>
                  </w:pPr>
                  <w:r>
                    <w:rPr>
                      <w:rFonts w:hint="eastAsia" w:ascii="Times New Roman" w:hAnsi="Times New Roman"/>
                      <w:b w:val="0"/>
                      <w:bCs w:val="0"/>
                      <w:color w:val="auto"/>
                      <w:sz w:val="21"/>
                      <w:szCs w:val="21"/>
                      <w:lang w:val="en-US" w:eastAsia="zh-CN"/>
                    </w:rPr>
                    <w:t>本项目不属于“两高”项目，同时也不属于宿州市的水泥、陶瓷等“两高”项目。</w:t>
                  </w:r>
                </w:p>
              </w:tc>
              <w:tc>
                <w:tcPr>
                  <w:tcW w:w="606" w:type="dxa"/>
                  <w:noWrap w:val="0"/>
                  <w:vAlign w:val="center"/>
                </w:tcPr>
                <w:p w14:paraId="135925C8">
                  <w:pPr>
                    <w:widowControl/>
                    <w:adjustRightInd w:val="0"/>
                    <w:snapToGrid w:val="0"/>
                    <w:spacing w:line="240" w:lineRule="auto"/>
                    <w:jc w:val="center"/>
                    <w:rPr>
                      <w:rFonts w:hint="default" w:ascii="Times New Roman" w:hAnsi="Times New Roman" w:cs="Times New Roman"/>
                      <w:b w:val="0"/>
                      <w:bCs w:val="0"/>
                      <w:color w:val="auto"/>
                      <w:sz w:val="21"/>
                      <w:szCs w:val="21"/>
                      <w:lang w:bidi="ar"/>
                    </w:rPr>
                  </w:pPr>
                  <w:r>
                    <w:rPr>
                      <w:rFonts w:hint="default" w:ascii="Times New Roman" w:hAnsi="Times New Roman" w:cs="Times New Roman"/>
                      <w:b w:val="0"/>
                      <w:bCs w:val="0"/>
                      <w:color w:val="auto"/>
                      <w:sz w:val="21"/>
                      <w:szCs w:val="21"/>
                      <w:lang w:bidi="ar"/>
                    </w:rPr>
                    <w:t>符合</w:t>
                  </w:r>
                </w:p>
              </w:tc>
            </w:tr>
            <w:tr w14:paraId="043B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898" w:type="dxa"/>
                  <w:vMerge w:val="continue"/>
                  <w:noWrap w:val="0"/>
                  <w:vAlign w:val="center"/>
                </w:tcPr>
                <w:p w14:paraId="0668DAB1">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cs="Times New Roman"/>
                      <w:b w:val="0"/>
                      <w:bCs w:val="0"/>
                      <w:color w:val="auto"/>
                      <w:sz w:val="21"/>
                      <w:szCs w:val="21"/>
                      <w:lang w:val="en-US" w:eastAsia="zh-CN" w:bidi="ar"/>
                    </w:rPr>
                  </w:pPr>
                </w:p>
              </w:tc>
              <w:tc>
                <w:tcPr>
                  <w:tcW w:w="3435" w:type="dxa"/>
                  <w:noWrap w:val="0"/>
                  <w:vAlign w:val="center"/>
                </w:tcPr>
                <w:p w14:paraId="1028CC13">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cs="Times New Roman"/>
                      <w:b w:val="0"/>
                      <w:bCs w:val="0"/>
                      <w:color w:val="auto"/>
                      <w:sz w:val="21"/>
                      <w:szCs w:val="21"/>
                      <w:lang w:bidi="ar"/>
                    </w:rPr>
                  </w:pPr>
                  <w:r>
                    <w:rPr>
                      <w:rFonts w:hint="default" w:ascii="Times New Roman" w:hAnsi="Times New Roman" w:cs="Times New Roman"/>
                      <w:b w:val="0"/>
                      <w:bCs w:val="0"/>
                      <w:color w:val="auto"/>
                      <w:sz w:val="21"/>
                      <w:szCs w:val="21"/>
                      <w:lang w:bidi="ar"/>
                    </w:rPr>
                    <w:t>3</w:t>
                  </w:r>
                  <w:r>
                    <w:rPr>
                      <w:rFonts w:hint="eastAsia" w:ascii="Times New Roman" w:hAnsi="Times New Roman" w:cs="Times New Roman"/>
                      <w:b w:val="0"/>
                      <w:bCs w:val="0"/>
                      <w:color w:val="auto"/>
                      <w:sz w:val="21"/>
                      <w:szCs w:val="21"/>
                      <w:lang w:val="en-US" w:eastAsia="zh-CN" w:bidi="ar"/>
                    </w:rPr>
                    <w:t>.</w:t>
                  </w:r>
                  <w:r>
                    <w:rPr>
                      <w:rFonts w:hint="default" w:ascii="Times New Roman" w:hAnsi="Times New Roman" w:cs="Times New Roman"/>
                      <w:b w:val="0"/>
                      <w:bCs w:val="0"/>
                      <w:color w:val="auto"/>
                      <w:sz w:val="21"/>
                      <w:szCs w:val="21"/>
                      <w:lang w:bidi="ar"/>
                    </w:rPr>
                    <w:t>大力整</w:t>
                  </w:r>
                  <w:r>
                    <w:rPr>
                      <w:rFonts w:hint="eastAsia" w:ascii="宋体" w:hAnsi="宋体" w:eastAsia="宋体" w:cs="宋体"/>
                      <w:b w:val="0"/>
                      <w:bCs w:val="0"/>
                      <w:color w:val="auto"/>
                      <w:sz w:val="21"/>
                      <w:szCs w:val="21"/>
                      <w:lang w:bidi="ar"/>
                    </w:rPr>
                    <w:t>治“散乱污”企业。全面排查塑料加工、人造板、木材加工、家具制造、合成革、包装印刷、石材加工、煤和矸石破碎加工（含煤球等）、粮食饲料加工、中药材加工、不规范搅拌站、汽车维修（抛光、</w:t>
                  </w:r>
                  <w:r>
                    <w:rPr>
                      <w:rFonts w:hint="eastAsia" w:ascii="宋体" w:hAnsi="宋体" w:eastAsia="宋体" w:cs="宋体"/>
                      <w:b w:val="0"/>
                      <w:bCs w:val="0"/>
                      <w:color w:val="auto"/>
                      <w:sz w:val="21"/>
                      <w:szCs w:val="21"/>
                      <w:lang w:eastAsia="zh-CN" w:bidi="ar"/>
                    </w:rPr>
                    <w:t>磨边</w:t>
                  </w:r>
                  <w:r>
                    <w:rPr>
                      <w:rFonts w:hint="eastAsia" w:ascii="宋体" w:hAnsi="宋体" w:eastAsia="宋体" w:cs="宋体"/>
                      <w:b w:val="0"/>
                      <w:bCs w:val="0"/>
                      <w:color w:val="auto"/>
                      <w:sz w:val="21"/>
                      <w:szCs w:val="21"/>
                      <w:lang w:bidi="ar"/>
                    </w:rPr>
                    <w:t>）、黑色和有色金属熔炼加工、陶瓷烧制、砖瓦窑等涉气“散乱污”企业，实施清单管理，明确时限、责任、措施，依法依规限</w:t>
                  </w:r>
                  <w:r>
                    <w:rPr>
                      <w:rFonts w:hint="default" w:ascii="Times New Roman" w:hAnsi="Times New Roman" w:cs="Times New Roman"/>
                      <w:b w:val="0"/>
                      <w:bCs w:val="0"/>
                      <w:color w:val="auto"/>
                      <w:sz w:val="21"/>
                      <w:szCs w:val="21"/>
                      <w:lang w:bidi="ar"/>
                    </w:rPr>
                    <w:t>期退出，推动相关产业转型升级。</w:t>
                  </w:r>
                </w:p>
              </w:tc>
              <w:tc>
                <w:tcPr>
                  <w:tcW w:w="3451" w:type="dxa"/>
                  <w:noWrap w:val="0"/>
                  <w:vAlign w:val="center"/>
                </w:tcPr>
                <w:p w14:paraId="37D23D7B">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b w:val="0"/>
                      <w:bCs w:val="0"/>
                      <w:color w:val="auto"/>
                      <w:sz w:val="21"/>
                      <w:szCs w:val="21"/>
                      <w:lang w:val="en-US" w:eastAsia="zh-CN"/>
                    </w:rPr>
                    <w:t>项目建设地点位于安徽省宿州市泗县泗水街道唐河路与赤山路交汇处东150米绿朗光电智慧产业园6栋2号，</w:t>
                  </w:r>
                  <w:r>
                    <w:rPr>
                      <w:rFonts w:hint="default" w:ascii="Times New Roman" w:hAnsi="Times New Roman" w:eastAsia="宋体" w:cs="Times New Roman"/>
                      <w:color w:val="auto"/>
                    </w:rPr>
                    <w:t>项目已于20</w:t>
                  </w:r>
                  <w:r>
                    <w:rPr>
                      <w:rFonts w:hint="default" w:ascii="Times New Roman" w:hAnsi="Times New Roman" w:eastAsia="宋体" w:cs="Times New Roman"/>
                      <w:color w:val="auto"/>
                      <w:lang w:val="en-US" w:eastAsia="zh-CN"/>
                    </w:rPr>
                    <w:t>25</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11</w:t>
                  </w:r>
                  <w:r>
                    <w:rPr>
                      <w:rFonts w:hint="default" w:ascii="Times New Roman" w:hAnsi="Times New Roman" w:eastAsia="宋体" w:cs="Times New Roman"/>
                      <w:color w:val="auto"/>
                    </w:rPr>
                    <w:t>月</w:t>
                  </w:r>
                  <w:r>
                    <w:rPr>
                      <w:rFonts w:hint="default" w:ascii="Times New Roman" w:hAnsi="Times New Roman" w:eastAsia="宋体" w:cs="Times New Roman"/>
                      <w:color w:val="auto"/>
                      <w:lang w:val="en-US" w:eastAsia="zh-CN"/>
                    </w:rPr>
                    <w:t>27</w:t>
                  </w:r>
                  <w:r>
                    <w:rPr>
                      <w:rFonts w:hint="default" w:ascii="Times New Roman" w:hAnsi="Times New Roman" w:eastAsia="宋体" w:cs="Times New Roman"/>
                      <w:color w:val="auto"/>
                    </w:rPr>
                    <w:t>日取得了</w:t>
                  </w:r>
                  <w:r>
                    <w:rPr>
                      <w:rFonts w:hint="default" w:ascii="Times New Roman" w:hAnsi="Times New Roman" w:eastAsia="宋体" w:cs="Times New Roman"/>
                      <w:color w:val="auto"/>
                      <w:lang w:val="en-US" w:eastAsia="zh-CN"/>
                    </w:rPr>
                    <w:t>泗县发展和改革委员会</w:t>
                  </w:r>
                  <w:r>
                    <w:rPr>
                      <w:rFonts w:hint="default" w:ascii="Times New Roman" w:hAnsi="Times New Roman" w:eastAsia="宋体" w:cs="Times New Roman"/>
                      <w:color w:val="auto"/>
                    </w:rPr>
                    <w:t>下达的《</w:t>
                  </w:r>
                  <w:r>
                    <w:rPr>
                      <w:rFonts w:hint="eastAsia" w:ascii="Times New Roman" w:hAnsi="Times New Roman" w:eastAsia="宋体" w:cs="Times New Roman"/>
                      <w:color w:val="auto"/>
                      <w:lang w:val="en-US" w:eastAsia="zh-CN"/>
                    </w:rPr>
                    <w:t>宿州美膳新材料有限公司年产100000套密胺餐具项目</w:t>
                  </w:r>
                  <w:r>
                    <w:rPr>
                      <w:rFonts w:hint="default" w:ascii="Times New Roman" w:hAnsi="Times New Roman" w:eastAsia="宋体" w:cs="Times New Roman"/>
                      <w:color w:val="auto"/>
                      <w:lang w:val="en-US" w:eastAsia="zh-CN"/>
                    </w:rPr>
                    <w:t>备案表</w:t>
                  </w:r>
                  <w:r>
                    <w:rPr>
                      <w:rFonts w:hint="default" w:ascii="Times New Roman" w:hAnsi="Times New Roman" w:eastAsia="宋体" w:cs="Times New Roman"/>
                      <w:color w:val="auto"/>
                    </w:rPr>
                    <w:t>》（项目代码</w:t>
                  </w:r>
                  <w:r>
                    <w:rPr>
                      <w:rFonts w:hint="default"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2512-341324-04-05-107085</w:t>
                  </w:r>
                  <w:r>
                    <w:rPr>
                      <w:rFonts w:hint="default" w:ascii="Times New Roman" w:hAnsi="Times New Roman" w:eastAsia="宋体" w:cs="Times New Roman"/>
                      <w:color w:val="auto"/>
                    </w:rPr>
                    <w:t>）。</w:t>
                  </w:r>
                  <w:r>
                    <w:rPr>
                      <w:rFonts w:hint="eastAsia" w:ascii="Times New Roman" w:hAnsi="Times New Roman"/>
                      <w:b w:val="0"/>
                      <w:bCs w:val="0"/>
                      <w:color w:val="auto"/>
                      <w:sz w:val="21"/>
                      <w:szCs w:val="21"/>
                      <w:lang w:val="en-US" w:eastAsia="zh-CN"/>
                    </w:rPr>
                    <w:t>不属于“散乱污”企业。</w:t>
                  </w:r>
                </w:p>
              </w:tc>
              <w:tc>
                <w:tcPr>
                  <w:tcW w:w="606" w:type="dxa"/>
                  <w:noWrap w:val="0"/>
                  <w:vAlign w:val="center"/>
                </w:tcPr>
                <w:p w14:paraId="3273386B">
                  <w:pPr>
                    <w:widowControl/>
                    <w:adjustRightInd w:val="0"/>
                    <w:snapToGrid w:val="0"/>
                    <w:spacing w:line="240" w:lineRule="auto"/>
                    <w:jc w:val="center"/>
                    <w:rPr>
                      <w:rFonts w:hint="eastAsia" w:ascii="Times New Roman" w:hAnsi="Times New Roman" w:cs="Times New Roman" w:eastAsiaTheme="minorEastAsia"/>
                      <w:b w:val="0"/>
                      <w:bCs w:val="0"/>
                      <w:color w:val="auto"/>
                      <w:sz w:val="21"/>
                      <w:szCs w:val="21"/>
                      <w:lang w:val="en-US" w:eastAsia="zh-CN" w:bidi="ar"/>
                    </w:rPr>
                  </w:pPr>
                  <w:r>
                    <w:rPr>
                      <w:rFonts w:hint="eastAsia" w:ascii="Times New Roman" w:hAnsi="Times New Roman" w:cs="Times New Roman"/>
                      <w:b w:val="0"/>
                      <w:bCs w:val="0"/>
                      <w:color w:val="auto"/>
                      <w:sz w:val="21"/>
                      <w:szCs w:val="21"/>
                      <w:lang w:val="en-US" w:eastAsia="zh-CN" w:bidi="ar"/>
                    </w:rPr>
                    <w:t>符合</w:t>
                  </w:r>
                </w:p>
              </w:tc>
            </w:tr>
            <w:tr w14:paraId="2C608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98" w:type="dxa"/>
                  <w:noWrap w:val="0"/>
                  <w:vAlign w:val="center"/>
                </w:tcPr>
                <w:p w14:paraId="383C8E9B">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left"/>
                    <w:textAlignment w:val="auto"/>
                    <w:rPr>
                      <w:rFonts w:hint="eastAsia" w:ascii="Times New Roman" w:hAnsi="Times New Roman" w:cs="Times New Roman"/>
                      <w:b w:val="0"/>
                      <w:bCs w:val="0"/>
                      <w:color w:val="auto"/>
                      <w:sz w:val="21"/>
                      <w:szCs w:val="21"/>
                      <w:lang w:val="en-US" w:eastAsia="zh-CN" w:bidi="ar"/>
                    </w:rPr>
                  </w:pPr>
                  <w:r>
                    <w:rPr>
                      <w:rFonts w:hint="eastAsia" w:ascii="Times New Roman" w:hAnsi="Times New Roman" w:cs="Times New Roman"/>
                      <w:b w:val="0"/>
                      <w:bCs w:val="0"/>
                      <w:color w:val="auto"/>
                      <w:sz w:val="21"/>
                      <w:szCs w:val="21"/>
                      <w:lang w:val="en-US" w:eastAsia="zh-CN" w:bidi="ar"/>
                    </w:rPr>
                    <w:t>二、重点工作-（五）开展减污协同增效提升行动。</w:t>
                  </w:r>
                </w:p>
              </w:tc>
              <w:tc>
                <w:tcPr>
                  <w:tcW w:w="3435" w:type="dxa"/>
                  <w:noWrap w:val="0"/>
                  <w:vAlign w:val="center"/>
                </w:tcPr>
                <w:p w14:paraId="5C699E06">
                  <w:pPr>
                    <w:keepNext w:val="0"/>
                    <w:keepLines w:val="0"/>
                    <w:pageBreakBefore w:val="0"/>
                    <w:widowControl/>
                    <w:kinsoku/>
                    <w:wordWrap/>
                    <w:overflowPunct/>
                    <w:topLinePunct w:val="0"/>
                    <w:autoSpaceDE/>
                    <w:autoSpaceDN/>
                    <w:bidi w:val="0"/>
                    <w:adjustRightInd w:val="0"/>
                    <w:snapToGrid w:val="0"/>
                    <w:spacing w:line="240" w:lineRule="auto"/>
                    <w:ind w:firstLine="420" w:firstLineChars="200"/>
                    <w:jc w:val="both"/>
                    <w:textAlignment w:val="auto"/>
                    <w:rPr>
                      <w:rFonts w:hint="default" w:ascii="Times New Roman" w:hAnsi="Times New Roman" w:cs="Times New Roman"/>
                      <w:b w:val="0"/>
                      <w:bCs w:val="0"/>
                      <w:color w:val="auto"/>
                      <w:sz w:val="21"/>
                      <w:szCs w:val="21"/>
                      <w:lang w:bidi="ar"/>
                    </w:rPr>
                  </w:pPr>
                  <w:r>
                    <w:rPr>
                      <w:rFonts w:hint="default" w:ascii="Times New Roman" w:hAnsi="Times New Roman" w:cs="Times New Roman"/>
                      <w:b w:val="0"/>
                      <w:bCs w:val="0"/>
                      <w:color w:val="auto"/>
                      <w:sz w:val="21"/>
                      <w:szCs w:val="21"/>
                      <w:lang w:bidi="ar"/>
                    </w:rPr>
                    <w:t>15</w:t>
                  </w:r>
                  <w:r>
                    <w:rPr>
                      <w:rFonts w:hint="eastAsia" w:ascii="Times New Roman" w:hAnsi="Times New Roman" w:cs="Times New Roman"/>
                      <w:b w:val="0"/>
                      <w:bCs w:val="0"/>
                      <w:color w:val="auto"/>
                      <w:sz w:val="21"/>
                      <w:szCs w:val="21"/>
                      <w:lang w:val="en-US" w:eastAsia="zh-CN" w:bidi="ar"/>
                    </w:rPr>
                    <w:t>.</w:t>
                  </w:r>
                  <w:r>
                    <w:rPr>
                      <w:rFonts w:hint="default" w:ascii="Times New Roman" w:hAnsi="Times New Roman" w:cs="Times New Roman"/>
                      <w:b w:val="0"/>
                      <w:bCs w:val="0"/>
                      <w:color w:val="auto"/>
                      <w:sz w:val="21"/>
                      <w:szCs w:val="21"/>
                      <w:lang w:bidi="ar"/>
                    </w:rPr>
                    <w:t>强化挥</w:t>
                  </w:r>
                  <w:r>
                    <w:rPr>
                      <w:rFonts w:hint="eastAsia" w:ascii="宋体" w:hAnsi="宋体" w:eastAsia="宋体" w:cs="宋体"/>
                      <w:b w:val="0"/>
                      <w:bCs w:val="0"/>
                      <w:color w:val="auto"/>
                      <w:sz w:val="21"/>
                      <w:szCs w:val="21"/>
                      <w:lang w:bidi="ar"/>
                    </w:rPr>
                    <w:t>发性有机物深度治理。坚持“源头替代、综合治理、总量削减”原则，大力推动家具制造、板材加工、化工等涉挥发性有机物工业源</w:t>
                  </w:r>
                  <w:r>
                    <w:rPr>
                      <w:rFonts w:hint="default" w:ascii="Times New Roman" w:hAnsi="Times New Roman" w:cs="Times New Roman"/>
                      <w:b w:val="0"/>
                      <w:bCs w:val="0"/>
                      <w:color w:val="auto"/>
                      <w:sz w:val="21"/>
                      <w:szCs w:val="21"/>
                      <w:lang w:bidi="ar"/>
                    </w:rPr>
                    <w:t>重点行业全过程治理。实施低挥发性有机物含量原辅材料和产品源头替代工程，强化包装印刷、工业涂装、油品储运销等行业挥发性有机物收集效率，淘汰低效治理设施。持续开展挥发性有机物无组织排放问题排查整治。到2025年底，六市累计完成挥发性有机物重点工程减排量1万吨。</w:t>
                  </w:r>
                </w:p>
              </w:tc>
              <w:tc>
                <w:tcPr>
                  <w:tcW w:w="3451" w:type="dxa"/>
                  <w:noWrap w:val="0"/>
                  <w:vAlign w:val="center"/>
                </w:tcPr>
                <w:p w14:paraId="7CF079C0">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rPr>
                    <w:t>①</w:t>
                  </w:r>
                  <w:r>
                    <w:rPr>
                      <w:rFonts w:hint="eastAsia" w:ascii="Times New Roman" w:hAnsi="Times New Roman" w:eastAsia="宋体" w:cs="Times New Roman"/>
                      <w:color w:val="auto"/>
                      <w:sz w:val="21"/>
                      <w:szCs w:val="21"/>
                      <w:lang w:val="en-US" w:eastAsia="zh-CN"/>
                    </w:rPr>
                    <w:t>本项目为塑料制品业，不涉及涂料、油墨、胶粘剂、清洗剂等使用，运营期使用密胺粉，根据检测报告（报告编号：No.(2025)QSWJ01160），符合《食品安全国家标准 食品接触用塑料材料及制品》（GB 4806.7-2023）标准要求。</w:t>
                  </w:r>
                </w:p>
                <w:p w14:paraId="6E450C19">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lang w:val="en-US" w:eastAsia="zh-CN"/>
                    </w:rPr>
                  </w:pPr>
                  <w:r>
                    <w:rPr>
                      <w:rFonts w:hint="default" w:ascii="Times New Roman" w:hAnsi="Times New Roman" w:cs="Times New Roman"/>
                      <w:color w:val="auto"/>
                      <w:sz w:val="21"/>
                      <w:szCs w:val="21"/>
                      <w:lang w:val="en-US" w:eastAsia="zh-CN"/>
                    </w:rPr>
                    <w:t>②</w:t>
                  </w:r>
                  <w:r>
                    <w:rPr>
                      <w:rFonts w:hint="eastAsia"/>
                      <w:color w:val="auto"/>
                      <w:sz w:val="21"/>
                      <w:szCs w:val="21"/>
                      <w:lang w:val="en-US" w:eastAsia="zh-CN"/>
                    </w:rPr>
                    <w:t>本项目运营期烤料、热压成型</w:t>
                  </w:r>
                  <w:r>
                    <w:rPr>
                      <w:rFonts w:hint="eastAsia" w:cs="Times New Roman"/>
                      <w:color w:val="auto"/>
                      <w:sz w:val="21"/>
                      <w:szCs w:val="21"/>
                      <w:lang w:eastAsia="zh-CN"/>
                    </w:rPr>
                    <w:t>工序</w:t>
                  </w:r>
                  <w:r>
                    <w:rPr>
                      <w:rFonts w:hint="eastAsia"/>
                      <w:color w:val="auto"/>
                      <w:sz w:val="21"/>
                      <w:szCs w:val="21"/>
                      <w:lang w:val="en-US" w:eastAsia="zh-CN"/>
                    </w:rPr>
                    <w:t>产生的有机废气浓度为低等浓度VOCs废气。</w:t>
                  </w:r>
                  <w:r>
                    <w:rPr>
                      <w:rFonts w:hint="eastAsia" w:ascii="Times New Roman" w:hAnsi="Times New Roman" w:eastAsia="宋体" w:cs="Times New Roman"/>
                      <w:color w:val="auto"/>
                      <w:sz w:val="21"/>
                      <w:szCs w:val="21"/>
                      <w:lang w:val="en-US" w:eastAsia="zh-CN"/>
                    </w:rPr>
                    <w:t>运营期</w:t>
                  </w:r>
                  <w:r>
                    <w:rPr>
                      <w:rFonts w:hint="eastAsia"/>
                      <w:color w:val="auto"/>
                      <w:sz w:val="21"/>
                      <w:szCs w:val="21"/>
                      <w:lang w:val="en-US" w:eastAsia="zh-CN"/>
                    </w:rPr>
                    <w:t>烤料、热压成型</w:t>
                  </w:r>
                  <w:r>
                    <w:rPr>
                      <w:rFonts w:hint="eastAsia" w:cs="Times New Roman"/>
                      <w:color w:val="auto"/>
                      <w:sz w:val="21"/>
                      <w:szCs w:val="21"/>
                      <w:lang w:eastAsia="zh-CN"/>
                    </w:rPr>
                    <w:t>工序</w:t>
                  </w:r>
                  <w:r>
                    <w:rPr>
                      <w:rFonts w:hint="eastAsia" w:cs="Times New Roman"/>
                      <w:color w:val="auto"/>
                      <w:sz w:val="21"/>
                      <w:szCs w:val="21"/>
                      <w:lang w:val="en-US" w:eastAsia="zh-CN"/>
                    </w:rPr>
                    <w:t>工序</w:t>
                  </w:r>
                  <w:r>
                    <w:rPr>
                      <w:rFonts w:hint="eastAsia" w:ascii="Times New Roman" w:hAnsi="Times New Roman" w:eastAsia="宋体" w:cs="Times New Roman"/>
                      <w:color w:val="auto"/>
                      <w:sz w:val="21"/>
                      <w:szCs w:val="21"/>
                      <w:lang w:val="en-US" w:eastAsia="zh-CN"/>
                    </w:rPr>
                    <w:t>产生的挥发性有机物（</w:t>
                  </w:r>
                  <w:r>
                    <w:rPr>
                      <w:rFonts w:hint="default" w:ascii="Times New Roman" w:hAnsi="Times New Roman" w:eastAsia="宋体" w:cs="Times New Roman"/>
                      <w:color w:val="auto"/>
                      <w:sz w:val="21"/>
                      <w:szCs w:val="21"/>
                      <w:lang w:val="en-US" w:eastAsia="zh-CN"/>
                    </w:rPr>
                    <w:t>VOCs</w:t>
                  </w:r>
                  <w:r>
                    <w:rPr>
                      <w:rFonts w:hint="eastAsia" w:ascii="Times New Roman" w:hAnsi="Times New Roman" w:eastAsia="宋体" w:cs="Times New Roman"/>
                      <w:color w:val="auto"/>
                      <w:sz w:val="21"/>
                      <w:szCs w:val="21"/>
                      <w:lang w:val="en-US" w:eastAsia="zh-CN"/>
                    </w:rPr>
                    <w:t>）采用“</w:t>
                  </w:r>
                  <w:r>
                    <w:rPr>
                      <w:rFonts w:hint="eastAsia" w:cs="Times New Roman"/>
                      <w:color w:val="auto"/>
                      <w:sz w:val="21"/>
                      <w:szCs w:val="21"/>
                      <w:lang w:val="en-US" w:eastAsia="zh-CN"/>
                    </w:rPr>
                    <w:t>两级活性炭吸附箱</w:t>
                  </w:r>
                  <w:r>
                    <w:rPr>
                      <w:rFonts w:hint="eastAsia" w:ascii="Times New Roman" w:hAnsi="Times New Roman" w:eastAsia="宋体" w:cs="Times New Roman"/>
                      <w:color w:val="auto"/>
                      <w:sz w:val="21"/>
                      <w:szCs w:val="21"/>
                      <w:lang w:val="en-US" w:eastAsia="zh-CN"/>
                    </w:rPr>
                    <w:t>”处理，</w:t>
                  </w:r>
                  <w:r>
                    <w:rPr>
                      <w:rFonts w:hint="eastAsia" w:cs="Times New Roman"/>
                      <w:color w:val="auto"/>
                      <w:sz w:val="21"/>
                      <w:szCs w:val="21"/>
                      <w:lang w:val="en-US" w:eastAsia="zh-CN"/>
                    </w:rPr>
                    <w:t>两级活性炭</w:t>
                  </w:r>
                  <w:r>
                    <w:rPr>
                      <w:rFonts w:hint="eastAsia"/>
                      <w:color w:val="auto"/>
                      <w:sz w:val="21"/>
                      <w:szCs w:val="21"/>
                      <w:lang w:val="en-US" w:eastAsia="zh-CN"/>
                    </w:rPr>
                    <w:t>净化效率设计为90%</w:t>
                  </w:r>
                  <w:r>
                    <w:rPr>
                      <w:rFonts w:hint="eastAsia" w:ascii="Times New Roman" w:hAnsi="Times New Roman" w:eastAsia="宋体" w:cs="Times New Roman"/>
                      <w:color w:val="auto"/>
                      <w:sz w:val="21"/>
                      <w:szCs w:val="21"/>
                      <w:lang w:val="en-US" w:eastAsia="zh-CN"/>
                    </w:rPr>
                    <w:t>。</w:t>
                  </w:r>
                </w:p>
              </w:tc>
              <w:tc>
                <w:tcPr>
                  <w:tcW w:w="606" w:type="dxa"/>
                  <w:noWrap w:val="0"/>
                  <w:vAlign w:val="center"/>
                </w:tcPr>
                <w:p w14:paraId="717B49EF">
                  <w:pPr>
                    <w:widowControl/>
                    <w:adjustRightInd w:val="0"/>
                    <w:snapToGrid w:val="0"/>
                    <w:spacing w:line="240" w:lineRule="auto"/>
                    <w:jc w:val="center"/>
                    <w:rPr>
                      <w:rFonts w:hint="eastAsia" w:ascii="Times New Roman" w:hAnsi="Times New Roman" w:cs="Times New Roman"/>
                      <w:b w:val="0"/>
                      <w:bCs w:val="0"/>
                      <w:color w:val="auto"/>
                      <w:sz w:val="21"/>
                      <w:szCs w:val="21"/>
                      <w:lang w:val="en-US" w:eastAsia="zh-CN" w:bidi="ar"/>
                    </w:rPr>
                  </w:pPr>
                  <w:r>
                    <w:rPr>
                      <w:rFonts w:hint="eastAsia" w:ascii="Times New Roman" w:hAnsi="Times New Roman" w:cs="Times New Roman"/>
                      <w:b w:val="0"/>
                      <w:bCs w:val="0"/>
                      <w:color w:val="auto"/>
                      <w:sz w:val="21"/>
                      <w:szCs w:val="21"/>
                      <w:lang w:val="en-US" w:eastAsia="zh-CN" w:bidi="ar"/>
                    </w:rPr>
                    <w:t>符合</w:t>
                  </w:r>
                </w:p>
              </w:tc>
            </w:tr>
          </w:tbl>
          <w:p w14:paraId="38E637FC">
            <w:pPr>
              <w:spacing w:line="360" w:lineRule="auto"/>
              <w:ind w:firstLine="482" w:firstLineChars="200"/>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（7）</w:t>
            </w:r>
            <w:r>
              <w:rPr>
                <w:rFonts w:hint="default" w:ascii="Times New Roman" w:hAnsi="Times New Roman" w:cs="Times New Roman"/>
                <w:b/>
                <w:bCs/>
                <w:color w:val="auto"/>
                <w:sz w:val="24"/>
                <w:szCs w:val="24"/>
                <w:lang w:val="en-US" w:eastAsia="zh-CN"/>
              </w:rPr>
              <w:t>与《</w:t>
            </w:r>
            <w:r>
              <w:rPr>
                <w:rFonts w:hint="eastAsia" w:ascii="Times New Roman" w:hAnsi="Times New Roman" w:cs="Times New Roman"/>
                <w:b/>
                <w:bCs/>
                <w:color w:val="auto"/>
                <w:sz w:val="24"/>
                <w:szCs w:val="24"/>
                <w:lang w:val="en-US" w:eastAsia="zh-CN"/>
              </w:rPr>
              <w:t>关于印发&lt;“十四五”生态环境保护规划&gt;的通知</w:t>
            </w:r>
            <w:r>
              <w:rPr>
                <w:rFonts w:hint="default" w:ascii="Times New Roman" w:hAnsi="Times New Roman"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（宿环委会【2022】2号，宿州市生态环境保护委员会，2022年05月21日）</w:t>
            </w:r>
            <w:r>
              <w:rPr>
                <w:rFonts w:hint="default" w:ascii="Times New Roman" w:hAnsi="Times New Roman" w:cs="Times New Roman"/>
                <w:b/>
                <w:bCs/>
                <w:color w:val="auto"/>
                <w:sz w:val="24"/>
                <w:szCs w:val="24"/>
                <w:lang w:val="en-US" w:eastAsia="zh-CN"/>
              </w:rPr>
              <w:t>符合性分析</w:t>
            </w:r>
          </w:p>
          <w:p w14:paraId="70CFA8A8">
            <w:pPr>
              <w:spacing w:line="360" w:lineRule="auto"/>
              <w:ind w:firstLine="480" w:firstLineChars="200"/>
              <w:rPr>
                <w:rFonts w:hint="eastAsia"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本项目与《</w:t>
            </w:r>
            <w:r>
              <w:rPr>
                <w:rFonts w:hint="eastAsia" w:ascii="Times New Roman" w:hAnsi="Times New Roman" w:cs="Times New Roman"/>
                <w:b w:val="0"/>
                <w:bCs w:val="0"/>
                <w:color w:val="auto"/>
                <w:sz w:val="24"/>
                <w:szCs w:val="24"/>
                <w:lang w:val="en-US" w:eastAsia="zh-CN"/>
              </w:rPr>
              <w:t>关于印发&lt;“十四五”生态环境保护规划&gt;的通知</w:t>
            </w:r>
            <w:r>
              <w:rPr>
                <w:rFonts w:hint="default" w:ascii="Times New Roman" w:hAnsi="Times New Roman" w:cs="Times New Roman"/>
                <w:b w:val="0"/>
                <w:bCs w:val="0"/>
                <w:color w:val="auto"/>
                <w:sz w:val="24"/>
                <w:szCs w:val="24"/>
                <w:lang w:val="en-US" w:eastAsia="zh-CN"/>
              </w:rPr>
              <w:t>》</w:t>
            </w:r>
            <w:r>
              <w:rPr>
                <w:rFonts w:hint="eastAsia" w:ascii="Times New Roman" w:hAnsi="Times New Roman" w:cs="Times New Roman"/>
                <w:b w:val="0"/>
                <w:bCs w:val="0"/>
                <w:color w:val="auto"/>
                <w:sz w:val="24"/>
                <w:szCs w:val="24"/>
                <w:lang w:val="en-US" w:eastAsia="zh-CN"/>
              </w:rPr>
              <w:t>（宿环委会【2022】2号，宿州市生态环境保护委员会，2022年05月21日）</w:t>
            </w:r>
            <w:r>
              <w:rPr>
                <w:rFonts w:hint="default" w:ascii="Times New Roman" w:hAnsi="Times New Roman" w:cs="Times New Roman"/>
                <w:b w:val="0"/>
                <w:bCs w:val="0"/>
                <w:color w:val="auto"/>
                <w:sz w:val="24"/>
                <w:szCs w:val="24"/>
                <w:lang w:val="en-US" w:eastAsia="zh-CN"/>
              </w:rPr>
              <w:t>符合性分析见表1.</w:t>
            </w:r>
            <w:r>
              <w:rPr>
                <w:rFonts w:hint="eastAsia" w:ascii="Times New Roman" w:hAnsi="Times New Roman" w:cs="Times New Roman"/>
                <w:b w:val="0"/>
                <w:bCs w:val="0"/>
                <w:color w:val="auto"/>
                <w:sz w:val="24"/>
                <w:szCs w:val="24"/>
                <w:lang w:val="en-US" w:eastAsia="zh-CN"/>
              </w:rPr>
              <w:t>21</w:t>
            </w:r>
            <w:r>
              <w:rPr>
                <w:rFonts w:hint="default" w:ascii="Times New Roman" w:hAnsi="Times New Roman" w:cs="Times New Roman"/>
                <w:b w:val="0"/>
                <w:bCs w:val="0"/>
                <w:color w:val="auto"/>
                <w:sz w:val="24"/>
                <w:szCs w:val="24"/>
                <w:lang w:val="en-US" w:eastAsia="zh-CN"/>
              </w:rPr>
              <w:t>。</w:t>
            </w:r>
          </w:p>
          <w:p w14:paraId="3CF1637B">
            <w:pPr>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表1.</w:t>
            </w:r>
            <w:r>
              <w:rPr>
                <w:rFonts w:hint="eastAsia" w:ascii="Times New Roman" w:hAnsi="Times New Roman" w:cs="Times New Roman"/>
                <w:b/>
                <w:bCs/>
                <w:color w:val="auto"/>
                <w:sz w:val="21"/>
                <w:szCs w:val="21"/>
                <w:lang w:val="en-US" w:eastAsia="zh-CN"/>
              </w:rPr>
              <w:t xml:space="preserve">21 </w:t>
            </w:r>
            <w:r>
              <w:rPr>
                <w:rFonts w:hint="default" w:ascii="Times New Roman" w:hAnsi="Times New Roman" w:cs="Times New Roman"/>
                <w:b/>
                <w:bCs/>
                <w:color w:val="auto"/>
                <w:sz w:val="21"/>
                <w:szCs w:val="21"/>
                <w:lang w:val="en-US" w:eastAsia="zh-CN"/>
              </w:rPr>
              <w:t>与《</w:t>
            </w:r>
            <w:r>
              <w:rPr>
                <w:rFonts w:hint="eastAsia" w:ascii="Times New Roman" w:hAnsi="Times New Roman" w:cs="Times New Roman"/>
                <w:b/>
                <w:bCs/>
                <w:color w:val="auto"/>
                <w:sz w:val="21"/>
                <w:szCs w:val="21"/>
                <w:lang w:val="en-US" w:eastAsia="zh-CN"/>
              </w:rPr>
              <w:t>关于印发&lt;“十四五”生态环境保护规划&gt;的通知</w:t>
            </w:r>
            <w:r>
              <w:rPr>
                <w:rFonts w:hint="default" w:ascii="Times New Roman" w:hAnsi="Times New Roman" w:cs="Times New Roman"/>
                <w:b/>
                <w:bCs/>
                <w:color w:val="auto"/>
                <w:sz w:val="21"/>
                <w:szCs w:val="21"/>
                <w:lang w:val="en-US" w:eastAsia="zh-CN"/>
              </w:rPr>
              <w:t>》符合性分析</w:t>
            </w:r>
          </w:p>
          <w:tbl>
            <w:tblPr>
              <w:tblStyle w:val="31"/>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4522"/>
              <w:gridCol w:w="2430"/>
              <w:gridCol w:w="727"/>
            </w:tblGrid>
            <w:tr w14:paraId="15B0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233" w:type="dxa"/>
                  <w:gridSpan w:val="2"/>
                  <w:noWrap w:val="0"/>
                  <w:vAlign w:val="center"/>
                </w:tcPr>
                <w:p w14:paraId="718D741E">
                  <w:pPr>
                    <w:pStyle w:val="48"/>
                    <w:spacing w:line="240" w:lineRule="auto"/>
                    <w:rPr>
                      <w:rFonts w:hint="default" w:ascii="Times New Roman" w:hAnsi="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关于印发&lt;“十四五”生态环境保护规划&gt;的通知</w:t>
                  </w:r>
                  <w:r>
                    <w:rPr>
                      <w:rFonts w:hint="default" w:ascii="Times New Roman" w:hAnsi="Times New Roman" w:cs="Times New Roman"/>
                      <w:b w:val="0"/>
                      <w:bCs w:val="0"/>
                      <w:color w:val="auto"/>
                      <w:sz w:val="21"/>
                      <w:szCs w:val="21"/>
                      <w:lang w:val="en-US" w:eastAsia="zh-CN"/>
                    </w:rPr>
                    <w:t>》</w:t>
                  </w:r>
                  <w:r>
                    <w:rPr>
                      <w:rFonts w:hint="default" w:ascii="Times New Roman" w:hAnsi="Times New Roman"/>
                      <w:b w:val="0"/>
                      <w:bCs w:val="0"/>
                      <w:color w:val="auto"/>
                      <w:sz w:val="21"/>
                      <w:szCs w:val="21"/>
                      <w:lang w:val="en-US" w:eastAsia="zh-CN"/>
                    </w:rPr>
                    <w:t>内容</w:t>
                  </w:r>
                </w:p>
              </w:tc>
              <w:tc>
                <w:tcPr>
                  <w:tcW w:w="2430" w:type="dxa"/>
                  <w:noWrap w:val="0"/>
                  <w:vAlign w:val="center"/>
                </w:tcPr>
                <w:p w14:paraId="4D2582DD">
                  <w:pPr>
                    <w:pStyle w:val="48"/>
                    <w:spacing w:line="240" w:lineRule="auto"/>
                    <w:rPr>
                      <w:rFonts w:hint="default" w:ascii="Times New Roman" w:hAnsi="Times New Roman"/>
                      <w:b w:val="0"/>
                      <w:bCs w:val="0"/>
                      <w:color w:val="auto"/>
                      <w:sz w:val="21"/>
                      <w:szCs w:val="21"/>
                      <w:lang w:val="en-US" w:eastAsia="zh-CN"/>
                    </w:rPr>
                  </w:pPr>
                  <w:r>
                    <w:rPr>
                      <w:rFonts w:hint="default" w:ascii="Times New Roman" w:hAnsi="Times New Roman"/>
                      <w:b w:val="0"/>
                      <w:bCs w:val="0"/>
                      <w:color w:val="auto"/>
                      <w:sz w:val="21"/>
                      <w:szCs w:val="21"/>
                      <w:lang w:val="en-US" w:eastAsia="zh-CN"/>
                    </w:rPr>
                    <w:t>本项目情况</w:t>
                  </w:r>
                </w:p>
              </w:tc>
              <w:tc>
                <w:tcPr>
                  <w:tcW w:w="727" w:type="dxa"/>
                  <w:noWrap w:val="0"/>
                  <w:vAlign w:val="center"/>
                </w:tcPr>
                <w:p w14:paraId="0280F47B">
                  <w:pPr>
                    <w:pStyle w:val="48"/>
                    <w:spacing w:line="240" w:lineRule="auto"/>
                    <w:rPr>
                      <w:rFonts w:hint="default" w:ascii="Times New Roman" w:hAnsi="Times New Roman"/>
                      <w:b w:val="0"/>
                      <w:bCs w:val="0"/>
                      <w:color w:val="auto"/>
                      <w:sz w:val="21"/>
                      <w:szCs w:val="21"/>
                      <w:lang w:val="en-US" w:eastAsia="zh-CN"/>
                    </w:rPr>
                  </w:pPr>
                  <w:r>
                    <w:rPr>
                      <w:rFonts w:hint="default" w:ascii="Times New Roman" w:hAnsi="Times New Roman"/>
                      <w:b w:val="0"/>
                      <w:bCs w:val="0"/>
                      <w:color w:val="auto"/>
                      <w:sz w:val="21"/>
                      <w:szCs w:val="21"/>
                      <w:lang w:val="en-US" w:eastAsia="zh-CN"/>
                    </w:rPr>
                    <w:t xml:space="preserve">符合性 </w:t>
                  </w:r>
                </w:p>
              </w:tc>
            </w:tr>
            <w:tr w14:paraId="1901D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711" w:type="dxa"/>
                  <w:noWrap w:val="0"/>
                  <w:vAlign w:val="center"/>
                </w:tcPr>
                <w:p w14:paraId="26D469A0">
                  <w:pPr>
                    <w:pStyle w:val="48"/>
                    <w:spacing w:line="240" w:lineRule="auto"/>
                    <w:rPr>
                      <w:rFonts w:hint="default" w:ascii="Times New Roman" w:hAnsi="Times New Roman"/>
                      <w:b w:val="0"/>
                      <w:bCs w:val="0"/>
                      <w:color w:val="auto"/>
                      <w:sz w:val="21"/>
                      <w:szCs w:val="21"/>
                      <w:lang w:val="en-US" w:eastAsia="zh-CN"/>
                    </w:rPr>
                  </w:pPr>
                  <w:r>
                    <w:rPr>
                      <w:rFonts w:hint="eastAsia" w:ascii="Times New Roman" w:hAnsi="Times New Roman"/>
                      <w:b w:val="0"/>
                      <w:bCs w:val="0"/>
                      <w:color w:val="auto"/>
                      <w:sz w:val="21"/>
                      <w:szCs w:val="21"/>
                      <w:lang w:val="en-US" w:eastAsia="zh-CN"/>
                    </w:rPr>
                    <w:t>第二节 深入打好蓝天保卫战</w:t>
                  </w:r>
                </w:p>
              </w:tc>
              <w:tc>
                <w:tcPr>
                  <w:tcW w:w="4522" w:type="dxa"/>
                  <w:noWrap w:val="0"/>
                  <w:vAlign w:val="center"/>
                </w:tcPr>
                <w:p w14:paraId="6F012662">
                  <w:pPr>
                    <w:pStyle w:val="48"/>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eastAsia" w:ascii="Times New Roman" w:hAnsi="Times New Roman" w:eastAsia="宋体"/>
                      <w:b w:val="0"/>
                      <w:bCs w:val="0"/>
                      <w:color w:val="auto"/>
                      <w:sz w:val="21"/>
                      <w:szCs w:val="21"/>
                      <w:lang w:val="en-US" w:eastAsia="zh-CN"/>
                    </w:rPr>
                  </w:pPr>
                  <w:r>
                    <w:rPr>
                      <w:rFonts w:hint="eastAsia" w:ascii="Times New Roman" w:hAnsi="Times New Roman" w:eastAsia="宋体"/>
                      <w:b w:val="0"/>
                      <w:bCs w:val="0"/>
                      <w:color w:val="auto"/>
                      <w:sz w:val="21"/>
                      <w:szCs w:val="21"/>
                      <w:lang w:val="en-US" w:eastAsia="zh-CN"/>
                    </w:rPr>
                    <w:t>（四）深化VOCs综合整治</w:t>
                  </w:r>
                </w:p>
                <w:p w14:paraId="50E8F106">
                  <w:pPr>
                    <w:pStyle w:val="48"/>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b w:val="0"/>
                      <w:bCs w:val="0"/>
                      <w:color w:val="auto"/>
                      <w:sz w:val="21"/>
                      <w:szCs w:val="21"/>
                      <w:lang w:val="en-US" w:eastAsia="zh-CN"/>
                    </w:rPr>
                  </w:pPr>
                  <w:r>
                    <w:rPr>
                      <w:rFonts w:hint="eastAsia" w:ascii="Times New Roman" w:hAnsi="Times New Roman" w:eastAsia="宋体"/>
                      <w:b w:val="0"/>
                      <w:bCs w:val="0"/>
                      <w:color w:val="auto"/>
                      <w:sz w:val="21"/>
                      <w:szCs w:val="21"/>
                      <w:lang w:val="en-US" w:eastAsia="zh-CN"/>
                    </w:rPr>
                    <w:t>加强源头管控。严格落实国家和地方产品的VOCs（挥发性有机污染物）含量限值标准，优先推行生产和使用低VOCs原辅材料。鼓励加快低VOCs含量涂料、油墨、胶粘剂等研发和生产，通过低VOCs含量的涂料、油墨、胶粘剂、清洗剂等替代，减少VOCs产生。加大低VOCs含量产品的推广利用力度。将全面生产、使用符合国家要求的低VOCs含量原辅材料的企业纳入正面清单。引导将使用低VOCs含量涂料、胶粘剂等纳入政府采购装修合同环保条款。</w:t>
                  </w:r>
                </w:p>
              </w:tc>
              <w:tc>
                <w:tcPr>
                  <w:tcW w:w="2430" w:type="dxa"/>
                  <w:noWrap w:val="0"/>
                  <w:vAlign w:val="center"/>
                </w:tcPr>
                <w:p w14:paraId="24F405EC">
                  <w:pPr>
                    <w:pStyle w:val="48"/>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b w:val="0"/>
                      <w:bCs w:val="0"/>
                      <w:color w:val="auto"/>
                      <w:sz w:val="21"/>
                      <w:szCs w:val="21"/>
                      <w:lang w:val="en-US" w:eastAsia="zh-CN"/>
                    </w:rPr>
                  </w:pPr>
                  <w:r>
                    <w:rPr>
                      <w:rFonts w:hint="eastAsia" w:ascii="Times New Roman" w:hAnsi="Times New Roman" w:eastAsia="宋体" w:cs="Times New Roman"/>
                      <w:color w:val="auto"/>
                      <w:sz w:val="21"/>
                      <w:szCs w:val="21"/>
                      <w:lang w:val="en-US" w:eastAsia="zh-CN"/>
                    </w:rPr>
                    <w:t>本项目为塑料制品业，不涉及涂料、油墨、胶粘剂、清洗剂等使用，运营期使用密胺粉，根据检测报告（报告编号：No.(2025)QSWJ01160），符合《食品安全国家标准 食品接触用塑料材料及制品》（GB 4806.7-2023）标准要求。</w:t>
                  </w:r>
                </w:p>
              </w:tc>
              <w:tc>
                <w:tcPr>
                  <w:tcW w:w="727" w:type="dxa"/>
                  <w:noWrap w:val="0"/>
                  <w:vAlign w:val="center"/>
                </w:tcPr>
                <w:p w14:paraId="4357154E">
                  <w:pPr>
                    <w:pStyle w:val="48"/>
                    <w:spacing w:line="240" w:lineRule="auto"/>
                    <w:rPr>
                      <w:rFonts w:hint="default" w:ascii="Times New Roman" w:hAnsi="Times New Roman"/>
                      <w:b w:val="0"/>
                      <w:bCs w:val="0"/>
                      <w:color w:val="auto"/>
                      <w:sz w:val="21"/>
                      <w:szCs w:val="21"/>
                      <w:lang w:val="en-US" w:eastAsia="zh-CN"/>
                    </w:rPr>
                  </w:pPr>
                  <w:r>
                    <w:rPr>
                      <w:rFonts w:hint="default" w:ascii="Times New Roman" w:hAnsi="Times New Roman"/>
                      <w:b w:val="0"/>
                      <w:bCs w:val="0"/>
                      <w:color w:val="auto"/>
                      <w:sz w:val="21"/>
                      <w:szCs w:val="21"/>
                      <w:lang w:val="en-US" w:eastAsia="zh-CN"/>
                    </w:rPr>
                    <w:t>符合</w:t>
                  </w:r>
                </w:p>
              </w:tc>
            </w:tr>
          </w:tbl>
          <w:p w14:paraId="3B512F1F">
            <w:pPr>
              <w:spacing w:line="360" w:lineRule="auto"/>
              <w:ind w:firstLine="420" w:firstLineChars="200"/>
              <w:rPr>
                <w:rFonts w:hint="default" w:ascii="Times New Roman" w:hAnsi="Times New Roman" w:cs="Times New Roman"/>
                <w:color w:val="auto"/>
              </w:rPr>
            </w:pPr>
          </w:p>
          <w:p w14:paraId="4D50192B">
            <w:pPr>
              <w:spacing w:line="360" w:lineRule="auto"/>
              <w:ind w:firstLine="420" w:firstLineChars="200"/>
              <w:rPr>
                <w:rFonts w:hint="default" w:ascii="Times New Roman" w:hAnsi="Times New Roman" w:cs="Times New Roman"/>
                <w:color w:val="auto"/>
              </w:rPr>
            </w:pPr>
          </w:p>
          <w:p w14:paraId="221895FB">
            <w:pPr>
              <w:spacing w:line="360" w:lineRule="auto"/>
              <w:ind w:firstLine="420" w:firstLineChars="200"/>
              <w:rPr>
                <w:rFonts w:hint="default" w:ascii="Times New Roman" w:hAnsi="Times New Roman" w:cs="Times New Roman"/>
                <w:color w:val="auto"/>
              </w:rPr>
            </w:pPr>
          </w:p>
        </w:tc>
      </w:tr>
    </w:tbl>
    <w:p w14:paraId="009F6DEC">
      <w:pPr>
        <w:jc w:val="left"/>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二、建设项目工程分析</w:t>
      </w:r>
    </w:p>
    <w:tbl>
      <w:tblPr>
        <w:tblStyle w:val="32"/>
        <w:tblW w:w="102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864"/>
      </w:tblGrid>
      <w:tr w14:paraId="17DE5B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32" w:hRule="atLeast"/>
          <w:jc w:val="center"/>
        </w:trPr>
        <w:tc>
          <w:tcPr>
            <w:tcW w:w="713" w:type="dxa"/>
            <w:vAlign w:val="center"/>
          </w:tcPr>
          <w:p w14:paraId="01DBEEC4">
            <w:pPr>
              <w:jc w:val="center"/>
              <w:rPr>
                <w:rFonts w:hint="default" w:ascii="Times New Roman" w:hAnsi="Times New Roman" w:cs="Times New Roman"/>
                <w:color w:val="auto"/>
                <w:szCs w:val="21"/>
              </w:rPr>
            </w:pPr>
            <w:r>
              <w:rPr>
                <w:rFonts w:hint="default" w:ascii="Times New Roman" w:hAnsi="Times New Roman" w:cs="Times New Roman"/>
                <w:color w:val="auto"/>
                <w:szCs w:val="21"/>
              </w:rPr>
              <w:t>建设内容</w:t>
            </w:r>
          </w:p>
        </w:tc>
        <w:tc>
          <w:tcPr>
            <w:tcW w:w="9577" w:type="dxa"/>
            <w:vAlign w:val="center"/>
          </w:tcPr>
          <w:p w14:paraId="5215E241">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、建设项目建设内容</w:t>
            </w:r>
          </w:p>
          <w:p w14:paraId="63ADE827">
            <w:pPr>
              <w:spacing w:line="360" w:lineRule="auto"/>
              <w:ind w:firstLine="480" w:firstLineChars="200"/>
              <w:rPr>
                <w:rFonts w:hint="default" w:ascii="Times New Roman" w:hAnsi="Times New Roman" w:cs="Times New Roman"/>
                <w:bCs/>
                <w:color w:val="auto"/>
                <w:sz w:val="24"/>
                <w:szCs w:val="24"/>
                <w:lang w:bidi="ar"/>
              </w:rPr>
            </w:pPr>
            <w:r>
              <w:rPr>
                <w:rFonts w:hint="default" w:ascii="Times New Roman" w:hAnsi="Times New Roman" w:cs="Times New Roman"/>
                <w:bCs/>
                <w:color w:val="auto"/>
                <w:sz w:val="24"/>
                <w:szCs w:val="24"/>
                <w:lang w:bidi="ar"/>
              </w:rPr>
              <w:t>宿州美膳新材料有限公司成立于2025</w:t>
            </w:r>
            <w:r>
              <w:rPr>
                <w:rFonts w:hint="eastAsia" w:ascii="Times New Roman" w:hAnsi="Times New Roman" w:cs="Times New Roman"/>
                <w:bCs/>
                <w:color w:val="auto"/>
                <w:sz w:val="24"/>
                <w:szCs w:val="24"/>
                <w:lang w:val="en-US" w:eastAsia="zh-CN" w:bidi="ar"/>
              </w:rPr>
              <w:t>年3月5日</w:t>
            </w:r>
            <w:r>
              <w:rPr>
                <w:rFonts w:hint="default" w:ascii="Times New Roman" w:hAnsi="Times New Roman" w:cs="Times New Roman"/>
                <w:bCs/>
                <w:color w:val="auto"/>
                <w:sz w:val="24"/>
                <w:szCs w:val="24"/>
                <w:lang w:bidi="ar"/>
              </w:rPr>
              <w:t>，经营范围包含：一般项目：新材料技术研发；通用零部件制造；机械零件、零部件销售；机械零件、零部件加工；厨具卫具及日用杂品研发；金属成形机床制造；建筑材料生产专用机械制造；玻璃纤维增强塑料制品制造；塑料制品制造；模具制造；日用木制品制造；轻质建筑材料制造；耐火材料生产；隔热和隔音材料制造；新型建筑材料制造（不含危险化学品）；金属材料制造；建筑防水卷材产品制造；建筑装饰材料销售；厨具卫具及日用杂品批发；玻璃纤维增强塑料制品销售；塑料制品销售；模具销售；日用品销售；日用木制品销售；食品用塑料包装容器工具制品销售；建筑材料销售；轻质建筑材料销售；国内贸易代理；贸易经纪；销售代理；集贸市场管理服务（除许可业务外，可自主依法经营法律法规非禁止或限制的项目）。</w:t>
            </w:r>
          </w:p>
          <w:p w14:paraId="0BED3E92">
            <w:pPr>
              <w:spacing w:line="360" w:lineRule="auto"/>
              <w:ind w:firstLine="480" w:firstLineChars="200"/>
              <w:rPr>
                <w:rFonts w:hint="default" w:ascii="Times New Roman" w:hAnsi="Times New Roman" w:cs="Times New Roman"/>
                <w:bCs/>
                <w:color w:val="auto"/>
                <w:sz w:val="24"/>
                <w:szCs w:val="24"/>
                <w:highlight w:val="none"/>
                <w:lang w:bidi="ar"/>
              </w:rPr>
            </w:pPr>
            <w:r>
              <w:rPr>
                <w:rFonts w:hint="default" w:ascii="Times New Roman" w:hAnsi="Times New Roman" w:cs="Times New Roman"/>
                <w:bCs/>
                <w:color w:val="auto"/>
                <w:sz w:val="24"/>
                <w:szCs w:val="24"/>
                <w:lang w:bidi="ar"/>
              </w:rPr>
              <w:t>宿州美膳新材料有限公司</w:t>
            </w:r>
            <w:r>
              <w:rPr>
                <w:rFonts w:hint="eastAsia" w:ascii="Times New Roman" w:hAnsi="Times New Roman" w:cs="Times New Roman"/>
                <w:color w:val="auto"/>
                <w:sz w:val="24"/>
                <w:lang w:val="en-US" w:eastAsia="zh-CN"/>
              </w:rPr>
              <w:t>拟租赁安徽省宿州市泗县泗水街道唐河路与赤山路交汇处东150米绿朗光电智慧产业园6栋2号厂房建设“宿州美膳新材料有限公司年产100000套密胺餐具项目”（以下简称“本项目”），</w:t>
            </w:r>
            <w:r>
              <w:rPr>
                <w:rFonts w:hint="default" w:ascii="Times New Roman" w:hAnsi="Times New Roman" w:cs="Times New Roman"/>
                <w:bCs/>
                <w:color w:val="auto"/>
                <w:sz w:val="24"/>
                <w:szCs w:val="24"/>
                <w:lang w:bidi="ar"/>
              </w:rPr>
              <w:t>项目</w:t>
            </w:r>
            <w:r>
              <w:rPr>
                <w:rFonts w:hint="eastAsia" w:ascii="Times New Roman" w:hAnsi="Times New Roman" w:cs="Times New Roman"/>
                <w:color w:val="auto"/>
                <w:kern w:val="0"/>
                <w:sz w:val="24"/>
                <w:szCs w:val="24"/>
                <w:highlight w:val="none"/>
                <w:lang w:val="en-US" w:eastAsia="zh-CN"/>
              </w:rPr>
              <w:t>租赁厂房</w:t>
            </w:r>
            <w:r>
              <w:rPr>
                <w:rFonts w:hint="default" w:ascii="Times New Roman" w:hAnsi="Times New Roman" w:cs="Times New Roman"/>
                <w:color w:val="auto"/>
                <w:kern w:val="0"/>
                <w:sz w:val="24"/>
                <w:szCs w:val="24"/>
                <w:highlight w:val="none"/>
                <w:lang w:val="en-US" w:eastAsia="zh-CN"/>
              </w:rPr>
              <w:t>面积</w:t>
            </w:r>
            <w:r>
              <w:rPr>
                <w:rFonts w:hint="eastAsia" w:ascii="Times New Roman" w:hAnsi="Times New Roman" w:cs="Times New Roman"/>
                <w:color w:val="auto"/>
                <w:kern w:val="0"/>
                <w:sz w:val="24"/>
                <w:szCs w:val="24"/>
                <w:highlight w:val="none"/>
                <w:lang w:val="en-US" w:eastAsia="zh-CN"/>
              </w:rPr>
              <w:t>1500</w:t>
            </w:r>
            <w:r>
              <w:rPr>
                <w:rFonts w:hint="default" w:ascii="Times New Roman" w:hAnsi="Times New Roman" w:cs="Times New Roman"/>
                <w:color w:val="auto"/>
                <w:kern w:val="0"/>
                <w:sz w:val="24"/>
                <w:szCs w:val="24"/>
                <w:highlight w:val="none"/>
                <w:lang w:val="en-US" w:eastAsia="zh-CN"/>
              </w:rPr>
              <w:t>平方米</w:t>
            </w:r>
            <w:r>
              <w:rPr>
                <w:rFonts w:hint="eastAsia" w:ascii="Times New Roman" w:hAnsi="Times New Roman" w:cs="Times New Roman"/>
                <w:color w:val="auto"/>
                <w:kern w:val="0"/>
                <w:sz w:val="24"/>
                <w:szCs w:val="24"/>
                <w:highlight w:val="none"/>
                <w:lang w:val="en-US" w:eastAsia="zh-CN"/>
              </w:rPr>
              <w:t>，</w:t>
            </w:r>
            <w:r>
              <w:rPr>
                <w:rFonts w:hint="default" w:ascii="Times New Roman" w:hAnsi="Times New Roman" w:cs="Times New Roman"/>
                <w:bCs/>
                <w:color w:val="auto"/>
                <w:sz w:val="24"/>
                <w:szCs w:val="24"/>
                <w:lang w:val="en-US" w:eastAsia="zh-CN" w:bidi="ar"/>
              </w:rPr>
              <w:t>包含办公楼、厂房，生产车间</w:t>
            </w:r>
            <w:r>
              <w:rPr>
                <w:rFonts w:hint="eastAsia" w:ascii="Times New Roman" w:hAnsi="Times New Roman" w:cs="Times New Roman"/>
                <w:bCs/>
                <w:color w:val="auto"/>
                <w:sz w:val="24"/>
                <w:szCs w:val="24"/>
                <w:lang w:val="en-US" w:eastAsia="zh-CN" w:bidi="ar"/>
              </w:rPr>
              <w:t>共租赁2层，其中1F生产车间主要布置热压成型机、高周波，用于烤料、热压成型工艺；2F生产车间主要布置磨边机，用于磨边工艺</w:t>
            </w:r>
            <w:r>
              <w:rPr>
                <w:rFonts w:hint="default" w:ascii="Times New Roman" w:hAnsi="Times New Roman" w:cs="Times New Roman"/>
                <w:bCs/>
                <w:color w:val="auto"/>
                <w:sz w:val="24"/>
                <w:szCs w:val="24"/>
                <w:highlight w:val="none"/>
                <w:lang w:bidi="ar"/>
              </w:rPr>
              <w:t>。项目</w:t>
            </w:r>
            <w:r>
              <w:rPr>
                <w:rFonts w:hint="default" w:ascii="Times New Roman" w:hAnsi="Times New Roman" w:cs="Times New Roman"/>
                <w:bCs/>
                <w:color w:val="auto"/>
                <w:sz w:val="24"/>
                <w:szCs w:val="24"/>
                <w:highlight w:val="none"/>
                <w:lang w:eastAsia="zh-CN" w:bidi="ar"/>
              </w:rPr>
              <w:t>建成</w:t>
            </w:r>
            <w:r>
              <w:rPr>
                <w:rFonts w:hint="default" w:ascii="Times New Roman" w:hAnsi="Times New Roman" w:cs="Times New Roman"/>
                <w:bCs/>
                <w:color w:val="auto"/>
                <w:sz w:val="24"/>
                <w:szCs w:val="24"/>
                <w:highlight w:val="none"/>
                <w:lang w:bidi="ar"/>
              </w:rPr>
              <w:t>后，可实现</w:t>
            </w:r>
            <w:r>
              <w:rPr>
                <w:rFonts w:hint="default" w:ascii="Times New Roman" w:hAnsi="Times New Roman" w:cs="Times New Roman"/>
                <w:bCs/>
                <w:color w:val="auto"/>
                <w:sz w:val="24"/>
                <w:szCs w:val="24"/>
                <w:lang w:bidi="ar"/>
              </w:rPr>
              <w:t>年产100000套密胺餐具</w:t>
            </w:r>
            <w:r>
              <w:rPr>
                <w:rFonts w:hint="default" w:ascii="Times New Roman" w:hAnsi="Times New Roman" w:cs="Times New Roman"/>
                <w:bCs/>
                <w:color w:val="auto"/>
                <w:sz w:val="24"/>
                <w:szCs w:val="24"/>
                <w:highlight w:val="none"/>
                <w:lang w:bidi="ar"/>
              </w:rPr>
              <w:t>的生产能力。</w:t>
            </w:r>
          </w:p>
          <w:p w14:paraId="1929C744">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本项目建设内容一览表见表2.</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w:t>
            </w:r>
          </w:p>
          <w:p w14:paraId="589272CD">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表2.</w:t>
            </w:r>
            <w:r>
              <w:rPr>
                <w:rFonts w:hint="default" w:ascii="Times New Roman" w:hAnsi="Times New Roman" w:cs="Times New Roman"/>
                <w:b/>
                <w:bCs/>
                <w:color w:val="auto"/>
                <w:sz w:val="21"/>
                <w:szCs w:val="21"/>
                <w:lang w:val="en-US" w:eastAsia="zh-CN"/>
              </w:rPr>
              <w:t>1</w:t>
            </w:r>
            <w:r>
              <w:rPr>
                <w:rFonts w:hint="default" w:ascii="Times New Roman" w:hAnsi="Times New Roman" w:cs="Times New Roman"/>
                <w:b/>
                <w:bCs/>
                <w:color w:val="auto"/>
                <w:sz w:val="21"/>
                <w:szCs w:val="21"/>
              </w:rPr>
              <w:t xml:space="preserve">  本项目建设内容一览表</w:t>
            </w:r>
          </w:p>
          <w:tbl>
            <w:tblPr>
              <w:tblStyle w:val="31"/>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1164"/>
              <w:gridCol w:w="6269"/>
              <w:gridCol w:w="1139"/>
            </w:tblGrid>
            <w:tr w14:paraId="24E71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Align w:val="center"/>
                </w:tcPr>
                <w:p w14:paraId="243EA6B6">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工程类别</w:t>
                  </w:r>
                </w:p>
              </w:tc>
              <w:tc>
                <w:tcPr>
                  <w:tcW w:w="1164" w:type="dxa"/>
                  <w:vAlign w:val="center"/>
                </w:tcPr>
                <w:p w14:paraId="2EE3A011">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单项工程</w:t>
                  </w:r>
                </w:p>
              </w:tc>
              <w:tc>
                <w:tcPr>
                  <w:tcW w:w="6269" w:type="dxa"/>
                  <w:vAlign w:val="center"/>
                </w:tcPr>
                <w:p w14:paraId="2F16D8B9">
                  <w:pPr>
                    <w:spacing w:line="240" w:lineRule="auto"/>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建设内容</w:t>
                  </w:r>
                </w:p>
              </w:tc>
              <w:tc>
                <w:tcPr>
                  <w:tcW w:w="1139" w:type="dxa"/>
                  <w:vAlign w:val="center"/>
                </w:tcPr>
                <w:p w14:paraId="4505B669">
                  <w:pPr>
                    <w:spacing w:line="240" w:lineRule="auto"/>
                    <w:jc w:val="center"/>
                    <w:rPr>
                      <w:rFonts w:hint="default" w:ascii="Times New Roman" w:hAnsi="Times New Roman" w:cs="Times New Roman" w:eastAsiaTheme="minorEastAsia"/>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备注</w:t>
                  </w:r>
                </w:p>
              </w:tc>
            </w:tr>
            <w:tr w14:paraId="1699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066" w:type="dxa"/>
                  <w:vMerge w:val="restart"/>
                  <w:vAlign w:val="center"/>
                </w:tcPr>
                <w:p w14:paraId="33B5A2E4">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主体工程</w:t>
                  </w:r>
                </w:p>
              </w:tc>
              <w:tc>
                <w:tcPr>
                  <w:tcW w:w="1164" w:type="dxa"/>
                  <w:vAlign w:val="center"/>
                </w:tcPr>
                <w:p w14:paraId="37DB422E">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1F</w:t>
                  </w:r>
                  <w:r>
                    <w:rPr>
                      <w:rFonts w:hint="default" w:ascii="Times New Roman" w:hAnsi="Times New Roman" w:eastAsia="宋体" w:cs="Times New Roman"/>
                      <w:color w:val="auto"/>
                      <w:sz w:val="21"/>
                      <w:szCs w:val="21"/>
                      <w:lang w:val="en-US" w:eastAsia="zh-CN"/>
                    </w:rPr>
                    <w:t>生产车间</w:t>
                  </w:r>
                </w:p>
              </w:tc>
              <w:tc>
                <w:tcPr>
                  <w:tcW w:w="6269" w:type="dxa"/>
                  <w:vAlign w:val="center"/>
                </w:tcPr>
                <w:p w14:paraId="00BCE9CE">
                  <w:pPr>
                    <w:keepNext w:val="0"/>
                    <w:keepLines w:val="0"/>
                    <w:pageBreakBefore w:val="0"/>
                    <w:widowControl/>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rPr>
                    <w:t>建筑面积</w:t>
                  </w:r>
                  <w:r>
                    <w:rPr>
                      <w:rFonts w:hint="eastAsia" w:ascii="Times New Roman" w:hAnsi="Times New Roman" w:cs="Times New Roman"/>
                      <w:color w:val="auto"/>
                      <w:kern w:val="0"/>
                      <w:sz w:val="21"/>
                      <w:szCs w:val="21"/>
                      <w:lang w:val="en-US" w:eastAsia="zh-CN"/>
                    </w:rPr>
                    <w:t>约</w:t>
                  </w:r>
                  <w:r>
                    <w:rPr>
                      <w:rFonts w:hint="default" w:ascii="Times New Roman" w:hAnsi="Times New Roman" w:cs="Times New Roman"/>
                      <w:color w:val="auto"/>
                      <w:kern w:val="0"/>
                      <w:sz w:val="21"/>
                      <w:szCs w:val="21"/>
                      <w:lang w:val="en-US" w:eastAsia="zh-CN"/>
                    </w:rPr>
                    <w:t>为</w:t>
                  </w:r>
                  <w:r>
                    <w:rPr>
                      <w:rFonts w:hint="eastAsia"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lang w:val="en-US" w:eastAsia="zh-CN"/>
                    </w:rPr>
                    <w:t>00m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cs="Times New Roman"/>
                      <w:color w:val="auto"/>
                      <w:kern w:val="0"/>
                      <w:sz w:val="21"/>
                      <w:szCs w:val="21"/>
                      <w:lang w:val="en-US" w:eastAsia="zh-CN"/>
                    </w:rPr>
                    <w:t>，生产车间</w:t>
                  </w:r>
                  <w:r>
                    <w:rPr>
                      <w:rFonts w:hint="eastAsia" w:ascii="Times New Roman" w:hAnsi="Times New Roman" w:cs="Times New Roman"/>
                      <w:color w:val="auto"/>
                      <w:kern w:val="0"/>
                      <w:sz w:val="21"/>
                      <w:szCs w:val="21"/>
                      <w:lang w:val="en-US" w:eastAsia="zh-CN"/>
                    </w:rPr>
                    <w:t>内设置热压成型机15台、高周波15台</w:t>
                  </w:r>
                  <w:r>
                    <w:rPr>
                      <w:rFonts w:hint="default" w:ascii="Times New Roman" w:hAnsi="Times New Roman" w:cs="Times New Roman"/>
                      <w:color w:val="auto"/>
                      <w:kern w:val="0"/>
                      <w:sz w:val="21"/>
                      <w:szCs w:val="21"/>
                      <w:lang w:val="en-US" w:eastAsia="zh-CN"/>
                    </w:rPr>
                    <w:t>，设有</w:t>
                  </w:r>
                  <w:r>
                    <w:rPr>
                      <w:rFonts w:hint="eastAsia" w:ascii="Times New Roman" w:hAnsi="Times New Roman" w:cs="Times New Roman"/>
                      <w:color w:val="auto"/>
                      <w:kern w:val="0"/>
                      <w:sz w:val="21"/>
                      <w:szCs w:val="21"/>
                      <w:lang w:val="en-US" w:eastAsia="zh-CN"/>
                    </w:rPr>
                    <w:t>烤料、热压成型</w:t>
                  </w:r>
                  <w:r>
                    <w:rPr>
                      <w:rFonts w:hint="default" w:ascii="Times New Roman" w:hAnsi="Times New Roman" w:cs="Times New Roman"/>
                      <w:color w:val="auto"/>
                      <w:kern w:val="0"/>
                      <w:sz w:val="21"/>
                      <w:szCs w:val="21"/>
                      <w:lang w:val="en-US" w:eastAsia="zh-CN"/>
                    </w:rPr>
                    <w:t>等主要生产工艺。</w:t>
                  </w:r>
                </w:p>
              </w:tc>
              <w:tc>
                <w:tcPr>
                  <w:tcW w:w="1139" w:type="dxa"/>
                  <w:vAlign w:val="center"/>
                </w:tcPr>
                <w:p w14:paraId="4125A8AD">
                  <w:pPr>
                    <w:spacing w:line="240" w:lineRule="auto"/>
                    <w:jc w:val="center"/>
                    <w:rPr>
                      <w:rFonts w:hint="default"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租赁已建</w:t>
                  </w:r>
                  <w:r>
                    <w:rPr>
                      <w:rFonts w:hint="default" w:ascii="Times New Roman" w:hAnsi="Times New Roman" w:cs="Times New Roman"/>
                      <w:b w:val="0"/>
                      <w:bCs w:val="0"/>
                      <w:color w:val="auto"/>
                      <w:sz w:val="21"/>
                      <w:szCs w:val="21"/>
                      <w:u w:val="none"/>
                      <w:lang w:val="en-US" w:eastAsia="zh-CN"/>
                    </w:rPr>
                    <w:t>厂房，安装设备</w:t>
                  </w:r>
                </w:p>
              </w:tc>
            </w:tr>
            <w:tr w14:paraId="5640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066" w:type="dxa"/>
                  <w:vMerge w:val="continue"/>
                  <w:vAlign w:val="center"/>
                </w:tcPr>
                <w:p w14:paraId="0A00893C">
                  <w:pPr>
                    <w:spacing w:line="240" w:lineRule="auto"/>
                    <w:jc w:val="center"/>
                    <w:rPr>
                      <w:rFonts w:hint="default" w:ascii="Times New Roman" w:hAnsi="Times New Roman" w:cs="Times New Roman"/>
                      <w:color w:val="auto"/>
                      <w:sz w:val="21"/>
                      <w:szCs w:val="21"/>
                    </w:rPr>
                  </w:pPr>
                </w:p>
              </w:tc>
              <w:tc>
                <w:tcPr>
                  <w:tcW w:w="1164" w:type="dxa"/>
                  <w:vAlign w:val="center"/>
                </w:tcPr>
                <w:p w14:paraId="1E239360">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2F</w:t>
                  </w:r>
                  <w:r>
                    <w:rPr>
                      <w:rFonts w:hint="default" w:ascii="Times New Roman" w:hAnsi="Times New Roman" w:eastAsia="宋体" w:cs="Times New Roman"/>
                      <w:color w:val="auto"/>
                      <w:sz w:val="21"/>
                      <w:szCs w:val="21"/>
                      <w:lang w:val="en-US" w:eastAsia="zh-CN"/>
                    </w:rPr>
                    <w:t>生产车间</w:t>
                  </w:r>
                </w:p>
              </w:tc>
              <w:tc>
                <w:tcPr>
                  <w:tcW w:w="6269" w:type="dxa"/>
                  <w:vAlign w:val="center"/>
                </w:tcPr>
                <w:p w14:paraId="3FDFA136">
                  <w:pPr>
                    <w:keepNext w:val="0"/>
                    <w:keepLines w:val="0"/>
                    <w:pageBreakBefore w:val="0"/>
                    <w:widowControl/>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建筑面积</w:t>
                  </w:r>
                  <w:r>
                    <w:rPr>
                      <w:rFonts w:hint="eastAsia" w:ascii="Times New Roman" w:hAnsi="Times New Roman" w:cs="Times New Roman"/>
                      <w:color w:val="auto"/>
                      <w:kern w:val="0"/>
                      <w:sz w:val="21"/>
                      <w:szCs w:val="21"/>
                      <w:lang w:val="en-US" w:eastAsia="zh-CN"/>
                    </w:rPr>
                    <w:t>约</w:t>
                  </w:r>
                  <w:r>
                    <w:rPr>
                      <w:rFonts w:hint="default" w:ascii="Times New Roman" w:hAnsi="Times New Roman" w:cs="Times New Roman"/>
                      <w:color w:val="auto"/>
                      <w:kern w:val="0"/>
                      <w:sz w:val="21"/>
                      <w:szCs w:val="21"/>
                      <w:lang w:val="en-US" w:eastAsia="zh-CN"/>
                    </w:rPr>
                    <w:t>为</w:t>
                  </w:r>
                  <w:r>
                    <w:rPr>
                      <w:rFonts w:hint="eastAsia" w:ascii="Times New Roman" w:hAnsi="Times New Roman" w:cs="Times New Roman"/>
                      <w:color w:val="auto"/>
                      <w:kern w:val="0"/>
                      <w:sz w:val="21"/>
                      <w:szCs w:val="21"/>
                      <w:lang w:val="en-US" w:eastAsia="zh-CN"/>
                    </w:rPr>
                    <w:t>60</w:t>
                  </w:r>
                  <w:r>
                    <w:rPr>
                      <w:rFonts w:hint="default" w:ascii="Times New Roman" w:hAnsi="Times New Roman" w:cs="Times New Roman"/>
                      <w:color w:val="auto"/>
                      <w:kern w:val="0"/>
                      <w:sz w:val="21"/>
                      <w:szCs w:val="21"/>
                      <w:lang w:val="en-US" w:eastAsia="zh-CN"/>
                    </w:rPr>
                    <w:t>0m</w:t>
                  </w:r>
                  <w:r>
                    <w:rPr>
                      <w:rFonts w:hint="default" w:ascii="Times New Roman" w:hAnsi="Times New Roman" w:cs="Times New Roman"/>
                      <w:color w:val="auto"/>
                      <w:kern w:val="0"/>
                      <w:sz w:val="21"/>
                      <w:szCs w:val="21"/>
                      <w:vertAlign w:val="superscript"/>
                      <w:lang w:val="en-US" w:eastAsia="zh-CN"/>
                    </w:rPr>
                    <w:t>2</w:t>
                  </w:r>
                  <w:r>
                    <w:rPr>
                      <w:rFonts w:hint="default" w:ascii="Times New Roman" w:hAnsi="Times New Roman" w:cs="Times New Roman"/>
                      <w:color w:val="auto"/>
                      <w:kern w:val="0"/>
                      <w:sz w:val="21"/>
                      <w:szCs w:val="21"/>
                      <w:lang w:val="en-US" w:eastAsia="zh-CN"/>
                    </w:rPr>
                    <w:t>，生产车间</w:t>
                  </w:r>
                  <w:r>
                    <w:rPr>
                      <w:rFonts w:hint="eastAsia" w:ascii="Times New Roman" w:hAnsi="Times New Roman" w:cs="Times New Roman"/>
                      <w:color w:val="auto"/>
                      <w:kern w:val="0"/>
                      <w:sz w:val="21"/>
                      <w:szCs w:val="21"/>
                      <w:lang w:val="en-US" w:eastAsia="zh-CN"/>
                    </w:rPr>
                    <w:t>内设置自动磨边机2台、半自动磨边机2台</w:t>
                  </w:r>
                  <w:r>
                    <w:rPr>
                      <w:rFonts w:hint="default" w:ascii="Times New Roman" w:hAnsi="Times New Roman" w:cs="Times New Roman"/>
                      <w:color w:val="auto"/>
                      <w:kern w:val="0"/>
                      <w:sz w:val="21"/>
                      <w:szCs w:val="21"/>
                      <w:lang w:val="en-US" w:eastAsia="zh-CN"/>
                    </w:rPr>
                    <w:t>，设有</w:t>
                  </w:r>
                  <w:r>
                    <w:rPr>
                      <w:rFonts w:hint="eastAsia" w:ascii="Times New Roman" w:hAnsi="Times New Roman" w:cs="Times New Roman"/>
                      <w:color w:val="auto"/>
                      <w:kern w:val="0"/>
                      <w:sz w:val="21"/>
                      <w:szCs w:val="21"/>
                      <w:lang w:val="en-US" w:eastAsia="zh-CN"/>
                    </w:rPr>
                    <w:t>磨边</w:t>
                  </w:r>
                  <w:r>
                    <w:rPr>
                      <w:rFonts w:hint="default" w:ascii="Times New Roman" w:hAnsi="Times New Roman" w:cs="Times New Roman"/>
                      <w:color w:val="auto"/>
                      <w:kern w:val="0"/>
                      <w:sz w:val="21"/>
                      <w:szCs w:val="21"/>
                      <w:lang w:val="en-US" w:eastAsia="zh-CN"/>
                    </w:rPr>
                    <w:t>等主要生产工艺。</w:t>
                  </w:r>
                </w:p>
              </w:tc>
              <w:tc>
                <w:tcPr>
                  <w:tcW w:w="1139" w:type="dxa"/>
                  <w:vAlign w:val="center"/>
                </w:tcPr>
                <w:p w14:paraId="2AD4BB11">
                  <w:pPr>
                    <w:spacing w:line="240" w:lineRule="auto"/>
                    <w:jc w:val="center"/>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租赁已建</w:t>
                  </w:r>
                  <w:r>
                    <w:rPr>
                      <w:rFonts w:hint="default" w:ascii="Times New Roman" w:hAnsi="Times New Roman" w:cs="Times New Roman"/>
                      <w:b w:val="0"/>
                      <w:bCs w:val="0"/>
                      <w:color w:val="auto"/>
                      <w:sz w:val="21"/>
                      <w:szCs w:val="21"/>
                      <w:u w:val="none"/>
                      <w:lang w:val="en-US" w:eastAsia="zh-CN"/>
                    </w:rPr>
                    <w:t>厂房，安装设备</w:t>
                  </w:r>
                </w:p>
              </w:tc>
            </w:tr>
            <w:tr w14:paraId="66CF0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6" w:type="dxa"/>
                  <w:vAlign w:val="center"/>
                </w:tcPr>
                <w:p w14:paraId="30C97764">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辅助工程</w:t>
                  </w:r>
                </w:p>
              </w:tc>
              <w:tc>
                <w:tcPr>
                  <w:tcW w:w="1164" w:type="dxa"/>
                  <w:vAlign w:val="center"/>
                </w:tcPr>
                <w:p w14:paraId="60FF8530">
                  <w:pPr>
                    <w:widowControl/>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办公楼</w:t>
                  </w:r>
                </w:p>
              </w:tc>
              <w:tc>
                <w:tcPr>
                  <w:tcW w:w="6269" w:type="dxa"/>
                  <w:vAlign w:val="center"/>
                </w:tcPr>
                <w:p w14:paraId="167C48FB">
                  <w:pPr>
                    <w:keepNext w:val="0"/>
                    <w:keepLines w:val="0"/>
                    <w:pageBreakBefore w:val="0"/>
                    <w:widowControl/>
                    <w:kinsoku/>
                    <w:wordWrap/>
                    <w:overflowPunct/>
                    <w:topLinePunct w:val="0"/>
                    <w:autoSpaceDE/>
                    <w:autoSpaceDN/>
                    <w:bidi w:val="0"/>
                    <w:adjustRightInd/>
                    <w:snapToGrid/>
                    <w:spacing w:line="240" w:lineRule="auto"/>
                    <w:ind w:firstLine="420" w:firstLineChars="200"/>
                    <w:jc w:val="both"/>
                    <w:textAlignment w:val="auto"/>
                    <w:rPr>
                      <w:rFonts w:hint="default" w:ascii="Times New Roman" w:hAnsi="Times New Roman" w:eastAsia="宋体" w:cs="Times New Roman"/>
                      <w:color w:val="auto"/>
                      <w:sz w:val="21"/>
                      <w:szCs w:val="21"/>
                      <w:vertAlign w:val="superscript"/>
                    </w:rPr>
                  </w:pPr>
                  <w:r>
                    <w:rPr>
                      <w:rFonts w:hint="eastAsia" w:ascii="Times New Roman" w:hAnsi="Times New Roman" w:cs="Times New Roman"/>
                      <w:color w:val="auto"/>
                      <w:kern w:val="0"/>
                      <w:sz w:val="21"/>
                      <w:szCs w:val="21"/>
                      <w:lang w:val="en-US" w:eastAsia="zh-CN"/>
                    </w:rPr>
                    <w:t>位于2F车间南侧，</w:t>
                  </w:r>
                  <w:r>
                    <w:rPr>
                      <w:rFonts w:hint="default" w:ascii="Times New Roman" w:hAnsi="Times New Roman" w:cs="Times New Roman"/>
                      <w:color w:val="auto"/>
                      <w:kern w:val="0"/>
                      <w:sz w:val="21"/>
                      <w:szCs w:val="21"/>
                    </w:rPr>
                    <w:t>建筑面积</w:t>
                  </w:r>
                  <w:r>
                    <w:rPr>
                      <w:rFonts w:hint="default" w:ascii="Times New Roman" w:hAnsi="Times New Roman" w:cs="Times New Roman"/>
                      <w:color w:val="auto"/>
                      <w:kern w:val="0"/>
                      <w:sz w:val="21"/>
                      <w:szCs w:val="21"/>
                      <w:lang w:eastAsia="zh-CN"/>
                    </w:rPr>
                    <w:t>约</w:t>
                  </w:r>
                  <w:r>
                    <w:rPr>
                      <w:rFonts w:hint="default" w:ascii="Times New Roman" w:hAnsi="Times New Roman" w:cs="Times New Roman"/>
                      <w:color w:val="auto"/>
                      <w:kern w:val="0"/>
                      <w:sz w:val="21"/>
                      <w:szCs w:val="21"/>
                      <w:lang w:val="en-US" w:eastAsia="zh-CN"/>
                    </w:rPr>
                    <w:t>为</w:t>
                  </w:r>
                  <w:r>
                    <w:rPr>
                      <w:rFonts w:hint="eastAsia" w:ascii="Times New Roman" w:hAnsi="Times New Roman" w:cs="Times New Roman"/>
                      <w:color w:val="auto"/>
                      <w:kern w:val="0"/>
                      <w:sz w:val="21"/>
                      <w:szCs w:val="21"/>
                      <w:lang w:val="en-US" w:eastAsia="zh-CN"/>
                    </w:rPr>
                    <w:t>100</w:t>
                  </w:r>
                  <w:r>
                    <w:rPr>
                      <w:rFonts w:hint="default" w:ascii="Times New Roman" w:hAnsi="Times New Roman" w:cs="Times New Roman"/>
                      <w:color w:val="auto"/>
                      <w:kern w:val="0"/>
                      <w:sz w:val="21"/>
                      <w:szCs w:val="21"/>
                    </w:rPr>
                    <w:t>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val="en-US" w:eastAsia="zh-CN"/>
                    </w:rPr>
                    <w:t>用于职工办公。</w:t>
                  </w:r>
                </w:p>
              </w:tc>
              <w:tc>
                <w:tcPr>
                  <w:tcW w:w="1139" w:type="dxa"/>
                  <w:vAlign w:val="center"/>
                </w:tcPr>
                <w:p w14:paraId="2D7539E5">
                  <w:pPr>
                    <w:spacing w:line="240" w:lineRule="auto"/>
                    <w:jc w:val="center"/>
                    <w:rPr>
                      <w:rFonts w:hint="default" w:ascii="Times New Roman" w:hAnsi="Times New Roman" w:cs="Times New Roman"/>
                      <w:b w:val="0"/>
                      <w:bCs w:val="0"/>
                      <w:color w:val="auto"/>
                      <w:sz w:val="21"/>
                      <w:szCs w:val="21"/>
                      <w:u w:val="none"/>
                      <w:lang w:val="en-US"/>
                    </w:rPr>
                  </w:pPr>
                  <w:r>
                    <w:rPr>
                      <w:rFonts w:hint="eastAsia" w:ascii="Times New Roman" w:hAnsi="Times New Roman" w:cs="Times New Roman"/>
                      <w:b w:val="0"/>
                      <w:bCs w:val="0"/>
                      <w:color w:val="auto"/>
                      <w:sz w:val="21"/>
                      <w:szCs w:val="21"/>
                      <w:u w:val="none"/>
                      <w:lang w:val="en-US" w:eastAsia="zh-CN"/>
                    </w:rPr>
                    <w:t>租赁已建</w:t>
                  </w:r>
                  <w:r>
                    <w:rPr>
                      <w:rFonts w:hint="default" w:ascii="Times New Roman" w:hAnsi="Times New Roman" w:cs="Times New Roman"/>
                      <w:b w:val="0"/>
                      <w:bCs w:val="0"/>
                      <w:color w:val="auto"/>
                      <w:sz w:val="21"/>
                      <w:szCs w:val="21"/>
                      <w:u w:val="none"/>
                      <w:lang w:val="en-US" w:eastAsia="zh-CN"/>
                    </w:rPr>
                    <w:t>厂房</w:t>
                  </w:r>
                </w:p>
              </w:tc>
            </w:tr>
            <w:tr w14:paraId="58A4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66" w:type="dxa"/>
                  <w:vMerge w:val="restart"/>
                  <w:vAlign w:val="center"/>
                </w:tcPr>
                <w:p w14:paraId="28408D3B">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储运工程</w:t>
                  </w:r>
                </w:p>
              </w:tc>
              <w:tc>
                <w:tcPr>
                  <w:tcW w:w="1164" w:type="dxa"/>
                  <w:vAlign w:val="center"/>
                </w:tcPr>
                <w:p w14:paraId="0F2BA3C5">
                  <w:pPr>
                    <w:widowControl/>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原材料仓库</w:t>
                  </w:r>
                </w:p>
              </w:tc>
              <w:tc>
                <w:tcPr>
                  <w:tcW w:w="6269" w:type="dxa"/>
                  <w:vAlign w:val="center"/>
                </w:tcPr>
                <w:p w14:paraId="13BC66B4">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kern w:val="0"/>
                      <w:sz w:val="21"/>
                      <w:szCs w:val="21"/>
                      <w:lang w:val="en-US" w:eastAsia="zh-CN"/>
                    </w:rPr>
                    <w:t>位于</w:t>
                  </w:r>
                  <w:r>
                    <w:rPr>
                      <w:rFonts w:hint="eastAsia" w:ascii="Times New Roman" w:hAnsi="Times New Roman" w:cs="Times New Roman"/>
                      <w:color w:val="auto"/>
                      <w:kern w:val="0"/>
                      <w:sz w:val="21"/>
                      <w:szCs w:val="21"/>
                      <w:lang w:val="en-US" w:eastAsia="zh-CN"/>
                    </w:rPr>
                    <w:t>1F</w:t>
                  </w:r>
                  <w:r>
                    <w:rPr>
                      <w:rFonts w:hint="default" w:ascii="Times New Roman" w:hAnsi="Times New Roman" w:cs="Times New Roman"/>
                      <w:color w:val="auto"/>
                      <w:kern w:val="0"/>
                      <w:sz w:val="21"/>
                      <w:szCs w:val="21"/>
                      <w:lang w:eastAsia="zh-CN"/>
                    </w:rPr>
                    <w:t>生产车间内南侧，</w:t>
                  </w:r>
                  <w:r>
                    <w:rPr>
                      <w:rFonts w:hint="default" w:ascii="Times New Roman" w:hAnsi="Times New Roman" w:cs="Times New Roman"/>
                      <w:color w:val="auto"/>
                      <w:kern w:val="0"/>
                      <w:sz w:val="21"/>
                      <w:szCs w:val="21"/>
                    </w:rPr>
                    <w:t>用于存放原辅材料。</w:t>
                  </w:r>
                </w:p>
              </w:tc>
              <w:tc>
                <w:tcPr>
                  <w:tcW w:w="1139" w:type="dxa"/>
                  <w:vAlign w:val="center"/>
                </w:tcPr>
                <w:p w14:paraId="29256A22">
                  <w:pPr>
                    <w:spacing w:line="240" w:lineRule="auto"/>
                    <w:jc w:val="center"/>
                    <w:rPr>
                      <w:rFonts w:hint="default" w:ascii="Times New Roman" w:hAnsi="Times New Roman" w:cs="Times New Roman" w:eastAsiaTheme="minorEastAsia"/>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租赁已建</w:t>
                  </w:r>
                  <w:r>
                    <w:rPr>
                      <w:rFonts w:hint="default" w:ascii="Times New Roman" w:hAnsi="Times New Roman" w:cs="Times New Roman"/>
                      <w:b w:val="0"/>
                      <w:bCs w:val="0"/>
                      <w:color w:val="auto"/>
                      <w:sz w:val="21"/>
                      <w:szCs w:val="21"/>
                      <w:u w:val="none"/>
                      <w:lang w:val="en-US" w:eastAsia="zh-CN"/>
                    </w:rPr>
                    <w:t>厂房</w:t>
                  </w:r>
                </w:p>
              </w:tc>
            </w:tr>
            <w:tr w14:paraId="7291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66" w:type="dxa"/>
                  <w:vMerge w:val="continue"/>
                  <w:vAlign w:val="center"/>
                </w:tcPr>
                <w:p w14:paraId="7D3B67B5">
                  <w:pPr>
                    <w:spacing w:line="240" w:lineRule="auto"/>
                    <w:jc w:val="center"/>
                    <w:rPr>
                      <w:rFonts w:hint="default" w:ascii="Times New Roman" w:hAnsi="Times New Roman" w:cs="Times New Roman"/>
                      <w:color w:val="auto"/>
                      <w:sz w:val="21"/>
                      <w:szCs w:val="21"/>
                    </w:rPr>
                  </w:pPr>
                </w:p>
              </w:tc>
              <w:tc>
                <w:tcPr>
                  <w:tcW w:w="1164" w:type="dxa"/>
                  <w:vAlign w:val="center"/>
                </w:tcPr>
                <w:p w14:paraId="1EB33000">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成品仓库</w:t>
                  </w:r>
                </w:p>
              </w:tc>
              <w:tc>
                <w:tcPr>
                  <w:tcW w:w="6269" w:type="dxa"/>
                  <w:vAlign w:val="center"/>
                </w:tcPr>
                <w:p w14:paraId="073A9D95">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lang w:val="en-US" w:eastAsia="zh-CN"/>
                    </w:rPr>
                    <w:t>位于</w:t>
                  </w:r>
                  <w:r>
                    <w:rPr>
                      <w:rFonts w:hint="eastAsia" w:ascii="Times New Roman" w:hAnsi="Times New Roman" w:cs="Times New Roman"/>
                      <w:color w:val="auto"/>
                      <w:kern w:val="0"/>
                      <w:sz w:val="21"/>
                      <w:szCs w:val="21"/>
                      <w:lang w:val="en-US" w:eastAsia="zh-CN"/>
                    </w:rPr>
                    <w:t>2F</w:t>
                  </w:r>
                  <w:r>
                    <w:rPr>
                      <w:rFonts w:hint="default" w:ascii="Times New Roman" w:hAnsi="Times New Roman" w:cs="Times New Roman"/>
                      <w:color w:val="auto"/>
                      <w:kern w:val="0"/>
                      <w:sz w:val="21"/>
                      <w:szCs w:val="21"/>
                      <w:lang w:eastAsia="zh-CN"/>
                    </w:rPr>
                    <w:t>生产车间内南侧，</w:t>
                  </w:r>
                  <w:r>
                    <w:rPr>
                      <w:rFonts w:hint="default" w:ascii="Times New Roman" w:hAnsi="Times New Roman" w:cs="Times New Roman"/>
                      <w:color w:val="auto"/>
                      <w:kern w:val="0"/>
                      <w:sz w:val="21"/>
                      <w:szCs w:val="21"/>
                    </w:rPr>
                    <w:t>用于存放</w:t>
                  </w:r>
                  <w:r>
                    <w:rPr>
                      <w:rFonts w:hint="eastAsia" w:ascii="Times New Roman" w:hAnsi="Times New Roman" w:cs="Times New Roman"/>
                      <w:color w:val="auto"/>
                      <w:kern w:val="0"/>
                      <w:sz w:val="21"/>
                      <w:szCs w:val="21"/>
                      <w:lang w:val="en-US" w:eastAsia="zh-CN"/>
                    </w:rPr>
                    <w:t>产品</w:t>
                  </w:r>
                  <w:r>
                    <w:rPr>
                      <w:rFonts w:hint="default" w:ascii="Times New Roman" w:hAnsi="Times New Roman" w:cs="Times New Roman"/>
                      <w:color w:val="auto"/>
                      <w:kern w:val="0"/>
                      <w:sz w:val="21"/>
                      <w:szCs w:val="21"/>
                    </w:rPr>
                    <w:t>。</w:t>
                  </w:r>
                </w:p>
              </w:tc>
              <w:tc>
                <w:tcPr>
                  <w:tcW w:w="1139" w:type="dxa"/>
                  <w:vAlign w:val="center"/>
                </w:tcPr>
                <w:p w14:paraId="2F3908AD">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b w:val="0"/>
                      <w:bCs w:val="0"/>
                      <w:color w:val="auto"/>
                      <w:sz w:val="21"/>
                      <w:szCs w:val="21"/>
                      <w:u w:val="none"/>
                      <w:lang w:val="en-US" w:eastAsia="zh-CN"/>
                    </w:rPr>
                    <w:t>租赁已建</w:t>
                  </w:r>
                  <w:r>
                    <w:rPr>
                      <w:rFonts w:hint="default" w:ascii="Times New Roman" w:hAnsi="Times New Roman" w:cs="Times New Roman"/>
                      <w:b w:val="0"/>
                      <w:bCs w:val="0"/>
                      <w:color w:val="auto"/>
                      <w:sz w:val="21"/>
                      <w:szCs w:val="21"/>
                      <w:u w:val="none"/>
                      <w:lang w:val="en-US" w:eastAsia="zh-CN"/>
                    </w:rPr>
                    <w:t>厂房</w:t>
                  </w:r>
                </w:p>
              </w:tc>
            </w:tr>
            <w:tr w14:paraId="68FBD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restart"/>
                  <w:vAlign w:val="center"/>
                </w:tcPr>
                <w:p w14:paraId="45055947">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公用工程</w:t>
                  </w:r>
                </w:p>
              </w:tc>
              <w:tc>
                <w:tcPr>
                  <w:tcW w:w="1164" w:type="dxa"/>
                  <w:vAlign w:val="center"/>
                </w:tcPr>
                <w:p w14:paraId="56B05D67">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给水</w:t>
                  </w:r>
                </w:p>
              </w:tc>
              <w:tc>
                <w:tcPr>
                  <w:tcW w:w="6269" w:type="dxa"/>
                  <w:vAlign w:val="center"/>
                </w:tcPr>
                <w:p w14:paraId="646635A9">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给水来自</w:t>
                  </w:r>
                  <w:r>
                    <w:rPr>
                      <w:rFonts w:hint="default" w:ascii="Times New Roman" w:hAnsi="Times New Roman" w:cs="Times New Roman"/>
                      <w:color w:val="auto"/>
                      <w:kern w:val="0"/>
                      <w:sz w:val="21"/>
                      <w:szCs w:val="21"/>
                      <w:highlight w:val="none"/>
                      <w:lang w:val="en-US" w:eastAsia="zh-CN"/>
                    </w:rPr>
                    <w:t>安徽省宿州市泗县</w:t>
                  </w:r>
                  <w:r>
                    <w:rPr>
                      <w:rFonts w:hint="default" w:ascii="Times New Roman" w:hAnsi="Times New Roman" w:cs="Times New Roman"/>
                      <w:color w:val="auto"/>
                      <w:kern w:val="0"/>
                      <w:sz w:val="21"/>
                      <w:szCs w:val="21"/>
                      <w:highlight w:val="none"/>
                      <w:lang w:eastAsia="zh-CN"/>
                    </w:rPr>
                    <w:t>供水管网</w:t>
                  </w:r>
                  <w:r>
                    <w:rPr>
                      <w:rFonts w:hint="default" w:ascii="Times New Roman" w:hAnsi="Times New Roman" w:cs="Times New Roman"/>
                      <w:color w:val="auto"/>
                      <w:kern w:val="0"/>
                      <w:sz w:val="21"/>
                      <w:szCs w:val="21"/>
                      <w:highlight w:val="none"/>
                    </w:rPr>
                    <w:t>，用水量为</w:t>
                  </w:r>
                  <w:r>
                    <w:rPr>
                      <w:rFonts w:hint="eastAsia" w:ascii="Times New Roman" w:hAnsi="Times New Roman" w:cs="Times New Roman"/>
                      <w:color w:val="auto"/>
                      <w:kern w:val="0"/>
                      <w:sz w:val="21"/>
                      <w:szCs w:val="21"/>
                      <w:highlight w:val="none"/>
                      <w:lang w:val="en-US" w:eastAsia="zh-CN"/>
                    </w:rPr>
                    <w:t>630</w:t>
                  </w:r>
                  <w:r>
                    <w:rPr>
                      <w:rFonts w:hint="default" w:ascii="Times New Roman" w:hAnsi="Times New Roman" w:cs="Times New Roman"/>
                      <w:color w:val="auto"/>
                      <w:kern w:val="0"/>
                      <w:sz w:val="21"/>
                      <w:szCs w:val="21"/>
                      <w:highlight w:val="none"/>
                    </w:rPr>
                    <w:t>t/a。</w:t>
                  </w:r>
                </w:p>
              </w:tc>
              <w:tc>
                <w:tcPr>
                  <w:tcW w:w="1139" w:type="dxa"/>
                  <w:vAlign w:val="center"/>
                </w:tcPr>
                <w:p w14:paraId="2ECF4ABD">
                  <w:pPr>
                    <w:spacing w:line="240" w:lineRule="auto"/>
                    <w:jc w:val="center"/>
                    <w:rPr>
                      <w:rFonts w:hint="default" w:ascii="Times New Roman" w:hAnsi="Times New Roman" w:cs="Times New Roman"/>
                      <w:b w:val="0"/>
                      <w:bCs w:val="0"/>
                      <w:color w:val="auto"/>
                      <w:sz w:val="21"/>
                      <w:szCs w:val="21"/>
                      <w:highlight w:val="none"/>
                      <w:u w:val="none"/>
                      <w:lang w:val="en-US"/>
                    </w:rPr>
                  </w:pPr>
                  <w:r>
                    <w:rPr>
                      <w:rFonts w:hint="default" w:ascii="Times New Roman" w:hAnsi="Times New Roman" w:cs="Times New Roman"/>
                      <w:b w:val="0"/>
                      <w:bCs w:val="0"/>
                      <w:color w:val="auto"/>
                      <w:sz w:val="21"/>
                      <w:szCs w:val="21"/>
                      <w:highlight w:val="none"/>
                      <w:u w:val="none"/>
                      <w:lang w:val="en-US" w:eastAsia="zh-CN"/>
                    </w:rPr>
                    <w:t>依托</w:t>
                  </w:r>
                  <w:r>
                    <w:rPr>
                      <w:rFonts w:hint="eastAsia" w:ascii="Times New Roman" w:hAnsi="Times New Roman" w:cs="Times New Roman"/>
                      <w:b w:val="0"/>
                      <w:bCs w:val="0"/>
                      <w:color w:val="auto"/>
                      <w:sz w:val="21"/>
                      <w:szCs w:val="21"/>
                      <w:highlight w:val="none"/>
                      <w:u w:val="none"/>
                      <w:lang w:val="en-US" w:eastAsia="zh-CN"/>
                    </w:rPr>
                    <w:t>园区</w:t>
                  </w:r>
                  <w:r>
                    <w:rPr>
                      <w:rFonts w:hint="default" w:ascii="Times New Roman" w:hAnsi="Times New Roman" w:cs="Times New Roman"/>
                      <w:b w:val="0"/>
                      <w:bCs w:val="0"/>
                      <w:color w:val="auto"/>
                      <w:sz w:val="21"/>
                      <w:szCs w:val="21"/>
                      <w:highlight w:val="none"/>
                      <w:u w:val="none"/>
                      <w:lang w:val="en-US" w:eastAsia="zh-CN"/>
                    </w:rPr>
                    <w:t>给水管网</w:t>
                  </w:r>
                </w:p>
              </w:tc>
            </w:tr>
            <w:tr w14:paraId="5744C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6" w:type="dxa"/>
                  <w:vMerge w:val="continue"/>
                  <w:vAlign w:val="center"/>
                </w:tcPr>
                <w:p w14:paraId="26F9FDDF">
                  <w:pPr>
                    <w:spacing w:line="240" w:lineRule="auto"/>
                    <w:jc w:val="center"/>
                    <w:rPr>
                      <w:rFonts w:hint="default" w:ascii="Times New Roman" w:hAnsi="Times New Roman" w:cs="Times New Roman"/>
                      <w:color w:val="auto"/>
                      <w:sz w:val="21"/>
                      <w:szCs w:val="21"/>
                    </w:rPr>
                  </w:pPr>
                </w:p>
              </w:tc>
              <w:tc>
                <w:tcPr>
                  <w:tcW w:w="1164" w:type="dxa"/>
                  <w:vAlign w:val="center"/>
                </w:tcPr>
                <w:p w14:paraId="175AFD1F">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排水</w:t>
                  </w:r>
                </w:p>
              </w:tc>
              <w:tc>
                <w:tcPr>
                  <w:tcW w:w="6269" w:type="dxa"/>
                  <w:vAlign w:val="center"/>
                </w:tcPr>
                <w:p w14:paraId="4724EB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排水实行雨、污分流。</w:t>
                  </w:r>
                  <w:r>
                    <w:rPr>
                      <w:rFonts w:hint="eastAsia"/>
                      <w:color w:val="auto"/>
                      <w:szCs w:val="21"/>
                      <w:lang w:eastAsia="zh-CN"/>
                    </w:rPr>
                    <w:t>雨水依托园区雨水管网进入市政雨水管网</w:t>
                  </w:r>
                  <w:r>
                    <w:rPr>
                      <w:rFonts w:hint="eastAsia"/>
                      <w:color w:val="auto"/>
                      <w:lang w:eastAsia="zh-CN"/>
                    </w:rPr>
                    <w:t>，</w:t>
                  </w:r>
                  <w:r>
                    <w:rPr>
                      <w:rFonts w:hint="default" w:ascii="Times New Roman" w:hAnsi="Times New Roman" w:cs="Times New Roman"/>
                      <w:color w:val="auto"/>
                      <w:sz w:val="21"/>
                      <w:szCs w:val="21"/>
                      <w:lang w:eastAsia="zh-CN"/>
                    </w:rPr>
                    <w:t>项目运营期无生产性废水产生及排放，</w:t>
                  </w:r>
                  <w:r>
                    <w:rPr>
                      <w:rFonts w:hint="eastAsia" w:ascii="Times New Roman" w:hAnsi="Times New Roman" w:cs="Times New Roman"/>
                      <w:color w:val="auto"/>
                      <w:sz w:val="21"/>
                      <w:szCs w:val="21"/>
                      <w:lang w:eastAsia="zh-CN"/>
                    </w:rPr>
                    <w:t>职工生活污水依托园区现有“化粪池”处理后达到《污水综合排放标准》（GB8978-1996）表4中三级标准限值及泗县工业污水处理厂接管限值后排入泗县工业污水处理厂处理达《城镇污水处理厂污染物排放标准》（GB18918-2002）表1中一级标准A标准后排入石梁河。</w:t>
                  </w:r>
                </w:p>
              </w:tc>
              <w:tc>
                <w:tcPr>
                  <w:tcW w:w="1139" w:type="dxa"/>
                  <w:vAlign w:val="center"/>
                </w:tcPr>
                <w:p w14:paraId="439A6564">
                  <w:pPr>
                    <w:spacing w:line="240" w:lineRule="auto"/>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highlight w:val="none"/>
                      <w:u w:val="none"/>
                      <w:lang w:val="en-US" w:eastAsia="zh-CN"/>
                    </w:rPr>
                    <w:t>依托</w:t>
                  </w:r>
                  <w:r>
                    <w:rPr>
                      <w:rFonts w:hint="eastAsia" w:ascii="Times New Roman" w:hAnsi="Times New Roman" w:cs="Times New Roman"/>
                      <w:b w:val="0"/>
                      <w:bCs w:val="0"/>
                      <w:color w:val="auto"/>
                      <w:sz w:val="21"/>
                      <w:szCs w:val="21"/>
                      <w:highlight w:val="none"/>
                      <w:u w:val="none"/>
                      <w:lang w:val="en-US" w:eastAsia="zh-CN"/>
                    </w:rPr>
                    <w:t>园区污水</w:t>
                  </w:r>
                  <w:r>
                    <w:rPr>
                      <w:rFonts w:hint="default" w:ascii="Times New Roman" w:hAnsi="Times New Roman" w:cs="Times New Roman"/>
                      <w:b w:val="0"/>
                      <w:bCs w:val="0"/>
                      <w:color w:val="auto"/>
                      <w:sz w:val="21"/>
                      <w:szCs w:val="21"/>
                      <w:highlight w:val="none"/>
                      <w:u w:val="none"/>
                      <w:lang w:val="en-US" w:eastAsia="zh-CN"/>
                    </w:rPr>
                    <w:t>管网</w:t>
                  </w:r>
                </w:p>
              </w:tc>
            </w:tr>
            <w:tr w14:paraId="7730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14:paraId="18B8A238">
                  <w:pPr>
                    <w:spacing w:line="240" w:lineRule="auto"/>
                    <w:jc w:val="center"/>
                    <w:rPr>
                      <w:rFonts w:hint="default" w:ascii="Times New Roman" w:hAnsi="Times New Roman" w:cs="Times New Roman"/>
                      <w:color w:val="auto"/>
                      <w:sz w:val="21"/>
                      <w:szCs w:val="21"/>
                    </w:rPr>
                  </w:pPr>
                </w:p>
              </w:tc>
              <w:tc>
                <w:tcPr>
                  <w:tcW w:w="1164" w:type="dxa"/>
                  <w:vAlign w:val="center"/>
                </w:tcPr>
                <w:p w14:paraId="167626E1">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供电</w:t>
                  </w:r>
                </w:p>
              </w:tc>
              <w:tc>
                <w:tcPr>
                  <w:tcW w:w="6269" w:type="dxa"/>
                  <w:vAlign w:val="center"/>
                </w:tcPr>
                <w:p w14:paraId="4A20B0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供电来自</w:t>
                  </w:r>
                  <w:r>
                    <w:rPr>
                      <w:rFonts w:hint="default" w:ascii="Times New Roman" w:hAnsi="Times New Roman" w:cs="Times New Roman"/>
                      <w:color w:val="auto"/>
                      <w:kern w:val="0"/>
                      <w:sz w:val="21"/>
                      <w:szCs w:val="21"/>
                      <w:highlight w:val="none"/>
                      <w:lang w:val="en-US" w:eastAsia="zh-CN"/>
                    </w:rPr>
                    <w:t>安徽省宿州市泗县供电</w:t>
                  </w:r>
                  <w:r>
                    <w:rPr>
                      <w:rFonts w:hint="default" w:ascii="Times New Roman" w:hAnsi="Times New Roman" w:cs="Times New Roman"/>
                      <w:color w:val="auto"/>
                      <w:kern w:val="0"/>
                      <w:sz w:val="21"/>
                      <w:szCs w:val="21"/>
                      <w:highlight w:val="none"/>
                      <w:lang w:eastAsia="zh-CN"/>
                    </w:rPr>
                    <w:t>管网</w:t>
                  </w:r>
                  <w:r>
                    <w:rPr>
                      <w:rFonts w:hint="default" w:ascii="Times New Roman" w:hAnsi="Times New Roman" w:cs="Times New Roman"/>
                      <w:color w:val="auto"/>
                      <w:sz w:val="21"/>
                      <w:szCs w:val="21"/>
                      <w:highlight w:val="none"/>
                    </w:rPr>
                    <w:t>，用电量为</w:t>
                  </w:r>
                  <w:r>
                    <w:rPr>
                      <w:rFonts w:hint="eastAsia" w:ascii="Times New Roman" w:hAnsi="Times New Roman" w:cs="Times New Roman"/>
                      <w:color w:val="auto"/>
                      <w:sz w:val="21"/>
                      <w:szCs w:val="21"/>
                      <w:highlight w:val="none"/>
                      <w:lang w:val="en-US" w:eastAsia="zh-CN"/>
                    </w:rPr>
                    <w:t>100</w:t>
                  </w:r>
                  <w:r>
                    <w:rPr>
                      <w:rFonts w:hint="default" w:ascii="Times New Roman" w:hAnsi="Times New Roman" w:cs="Times New Roman"/>
                      <w:color w:val="auto"/>
                      <w:sz w:val="21"/>
                      <w:szCs w:val="21"/>
                      <w:highlight w:val="none"/>
                    </w:rPr>
                    <w:t>万kW</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h/a。</w:t>
                  </w:r>
                </w:p>
              </w:tc>
              <w:tc>
                <w:tcPr>
                  <w:tcW w:w="1139" w:type="dxa"/>
                  <w:vAlign w:val="center"/>
                </w:tcPr>
                <w:p w14:paraId="3491E790">
                  <w:pPr>
                    <w:spacing w:line="240" w:lineRule="auto"/>
                    <w:jc w:val="center"/>
                    <w:rPr>
                      <w:rFonts w:hint="default" w:ascii="Times New Roman" w:hAnsi="Times New Roman" w:cs="Times New Roman" w:eastAsiaTheme="minorEastAsia"/>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依托</w:t>
                  </w:r>
                  <w:r>
                    <w:rPr>
                      <w:rFonts w:hint="eastAsia" w:ascii="Times New Roman" w:hAnsi="Times New Roman" w:cs="Times New Roman"/>
                      <w:b w:val="0"/>
                      <w:bCs w:val="0"/>
                      <w:color w:val="auto"/>
                      <w:sz w:val="21"/>
                      <w:szCs w:val="21"/>
                      <w:highlight w:val="none"/>
                      <w:u w:val="none"/>
                      <w:lang w:val="en-US" w:eastAsia="zh-CN"/>
                    </w:rPr>
                    <w:t>园区</w:t>
                  </w:r>
                  <w:r>
                    <w:rPr>
                      <w:rFonts w:hint="default" w:ascii="Times New Roman" w:hAnsi="Times New Roman" w:cs="Times New Roman"/>
                      <w:b w:val="0"/>
                      <w:bCs w:val="0"/>
                      <w:color w:val="auto"/>
                      <w:sz w:val="21"/>
                      <w:szCs w:val="21"/>
                      <w:u w:val="none"/>
                      <w:lang w:val="en-US" w:eastAsia="zh-CN"/>
                    </w:rPr>
                    <w:t>供电系统</w:t>
                  </w:r>
                </w:p>
              </w:tc>
            </w:tr>
            <w:tr w14:paraId="22FA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14:paraId="09ED4F42">
                  <w:pPr>
                    <w:spacing w:line="240" w:lineRule="auto"/>
                    <w:jc w:val="center"/>
                    <w:rPr>
                      <w:rFonts w:hint="default" w:ascii="Times New Roman" w:hAnsi="Times New Roman" w:cs="Times New Roman"/>
                      <w:color w:val="auto"/>
                      <w:sz w:val="21"/>
                      <w:szCs w:val="21"/>
                    </w:rPr>
                  </w:pPr>
                </w:p>
              </w:tc>
              <w:tc>
                <w:tcPr>
                  <w:tcW w:w="1164" w:type="dxa"/>
                  <w:vAlign w:val="center"/>
                </w:tcPr>
                <w:p w14:paraId="61A8B1A8">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消防</w:t>
                  </w:r>
                </w:p>
              </w:tc>
              <w:tc>
                <w:tcPr>
                  <w:tcW w:w="6269" w:type="dxa"/>
                  <w:vAlign w:val="center"/>
                </w:tcPr>
                <w:p w14:paraId="7BB2B0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按照相关规定设置各类消防设施。</w:t>
                  </w:r>
                </w:p>
              </w:tc>
              <w:tc>
                <w:tcPr>
                  <w:tcW w:w="1139" w:type="dxa"/>
                  <w:vAlign w:val="center"/>
                </w:tcPr>
                <w:p w14:paraId="1DEC4B68">
                  <w:pPr>
                    <w:spacing w:line="240" w:lineRule="auto"/>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lang w:val="en-US" w:eastAsia="zh-CN"/>
                    </w:rPr>
                    <w:t>依托</w:t>
                  </w:r>
                  <w:r>
                    <w:rPr>
                      <w:rFonts w:hint="eastAsia" w:ascii="Times New Roman" w:hAnsi="Times New Roman" w:cs="Times New Roman"/>
                      <w:b w:val="0"/>
                      <w:bCs w:val="0"/>
                      <w:color w:val="auto"/>
                      <w:sz w:val="21"/>
                      <w:szCs w:val="21"/>
                      <w:highlight w:val="none"/>
                      <w:u w:val="none"/>
                      <w:lang w:val="en-US" w:eastAsia="zh-CN"/>
                    </w:rPr>
                    <w:t>园区</w:t>
                  </w:r>
                  <w:r>
                    <w:rPr>
                      <w:rFonts w:hint="default" w:ascii="Times New Roman" w:hAnsi="Times New Roman" w:cs="Times New Roman"/>
                      <w:b w:val="0"/>
                      <w:bCs w:val="0"/>
                      <w:color w:val="auto"/>
                      <w:sz w:val="21"/>
                      <w:szCs w:val="21"/>
                      <w:u w:val="none"/>
                      <w:lang w:val="en-US" w:eastAsia="zh-CN"/>
                    </w:rPr>
                    <w:t>消防系统</w:t>
                  </w:r>
                </w:p>
              </w:tc>
            </w:tr>
            <w:tr w14:paraId="53FF0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6" w:type="dxa"/>
                  <w:vMerge w:val="restart"/>
                  <w:vAlign w:val="center"/>
                </w:tcPr>
                <w:p w14:paraId="5CC22F4F">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环保工程</w:t>
                  </w:r>
                </w:p>
              </w:tc>
              <w:tc>
                <w:tcPr>
                  <w:tcW w:w="1164" w:type="dxa"/>
                  <w:vAlign w:val="center"/>
                </w:tcPr>
                <w:p w14:paraId="5324562D">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废水治理</w:t>
                  </w:r>
                </w:p>
              </w:tc>
              <w:tc>
                <w:tcPr>
                  <w:tcW w:w="6269" w:type="dxa"/>
                  <w:vAlign w:val="center"/>
                </w:tcPr>
                <w:p w14:paraId="0CC47F37">
                  <w:pPr>
                    <w:spacing w:line="240" w:lineRule="auto"/>
                    <w:ind w:firstLine="420" w:firstLineChars="200"/>
                    <w:rPr>
                      <w:rFonts w:hint="default" w:ascii="Times New Roman" w:hAnsi="Times New Roman" w:eastAsia="宋体" w:cs="Times New Roman"/>
                      <w:color w:val="auto"/>
                      <w:sz w:val="21"/>
                      <w:szCs w:val="21"/>
                      <w:vertAlign w:val="superscript"/>
                    </w:rPr>
                  </w:pPr>
                  <w:r>
                    <w:rPr>
                      <w:rFonts w:hint="default" w:ascii="Times New Roman" w:hAnsi="Times New Roman" w:cs="Times New Roman"/>
                      <w:color w:val="auto"/>
                      <w:sz w:val="21"/>
                      <w:szCs w:val="21"/>
                    </w:rPr>
                    <w:t>排水实行雨、污分流。</w:t>
                  </w:r>
                  <w:r>
                    <w:rPr>
                      <w:rFonts w:hint="eastAsia"/>
                      <w:color w:val="auto"/>
                      <w:szCs w:val="21"/>
                      <w:lang w:eastAsia="zh-CN"/>
                    </w:rPr>
                    <w:t>雨水依托园区雨水管网进入市政雨水管网</w:t>
                  </w:r>
                  <w:r>
                    <w:rPr>
                      <w:rFonts w:hint="eastAsia"/>
                      <w:color w:val="auto"/>
                      <w:lang w:eastAsia="zh-CN"/>
                    </w:rPr>
                    <w:t>，</w:t>
                  </w:r>
                  <w:r>
                    <w:rPr>
                      <w:rFonts w:hint="default" w:ascii="Times New Roman" w:hAnsi="Times New Roman" w:cs="Times New Roman"/>
                      <w:color w:val="auto"/>
                      <w:sz w:val="21"/>
                      <w:szCs w:val="21"/>
                      <w:lang w:eastAsia="zh-CN"/>
                    </w:rPr>
                    <w:t>项目运营期无生产性废水产生及排放，</w:t>
                  </w:r>
                  <w:r>
                    <w:rPr>
                      <w:rFonts w:hint="eastAsia" w:ascii="Times New Roman" w:hAnsi="Times New Roman" w:cs="Times New Roman"/>
                      <w:color w:val="auto"/>
                      <w:sz w:val="21"/>
                      <w:szCs w:val="21"/>
                      <w:lang w:eastAsia="zh-CN"/>
                    </w:rPr>
                    <w:t>职工生活污水依托园区现有“化粪池”处理后达到《污水综合排放标准》（GB8978-1996）表4中三级标准限值及泗县工业污水处理厂接管限值后排入泗县工业污水处理厂处理达《城镇污水处理厂污染物排放标准》（GB18918-2002）表1中一级标准A标准后排入石梁河。</w:t>
                  </w:r>
                </w:p>
              </w:tc>
              <w:tc>
                <w:tcPr>
                  <w:tcW w:w="1139" w:type="dxa"/>
                  <w:vAlign w:val="center"/>
                </w:tcPr>
                <w:p w14:paraId="63B7A2D6">
                  <w:pPr>
                    <w:spacing w:line="240" w:lineRule="auto"/>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highlight w:val="none"/>
                      <w:u w:val="none"/>
                      <w:lang w:val="en-US" w:eastAsia="zh-CN"/>
                    </w:rPr>
                    <w:t>依托</w:t>
                  </w:r>
                  <w:r>
                    <w:rPr>
                      <w:rFonts w:hint="eastAsia" w:ascii="Times New Roman" w:hAnsi="Times New Roman" w:cs="Times New Roman"/>
                      <w:b w:val="0"/>
                      <w:bCs w:val="0"/>
                      <w:color w:val="auto"/>
                      <w:sz w:val="21"/>
                      <w:szCs w:val="21"/>
                      <w:highlight w:val="none"/>
                      <w:u w:val="none"/>
                      <w:lang w:val="en-US" w:eastAsia="zh-CN"/>
                    </w:rPr>
                    <w:t>园区雨水</w:t>
                  </w:r>
                  <w:r>
                    <w:rPr>
                      <w:rFonts w:hint="default" w:ascii="Times New Roman" w:hAnsi="Times New Roman" w:cs="Times New Roman"/>
                      <w:b w:val="0"/>
                      <w:bCs w:val="0"/>
                      <w:color w:val="auto"/>
                      <w:sz w:val="21"/>
                      <w:szCs w:val="21"/>
                      <w:highlight w:val="none"/>
                      <w:u w:val="none"/>
                      <w:lang w:val="en-US" w:eastAsia="zh-CN"/>
                    </w:rPr>
                    <w:t>管网</w:t>
                  </w:r>
                </w:p>
              </w:tc>
            </w:tr>
            <w:tr w14:paraId="427C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066" w:type="dxa"/>
                  <w:vMerge w:val="continue"/>
                  <w:vAlign w:val="center"/>
                </w:tcPr>
                <w:p w14:paraId="2BCE0F58">
                  <w:pPr>
                    <w:spacing w:line="240" w:lineRule="auto"/>
                    <w:jc w:val="center"/>
                    <w:rPr>
                      <w:rFonts w:hint="default" w:ascii="Times New Roman" w:hAnsi="Times New Roman" w:cs="Times New Roman"/>
                      <w:color w:val="auto"/>
                      <w:sz w:val="21"/>
                      <w:szCs w:val="21"/>
                    </w:rPr>
                  </w:pPr>
                </w:p>
              </w:tc>
              <w:tc>
                <w:tcPr>
                  <w:tcW w:w="1164" w:type="dxa"/>
                  <w:vAlign w:val="center"/>
                </w:tcPr>
                <w:p w14:paraId="4857C31B">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废气治理</w:t>
                  </w:r>
                </w:p>
              </w:tc>
              <w:tc>
                <w:tcPr>
                  <w:tcW w:w="6269" w:type="dxa"/>
                  <w:vAlign w:val="center"/>
                </w:tcPr>
                <w:p w14:paraId="3A5017F2">
                  <w:pPr>
                    <w:widowControl/>
                    <w:spacing w:line="240" w:lineRule="auto"/>
                    <w:ind w:firstLine="422" w:firstLineChars="200"/>
                    <w:jc w:val="both"/>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sz w:val="21"/>
                      <w:szCs w:val="21"/>
                      <w:lang w:val="en-US" w:eastAsia="zh-CN"/>
                    </w:rPr>
                    <w:t>有组织：</w:t>
                  </w:r>
                </w:p>
                <w:p w14:paraId="21E6ABDB">
                  <w:pPr>
                    <w:widowControl/>
                    <w:spacing w:line="240" w:lineRule="auto"/>
                    <w:ind w:firstLine="420" w:firstLineChars="20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①</w:t>
                  </w:r>
                  <w:r>
                    <w:rPr>
                      <w:rFonts w:hint="eastAsia" w:ascii="Times New Roman" w:hAnsi="Times New Roman" w:cs="Times New Roman"/>
                      <w:color w:val="auto"/>
                      <w:sz w:val="21"/>
                      <w:szCs w:val="21"/>
                      <w:lang w:val="en-US" w:eastAsia="zh-CN"/>
                    </w:rPr>
                    <w:t>烤料、热压成型</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有机废气</w:t>
                  </w:r>
                  <w:r>
                    <w:rPr>
                      <w:rFonts w:hint="default" w:ascii="Times New Roman" w:hAnsi="Times New Roman" w:cs="Times New Roman"/>
                      <w:color w:val="auto"/>
                      <w:sz w:val="21"/>
                      <w:szCs w:val="21"/>
                      <w:lang w:val="en-US" w:eastAsia="zh-CN"/>
                    </w:rPr>
                    <w:t>：集气系统+</w:t>
                  </w:r>
                  <w:r>
                    <w:rPr>
                      <w:rFonts w:hint="eastAsia" w:ascii="Times New Roman" w:hAnsi="Times New Roman" w:cs="Times New Roman"/>
                      <w:color w:val="auto"/>
                      <w:sz w:val="21"/>
                      <w:szCs w:val="21"/>
                      <w:lang w:val="en-US" w:eastAsia="zh-CN"/>
                    </w:rPr>
                    <w:t>两级活性炭</w:t>
                  </w:r>
                  <w:r>
                    <w:rPr>
                      <w:rFonts w:hint="default" w:ascii="Times New Roman" w:hAnsi="Times New Roman" w:cs="Times New Roman"/>
                      <w:color w:val="auto"/>
                      <w:sz w:val="21"/>
                      <w:szCs w:val="21"/>
                      <w:lang w:val="en-US" w:eastAsia="zh-CN"/>
                    </w:rPr>
                    <w:t>+15m高排气筒（DA001）。</w:t>
                  </w:r>
                </w:p>
                <w:p w14:paraId="1E939878">
                  <w:pPr>
                    <w:widowControl/>
                    <w:spacing w:line="240" w:lineRule="auto"/>
                    <w:ind w:firstLine="420" w:firstLineChars="20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②</w:t>
                  </w:r>
                  <w:r>
                    <w:rPr>
                      <w:rFonts w:hint="eastAsia" w:ascii="Times New Roman" w:hAnsi="Times New Roman" w:cs="Times New Roman"/>
                      <w:color w:val="auto"/>
                      <w:sz w:val="21"/>
                      <w:szCs w:val="21"/>
                      <w:lang w:val="en-US" w:eastAsia="zh-CN"/>
                    </w:rPr>
                    <w:t>吹灰</w:t>
                  </w:r>
                  <w:r>
                    <w:rPr>
                      <w:rFonts w:hint="default" w:ascii="Times New Roman" w:hAnsi="Times New Roman" w:cs="Times New Roman"/>
                      <w:color w:val="auto"/>
                      <w:sz w:val="21"/>
                      <w:szCs w:val="21"/>
                      <w:lang w:val="en-US" w:eastAsia="zh-CN"/>
                    </w:rPr>
                    <w:t>→颗粒物：集气系统+袋式除尘器+15m高排气筒（DA001）。</w:t>
                  </w:r>
                </w:p>
                <w:p w14:paraId="74D62603">
                  <w:pPr>
                    <w:widowControl/>
                    <w:spacing w:line="240" w:lineRule="auto"/>
                    <w:ind w:firstLine="420" w:firstLineChars="20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③</w:t>
                  </w:r>
                  <w:r>
                    <w:rPr>
                      <w:rFonts w:hint="eastAsia" w:ascii="Times New Roman" w:hAnsi="Times New Roman" w:cs="Times New Roman"/>
                      <w:color w:val="auto"/>
                      <w:sz w:val="21"/>
                      <w:szCs w:val="21"/>
                      <w:lang w:val="en-US" w:eastAsia="zh-CN"/>
                    </w:rPr>
                    <w:t>磨边</w:t>
                  </w:r>
                  <w:r>
                    <w:rPr>
                      <w:rFonts w:hint="default" w:ascii="Times New Roman" w:hAnsi="Times New Roman" w:cs="Times New Roman"/>
                      <w:color w:val="auto"/>
                      <w:sz w:val="21"/>
                      <w:szCs w:val="21"/>
                      <w:lang w:val="en-US" w:eastAsia="zh-CN"/>
                    </w:rPr>
                    <w:t>→颗粒物：集气系统+袋式除尘器+15m高排气筒（DA002）。</w:t>
                  </w:r>
                </w:p>
              </w:tc>
              <w:tc>
                <w:tcPr>
                  <w:tcW w:w="1139" w:type="dxa"/>
                  <w:vAlign w:val="center"/>
                </w:tcPr>
                <w:p w14:paraId="661CE782">
                  <w:pPr>
                    <w:spacing w:line="240" w:lineRule="auto"/>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新建</w:t>
                  </w:r>
                </w:p>
              </w:tc>
            </w:tr>
            <w:tr w14:paraId="5DA0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14:paraId="4F991DAC">
                  <w:pPr>
                    <w:spacing w:line="240" w:lineRule="auto"/>
                    <w:jc w:val="center"/>
                    <w:rPr>
                      <w:rFonts w:hint="default" w:ascii="Times New Roman" w:hAnsi="Times New Roman" w:cs="Times New Roman"/>
                      <w:color w:val="auto"/>
                      <w:sz w:val="21"/>
                      <w:szCs w:val="21"/>
                    </w:rPr>
                  </w:pPr>
                </w:p>
              </w:tc>
              <w:tc>
                <w:tcPr>
                  <w:tcW w:w="1164" w:type="dxa"/>
                  <w:vAlign w:val="center"/>
                </w:tcPr>
                <w:p w14:paraId="7713107C">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噪声治理</w:t>
                  </w:r>
                </w:p>
              </w:tc>
              <w:tc>
                <w:tcPr>
                  <w:tcW w:w="6269" w:type="dxa"/>
                  <w:vAlign w:val="center"/>
                </w:tcPr>
                <w:p w14:paraId="64CA9682">
                  <w:pPr>
                    <w:widowControl/>
                    <w:spacing w:line="240" w:lineRule="auto"/>
                    <w:ind w:firstLine="420" w:firstLineChars="200"/>
                    <w:jc w:val="both"/>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选用低噪设备、采取基础减震、柔性连接、建筑物隔声等，再通过屏蔽、阻挡及距离衰减作用进行噪声防治。</w:t>
                  </w:r>
                </w:p>
              </w:tc>
              <w:tc>
                <w:tcPr>
                  <w:tcW w:w="1139" w:type="dxa"/>
                  <w:vAlign w:val="center"/>
                </w:tcPr>
                <w:p w14:paraId="02AEA976">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新建</w:t>
                  </w:r>
                </w:p>
              </w:tc>
            </w:tr>
            <w:tr w14:paraId="0D8B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066" w:type="dxa"/>
                  <w:vMerge w:val="continue"/>
                  <w:vAlign w:val="center"/>
                </w:tcPr>
                <w:p w14:paraId="3FFF6402">
                  <w:pPr>
                    <w:spacing w:line="240" w:lineRule="auto"/>
                    <w:jc w:val="center"/>
                    <w:rPr>
                      <w:rFonts w:hint="default" w:ascii="Times New Roman" w:hAnsi="Times New Roman" w:cs="Times New Roman"/>
                      <w:color w:val="auto"/>
                      <w:sz w:val="21"/>
                      <w:szCs w:val="21"/>
                    </w:rPr>
                  </w:pPr>
                </w:p>
              </w:tc>
              <w:tc>
                <w:tcPr>
                  <w:tcW w:w="1164" w:type="dxa"/>
                  <w:vMerge w:val="restart"/>
                  <w:vAlign w:val="center"/>
                </w:tcPr>
                <w:p w14:paraId="559B292B">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固废治理</w:t>
                  </w:r>
                </w:p>
              </w:tc>
              <w:tc>
                <w:tcPr>
                  <w:tcW w:w="6269" w:type="dxa"/>
                  <w:vAlign w:val="center"/>
                </w:tcPr>
                <w:p w14:paraId="385454A7">
                  <w:pPr>
                    <w:spacing w:line="240" w:lineRule="auto"/>
                    <w:jc w:val="center"/>
                    <w:rPr>
                      <w:rFonts w:hint="default" w:ascii="Times New Roman" w:hAnsi="Times New Roman" w:eastAsia="宋体" w:cs="Times New Roman"/>
                      <w:color w:val="auto"/>
                      <w:sz w:val="21"/>
                      <w:szCs w:val="21"/>
                      <w:vertAlign w:val="superscript"/>
                    </w:rPr>
                  </w:pPr>
                  <w:r>
                    <w:rPr>
                      <w:rFonts w:hint="default" w:ascii="Times New Roman" w:hAnsi="Times New Roman" w:cs="Times New Roman"/>
                      <w:color w:val="auto"/>
                      <w:sz w:val="21"/>
                      <w:szCs w:val="21"/>
                    </w:rPr>
                    <w:t>一般工业固体废物：一般工业固体废物暂存</w:t>
                  </w:r>
                  <w:r>
                    <w:rPr>
                      <w:rFonts w:hint="default" w:ascii="Times New Roman" w:hAnsi="Times New Roman" w:cs="Times New Roman"/>
                      <w:color w:val="auto"/>
                      <w:sz w:val="21"/>
                      <w:szCs w:val="21"/>
                      <w:lang w:val="en-US" w:eastAsia="zh-CN"/>
                    </w:rPr>
                    <w:t>区</w:t>
                  </w:r>
                  <w:r>
                    <w:rPr>
                      <w:rFonts w:hint="default" w:ascii="Times New Roman" w:hAnsi="Times New Roman" w:cs="Times New Roman"/>
                      <w:color w:val="auto"/>
                      <w:sz w:val="21"/>
                      <w:szCs w:val="21"/>
                    </w:rPr>
                    <w:t>。</w:t>
                  </w:r>
                </w:p>
              </w:tc>
              <w:tc>
                <w:tcPr>
                  <w:tcW w:w="1139" w:type="dxa"/>
                  <w:vAlign w:val="center"/>
                </w:tcPr>
                <w:p w14:paraId="37D1D6DF">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新建</w:t>
                  </w:r>
                </w:p>
              </w:tc>
            </w:tr>
            <w:tr w14:paraId="13609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1066" w:type="dxa"/>
                  <w:vMerge w:val="continue"/>
                  <w:vAlign w:val="center"/>
                </w:tcPr>
                <w:p w14:paraId="72740595">
                  <w:pPr>
                    <w:spacing w:line="240" w:lineRule="auto"/>
                    <w:jc w:val="center"/>
                    <w:rPr>
                      <w:rFonts w:hint="default" w:ascii="Times New Roman" w:hAnsi="Times New Roman" w:cs="Times New Roman"/>
                      <w:color w:val="auto"/>
                      <w:sz w:val="21"/>
                      <w:szCs w:val="21"/>
                    </w:rPr>
                  </w:pPr>
                </w:p>
              </w:tc>
              <w:tc>
                <w:tcPr>
                  <w:tcW w:w="1164" w:type="dxa"/>
                  <w:vMerge w:val="continue"/>
                  <w:vAlign w:val="center"/>
                </w:tcPr>
                <w:p w14:paraId="4A06BC34">
                  <w:pPr>
                    <w:spacing w:line="240" w:lineRule="auto"/>
                    <w:jc w:val="center"/>
                    <w:rPr>
                      <w:rFonts w:hint="default" w:ascii="Times New Roman" w:hAnsi="Times New Roman" w:cs="Times New Roman"/>
                      <w:color w:val="auto"/>
                      <w:sz w:val="21"/>
                      <w:szCs w:val="21"/>
                    </w:rPr>
                  </w:pPr>
                </w:p>
              </w:tc>
              <w:tc>
                <w:tcPr>
                  <w:tcW w:w="6269" w:type="dxa"/>
                  <w:vAlign w:val="center"/>
                </w:tcPr>
                <w:p w14:paraId="0721D144">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危险废物：危废暂存间，建筑面积为5m</w:t>
                  </w:r>
                  <w:r>
                    <w:rPr>
                      <w:rFonts w:hint="eastAsia" w:ascii="Times New Roman" w:hAnsi="Times New Roman" w:cs="Times New Roman"/>
                      <w:color w:val="auto"/>
                      <w:sz w:val="21"/>
                      <w:szCs w:val="21"/>
                      <w:vertAlign w:val="superscript"/>
                      <w:lang w:val="en-US" w:eastAsia="zh-CN"/>
                    </w:rPr>
                    <w:t>2</w:t>
                  </w:r>
                  <w:r>
                    <w:rPr>
                      <w:rFonts w:hint="eastAsia" w:ascii="宋体" w:hAnsi="宋体" w:eastAsia="宋体" w:cs="宋体"/>
                      <w:color w:val="auto"/>
                      <w:sz w:val="21"/>
                      <w:szCs w:val="21"/>
                      <w:vertAlign w:val="baseline"/>
                      <w:lang w:val="en-US" w:eastAsia="zh-CN"/>
                    </w:rPr>
                    <w:t>，</w:t>
                  </w:r>
                  <w:r>
                    <w:rPr>
                      <w:rFonts w:hint="eastAsia" w:ascii="Times New Roman" w:hAnsi="Times New Roman" w:cs="Times New Roman"/>
                      <w:color w:val="auto"/>
                      <w:sz w:val="21"/>
                      <w:szCs w:val="21"/>
                      <w:vertAlign w:val="baseline"/>
                      <w:lang w:val="en-US" w:eastAsia="zh-CN"/>
                    </w:rPr>
                    <w:t>位于生产车间内北侧</w:t>
                  </w:r>
                  <w:r>
                    <w:rPr>
                      <w:rFonts w:hint="eastAsia" w:ascii="Times New Roman" w:hAnsi="Times New Roman" w:cs="Times New Roman"/>
                      <w:color w:val="auto"/>
                      <w:sz w:val="21"/>
                      <w:szCs w:val="21"/>
                      <w:lang w:eastAsia="zh-CN"/>
                    </w:rPr>
                    <w:t>。</w:t>
                  </w:r>
                </w:p>
              </w:tc>
              <w:tc>
                <w:tcPr>
                  <w:tcW w:w="1139" w:type="dxa"/>
                  <w:vAlign w:val="center"/>
                </w:tcPr>
                <w:p w14:paraId="12FB12D9">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14:paraId="6CD3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14:paraId="5771534E">
                  <w:pPr>
                    <w:spacing w:line="240" w:lineRule="auto"/>
                    <w:jc w:val="center"/>
                    <w:rPr>
                      <w:rFonts w:hint="default" w:ascii="Times New Roman" w:hAnsi="Times New Roman" w:cs="Times New Roman"/>
                      <w:color w:val="auto"/>
                      <w:sz w:val="21"/>
                      <w:szCs w:val="21"/>
                    </w:rPr>
                  </w:pPr>
                </w:p>
              </w:tc>
              <w:tc>
                <w:tcPr>
                  <w:tcW w:w="1164" w:type="dxa"/>
                  <w:vMerge w:val="continue"/>
                  <w:vAlign w:val="center"/>
                </w:tcPr>
                <w:p w14:paraId="6A730275">
                  <w:pPr>
                    <w:spacing w:line="240" w:lineRule="auto"/>
                    <w:jc w:val="center"/>
                    <w:rPr>
                      <w:rFonts w:hint="default" w:ascii="Times New Roman" w:hAnsi="Times New Roman" w:cs="Times New Roman"/>
                      <w:color w:val="auto"/>
                      <w:sz w:val="21"/>
                      <w:szCs w:val="21"/>
                    </w:rPr>
                  </w:pPr>
                </w:p>
              </w:tc>
              <w:tc>
                <w:tcPr>
                  <w:tcW w:w="6269" w:type="dxa"/>
                  <w:vAlign w:val="center"/>
                </w:tcPr>
                <w:p w14:paraId="07FB084F">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生活垃圾：垃圾桶等。</w:t>
                  </w:r>
                </w:p>
              </w:tc>
              <w:tc>
                <w:tcPr>
                  <w:tcW w:w="1139" w:type="dxa"/>
                  <w:vAlign w:val="center"/>
                </w:tcPr>
                <w:p w14:paraId="10023CA5">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新建</w:t>
                  </w:r>
                </w:p>
              </w:tc>
            </w:tr>
            <w:tr w14:paraId="3D0F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14:paraId="513E4FB3">
                  <w:pPr>
                    <w:spacing w:line="240" w:lineRule="auto"/>
                    <w:jc w:val="center"/>
                    <w:rPr>
                      <w:rFonts w:hint="default" w:ascii="Times New Roman" w:hAnsi="Times New Roman" w:cs="Times New Roman"/>
                      <w:color w:val="auto"/>
                      <w:sz w:val="21"/>
                      <w:szCs w:val="21"/>
                    </w:rPr>
                  </w:pPr>
                </w:p>
              </w:tc>
              <w:tc>
                <w:tcPr>
                  <w:tcW w:w="1164" w:type="dxa"/>
                  <w:vAlign w:val="center"/>
                </w:tcPr>
                <w:p w14:paraId="7ACF83B7">
                  <w:pPr>
                    <w:spacing w:line="240" w:lineRule="auto"/>
                    <w:jc w:val="center"/>
                    <w:rPr>
                      <w:rFonts w:hint="default" w:ascii="Times New Roman" w:hAnsi="Times New Roman" w:cs="Times New Roman"/>
                      <w:color w:val="auto"/>
                      <w:sz w:val="21"/>
                      <w:szCs w:val="21"/>
                      <w:lang w:val="en-US"/>
                    </w:rPr>
                  </w:pPr>
                  <w:r>
                    <w:rPr>
                      <w:rFonts w:hint="default" w:ascii="Times New Roman" w:hAnsi="Times New Roman" w:eastAsia="宋体" w:cs="Times New Roman"/>
                      <w:color w:val="auto"/>
                      <w:sz w:val="21"/>
                      <w:szCs w:val="21"/>
                      <w:lang w:eastAsia="zh-CN"/>
                    </w:rPr>
                    <w:t>地下水</w:t>
                  </w:r>
                  <w:r>
                    <w:rPr>
                      <w:rFonts w:hint="default" w:ascii="Times New Roman" w:hAnsi="Times New Roman" w:eastAsia="宋体" w:cs="Times New Roman"/>
                      <w:color w:val="auto"/>
                      <w:sz w:val="21"/>
                      <w:szCs w:val="21"/>
                      <w:lang w:val="en-US" w:eastAsia="zh-CN"/>
                    </w:rPr>
                    <w:t>及土壤</w:t>
                  </w:r>
                </w:p>
              </w:tc>
              <w:tc>
                <w:tcPr>
                  <w:tcW w:w="6269" w:type="dxa"/>
                  <w:vAlign w:val="center"/>
                </w:tcPr>
                <w:p w14:paraId="5A002271">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color w:val="auto"/>
                      <w:sz w:val="21"/>
                      <w:szCs w:val="21"/>
                    </w:rPr>
                  </w:pPr>
                  <w:r>
                    <w:rPr>
                      <w:rFonts w:ascii="Times New Roman" w:hAnsi="Times New Roman" w:cs="Times New Roman"/>
                      <w:color w:val="auto"/>
                      <w:sz w:val="21"/>
                      <w:szCs w:val="21"/>
                    </w:rPr>
                    <w:t>重点防渗区防渗技术要求：等效黏土防渗层M</w:t>
                  </w:r>
                  <w:r>
                    <w:rPr>
                      <w:rFonts w:ascii="Times New Roman" w:hAnsi="Times New Roman" w:cs="Times New Roman"/>
                      <w:color w:val="auto"/>
                      <w:sz w:val="21"/>
                      <w:szCs w:val="21"/>
                      <w:vertAlign w:val="subscript"/>
                    </w:rPr>
                    <w:t>b</w:t>
                  </w:r>
                  <w:r>
                    <w:rPr>
                      <w:rFonts w:ascii="Times New Roman" w:hAnsi="Times New Roman" w:cs="Times New Roman"/>
                      <w:color w:val="auto"/>
                      <w:sz w:val="21"/>
                      <w:szCs w:val="21"/>
                    </w:rPr>
                    <w:t>≧6</w:t>
                  </w:r>
                  <w:r>
                    <w:rPr>
                      <w:rFonts w:hint="eastAsia" w:ascii="Times New Roman" w:hAnsi="Times New Roman" w:cs="Times New Roman"/>
                      <w:color w:val="auto"/>
                      <w:sz w:val="21"/>
                      <w:szCs w:val="21"/>
                      <w:lang w:val="en-US" w:eastAsia="zh-CN"/>
                    </w:rPr>
                    <w:t>.0</w:t>
                  </w:r>
                  <w:r>
                    <w:rPr>
                      <w:rFonts w:ascii="Times New Roman" w:hAnsi="Times New Roman" w:cs="Times New Roman"/>
                      <w:color w:val="auto"/>
                      <w:sz w:val="21"/>
                      <w:szCs w:val="21"/>
                    </w:rPr>
                    <w:t>m，K≦1</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-7</w:t>
                  </w:r>
                  <w:r>
                    <w:rPr>
                      <w:rFonts w:ascii="Times New Roman" w:hAnsi="Times New Roman" w:cs="Times New Roman"/>
                      <w:color w:val="auto"/>
                      <w:sz w:val="21"/>
                      <w:szCs w:val="21"/>
                    </w:rPr>
                    <w:t>cm/s，或参照《危险废物填埋污染控制标准》（GB</w:t>
                  </w:r>
                  <w:r>
                    <w:rPr>
                      <w:rFonts w:hint="eastAsia" w:ascii="Times New Roman" w:hAnsi="Times New Roman" w:cs="Times New Roman"/>
                      <w:color w:val="auto"/>
                      <w:sz w:val="21"/>
                      <w:szCs w:val="21"/>
                    </w:rPr>
                    <w:t>18598-2019</w:t>
                  </w:r>
                  <w:r>
                    <w:rPr>
                      <w:rFonts w:ascii="Times New Roman" w:hAnsi="Times New Roman" w:cs="Times New Roman"/>
                      <w:color w:val="auto"/>
                      <w:sz w:val="21"/>
                      <w:szCs w:val="21"/>
                    </w:rPr>
                    <w:t>）执行；一般防渗区防渗技术要求：等效黏土防渗层M</w:t>
                  </w:r>
                  <w:r>
                    <w:rPr>
                      <w:rFonts w:ascii="Times New Roman" w:hAnsi="Times New Roman" w:cs="Times New Roman"/>
                      <w:color w:val="auto"/>
                      <w:sz w:val="21"/>
                      <w:szCs w:val="21"/>
                      <w:vertAlign w:val="subscript"/>
                    </w:rPr>
                    <w:t>b</w:t>
                  </w:r>
                  <w:r>
                    <w:rPr>
                      <w:rFonts w:ascii="Times New Roman" w:hAnsi="Times New Roman" w:cs="Times New Roman"/>
                      <w:color w:val="auto"/>
                      <w:sz w:val="21"/>
                      <w:szCs w:val="21"/>
                    </w:rPr>
                    <w:t>≧1.5m，K≦1</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w:t>
                  </w:r>
                  <w:r>
                    <w:rPr>
                      <w:rFonts w:ascii="Times New Roman" w:hAnsi="Times New Roman" w:cs="Times New Roman"/>
                      <w:color w:val="auto"/>
                      <w:sz w:val="21"/>
                      <w:szCs w:val="21"/>
                    </w:rPr>
                    <w:t>10</w:t>
                  </w:r>
                  <w:r>
                    <w:rPr>
                      <w:rFonts w:ascii="Times New Roman" w:hAnsi="Times New Roman" w:cs="Times New Roman"/>
                      <w:color w:val="auto"/>
                      <w:sz w:val="21"/>
                      <w:szCs w:val="21"/>
                      <w:vertAlign w:val="superscript"/>
                    </w:rPr>
                    <w:t>-7</w:t>
                  </w:r>
                  <w:r>
                    <w:rPr>
                      <w:rFonts w:ascii="Times New Roman" w:hAnsi="Times New Roman" w:cs="Times New Roman"/>
                      <w:color w:val="auto"/>
                      <w:sz w:val="21"/>
                      <w:szCs w:val="21"/>
                    </w:rPr>
                    <w:t>cm/s，或参照《</w:t>
                  </w:r>
                  <w:r>
                    <w:rPr>
                      <w:rFonts w:hint="eastAsia" w:ascii="Times New Roman" w:hAnsi="Times New Roman" w:cs="Times New Roman"/>
                      <w:color w:val="auto"/>
                      <w:sz w:val="21"/>
                      <w:szCs w:val="21"/>
                    </w:rPr>
                    <w:t>生活垃圾填埋场污染控制标准</w:t>
                  </w:r>
                  <w:r>
                    <w:rPr>
                      <w:rFonts w:ascii="Times New Roman" w:hAnsi="Times New Roman" w:cs="Times New Roman"/>
                      <w:color w:val="auto"/>
                      <w:sz w:val="21"/>
                      <w:szCs w:val="21"/>
                    </w:rPr>
                    <w:t>》（GB</w:t>
                  </w:r>
                  <w:r>
                    <w:rPr>
                      <w:rFonts w:hint="eastAsia" w:ascii="Times New Roman" w:hAnsi="Times New Roman" w:cs="Times New Roman"/>
                      <w:color w:val="auto"/>
                      <w:sz w:val="21"/>
                      <w:szCs w:val="21"/>
                    </w:rPr>
                    <w:t>16889-20</w:t>
                  </w:r>
                  <w:r>
                    <w:rPr>
                      <w:rFonts w:hint="eastAsia" w:ascii="Times New Roman" w:hAnsi="Times New Roman" w:cs="Times New Roman"/>
                      <w:color w:val="auto"/>
                      <w:sz w:val="21"/>
                      <w:szCs w:val="21"/>
                      <w:lang w:val="en-US" w:eastAsia="zh-CN"/>
                    </w:rPr>
                    <w:t>24</w:t>
                  </w:r>
                  <w:r>
                    <w:rPr>
                      <w:rFonts w:ascii="Times New Roman" w:hAnsi="Times New Roman" w:cs="Times New Roman"/>
                      <w:color w:val="auto"/>
                      <w:sz w:val="21"/>
                      <w:szCs w:val="21"/>
                    </w:rPr>
                    <w:t>）执行；简单防渗区防渗技术要求：一般地面硬化。</w:t>
                  </w:r>
                </w:p>
              </w:tc>
              <w:tc>
                <w:tcPr>
                  <w:tcW w:w="1139" w:type="dxa"/>
                  <w:vAlign w:val="center"/>
                </w:tcPr>
                <w:p w14:paraId="001E2B78">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新建</w:t>
                  </w:r>
                </w:p>
              </w:tc>
            </w:tr>
            <w:tr w14:paraId="4051D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6" w:type="dxa"/>
                  <w:vMerge w:val="continue"/>
                  <w:vAlign w:val="center"/>
                </w:tcPr>
                <w:p w14:paraId="72415FDF">
                  <w:pPr>
                    <w:spacing w:line="240" w:lineRule="auto"/>
                    <w:jc w:val="center"/>
                    <w:rPr>
                      <w:rFonts w:hint="default" w:ascii="Times New Roman" w:hAnsi="Times New Roman" w:cs="Times New Roman"/>
                      <w:color w:val="auto"/>
                      <w:sz w:val="21"/>
                      <w:szCs w:val="21"/>
                    </w:rPr>
                  </w:pPr>
                </w:p>
              </w:tc>
              <w:tc>
                <w:tcPr>
                  <w:tcW w:w="1164" w:type="dxa"/>
                  <w:vAlign w:val="center"/>
                </w:tcPr>
                <w:p w14:paraId="21C80C10">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w:t>
                  </w:r>
                </w:p>
              </w:tc>
              <w:tc>
                <w:tcPr>
                  <w:tcW w:w="6269" w:type="dxa"/>
                  <w:vAlign w:val="center"/>
                </w:tcPr>
                <w:p w14:paraId="7DADDFF3">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outlineLvl w:val="9"/>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①抗磨压油储存区设置醒目的严禁烟火标志；严格储存使用管理；各类原辅料应分类贮存。②企业定期对废气处理设施进行维护、修理，使其处于正常运转状态，杜绝事故性排放；一旦发现废气收集、处理设施出现故障，须立即停止生产，待故障排除完毕、治理设施正常运行后方可恢复生产。③设立单独的危险废物暂存间，并按照《危险废物贮存污染控制标准》（GB18597-2023）的规定做各项措施，并定期委托有资质单位清运处置。同时，建设单位在危险废物转移过程中须严格执行转移联单制度，并做好记录台账，防止危险废物在转移过程中发生遗失事故。④建设单位须制订环境突发事故应急预案，一旦突发环境风险事故，必须立即按应急预案提到的紧急处理、救援、监测方案等进行紧急救援，救援人员采取相应的防护措施，以避免造成人员伤亡事故。</w:t>
                  </w:r>
                </w:p>
              </w:tc>
              <w:tc>
                <w:tcPr>
                  <w:tcW w:w="1139" w:type="dxa"/>
                  <w:vAlign w:val="center"/>
                </w:tcPr>
                <w:p w14:paraId="1D6EFB2C">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新建</w:t>
                  </w:r>
                </w:p>
              </w:tc>
            </w:tr>
          </w:tbl>
          <w:p w14:paraId="20DD2368">
            <w:pPr>
              <w:spacing w:line="360" w:lineRule="auto"/>
              <w:ind w:firstLine="482" w:firstLineChars="200"/>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建设项目</w:t>
            </w:r>
            <w:r>
              <w:rPr>
                <w:rFonts w:hint="default" w:ascii="Times New Roman" w:hAnsi="Times New Roman" w:cs="Times New Roman"/>
                <w:b/>
                <w:bCs/>
                <w:color w:val="auto"/>
                <w:sz w:val="24"/>
                <w:szCs w:val="24"/>
              </w:rPr>
              <w:t>主要生产</w:t>
            </w:r>
            <w:r>
              <w:rPr>
                <w:rFonts w:hint="default" w:ascii="Times New Roman" w:hAnsi="Times New Roman" w:cs="Times New Roman"/>
                <w:b/>
                <w:bCs/>
                <w:color w:val="auto"/>
                <w:sz w:val="24"/>
                <w:szCs w:val="24"/>
                <w:lang w:val="en-US" w:eastAsia="zh-CN"/>
              </w:rPr>
              <w:t>设施</w:t>
            </w:r>
          </w:p>
          <w:p w14:paraId="70FD077A">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根据建设单位提供的资料，项目主要设备清单见表</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p>
          <w:p w14:paraId="3AFF62FF">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 xml:space="preserve">2.2  </w:t>
            </w:r>
            <w:r>
              <w:rPr>
                <w:rFonts w:hint="default" w:ascii="Times New Roman" w:hAnsi="Times New Roman" w:cs="Times New Roman"/>
                <w:b/>
                <w:bCs/>
                <w:color w:val="auto"/>
                <w:sz w:val="21"/>
                <w:szCs w:val="21"/>
              </w:rPr>
              <w:t>项目主要生产</w:t>
            </w:r>
            <w:r>
              <w:rPr>
                <w:rFonts w:hint="default" w:ascii="Times New Roman" w:hAnsi="Times New Roman" w:cs="Times New Roman"/>
                <w:b/>
                <w:bCs/>
                <w:color w:val="auto"/>
                <w:sz w:val="21"/>
                <w:szCs w:val="21"/>
                <w:lang w:val="en-US" w:eastAsia="zh-CN"/>
              </w:rPr>
              <w:t>设施</w:t>
            </w:r>
            <w:r>
              <w:rPr>
                <w:rFonts w:hint="default" w:ascii="Times New Roman" w:hAnsi="Times New Roman" w:cs="Times New Roman"/>
                <w:b/>
                <w:bCs/>
                <w:color w:val="auto"/>
                <w:sz w:val="21"/>
                <w:szCs w:val="21"/>
              </w:rPr>
              <w:t>一览表</w:t>
            </w:r>
          </w:p>
          <w:tbl>
            <w:tblPr>
              <w:tblStyle w:val="31"/>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2127"/>
              <w:gridCol w:w="841"/>
              <w:gridCol w:w="1088"/>
              <w:gridCol w:w="1538"/>
              <w:gridCol w:w="3313"/>
            </w:tblGrid>
            <w:tr w14:paraId="7D1A7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Align w:val="center"/>
                </w:tcPr>
                <w:p w14:paraId="33833345">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105" w:type="pct"/>
                  <w:vAlign w:val="center"/>
                </w:tcPr>
                <w:p w14:paraId="5C5C71B4">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设备名称</w:t>
                  </w:r>
                </w:p>
              </w:tc>
              <w:tc>
                <w:tcPr>
                  <w:tcW w:w="437" w:type="pct"/>
                  <w:vAlign w:val="center"/>
                </w:tcPr>
                <w:p w14:paraId="12BF3B51">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565" w:type="pct"/>
                  <w:vAlign w:val="center"/>
                </w:tcPr>
                <w:p w14:paraId="742354A4">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数量</w:t>
                  </w:r>
                </w:p>
              </w:tc>
              <w:tc>
                <w:tcPr>
                  <w:tcW w:w="799" w:type="pct"/>
                  <w:vAlign w:val="center"/>
                </w:tcPr>
                <w:p w14:paraId="37569CC3">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型号</w:t>
                  </w:r>
                </w:p>
              </w:tc>
              <w:tc>
                <w:tcPr>
                  <w:tcW w:w="1718" w:type="pct"/>
                  <w:vAlign w:val="center"/>
                </w:tcPr>
                <w:p w14:paraId="47983F36">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备注</w:t>
                  </w:r>
                </w:p>
              </w:tc>
            </w:tr>
            <w:tr w14:paraId="69A15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vAlign w:val="center"/>
                </w:tcPr>
                <w:p w14:paraId="618F696C">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sz w:val="21"/>
                      <w:szCs w:val="21"/>
                      <w:lang w:val="en-US" w:eastAsia="zh-CN"/>
                    </w:rPr>
                    <w:t>生产设备</w:t>
                  </w:r>
                </w:p>
              </w:tc>
            </w:tr>
            <w:tr w14:paraId="66EF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Align w:val="center"/>
                </w:tcPr>
                <w:p w14:paraId="6D3423E0">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105" w:type="pct"/>
                  <w:vAlign w:val="center"/>
                </w:tcPr>
                <w:p w14:paraId="44EE75C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单色热压成型机</w:t>
                  </w:r>
                </w:p>
              </w:tc>
              <w:tc>
                <w:tcPr>
                  <w:tcW w:w="437" w:type="pct"/>
                  <w:vAlign w:val="center"/>
                </w:tcPr>
                <w:p w14:paraId="6FACBEE4">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台</w:t>
                  </w:r>
                </w:p>
              </w:tc>
              <w:tc>
                <w:tcPr>
                  <w:tcW w:w="565" w:type="pct"/>
                  <w:vAlign w:val="center"/>
                </w:tcPr>
                <w:p w14:paraId="76A63BD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799" w:type="pct"/>
                  <w:vAlign w:val="center"/>
                </w:tcPr>
                <w:p w14:paraId="1152F37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200型</w:t>
                  </w:r>
                </w:p>
              </w:tc>
              <w:tc>
                <w:tcPr>
                  <w:tcW w:w="1718" w:type="pct"/>
                  <w:shd w:val="clear" w:color="auto" w:fill="auto"/>
                  <w:vAlign w:val="center"/>
                </w:tcPr>
                <w:p w14:paraId="514F3447">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w:t>
                  </w:r>
                </w:p>
              </w:tc>
            </w:tr>
            <w:tr w14:paraId="2552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3" w:type="pct"/>
                  <w:vAlign w:val="center"/>
                </w:tcPr>
                <w:p w14:paraId="4B319F03">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105" w:type="pct"/>
                  <w:vAlign w:val="center"/>
                </w:tcPr>
                <w:p w14:paraId="39BD37B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双色热压成型机</w:t>
                  </w:r>
                </w:p>
              </w:tc>
              <w:tc>
                <w:tcPr>
                  <w:tcW w:w="437" w:type="pct"/>
                  <w:vAlign w:val="center"/>
                </w:tcPr>
                <w:p w14:paraId="66702A05">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台</w:t>
                  </w:r>
                </w:p>
              </w:tc>
              <w:tc>
                <w:tcPr>
                  <w:tcW w:w="565" w:type="pct"/>
                  <w:vAlign w:val="center"/>
                </w:tcPr>
                <w:p w14:paraId="1DF5A87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799" w:type="pct"/>
                  <w:vAlign w:val="center"/>
                </w:tcPr>
                <w:p w14:paraId="7A5E5F3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200型</w:t>
                  </w:r>
                </w:p>
              </w:tc>
              <w:tc>
                <w:tcPr>
                  <w:tcW w:w="1718" w:type="pct"/>
                  <w:shd w:val="clear" w:color="auto" w:fill="auto"/>
                  <w:vAlign w:val="center"/>
                </w:tcPr>
                <w:p w14:paraId="52FDD86D">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w:t>
                  </w:r>
                </w:p>
              </w:tc>
            </w:tr>
            <w:tr w14:paraId="1A63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47898C90">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105" w:type="pct"/>
                  <w:vAlign w:val="center"/>
                </w:tcPr>
                <w:p w14:paraId="203D0B0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双色热压成型机</w:t>
                  </w:r>
                </w:p>
              </w:tc>
              <w:tc>
                <w:tcPr>
                  <w:tcW w:w="437" w:type="pct"/>
                  <w:vAlign w:val="center"/>
                </w:tcPr>
                <w:p w14:paraId="0B031AFC">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台</w:t>
                  </w:r>
                </w:p>
              </w:tc>
              <w:tc>
                <w:tcPr>
                  <w:tcW w:w="565" w:type="pct"/>
                  <w:vAlign w:val="center"/>
                </w:tcPr>
                <w:p w14:paraId="6BF7383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799" w:type="pct"/>
                  <w:vAlign w:val="center"/>
                </w:tcPr>
                <w:p w14:paraId="120C9DD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250型</w:t>
                  </w:r>
                </w:p>
              </w:tc>
              <w:tc>
                <w:tcPr>
                  <w:tcW w:w="1718" w:type="pct"/>
                  <w:shd w:val="clear" w:color="auto" w:fill="auto"/>
                  <w:vAlign w:val="center"/>
                </w:tcPr>
                <w:p w14:paraId="175C94AC">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w:t>
                  </w:r>
                </w:p>
              </w:tc>
            </w:tr>
            <w:tr w14:paraId="361BD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73" w:type="pct"/>
                  <w:shd w:val="clear" w:color="auto" w:fill="auto"/>
                  <w:vAlign w:val="center"/>
                </w:tcPr>
                <w:p w14:paraId="0B3700CA">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w:t>
                  </w:r>
                </w:p>
              </w:tc>
              <w:tc>
                <w:tcPr>
                  <w:tcW w:w="1105" w:type="pct"/>
                  <w:vAlign w:val="center"/>
                </w:tcPr>
                <w:p w14:paraId="2A43FF3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双色热压成型机</w:t>
                  </w:r>
                </w:p>
              </w:tc>
              <w:tc>
                <w:tcPr>
                  <w:tcW w:w="437" w:type="pct"/>
                  <w:vAlign w:val="center"/>
                </w:tcPr>
                <w:p w14:paraId="4993072D">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台</w:t>
                  </w:r>
                </w:p>
              </w:tc>
              <w:tc>
                <w:tcPr>
                  <w:tcW w:w="565" w:type="pct"/>
                  <w:vAlign w:val="center"/>
                </w:tcPr>
                <w:p w14:paraId="71ED5AC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799" w:type="pct"/>
                  <w:vAlign w:val="center"/>
                </w:tcPr>
                <w:p w14:paraId="63EEE3C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300型</w:t>
                  </w:r>
                </w:p>
              </w:tc>
              <w:tc>
                <w:tcPr>
                  <w:tcW w:w="1718" w:type="pct"/>
                  <w:shd w:val="clear" w:color="auto" w:fill="auto"/>
                  <w:vAlign w:val="center"/>
                </w:tcPr>
                <w:p w14:paraId="61926978">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w:t>
                  </w:r>
                </w:p>
              </w:tc>
            </w:tr>
            <w:tr w14:paraId="7F7EA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shd w:val="clear" w:color="auto" w:fill="auto"/>
                  <w:vAlign w:val="center"/>
                </w:tcPr>
                <w:p w14:paraId="2C71F0EE">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5</w:t>
                  </w:r>
                </w:p>
              </w:tc>
              <w:tc>
                <w:tcPr>
                  <w:tcW w:w="1105" w:type="pct"/>
                  <w:shd w:val="clear" w:color="auto" w:fill="auto"/>
                  <w:vAlign w:val="center"/>
                </w:tcPr>
                <w:p w14:paraId="194417E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双色热压成型机</w:t>
                  </w:r>
                </w:p>
              </w:tc>
              <w:tc>
                <w:tcPr>
                  <w:tcW w:w="437" w:type="pct"/>
                  <w:vAlign w:val="center"/>
                </w:tcPr>
                <w:p w14:paraId="2C37CCBE">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台</w:t>
                  </w:r>
                </w:p>
              </w:tc>
              <w:tc>
                <w:tcPr>
                  <w:tcW w:w="565" w:type="pct"/>
                  <w:vAlign w:val="center"/>
                </w:tcPr>
                <w:p w14:paraId="2FE9D3B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799" w:type="pct"/>
                  <w:vAlign w:val="center"/>
                </w:tcPr>
                <w:p w14:paraId="06F01B5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350型</w:t>
                  </w:r>
                </w:p>
              </w:tc>
              <w:tc>
                <w:tcPr>
                  <w:tcW w:w="1718" w:type="pct"/>
                  <w:vAlign w:val="center"/>
                </w:tcPr>
                <w:p w14:paraId="5E1CAA01">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w:t>
                  </w:r>
                </w:p>
              </w:tc>
            </w:tr>
            <w:tr w14:paraId="67E3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shd w:val="clear" w:color="auto" w:fill="auto"/>
                  <w:vAlign w:val="center"/>
                </w:tcPr>
                <w:p w14:paraId="209DCB83">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w:t>
                  </w:r>
                </w:p>
              </w:tc>
              <w:tc>
                <w:tcPr>
                  <w:tcW w:w="1105" w:type="pct"/>
                  <w:shd w:val="clear" w:color="auto" w:fill="auto"/>
                  <w:vAlign w:val="center"/>
                </w:tcPr>
                <w:p w14:paraId="35E32F8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高周波</w:t>
                  </w:r>
                </w:p>
              </w:tc>
              <w:tc>
                <w:tcPr>
                  <w:tcW w:w="437" w:type="pct"/>
                  <w:shd w:val="clear" w:color="auto" w:fill="auto"/>
                  <w:vAlign w:val="center"/>
                </w:tcPr>
                <w:p w14:paraId="6E74B9A0">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台</w:t>
                  </w:r>
                </w:p>
              </w:tc>
              <w:tc>
                <w:tcPr>
                  <w:tcW w:w="565" w:type="pct"/>
                  <w:vAlign w:val="center"/>
                </w:tcPr>
                <w:p w14:paraId="3519109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799" w:type="pct"/>
                  <w:vAlign w:val="center"/>
                </w:tcPr>
                <w:p w14:paraId="5FB0C491">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7.5KW</w:t>
                  </w:r>
                </w:p>
              </w:tc>
              <w:tc>
                <w:tcPr>
                  <w:tcW w:w="1718" w:type="pct"/>
                  <w:vAlign w:val="center"/>
                </w:tcPr>
                <w:p w14:paraId="5BBF892E">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w:t>
                  </w:r>
                </w:p>
              </w:tc>
            </w:tr>
            <w:tr w14:paraId="6F7F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shd w:val="clear" w:color="auto" w:fill="auto"/>
                  <w:vAlign w:val="center"/>
                </w:tcPr>
                <w:p w14:paraId="7B96198C">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7</w:t>
                  </w:r>
                </w:p>
              </w:tc>
              <w:tc>
                <w:tcPr>
                  <w:tcW w:w="1105" w:type="pct"/>
                  <w:shd w:val="clear" w:color="auto" w:fill="auto"/>
                  <w:vAlign w:val="center"/>
                </w:tcPr>
                <w:p w14:paraId="27DA398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高周波</w:t>
                  </w:r>
                </w:p>
              </w:tc>
              <w:tc>
                <w:tcPr>
                  <w:tcW w:w="437" w:type="pct"/>
                  <w:shd w:val="clear" w:color="auto" w:fill="auto"/>
                  <w:vAlign w:val="center"/>
                </w:tcPr>
                <w:p w14:paraId="4FE9961A">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台</w:t>
                  </w:r>
                </w:p>
              </w:tc>
              <w:tc>
                <w:tcPr>
                  <w:tcW w:w="565" w:type="pct"/>
                  <w:vAlign w:val="center"/>
                </w:tcPr>
                <w:p w14:paraId="7ACAF10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6</w:t>
                  </w:r>
                </w:p>
              </w:tc>
              <w:tc>
                <w:tcPr>
                  <w:tcW w:w="799" w:type="pct"/>
                  <w:vAlign w:val="center"/>
                </w:tcPr>
                <w:p w14:paraId="6AE42FA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5KW</w:t>
                  </w:r>
                </w:p>
              </w:tc>
              <w:tc>
                <w:tcPr>
                  <w:tcW w:w="1718" w:type="pct"/>
                  <w:shd w:val="clear" w:color="auto" w:fill="auto"/>
                  <w:vAlign w:val="center"/>
                </w:tcPr>
                <w:p w14:paraId="57369CC3">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w:t>
                  </w:r>
                </w:p>
              </w:tc>
            </w:tr>
            <w:tr w14:paraId="0F113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shd w:val="clear" w:color="auto" w:fill="auto"/>
                  <w:vAlign w:val="center"/>
                </w:tcPr>
                <w:p w14:paraId="2D2629DD">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1105" w:type="pct"/>
                  <w:shd w:val="clear" w:color="auto" w:fill="auto"/>
                  <w:vAlign w:val="center"/>
                </w:tcPr>
                <w:p w14:paraId="483B49E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四工位自动磨边机</w:t>
                  </w:r>
                </w:p>
              </w:tc>
              <w:tc>
                <w:tcPr>
                  <w:tcW w:w="437" w:type="pct"/>
                  <w:shd w:val="clear" w:color="auto" w:fill="auto"/>
                  <w:vAlign w:val="center"/>
                </w:tcPr>
                <w:p w14:paraId="3516A7DF">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台</w:t>
                  </w:r>
                </w:p>
              </w:tc>
              <w:tc>
                <w:tcPr>
                  <w:tcW w:w="565" w:type="pct"/>
                  <w:vAlign w:val="center"/>
                </w:tcPr>
                <w:p w14:paraId="2C65452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99" w:type="pct"/>
                  <w:vAlign w:val="center"/>
                </w:tcPr>
                <w:p w14:paraId="61372671">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718" w:type="pct"/>
                  <w:shd w:val="clear" w:color="auto" w:fill="auto"/>
                  <w:vAlign w:val="center"/>
                </w:tcPr>
                <w:p w14:paraId="7729AE9C">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w:t>
                  </w:r>
                </w:p>
              </w:tc>
            </w:tr>
            <w:tr w14:paraId="6FCF5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shd w:val="clear" w:color="auto" w:fill="auto"/>
                  <w:vAlign w:val="center"/>
                </w:tcPr>
                <w:p w14:paraId="5C48AB3A">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1105" w:type="pct"/>
                  <w:shd w:val="clear" w:color="auto" w:fill="auto"/>
                  <w:vAlign w:val="center"/>
                </w:tcPr>
                <w:p w14:paraId="470DE4D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半自动磨边机</w:t>
                  </w:r>
                </w:p>
              </w:tc>
              <w:tc>
                <w:tcPr>
                  <w:tcW w:w="437" w:type="pct"/>
                  <w:shd w:val="clear" w:color="auto" w:fill="auto"/>
                  <w:vAlign w:val="center"/>
                </w:tcPr>
                <w:p w14:paraId="53403EE1">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台</w:t>
                  </w:r>
                </w:p>
              </w:tc>
              <w:tc>
                <w:tcPr>
                  <w:tcW w:w="565" w:type="pct"/>
                  <w:vAlign w:val="center"/>
                </w:tcPr>
                <w:p w14:paraId="7EA1EE4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799" w:type="pct"/>
                  <w:vAlign w:val="center"/>
                </w:tcPr>
                <w:p w14:paraId="27AC924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1KW</w:t>
                  </w:r>
                </w:p>
              </w:tc>
              <w:tc>
                <w:tcPr>
                  <w:tcW w:w="1718" w:type="pct"/>
                  <w:shd w:val="clear" w:color="auto" w:fill="auto"/>
                  <w:vAlign w:val="center"/>
                </w:tcPr>
                <w:p w14:paraId="11AB48D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w:t>
                  </w:r>
                </w:p>
              </w:tc>
            </w:tr>
            <w:tr w14:paraId="469D4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shd w:val="clear" w:color="auto" w:fill="auto"/>
                  <w:vAlign w:val="center"/>
                </w:tcPr>
                <w:p w14:paraId="46FE83F8">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10</w:t>
                  </w:r>
                </w:p>
              </w:tc>
              <w:tc>
                <w:tcPr>
                  <w:tcW w:w="1105" w:type="pct"/>
                  <w:shd w:val="clear" w:color="auto" w:fill="auto"/>
                  <w:vAlign w:val="center"/>
                </w:tcPr>
                <w:p w14:paraId="468314C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空压机</w:t>
                  </w:r>
                </w:p>
              </w:tc>
              <w:tc>
                <w:tcPr>
                  <w:tcW w:w="437" w:type="pct"/>
                  <w:vAlign w:val="center"/>
                </w:tcPr>
                <w:p w14:paraId="69A0E822">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台</w:t>
                  </w:r>
                </w:p>
              </w:tc>
              <w:tc>
                <w:tcPr>
                  <w:tcW w:w="565" w:type="pct"/>
                  <w:vAlign w:val="top"/>
                </w:tcPr>
                <w:p w14:paraId="3A2AE8F6">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99" w:type="pct"/>
                  <w:vAlign w:val="center"/>
                </w:tcPr>
                <w:p w14:paraId="44C1F6E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718" w:type="pct"/>
                  <w:shd w:val="clear" w:color="auto" w:fill="auto"/>
                  <w:vAlign w:val="center"/>
                </w:tcPr>
                <w:p w14:paraId="119BF9C3">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w:t>
                  </w:r>
                </w:p>
              </w:tc>
            </w:tr>
            <w:tr w14:paraId="4E6A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vAlign w:val="center"/>
                </w:tcPr>
                <w:p w14:paraId="6682DC9B">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环保设备</w:t>
                  </w:r>
                </w:p>
              </w:tc>
            </w:tr>
            <w:tr w14:paraId="4E0E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Align w:val="center"/>
                </w:tcPr>
                <w:p w14:paraId="2E547463">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105" w:type="pct"/>
                  <w:shd w:val="clear" w:color="auto" w:fill="auto"/>
                  <w:vAlign w:val="center"/>
                </w:tcPr>
                <w:p w14:paraId="719EC01E">
                  <w:pPr>
                    <w:keepNext w:val="0"/>
                    <w:keepLines w:val="0"/>
                    <w:widowControl/>
                    <w:suppressLineNumbers w:val="0"/>
                    <w:spacing w:line="240" w:lineRule="auto"/>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袋式除尘器</w:t>
                  </w:r>
                </w:p>
              </w:tc>
              <w:tc>
                <w:tcPr>
                  <w:tcW w:w="437" w:type="pct"/>
                  <w:vAlign w:val="center"/>
                </w:tcPr>
                <w:p w14:paraId="0F2AE58A">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台</w:t>
                  </w:r>
                </w:p>
              </w:tc>
              <w:tc>
                <w:tcPr>
                  <w:tcW w:w="565" w:type="pct"/>
                  <w:vAlign w:val="top"/>
                </w:tcPr>
                <w:p w14:paraId="5BDF772D">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799" w:type="pct"/>
                  <w:vAlign w:val="center"/>
                </w:tcPr>
                <w:p w14:paraId="46E03FBB">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718" w:type="pct"/>
                  <w:vAlign w:val="center"/>
                </w:tcPr>
                <w:p w14:paraId="4EEEA8E5">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vertAlign w:val="baseline"/>
                      <w:lang w:val="en-US" w:eastAsia="zh-CN"/>
                    </w:rPr>
                    <w:t>吹灰、磨边-</w:t>
                  </w:r>
                  <w:r>
                    <w:rPr>
                      <w:rFonts w:hint="default" w:ascii="Times New Roman" w:hAnsi="Times New Roman" w:cs="Times New Roman"/>
                      <w:color w:val="auto"/>
                      <w:sz w:val="21"/>
                      <w:szCs w:val="21"/>
                      <w:vertAlign w:val="baseline"/>
                      <w:lang w:val="en-US" w:eastAsia="zh-CN"/>
                    </w:rPr>
                    <w:t>颗粒物治理</w:t>
                  </w:r>
                </w:p>
              </w:tc>
            </w:tr>
            <w:tr w14:paraId="2EAD3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Align w:val="center"/>
                </w:tcPr>
                <w:p w14:paraId="37A79484">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105" w:type="pct"/>
                  <w:shd w:val="clear" w:color="auto" w:fill="auto"/>
                  <w:vAlign w:val="center"/>
                </w:tcPr>
                <w:p w14:paraId="7CF0960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两级活性炭</w:t>
                  </w:r>
                </w:p>
              </w:tc>
              <w:tc>
                <w:tcPr>
                  <w:tcW w:w="437" w:type="pct"/>
                  <w:shd w:val="clear" w:color="auto" w:fill="auto"/>
                  <w:vAlign w:val="center"/>
                </w:tcPr>
                <w:p w14:paraId="4E0B70D4">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台</w:t>
                  </w:r>
                </w:p>
              </w:tc>
              <w:tc>
                <w:tcPr>
                  <w:tcW w:w="565" w:type="pct"/>
                  <w:shd w:val="clear" w:color="auto" w:fill="auto"/>
                  <w:vAlign w:val="top"/>
                </w:tcPr>
                <w:p w14:paraId="22E909EE">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799" w:type="pct"/>
                  <w:shd w:val="clear" w:color="auto" w:fill="auto"/>
                  <w:vAlign w:val="center"/>
                </w:tcPr>
                <w:p w14:paraId="172E9651">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1718" w:type="pct"/>
                  <w:shd w:val="clear" w:color="auto" w:fill="auto"/>
                  <w:vAlign w:val="center"/>
                </w:tcPr>
                <w:p w14:paraId="60CE848A">
                  <w:pPr>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vertAlign w:val="baseline"/>
                      <w:lang w:val="en-US" w:eastAsia="zh-CN"/>
                    </w:rPr>
                    <w:t>烤料、热压成型-有机废气</w:t>
                  </w:r>
                  <w:r>
                    <w:rPr>
                      <w:rFonts w:hint="default" w:ascii="Times New Roman" w:hAnsi="Times New Roman" w:cs="Times New Roman"/>
                      <w:color w:val="auto"/>
                      <w:sz w:val="21"/>
                      <w:szCs w:val="21"/>
                      <w:vertAlign w:val="baseline"/>
                      <w:lang w:val="en-US" w:eastAsia="zh-CN"/>
                    </w:rPr>
                    <w:t>治理</w:t>
                  </w:r>
                </w:p>
              </w:tc>
            </w:tr>
            <w:tr w14:paraId="2FA8B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Align w:val="center"/>
                </w:tcPr>
                <w:p w14:paraId="74189060">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1105" w:type="pct"/>
                  <w:shd w:val="clear" w:color="auto" w:fill="auto"/>
                  <w:vAlign w:val="center"/>
                </w:tcPr>
                <w:p w14:paraId="050BC74A">
                  <w:pPr>
                    <w:keepNext w:val="0"/>
                    <w:keepLines w:val="0"/>
                    <w:widowControl/>
                    <w:suppressLineNumbers w:val="0"/>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风机</w:t>
                  </w:r>
                </w:p>
              </w:tc>
              <w:tc>
                <w:tcPr>
                  <w:tcW w:w="437" w:type="pct"/>
                  <w:vAlign w:val="center"/>
                </w:tcPr>
                <w:p w14:paraId="606E2B4A">
                  <w:pPr>
                    <w:numPr>
                      <w:ilvl w:val="0"/>
                      <w:numId w:val="0"/>
                    </w:numPr>
                    <w:spacing w:line="240" w:lineRule="auto"/>
                    <w:ind w:left="0" w:lef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台</w:t>
                  </w:r>
                </w:p>
              </w:tc>
              <w:tc>
                <w:tcPr>
                  <w:tcW w:w="565" w:type="pct"/>
                  <w:vAlign w:val="center"/>
                </w:tcPr>
                <w:p w14:paraId="700E517F">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799" w:type="pct"/>
                  <w:vAlign w:val="center"/>
                </w:tcPr>
                <w:p w14:paraId="76452EA4">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1718" w:type="pct"/>
                  <w:vAlign w:val="center"/>
                </w:tcPr>
                <w:p w14:paraId="683C9270">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r>
          </w:tbl>
          <w:p w14:paraId="6C698764">
            <w:pPr>
              <w:spacing w:line="360" w:lineRule="auto"/>
              <w:ind w:firstLine="482" w:firstLineChars="200"/>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建设项目</w:t>
            </w:r>
            <w:r>
              <w:rPr>
                <w:rFonts w:hint="default" w:ascii="Times New Roman" w:hAnsi="Times New Roman" w:cs="Times New Roman"/>
                <w:b/>
                <w:bCs/>
                <w:color w:val="auto"/>
                <w:sz w:val="24"/>
                <w:szCs w:val="24"/>
              </w:rPr>
              <w:t>原辅材料</w:t>
            </w:r>
            <w:r>
              <w:rPr>
                <w:rFonts w:hint="default" w:ascii="Times New Roman" w:hAnsi="Times New Roman" w:cs="Times New Roman"/>
                <w:b/>
                <w:bCs/>
                <w:color w:val="auto"/>
                <w:sz w:val="24"/>
                <w:szCs w:val="24"/>
                <w:lang w:val="en-US" w:eastAsia="zh-CN"/>
              </w:rPr>
              <w:t>及燃料</w:t>
            </w:r>
          </w:p>
          <w:p w14:paraId="7B7D0C64">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根据建设单位提供的资料，</w:t>
            </w:r>
            <w:r>
              <w:rPr>
                <w:rFonts w:hint="default" w:ascii="Times New Roman" w:hAnsi="Times New Roman" w:cs="Times New Roman"/>
                <w:color w:val="auto"/>
                <w:sz w:val="24"/>
                <w:szCs w:val="24"/>
                <w:lang w:eastAsia="zh-CN"/>
              </w:rPr>
              <w:t>建设</w:t>
            </w:r>
            <w:r>
              <w:rPr>
                <w:rFonts w:hint="default" w:ascii="Times New Roman" w:hAnsi="Times New Roman" w:cs="Times New Roman"/>
                <w:color w:val="auto"/>
                <w:sz w:val="24"/>
                <w:szCs w:val="24"/>
              </w:rPr>
              <w:t>项目</w:t>
            </w:r>
            <w:r>
              <w:rPr>
                <w:rFonts w:hint="default" w:ascii="Times New Roman" w:hAnsi="Times New Roman" w:cs="Times New Roman"/>
                <w:b w:val="0"/>
                <w:bCs w:val="0"/>
                <w:color w:val="auto"/>
                <w:sz w:val="24"/>
                <w:szCs w:val="24"/>
              </w:rPr>
              <w:t>原辅材料</w:t>
            </w:r>
            <w:r>
              <w:rPr>
                <w:rFonts w:hint="default" w:ascii="Times New Roman" w:hAnsi="Times New Roman" w:cs="Times New Roman"/>
                <w:b w:val="0"/>
                <w:bCs w:val="0"/>
                <w:color w:val="auto"/>
                <w:sz w:val="24"/>
                <w:szCs w:val="24"/>
                <w:lang w:val="en-US" w:eastAsia="zh-CN"/>
              </w:rPr>
              <w:t>及燃料消耗一览表</w:t>
            </w:r>
            <w:r>
              <w:rPr>
                <w:rFonts w:hint="default" w:ascii="Times New Roman" w:hAnsi="Times New Roman" w:cs="Times New Roman"/>
                <w:color w:val="auto"/>
                <w:sz w:val="24"/>
                <w:szCs w:val="24"/>
              </w:rPr>
              <w:t>见表</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p>
          <w:p w14:paraId="00F66868">
            <w:pPr>
              <w:ind w:firstLine="422" w:firstLineChars="200"/>
              <w:jc w:val="center"/>
              <w:rPr>
                <w:rFonts w:hint="default" w:ascii="Times New Roman" w:hAnsi="Times New Roman" w:cs="Times New Roman"/>
                <w:b/>
                <w:bCs/>
                <w:color w:val="auto"/>
                <w:sz w:val="21"/>
                <w:szCs w:val="21"/>
              </w:rPr>
            </w:pPr>
            <w:bookmarkStart w:id="34" w:name="_Ref308010169"/>
            <w:r>
              <w:rPr>
                <w:rFonts w:hint="default" w:ascii="Times New Roman" w:hAnsi="Times New Roman" w:cs="Times New Roman"/>
                <w:b/>
                <w:bCs/>
                <w:color w:val="auto"/>
                <w:sz w:val="21"/>
                <w:szCs w:val="21"/>
              </w:rPr>
              <w:t>表2.</w:t>
            </w:r>
            <w:r>
              <w:rPr>
                <w:rFonts w:hint="default"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rPr>
              <w:t xml:space="preserve">  项目主要原辅材料消耗一览表</w:t>
            </w:r>
          </w:p>
          <w:tbl>
            <w:tblPr>
              <w:tblStyle w:val="31"/>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945"/>
              <w:gridCol w:w="982"/>
              <w:gridCol w:w="1093"/>
              <w:gridCol w:w="1832"/>
              <w:gridCol w:w="3097"/>
            </w:tblGrid>
            <w:tr w14:paraId="1771C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Align w:val="center"/>
                </w:tcPr>
                <w:p w14:paraId="1EC78DCC">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945" w:type="dxa"/>
                  <w:vAlign w:val="center"/>
                </w:tcPr>
                <w:p w14:paraId="22B0F197">
                  <w:pPr>
                    <w:spacing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原辅材料名称</w:t>
                  </w:r>
                </w:p>
              </w:tc>
              <w:tc>
                <w:tcPr>
                  <w:tcW w:w="982" w:type="dxa"/>
                  <w:vAlign w:val="center"/>
                </w:tcPr>
                <w:p w14:paraId="0820DBB2">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1093" w:type="dxa"/>
                  <w:vAlign w:val="center"/>
                </w:tcPr>
                <w:p w14:paraId="4FDB7048">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数量</w:t>
                  </w:r>
                </w:p>
              </w:tc>
              <w:tc>
                <w:tcPr>
                  <w:tcW w:w="1832" w:type="dxa"/>
                  <w:vAlign w:val="center"/>
                </w:tcPr>
                <w:p w14:paraId="0BBBC441">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厂区最大储存量</w:t>
                  </w:r>
                </w:p>
              </w:tc>
              <w:tc>
                <w:tcPr>
                  <w:tcW w:w="3097" w:type="dxa"/>
                  <w:vAlign w:val="center"/>
                </w:tcPr>
                <w:p w14:paraId="103FEB61">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备注</w:t>
                  </w:r>
                </w:p>
              </w:tc>
            </w:tr>
            <w:tr w14:paraId="15DF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gridSpan w:val="6"/>
                  <w:vAlign w:val="center"/>
                </w:tcPr>
                <w:p w14:paraId="03DD6F49">
                  <w:pPr>
                    <w:spacing w:line="240" w:lineRule="auto"/>
                    <w:jc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原辅材料</w:t>
                  </w:r>
                </w:p>
              </w:tc>
            </w:tr>
            <w:tr w14:paraId="286F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Align w:val="center"/>
                </w:tcPr>
                <w:p w14:paraId="54FDAD9F">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945" w:type="dxa"/>
                  <w:vAlign w:val="top"/>
                </w:tcPr>
                <w:p w14:paraId="1864510D">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密胺粉</w:t>
                  </w:r>
                </w:p>
              </w:tc>
              <w:tc>
                <w:tcPr>
                  <w:tcW w:w="982" w:type="dxa"/>
                  <w:vAlign w:val="center"/>
                </w:tcPr>
                <w:p w14:paraId="6E0D5D6D">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吨</w:t>
                  </w:r>
                </w:p>
              </w:tc>
              <w:tc>
                <w:tcPr>
                  <w:tcW w:w="1093" w:type="dxa"/>
                  <w:vAlign w:val="top"/>
                </w:tcPr>
                <w:p w14:paraId="308A4414">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200</w:t>
                  </w:r>
                </w:p>
              </w:tc>
              <w:tc>
                <w:tcPr>
                  <w:tcW w:w="1832" w:type="dxa"/>
                  <w:vAlign w:val="center"/>
                </w:tcPr>
                <w:p w14:paraId="21F11353">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3097" w:type="dxa"/>
                  <w:vAlign w:val="center"/>
                </w:tcPr>
                <w:p w14:paraId="1B8BE2D0">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25kg/袋</w:t>
                  </w:r>
                  <w:r>
                    <w:rPr>
                      <w:rFonts w:hint="default" w:ascii="Times New Roman" w:hAnsi="Times New Roman" w:cs="Times New Roman"/>
                      <w:color w:val="auto"/>
                      <w:sz w:val="21"/>
                      <w:szCs w:val="21"/>
                      <w:lang w:val="en-US" w:eastAsia="zh-CN"/>
                    </w:rPr>
                    <w:t>，外购</w:t>
                  </w:r>
                </w:p>
              </w:tc>
            </w:tr>
            <w:tr w14:paraId="2EA83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Align w:val="center"/>
                </w:tcPr>
                <w:p w14:paraId="3BBBDAD5">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945" w:type="dxa"/>
                  <w:vAlign w:val="top"/>
                </w:tcPr>
                <w:p w14:paraId="0D4C381F">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罩光粉</w:t>
                  </w:r>
                </w:p>
              </w:tc>
              <w:tc>
                <w:tcPr>
                  <w:tcW w:w="982" w:type="dxa"/>
                  <w:vAlign w:val="center"/>
                </w:tcPr>
                <w:p w14:paraId="0628A4B0">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吨</w:t>
                  </w:r>
                </w:p>
              </w:tc>
              <w:tc>
                <w:tcPr>
                  <w:tcW w:w="1093" w:type="dxa"/>
                  <w:vAlign w:val="top"/>
                </w:tcPr>
                <w:p w14:paraId="641AA5D8">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1832" w:type="dxa"/>
                  <w:vAlign w:val="center"/>
                </w:tcPr>
                <w:p w14:paraId="33CB5C59">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3097" w:type="dxa"/>
                  <w:vAlign w:val="center"/>
                </w:tcPr>
                <w:p w14:paraId="0EC0BCFD">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25kg/袋</w:t>
                  </w:r>
                  <w:r>
                    <w:rPr>
                      <w:rFonts w:hint="default" w:ascii="Times New Roman" w:hAnsi="Times New Roman" w:cs="Times New Roman"/>
                      <w:color w:val="auto"/>
                      <w:sz w:val="21"/>
                      <w:szCs w:val="21"/>
                      <w:lang w:val="en-US" w:eastAsia="zh-CN"/>
                    </w:rPr>
                    <w:t>，外购</w:t>
                  </w:r>
                </w:p>
              </w:tc>
            </w:tr>
            <w:tr w14:paraId="49915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Align w:val="center"/>
                </w:tcPr>
                <w:p w14:paraId="748FBD0E">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945" w:type="dxa"/>
                  <w:vAlign w:val="top"/>
                </w:tcPr>
                <w:p w14:paraId="3FB74A66">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抗磨压油</w:t>
                  </w:r>
                </w:p>
              </w:tc>
              <w:tc>
                <w:tcPr>
                  <w:tcW w:w="982" w:type="dxa"/>
                  <w:vAlign w:val="center"/>
                </w:tcPr>
                <w:p w14:paraId="5A789CF6">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吨</w:t>
                  </w:r>
                </w:p>
              </w:tc>
              <w:tc>
                <w:tcPr>
                  <w:tcW w:w="1093" w:type="dxa"/>
                  <w:vAlign w:val="center"/>
                </w:tcPr>
                <w:p w14:paraId="613457A3">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832" w:type="dxa"/>
                  <w:vAlign w:val="center"/>
                </w:tcPr>
                <w:p w14:paraId="3E4BA545">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3097" w:type="dxa"/>
                  <w:vAlign w:val="center"/>
                </w:tcPr>
                <w:p w14:paraId="4299F776">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200kg/桶</w:t>
                  </w:r>
                  <w:r>
                    <w:rPr>
                      <w:rFonts w:hint="default" w:ascii="Times New Roman" w:hAnsi="Times New Roman" w:cs="Times New Roman"/>
                      <w:color w:val="auto"/>
                      <w:sz w:val="21"/>
                      <w:szCs w:val="21"/>
                      <w:lang w:val="en-US" w:eastAsia="zh-CN"/>
                    </w:rPr>
                    <w:t>，外购</w:t>
                  </w:r>
                </w:p>
              </w:tc>
            </w:tr>
            <w:tr w14:paraId="4277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gridSpan w:val="6"/>
                  <w:vAlign w:val="center"/>
                </w:tcPr>
                <w:p w14:paraId="3782756A">
                  <w:pPr>
                    <w:spacing w:line="240" w:lineRule="auto"/>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bCs w:val="0"/>
                      <w:color w:val="auto"/>
                      <w:sz w:val="21"/>
                      <w:szCs w:val="21"/>
                      <w:lang w:val="en-US" w:eastAsia="zh-CN"/>
                    </w:rPr>
                    <w:t>其他</w:t>
                  </w:r>
                </w:p>
              </w:tc>
            </w:tr>
            <w:tr w14:paraId="644A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Align w:val="center"/>
                </w:tcPr>
                <w:p w14:paraId="5F0CCF5A">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945" w:type="dxa"/>
                  <w:shd w:val="clear" w:color="auto" w:fill="auto"/>
                  <w:vAlign w:val="center"/>
                </w:tcPr>
                <w:p w14:paraId="778A635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水</w:t>
                  </w:r>
                </w:p>
              </w:tc>
              <w:tc>
                <w:tcPr>
                  <w:tcW w:w="982" w:type="dxa"/>
                  <w:shd w:val="clear" w:color="auto" w:fill="auto"/>
                  <w:vAlign w:val="center"/>
                </w:tcPr>
                <w:p w14:paraId="41EBEA82">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t/a</w:t>
                  </w:r>
                </w:p>
              </w:tc>
              <w:tc>
                <w:tcPr>
                  <w:tcW w:w="1093" w:type="dxa"/>
                  <w:shd w:val="clear" w:color="auto" w:fill="auto"/>
                  <w:vAlign w:val="center"/>
                </w:tcPr>
                <w:p w14:paraId="0004309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630</w:t>
                  </w:r>
                </w:p>
              </w:tc>
              <w:tc>
                <w:tcPr>
                  <w:tcW w:w="1832" w:type="dxa"/>
                  <w:shd w:val="clear" w:color="auto" w:fill="auto"/>
                  <w:vAlign w:val="center"/>
                </w:tcPr>
                <w:p w14:paraId="4DD572FB">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3097" w:type="dxa"/>
                  <w:shd w:val="clear" w:color="auto" w:fill="auto"/>
                  <w:vAlign w:val="center"/>
                </w:tcPr>
                <w:p w14:paraId="4429728E">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安徽省宿州市泗县供水管网</w:t>
                  </w:r>
                </w:p>
              </w:tc>
            </w:tr>
            <w:tr w14:paraId="0F918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Align w:val="center"/>
                </w:tcPr>
                <w:p w14:paraId="70E82641">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945" w:type="dxa"/>
                  <w:shd w:val="clear" w:color="auto" w:fill="auto"/>
                  <w:vAlign w:val="center"/>
                </w:tcPr>
                <w:p w14:paraId="7B3059F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w:t>
                  </w:r>
                </w:p>
              </w:tc>
              <w:tc>
                <w:tcPr>
                  <w:tcW w:w="982" w:type="dxa"/>
                  <w:shd w:val="clear" w:color="auto" w:fill="auto"/>
                  <w:vAlign w:val="center"/>
                </w:tcPr>
                <w:p w14:paraId="76D8E794">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万kW·h</w:t>
                  </w:r>
                </w:p>
              </w:tc>
              <w:tc>
                <w:tcPr>
                  <w:tcW w:w="1093" w:type="dxa"/>
                  <w:shd w:val="clear" w:color="auto" w:fill="auto"/>
                  <w:vAlign w:val="center"/>
                </w:tcPr>
                <w:p w14:paraId="3B045B9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100</w:t>
                  </w:r>
                </w:p>
              </w:tc>
              <w:tc>
                <w:tcPr>
                  <w:tcW w:w="1832" w:type="dxa"/>
                  <w:shd w:val="clear" w:color="auto" w:fill="auto"/>
                  <w:vAlign w:val="center"/>
                </w:tcPr>
                <w:p w14:paraId="6579F679">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3097" w:type="dxa"/>
                  <w:shd w:val="clear" w:color="auto" w:fill="auto"/>
                  <w:vAlign w:val="center"/>
                </w:tcPr>
                <w:p w14:paraId="7613B7F3">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安徽省宿州市泗县供电管网</w:t>
                  </w:r>
                </w:p>
              </w:tc>
            </w:tr>
          </w:tbl>
          <w:p w14:paraId="47A0DC44">
            <w:pPr>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建设项目原辅材料理化特性一览表见</w:t>
            </w:r>
            <w:r>
              <w:rPr>
                <w:rFonts w:hint="eastAsia" w:ascii="Times New Roman" w:hAnsi="Times New Roman" w:cs="Times New Roman"/>
                <w:color w:val="auto"/>
                <w:sz w:val="24"/>
                <w:szCs w:val="24"/>
                <w:lang w:val="en-US" w:eastAsia="zh-CN"/>
              </w:rPr>
              <w:t>表</w:t>
            </w:r>
            <w:r>
              <w:rPr>
                <w:rFonts w:hint="default" w:ascii="Times New Roman" w:hAnsi="Times New Roman" w:cs="Times New Roman"/>
                <w:color w:val="auto"/>
                <w:sz w:val="24"/>
                <w:szCs w:val="24"/>
                <w:lang w:val="en-US" w:eastAsia="zh-CN"/>
              </w:rPr>
              <w:t>2.4。</w:t>
            </w:r>
          </w:p>
          <w:bookmarkEnd w:id="34"/>
          <w:p w14:paraId="713ED313">
            <w:pPr>
              <w:widowControl/>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表2.</w:t>
            </w:r>
            <w:r>
              <w:rPr>
                <w:rFonts w:hint="default" w:ascii="Times New Roman" w:hAnsi="Times New Roman" w:cs="Times New Roman"/>
                <w:b/>
                <w:color w:val="auto"/>
                <w:kern w:val="0"/>
                <w:sz w:val="21"/>
                <w:szCs w:val="21"/>
                <w:lang w:val="en-US" w:eastAsia="zh-CN"/>
              </w:rPr>
              <w:t>4</w:t>
            </w:r>
            <w:r>
              <w:rPr>
                <w:rFonts w:hint="default" w:ascii="Times New Roman" w:hAnsi="Times New Roman" w:cs="Times New Roman"/>
                <w:b/>
                <w:color w:val="auto"/>
                <w:kern w:val="0"/>
                <w:sz w:val="21"/>
                <w:szCs w:val="21"/>
              </w:rPr>
              <w:t xml:space="preserve">  </w:t>
            </w:r>
            <w:r>
              <w:rPr>
                <w:rFonts w:hint="default" w:ascii="Times New Roman" w:hAnsi="Times New Roman" w:cs="Times New Roman"/>
                <w:b/>
                <w:bCs/>
                <w:color w:val="auto"/>
                <w:sz w:val="21"/>
                <w:szCs w:val="21"/>
                <w:lang w:val="en-US" w:eastAsia="zh-CN"/>
              </w:rPr>
              <w:t>项目原辅材料理化特性一览表</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911"/>
              <w:gridCol w:w="8135"/>
            </w:tblGrid>
            <w:tr w14:paraId="1A58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304" w:type="pct"/>
                  <w:vAlign w:val="center"/>
                </w:tcPr>
                <w:p w14:paraId="6CCD8FFF">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473" w:type="pct"/>
                  <w:vAlign w:val="center"/>
                </w:tcPr>
                <w:p w14:paraId="2EA1112F">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原辅材料名称</w:t>
                  </w:r>
                </w:p>
              </w:tc>
              <w:tc>
                <w:tcPr>
                  <w:tcW w:w="4222" w:type="pct"/>
                  <w:vAlign w:val="center"/>
                </w:tcPr>
                <w:p w14:paraId="06682AB8">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理化特性</w:t>
                  </w:r>
                </w:p>
              </w:tc>
            </w:tr>
            <w:tr w14:paraId="71BB4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304" w:type="pct"/>
                  <w:vAlign w:val="center"/>
                </w:tcPr>
                <w:p w14:paraId="6348E7BD">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73" w:type="pct"/>
                  <w:shd w:val="clear" w:color="auto" w:fill="auto"/>
                  <w:vAlign w:val="center"/>
                </w:tcPr>
                <w:p w14:paraId="3581DDD5">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密胺粉</w:t>
                  </w:r>
                </w:p>
              </w:tc>
              <w:tc>
                <w:tcPr>
                  <w:tcW w:w="4222" w:type="pct"/>
                  <w:vAlign w:val="center"/>
                </w:tcPr>
                <w:p w14:paraId="44B1C47B">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无味固体粉末，危害成分：甲醛1.5%，稳定性：</w:t>
                  </w:r>
                  <w:r>
                    <w:rPr>
                      <w:rFonts w:ascii="宋体" w:hAnsi="宋体" w:cs="宋体"/>
                      <w:kern w:val="0"/>
                      <w:szCs w:val="21"/>
                    </w:rPr>
                    <w:t>正常状况下稳定性高。</w:t>
                  </w:r>
                  <w:r>
                    <w:rPr>
                      <w:rFonts w:hint="eastAsia" w:ascii="宋体" w:hAnsi="宋体" w:cs="宋体"/>
                      <w:kern w:val="0"/>
                      <w:szCs w:val="21"/>
                      <w:lang w:val="en-US" w:eastAsia="zh-CN"/>
                    </w:rPr>
                    <w:t>避免高温、强酸、强碱，危害分解物：</w:t>
                  </w:r>
                  <w:r>
                    <w:rPr>
                      <w:rFonts w:ascii="宋体" w:hAnsi="宋体" w:cs="宋体"/>
                      <w:kern w:val="0"/>
                      <w:szCs w:val="21"/>
                    </w:rPr>
                    <w:t>甲醛</w:t>
                  </w:r>
                  <w:r>
                    <w:rPr>
                      <w:rFonts w:hint="eastAsia" w:ascii="宋体" w:hAnsi="宋体" w:cs="宋体"/>
                      <w:kern w:val="0"/>
                      <w:szCs w:val="21"/>
                    </w:rPr>
                    <w:t>及异氰酸</w:t>
                  </w:r>
                  <w:r>
                    <w:rPr>
                      <w:rFonts w:hint="eastAsia" w:ascii="宋体" w:hAnsi="宋体" w:cs="宋体"/>
                      <w:kern w:val="0"/>
                      <w:szCs w:val="21"/>
                      <w:lang w:eastAsia="zh-CN"/>
                    </w:rPr>
                    <w:t>。</w:t>
                  </w:r>
                </w:p>
              </w:tc>
            </w:tr>
            <w:tr w14:paraId="7A2C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304" w:type="pct"/>
                  <w:vAlign w:val="center"/>
                </w:tcPr>
                <w:p w14:paraId="440DE2A6">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2</w:t>
                  </w:r>
                </w:p>
              </w:tc>
              <w:tc>
                <w:tcPr>
                  <w:tcW w:w="473" w:type="pct"/>
                  <w:shd w:val="clear" w:color="auto" w:fill="auto"/>
                  <w:vAlign w:val="center"/>
                </w:tcPr>
                <w:p w14:paraId="3B648E54">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罩光粉</w:t>
                  </w:r>
                </w:p>
              </w:tc>
              <w:tc>
                <w:tcPr>
                  <w:tcW w:w="4222" w:type="pct"/>
                  <w:vAlign w:val="center"/>
                </w:tcPr>
                <w:p w14:paraId="3F60BDFB">
                  <w:pPr>
                    <w:spacing w:line="240" w:lineRule="auto"/>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无味固体粉末，危害成分：甲醛1.5%，稳定性：</w:t>
                  </w:r>
                  <w:r>
                    <w:rPr>
                      <w:rFonts w:ascii="宋体" w:hAnsi="宋体" w:cs="宋体"/>
                      <w:kern w:val="0"/>
                      <w:szCs w:val="21"/>
                    </w:rPr>
                    <w:t>正常状况下稳定性高。</w:t>
                  </w:r>
                  <w:r>
                    <w:rPr>
                      <w:rFonts w:hint="eastAsia" w:ascii="宋体" w:hAnsi="宋体" w:cs="宋体"/>
                      <w:kern w:val="0"/>
                      <w:szCs w:val="21"/>
                      <w:lang w:val="en-US" w:eastAsia="zh-CN"/>
                    </w:rPr>
                    <w:t>避免高温、强酸、强碱，危害分解物：</w:t>
                  </w:r>
                  <w:r>
                    <w:rPr>
                      <w:rFonts w:ascii="宋体" w:hAnsi="宋体" w:cs="宋体"/>
                      <w:kern w:val="0"/>
                      <w:szCs w:val="21"/>
                    </w:rPr>
                    <w:t>甲醛</w:t>
                  </w:r>
                  <w:r>
                    <w:rPr>
                      <w:rFonts w:hint="eastAsia" w:ascii="宋体" w:hAnsi="宋体" w:cs="宋体"/>
                      <w:kern w:val="0"/>
                      <w:szCs w:val="21"/>
                    </w:rPr>
                    <w:t>及异氰酸</w:t>
                  </w:r>
                  <w:r>
                    <w:rPr>
                      <w:rFonts w:hint="eastAsia" w:ascii="宋体" w:hAnsi="宋体" w:cs="宋体"/>
                      <w:kern w:val="0"/>
                      <w:szCs w:val="21"/>
                      <w:lang w:eastAsia="zh-CN"/>
                    </w:rPr>
                    <w:t>。</w:t>
                  </w:r>
                </w:p>
              </w:tc>
            </w:tr>
            <w:tr w14:paraId="16A09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304" w:type="pct"/>
                  <w:vAlign w:val="center"/>
                </w:tcPr>
                <w:p w14:paraId="13679726">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3</w:t>
                  </w:r>
                </w:p>
              </w:tc>
              <w:tc>
                <w:tcPr>
                  <w:tcW w:w="473" w:type="pct"/>
                  <w:vAlign w:val="center"/>
                </w:tcPr>
                <w:p w14:paraId="6274FC6D">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抗磨压油</w:t>
                  </w:r>
                </w:p>
              </w:tc>
              <w:tc>
                <w:tcPr>
                  <w:tcW w:w="4222" w:type="pct"/>
                  <w:vAlign w:val="center"/>
                </w:tcPr>
                <w:p w14:paraId="7F559D46">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抗磨液压油的主要成分包括基础油和各种添加剂。其中，基础油通常占70%-99%，而添加剂则包括抗磨剂、极压抗磨剂、消泡剂、清洁分散剂等，占比约为1%-30%。抗磨液压油是从防锈、抗氧液压油基础上发展而来的，它有碱性高锌、碱性低锌、中性高锌型及无灰型等系列产品</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可广泛用于工业、航运和移动式的液压及传动系统中，也适用于普通负载的齿轮传动装置、轴承及其他工业机械的润滑可用于高压柱塞泵系统。</w:t>
                  </w:r>
                </w:p>
              </w:tc>
            </w:tr>
          </w:tbl>
          <w:p w14:paraId="56B7FEAF">
            <w:pPr>
              <w:pStyle w:val="48"/>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color w:val="auto"/>
                <w:sz w:val="24"/>
                <w:szCs w:val="24"/>
                <w:lang w:val="en-US" w:eastAsia="zh-CN"/>
              </w:rPr>
            </w:pPr>
            <w:r>
              <w:rPr>
                <w:rFonts w:hint="eastAsia" w:ascii="Times New Roman" w:hAnsi="Times New Roman" w:eastAsia="宋体" w:cs="Times New Roman"/>
                <w:color w:val="auto"/>
                <w:sz w:val="21"/>
                <w:szCs w:val="21"/>
                <w:lang w:val="en-US" w:eastAsia="zh-CN"/>
              </w:rPr>
              <w:t>注：根据密胺粉检测报告（报告编号：No.(2025)QSWJ01160），本项目使用原料符合《食品安全国家标准 食品接触用塑料材料及制品》（GB 4806.7-2023）标准要求，具体见附件。</w:t>
            </w:r>
          </w:p>
          <w:p w14:paraId="4B52C82F">
            <w:pPr>
              <w:spacing w:line="360" w:lineRule="auto"/>
              <w:ind w:firstLine="482" w:firstLineChars="200"/>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建设项目</w:t>
            </w:r>
            <w:r>
              <w:rPr>
                <w:rFonts w:hint="default" w:ascii="Times New Roman" w:hAnsi="Times New Roman" w:cs="Times New Roman"/>
                <w:b/>
                <w:bCs/>
                <w:color w:val="auto"/>
                <w:sz w:val="24"/>
                <w:szCs w:val="24"/>
              </w:rPr>
              <w:t>产品</w:t>
            </w:r>
            <w:r>
              <w:rPr>
                <w:rFonts w:hint="default" w:ascii="Times New Roman" w:hAnsi="Times New Roman" w:cs="Times New Roman"/>
                <w:b/>
                <w:bCs/>
                <w:color w:val="auto"/>
                <w:sz w:val="24"/>
                <w:szCs w:val="24"/>
                <w:lang w:val="en-US" w:eastAsia="zh-CN"/>
              </w:rPr>
              <w:t>及产能</w:t>
            </w:r>
          </w:p>
          <w:p w14:paraId="10F6E7C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根据建设单位提供的资料，</w:t>
            </w:r>
            <w:r>
              <w:rPr>
                <w:rFonts w:hint="default" w:ascii="Times New Roman" w:hAnsi="Times New Roman" w:cs="Times New Roman"/>
                <w:color w:val="auto"/>
                <w:sz w:val="24"/>
                <w:szCs w:val="24"/>
              </w:rPr>
              <w:t>本项目产品</w:t>
            </w:r>
            <w:r>
              <w:rPr>
                <w:rFonts w:hint="default" w:ascii="Times New Roman" w:hAnsi="Times New Roman" w:cs="Times New Roman"/>
                <w:color w:val="auto"/>
                <w:sz w:val="24"/>
                <w:szCs w:val="24"/>
                <w:lang w:val="en-US" w:eastAsia="zh-CN"/>
              </w:rPr>
              <w:t>及产能见下</w:t>
            </w:r>
            <w:r>
              <w:rPr>
                <w:rFonts w:hint="default" w:ascii="Times New Roman" w:hAnsi="Times New Roman" w:cs="Times New Roman"/>
                <w:color w:val="auto"/>
                <w:sz w:val="24"/>
                <w:szCs w:val="24"/>
              </w:rPr>
              <w:t>表</w:t>
            </w:r>
            <w:r>
              <w:rPr>
                <w:rFonts w:hint="default" w:ascii="Times New Roman" w:hAnsi="Times New Roman" w:cs="Times New Roman"/>
                <w:color w:val="auto"/>
                <w:sz w:val="24"/>
                <w:szCs w:val="24"/>
                <w:lang w:val="en-US" w:eastAsia="zh-CN"/>
              </w:rPr>
              <w:t>2.5</w:t>
            </w:r>
            <w:r>
              <w:rPr>
                <w:rFonts w:hint="default" w:ascii="Times New Roman" w:hAnsi="Times New Roman" w:cs="Times New Roman"/>
                <w:color w:val="auto"/>
                <w:sz w:val="24"/>
                <w:szCs w:val="24"/>
              </w:rPr>
              <w:t>。</w:t>
            </w:r>
          </w:p>
          <w:p w14:paraId="499365AF">
            <w:pPr>
              <w:autoSpaceDE w:val="0"/>
              <w:autoSpaceDN w:val="0"/>
              <w:ind w:firstLine="422" w:firstLineChars="200"/>
              <w:jc w:val="center"/>
              <w:rPr>
                <w:rFonts w:hint="default" w:ascii="Times New Roman" w:hAnsi="Times New Roman" w:cs="Times New Roman"/>
                <w:color w:val="auto"/>
              </w:rPr>
            </w:pPr>
            <w:r>
              <w:rPr>
                <w:rFonts w:hint="default" w:ascii="Times New Roman" w:hAnsi="Times New Roman" w:cs="Times New Roman"/>
                <w:b/>
                <w:bCs/>
                <w:color w:val="auto"/>
                <w:sz w:val="21"/>
                <w:szCs w:val="21"/>
              </w:rPr>
              <w:t>表2.</w:t>
            </w:r>
            <w:r>
              <w:rPr>
                <w:rFonts w:hint="default" w:ascii="Times New Roman" w:hAnsi="Times New Roman" w:cs="Times New Roman"/>
                <w:b/>
                <w:bCs/>
                <w:color w:val="auto"/>
                <w:sz w:val="21"/>
                <w:szCs w:val="21"/>
                <w:lang w:val="en-US" w:eastAsia="zh-CN"/>
              </w:rPr>
              <w:t>5</w:t>
            </w:r>
            <w:r>
              <w:rPr>
                <w:rFonts w:hint="default" w:ascii="Times New Roman" w:hAnsi="Times New Roman" w:cs="Times New Roman"/>
                <w:b/>
                <w:bCs/>
                <w:color w:val="auto"/>
                <w:sz w:val="21"/>
                <w:szCs w:val="21"/>
              </w:rPr>
              <w:t xml:space="preserve">  项目产品及产能一览表</w:t>
            </w:r>
          </w:p>
          <w:tbl>
            <w:tblPr>
              <w:tblStyle w:val="32"/>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796"/>
              <w:gridCol w:w="1050"/>
              <w:gridCol w:w="1138"/>
              <w:gridCol w:w="2362"/>
              <w:gridCol w:w="2588"/>
            </w:tblGrid>
            <w:tr w14:paraId="4B863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767F98A">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1796" w:type="dxa"/>
                  <w:vAlign w:val="center"/>
                </w:tcPr>
                <w:p w14:paraId="2DFB77DC">
                  <w:p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val="0"/>
                      <w:bCs w:val="0"/>
                      <w:color w:val="auto"/>
                      <w:sz w:val="21"/>
                      <w:szCs w:val="21"/>
                    </w:rPr>
                    <w:t>产品名称</w:t>
                  </w:r>
                </w:p>
              </w:tc>
              <w:tc>
                <w:tcPr>
                  <w:tcW w:w="1050" w:type="dxa"/>
                  <w:vAlign w:val="center"/>
                </w:tcPr>
                <w:p w14:paraId="6D336B48">
                  <w:p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val="0"/>
                      <w:bCs w:val="0"/>
                      <w:color w:val="auto"/>
                      <w:sz w:val="21"/>
                      <w:szCs w:val="21"/>
                    </w:rPr>
                    <w:t>单位</w:t>
                  </w:r>
                </w:p>
              </w:tc>
              <w:tc>
                <w:tcPr>
                  <w:tcW w:w="1138" w:type="dxa"/>
                  <w:vAlign w:val="center"/>
                </w:tcPr>
                <w:p w14:paraId="4C3951A0">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产能</w:t>
                  </w:r>
                </w:p>
              </w:tc>
              <w:tc>
                <w:tcPr>
                  <w:tcW w:w="2362" w:type="dxa"/>
                  <w:vAlign w:val="center"/>
                </w:tcPr>
                <w:p w14:paraId="0811626C">
                  <w:pPr>
                    <w:jc w:val="center"/>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b w:val="0"/>
                      <w:bCs w:val="0"/>
                      <w:color w:val="auto"/>
                      <w:sz w:val="21"/>
                      <w:szCs w:val="21"/>
                      <w:lang w:val="en-US" w:eastAsia="zh-CN"/>
                    </w:rPr>
                    <w:t>种类</w:t>
                  </w:r>
                </w:p>
              </w:tc>
              <w:tc>
                <w:tcPr>
                  <w:tcW w:w="2588" w:type="dxa"/>
                  <w:vAlign w:val="center"/>
                </w:tcPr>
                <w:p w14:paraId="44EFF018">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备注</w:t>
                  </w:r>
                </w:p>
              </w:tc>
            </w:tr>
            <w:tr w14:paraId="3E4BF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DCCEE4D">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1796" w:type="dxa"/>
                  <w:vAlign w:val="center"/>
                </w:tcPr>
                <w:p w14:paraId="03A18404">
                  <w:p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密胺餐具</w:t>
                  </w:r>
                </w:p>
              </w:tc>
              <w:tc>
                <w:tcPr>
                  <w:tcW w:w="1050" w:type="dxa"/>
                  <w:vAlign w:val="center"/>
                </w:tcPr>
                <w:p w14:paraId="0D2EA989">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套</w:t>
                  </w:r>
                  <w:r>
                    <w:rPr>
                      <w:rFonts w:hint="eastAsia" w:ascii="Times New Roman" w:hAnsi="Times New Roman" w:eastAsia="宋体" w:cs="Times New Roman"/>
                      <w:color w:val="auto"/>
                      <w:sz w:val="21"/>
                      <w:szCs w:val="21"/>
                      <w:vertAlign w:val="baseline"/>
                      <w:lang w:val="en-US" w:eastAsia="zh-CN"/>
                    </w:rPr>
                    <w:t>/年</w:t>
                  </w:r>
                </w:p>
              </w:tc>
              <w:tc>
                <w:tcPr>
                  <w:tcW w:w="1138" w:type="dxa"/>
                  <w:vAlign w:val="center"/>
                </w:tcPr>
                <w:p w14:paraId="6893DF10">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eastAsia="zh-CN"/>
                    </w:rPr>
                    <w:t>100000</w:t>
                  </w:r>
                </w:p>
              </w:tc>
              <w:tc>
                <w:tcPr>
                  <w:tcW w:w="2362" w:type="dxa"/>
                  <w:vAlign w:val="center"/>
                </w:tcPr>
                <w:p w14:paraId="37CC11F4">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餐盘、碗、勺子等餐具</w:t>
                  </w:r>
                </w:p>
              </w:tc>
              <w:tc>
                <w:tcPr>
                  <w:tcW w:w="2588" w:type="dxa"/>
                  <w:vAlign w:val="center"/>
                </w:tcPr>
                <w:p w14:paraId="179A2B9B">
                  <w:pPr>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产品总重量约为200t/a</w:t>
                  </w:r>
                </w:p>
              </w:tc>
            </w:tr>
          </w:tbl>
          <w:p w14:paraId="3CA0621E">
            <w:pPr>
              <w:pStyle w:val="8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Cs/>
                <w:sz w:val="21"/>
                <w:szCs w:val="21"/>
                <w:lang w:eastAsia="zh-CN"/>
              </w:rPr>
            </w:pPr>
            <w:r>
              <w:rPr>
                <w:rFonts w:hint="eastAsia" w:ascii="Times New Roman" w:hAnsi="Times New Roman" w:eastAsia="宋体" w:cs="Times New Roman"/>
                <w:color w:val="auto"/>
                <w:sz w:val="21"/>
                <w:szCs w:val="21"/>
                <w:lang w:val="en-US" w:eastAsia="zh-CN"/>
              </w:rPr>
              <w:t>注：根据产品检测报告（报告编号：（2025）HJ检QH字第2374号），本项目产品符合《食品安全国家标准 食品接触用塑料材料及制品》（GB 4806.7-2023）、《密胺塑料餐饮具》（GB/T 41001-2021）中标准要求，具体见附件5 密胺塑料餐具（碗）检验报告。</w:t>
            </w:r>
          </w:p>
          <w:p w14:paraId="6156722B">
            <w:pPr>
              <w:pStyle w:val="88"/>
              <w:spacing w:line="360" w:lineRule="auto"/>
              <w:ind w:firstLine="480" w:firstLineChars="200"/>
              <w:rPr>
                <w:rFonts w:hint="default" w:ascii="Times New Roman" w:hAnsi="Times New Roman" w:cs="Times New Roman"/>
                <w:bCs/>
                <w:sz w:val="24"/>
                <w:szCs w:val="24"/>
                <w:highlight w:val="none"/>
                <w:lang w:eastAsia="zh-CN"/>
              </w:rPr>
            </w:pPr>
            <w:r>
              <w:rPr>
                <w:rFonts w:hint="default" w:ascii="Times New Roman" w:hAnsi="Times New Roman" w:cs="Times New Roman"/>
                <w:bCs/>
                <w:sz w:val="24"/>
                <w:szCs w:val="24"/>
                <w:lang w:eastAsia="zh-CN"/>
              </w:rPr>
              <w:t>本项目</w:t>
            </w:r>
            <w:r>
              <w:rPr>
                <w:rFonts w:hint="eastAsia" w:ascii="Times New Roman" w:hAnsi="Times New Roman" w:cs="Times New Roman"/>
                <w:bCs/>
                <w:sz w:val="24"/>
                <w:szCs w:val="24"/>
                <w:lang w:val="en-US" w:eastAsia="zh-CN"/>
              </w:rPr>
              <w:t>产品</w:t>
            </w:r>
            <w:r>
              <w:rPr>
                <w:rFonts w:hint="default" w:ascii="Times New Roman" w:hAnsi="Times New Roman" w:cs="Times New Roman"/>
                <w:bCs/>
                <w:sz w:val="24"/>
                <w:szCs w:val="24"/>
                <w:lang w:eastAsia="zh-CN"/>
              </w:rPr>
              <w:t>物料平衡</w:t>
            </w:r>
            <w:r>
              <w:rPr>
                <w:rFonts w:hint="default" w:ascii="Times New Roman" w:hAnsi="Times New Roman" w:cs="Times New Roman"/>
                <w:bCs/>
                <w:sz w:val="24"/>
                <w:szCs w:val="24"/>
                <w:highlight w:val="none"/>
                <w:lang w:eastAsia="zh-CN"/>
              </w:rPr>
              <w:t>见下表：</w:t>
            </w:r>
          </w:p>
          <w:p w14:paraId="784E7106">
            <w:pPr>
              <w:pStyle w:val="88"/>
              <w:jc w:val="center"/>
              <w:rPr>
                <w:rFonts w:hint="default" w:ascii="Times New Roman" w:hAnsi="Times New Roman" w:cs="Times New Roman"/>
                <w:b/>
                <w:sz w:val="21"/>
                <w:szCs w:val="21"/>
                <w:highlight w:val="none"/>
                <w:lang w:eastAsia="zh-CN"/>
              </w:rPr>
            </w:pPr>
            <w:r>
              <w:rPr>
                <w:rFonts w:hint="default" w:ascii="Times New Roman" w:hAnsi="Times New Roman" w:cs="Times New Roman"/>
                <w:b/>
                <w:sz w:val="21"/>
                <w:szCs w:val="21"/>
                <w:highlight w:val="none"/>
                <w:lang w:eastAsia="zh-CN"/>
              </w:rPr>
              <w:t xml:space="preserve">表 </w:t>
            </w:r>
            <w:r>
              <w:rPr>
                <w:rFonts w:hint="default" w:ascii="Times New Roman" w:hAnsi="Times New Roman" w:cs="Times New Roman"/>
                <w:b/>
                <w:sz w:val="21"/>
                <w:szCs w:val="21"/>
                <w:highlight w:val="none"/>
                <w:lang w:val="en-US" w:eastAsia="zh-CN"/>
              </w:rPr>
              <w:t>2.6</w:t>
            </w:r>
            <w:r>
              <w:rPr>
                <w:rFonts w:hint="default" w:ascii="Times New Roman" w:hAnsi="Times New Roman" w:cs="Times New Roman"/>
                <w:b/>
                <w:sz w:val="21"/>
                <w:szCs w:val="21"/>
                <w:highlight w:val="none"/>
                <w:lang w:eastAsia="zh-CN"/>
              </w:rPr>
              <w:t xml:space="preserve">  物料平衡表</w:t>
            </w:r>
          </w:p>
          <w:tbl>
            <w:tblPr>
              <w:tblStyle w:val="32"/>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6"/>
              <w:gridCol w:w="1629"/>
              <w:gridCol w:w="1633"/>
              <w:gridCol w:w="1637"/>
              <w:gridCol w:w="2310"/>
            </w:tblGrid>
            <w:tr w14:paraId="476C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101" w:type="pct"/>
                  <w:gridSpan w:val="2"/>
                  <w:vAlign w:val="center"/>
                </w:tcPr>
                <w:p w14:paraId="76DD6462">
                  <w:pPr>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spacing w:val="7"/>
                      <w:sz w:val="21"/>
                      <w:szCs w:val="21"/>
                      <w:highlight w:val="none"/>
                      <w:lang w:eastAsia="zh-CN"/>
                    </w:rPr>
                    <w:t>入方</w:t>
                  </w:r>
                </w:p>
              </w:tc>
              <w:tc>
                <w:tcPr>
                  <w:tcW w:w="2898" w:type="pct"/>
                  <w:gridSpan w:val="3"/>
                  <w:vAlign w:val="center"/>
                </w:tcPr>
                <w:p w14:paraId="03892EBB">
                  <w:pPr>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cs="Times New Roman"/>
                      <w:spacing w:val="7"/>
                      <w:sz w:val="21"/>
                      <w:szCs w:val="21"/>
                      <w:highlight w:val="none"/>
                      <w:lang w:eastAsia="zh-CN"/>
                    </w:rPr>
                    <w:t>出方</w:t>
                  </w:r>
                </w:p>
              </w:tc>
            </w:tr>
            <w:tr w14:paraId="1FE5D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pct"/>
                  <w:shd w:val="clear" w:color="auto" w:fill="auto"/>
                  <w:vAlign w:val="center"/>
                </w:tcPr>
                <w:p w14:paraId="684F8A82">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原料</w:t>
                  </w:r>
                </w:p>
              </w:tc>
              <w:tc>
                <w:tcPr>
                  <w:tcW w:w="846" w:type="pct"/>
                  <w:vAlign w:val="center"/>
                </w:tcPr>
                <w:p w14:paraId="3AFC5A67">
                  <w:pPr>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数量t/a</w:t>
                  </w:r>
                </w:p>
              </w:tc>
              <w:tc>
                <w:tcPr>
                  <w:tcW w:w="1698" w:type="pct"/>
                  <w:gridSpan w:val="2"/>
                  <w:shd w:val="clear" w:color="auto" w:fill="auto"/>
                  <w:vAlign w:val="center"/>
                </w:tcPr>
                <w:p w14:paraId="4BE87FDF">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产出</w:t>
                  </w:r>
                </w:p>
              </w:tc>
              <w:tc>
                <w:tcPr>
                  <w:tcW w:w="1200" w:type="pct"/>
                  <w:shd w:val="clear" w:color="auto" w:fill="auto"/>
                  <w:vAlign w:val="center"/>
                </w:tcPr>
                <w:p w14:paraId="44C238ED">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数量t/a</w:t>
                  </w:r>
                </w:p>
              </w:tc>
            </w:tr>
            <w:tr w14:paraId="5684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pct"/>
                  <w:shd w:val="clear" w:color="auto" w:fill="auto"/>
                  <w:vAlign w:val="top"/>
                </w:tcPr>
                <w:p w14:paraId="58DD7BE5">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密胺粉</w:t>
                  </w:r>
                </w:p>
              </w:tc>
              <w:tc>
                <w:tcPr>
                  <w:tcW w:w="846" w:type="pct"/>
                  <w:shd w:val="clear" w:color="auto" w:fill="auto"/>
                  <w:vAlign w:val="center"/>
                </w:tcPr>
                <w:p w14:paraId="02072117">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200</w:t>
                  </w:r>
                </w:p>
              </w:tc>
              <w:tc>
                <w:tcPr>
                  <w:tcW w:w="1698" w:type="pct"/>
                  <w:gridSpan w:val="2"/>
                  <w:shd w:val="clear" w:color="auto" w:fill="auto"/>
                  <w:vAlign w:val="center"/>
                </w:tcPr>
                <w:p w14:paraId="48F5AF27">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eastAsia="zh-CN"/>
                    </w:rPr>
                    <w:t>产品</w:t>
                  </w:r>
                </w:p>
              </w:tc>
              <w:tc>
                <w:tcPr>
                  <w:tcW w:w="1200" w:type="pct"/>
                  <w:shd w:val="clear" w:color="auto" w:fill="auto"/>
                  <w:vAlign w:val="center"/>
                </w:tcPr>
                <w:p w14:paraId="29B5EDC8">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200</w:t>
                  </w:r>
                </w:p>
              </w:tc>
            </w:tr>
            <w:tr w14:paraId="0B411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pct"/>
                  <w:shd w:val="clear" w:color="auto" w:fill="auto"/>
                  <w:vAlign w:val="top"/>
                </w:tcPr>
                <w:p w14:paraId="689FDF11">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罩光粉</w:t>
                  </w:r>
                </w:p>
              </w:tc>
              <w:tc>
                <w:tcPr>
                  <w:tcW w:w="846" w:type="pct"/>
                  <w:vAlign w:val="center"/>
                </w:tcPr>
                <w:p w14:paraId="13B10B06">
                  <w:pPr>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5</w:t>
                  </w:r>
                </w:p>
              </w:tc>
              <w:tc>
                <w:tcPr>
                  <w:tcW w:w="848" w:type="pct"/>
                  <w:vMerge w:val="restart"/>
                  <w:vAlign w:val="center"/>
                </w:tcPr>
                <w:p w14:paraId="3E966CB6">
                  <w:pPr>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颗粒物</w:t>
                  </w:r>
                </w:p>
              </w:tc>
              <w:tc>
                <w:tcPr>
                  <w:tcW w:w="850" w:type="pct"/>
                  <w:vAlign w:val="center"/>
                </w:tcPr>
                <w:p w14:paraId="39BFED87">
                  <w:pPr>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有组织</w:t>
                  </w:r>
                </w:p>
              </w:tc>
              <w:tc>
                <w:tcPr>
                  <w:tcW w:w="1200" w:type="pct"/>
                  <w:vAlign w:val="center"/>
                </w:tcPr>
                <w:p w14:paraId="0C995C70">
                  <w:pPr>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0.0215</w:t>
                  </w:r>
                </w:p>
              </w:tc>
            </w:tr>
            <w:tr w14:paraId="44CC3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pct"/>
                  <w:shd w:val="clear" w:color="auto" w:fill="auto"/>
                  <w:vAlign w:val="center"/>
                </w:tcPr>
                <w:p w14:paraId="754C137A">
                  <w:pPr>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846" w:type="pct"/>
                  <w:vAlign w:val="center"/>
                </w:tcPr>
                <w:p w14:paraId="12DFFFF0">
                  <w:pPr>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848" w:type="pct"/>
                  <w:vMerge w:val="continue"/>
                  <w:vAlign w:val="center"/>
                </w:tcPr>
                <w:p w14:paraId="63ECB7E1">
                  <w:pPr>
                    <w:jc w:val="center"/>
                    <w:rPr>
                      <w:rFonts w:hint="default" w:ascii="Times New Roman" w:hAnsi="Times New Roman" w:eastAsia="宋体" w:cs="Times New Roman"/>
                      <w:color w:val="auto"/>
                      <w:sz w:val="21"/>
                      <w:szCs w:val="21"/>
                      <w:highlight w:val="none"/>
                      <w:vertAlign w:val="baseline"/>
                      <w:lang w:eastAsia="zh-CN"/>
                    </w:rPr>
                  </w:pPr>
                </w:p>
              </w:tc>
              <w:tc>
                <w:tcPr>
                  <w:tcW w:w="850" w:type="pct"/>
                  <w:vAlign w:val="center"/>
                </w:tcPr>
                <w:p w14:paraId="582262C1">
                  <w:pPr>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无组织</w:t>
                  </w:r>
                </w:p>
              </w:tc>
              <w:tc>
                <w:tcPr>
                  <w:tcW w:w="1200" w:type="pct"/>
                  <w:vAlign w:val="center"/>
                </w:tcPr>
                <w:p w14:paraId="665D5761">
                  <w:pPr>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0.2385</w:t>
                  </w:r>
                </w:p>
              </w:tc>
            </w:tr>
            <w:tr w14:paraId="2D036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pct"/>
                  <w:shd w:val="clear" w:color="auto" w:fill="auto"/>
                  <w:vAlign w:val="center"/>
                </w:tcPr>
                <w:p w14:paraId="2DFA406D">
                  <w:pPr>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w:t>
                  </w:r>
                </w:p>
              </w:tc>
              <w:tc>
                <w:tcPr>
                  <w:tcW w:w="846" w:type="pct"/>
                  <w:shd w:val="clear" w:color="auto" w:fill="auto"/>
                  <w:vAlign w:val="center"/>
                </w:tcPr>
                <w:p w14:paraId="1B503E93">
                  <w:pPr>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w:t>
                  </w:r>
                </w:p>
              </w:tc>
              <w:tc>
                <w:tcPr>
                  <w:tcW w:w="848" w:type="pct"/>
                  <w:vMerge w:val="restart"/>
                  <w:vAlign w:val="center"/>
                </w:tcPr>
                <w:p w14:paraId="2FDF9992">
                  <w:pPr>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有机废气</w:t>
                  </w:r>
                </w:p>
              </w:tc>
              <w:tc>
                <w:tcPr>
                  <w:tcW w:w="850" w:type="pct"/>
                  <w:shd w:val="clear" w:color="auto" w:fill="auto"/>
                  <w:vAlign w:val="center"/>
                </w:tcPr>
                <w:p w14:paraId="4DC05CD7">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eastAsia="zh-CN"/>
                    </w:rPr>
                    <w:t>有组织</w:t>
                  </w:r>
                </w:p>
              </w:tc>
              <w:tc>
                <w:tcPr>
                  <w:tcW w:w="1200" w:type="pct"/>
                  <w:vAlign w:val="center"/>
                </w:tcPr>
                <w:p w14:paraId="48C9F904">
                  <w:pPr>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0.0486</w:t>
                  </w:r>
                </w:p>
              </w:tc>
            </w:tr>
            <w:tr w14:paraId="616A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pct"/>
                  <w:shd w:val="clear" w:color="auto" w:fill="auto"/>
                  <w:vAlign w:val="center"/>
                </w:tcPr>
                <w:p w14:paraId="62BEF4D2">
                  <w:pPr>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w:t>
                  </w:r>
                </w:p>
              </w:tc>
              <w:tc>
                <w:tcPr>
                  <w:tcW w:w="846" w:type="pct"/>
                  <w:shd w:val="clear" w:color="auto" w:fill="auto"/>
                  <w:vAlign w:val="center"/>
                </w:tcPr>
                <w:p w14:paraId="0B8F41F2">
                  <w:pPr>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w:t>
                  </w:r>
                </w:p>
              </w:tc>
              <w:tc>
                <w:tcPr>
                  <w:tcW w:w="848" w:type="pct"/>
                  <w:vMerge w:val="continue"/>
                  <w:vAlign w:val="center"/>
                </w:tcPr>
                <w:p w14:paraId="459EBFC9">
                  <w:pPr>
                    <w:jc w:val="center"/>
                    <w:rPr>
                      <w:rFonts w:hint="default" w:ascii="Times New Roman" w:hAnsi="Times New Roman" w:eastAsia="宋体" w:cs="Times New Roman"/>
                      <w:color w:val="auto"/>
                      <w:sz w:val="21"/>
                      <w:szCs w:val="21"/>
                      <w:highlight w:val="none"/>
                      <w:vertAlign w:val="baseline"/>
                      <w:lang w:eastAsia="zh-CN"/>
                    </w:rPr>
                  </w:pPr>
                </w:p>
              </w:tc>
              <w:tc>
                <w:tcPr>
                  <w:tcW w:w="850" w:type="pct"/>
                  <w:shd w:val="clear" w:color="auto" w:fill="auto"/>
                  <w:vAlign w:val="center"/>
                </w:tcPr>
                <w:p w14:paraId="533EF594">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eastAsia="zh-CN"/>
                    </w:rPr>
                    <w:t>无组织</w:t>
                  </w:r>
                </w:p>
              </w:tc>
              <w:tc>
                <w:tcPr>
                  <w:tcW w:w="1200" w:type="pct"/>
                  <w:vAlign w:val="center"/>
                </w:tcPr>
                <w:p w14:paraId="1872BF3E">
                  <w:pPr>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0.054</w:t>
                  </w:r>
                </w:p>
              </w:tc>
            </w:tr>
            <w:tr w14:paraId="1E246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pct"/>
                  <w:shd w:val="clear" w:color="auto" w:fill="auto"/>
                  <w:vAlign w:val="center"/>
                </w:tcPr>
                <w:p w14:paraId="6BCBA2B1">
                  <w:pPr>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846" w:type="pct"/>
                  <w:vAlign w:val="center"/>
                </w:tcPr>
                <w:p w14:paraId="79E7F18F">
                  <w:pPr>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w:t>
                  </w:r>
                </w:p>
              </w:tc>
              <w:tc>
                <w:tcPr>
                  <w:tcW w:w="1698" w:type="pct"/>
                  <w:gridSpan w:val="2"/>
                  <w:vAlign w:val="center"/>
                </w:tcPr>
                <w:p w14:paraId="213007BC">
                  <w:pPr>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固废（边角料）</w:t>
                  </w:r>
                </w:p>
              </w:tc>
              <w:tc>
                <w:tcPr>
                  <w:tcW w:w="1200" w:type="pct"/>
                  <w:vAlign w:val="center"/>
                </w:tcPr>
                <w:p w14:paraId="65012FE4">
                  <w:pPr>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2.05</w:t>
                  </w:r>
                </w:p>
              </w:tc>
            </w:tr>
            <w:tr w14:paraId="0FB9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pct"/>
                  <w:shd w:val="clear" w:color="auto" w:fill="auto"/>
                  <w:vAlign w:val="center"/>
                </w:tcPr>
                <w:p w14:paraId="42797278">
                  <w:pPr>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w:t>
                  </w:r>
                </w:p>
              </w:tc>
              <w:tc>
                <w:tcPr>
                  <w:tcW w:w="846" w:type="pct"/>
                  <w:shd w:val="clear" w:color="auto" w:fill="auto"/>
                  <w:vAlign w:val="center"/>
                </w:tcPr>
                <w:p w14:paraId="608E9DB8">
                  <w:pPr>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w:t>
                  </w:r>
                </w:p>
              </w:tc>
              <w:tc>
                <w:tcPr>
                  <w:tcW w:w="1698" w:type="pct"/>
                  <w:gridSpan w:val="2"/>
                  <w:vAlign w:val="center"/>
                </w:tcPr>
                <w:p w14:paraId="7B2795B8">
                  <w:pPr>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除尘装置收集量</w:t>
                  </w:r>
                </w:p>
              </w:tc>
              <w:tc>
                <w:tcPr>
                  <w:tcW w:w="1200" w:type="pct"/>
                  <w:vAlign w:val="center"/>
                </w:tcPr>
                <w:p w14:paraId="3F89C571">
                  <w:pPr>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2.125</w:t>
                  </w:r>
                </w:p>
              </w:tc>
            </w:tr>
            <w:tr w14:paraId="50DF5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pct"/>
                  <w:shd w:val="clear" w:color="auto" w:fill="auto"/>
                  <w:vAlign w:val="center"/>
                </w:tcPr>
                <w:p w14:paraId="66E2D310">
                  <w:pPr>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w:t>
                  </w:r>
                </w:p>
              </w:tc>
              <w:tc>
                <w:tcPr>
                  <w:tcW w:w="846" w:type="pct"/>
                  <w:shd w:val="clear" w:color="auto" w:fill="auto"/>
                  <w:vAlign w:val="center"/>
                </w:tcPr>
                <w:p w14:paraId="49C81260">
                  <w:pPr>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w:t>
                  </w:r>
                </w:p>
              </w:tc>
              <w:tc>
                <w:tcPr>
                  <w:tcW w:w="1698" w:type="pct"/>
                  <w:gridSpan w:val="2"/>
                  <w:vAlign w:val="center"/>
                </w:tcPr>
                <w:p w14:paraId="293A017D">
                  <w:pPr>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活性炭吸附量</w:t>
                  </w:r>
                </w:p>
              </w:tc>
              <w:tc>
                <w:tcPr>
                  <w:tcW w:w="1200" w:type="pct"/>
                  <w:vAlign w:val="center"/>
                </w:tcPr>
                <w:p w14:paraId="267119B4">
                  <w:pPr>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0.4374</w:t>
                  </w:r>
                </w:p>
              </w:tc>
            </w:tr>
            <w:tr w14:paraId="02FB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pct"/>
                  <w:shd w:val="clear" w:color="auto" w:fill="auto"/>
                  <w:vAlign w:val="center"/>
                </w:tcPr>
                <w:p w14:paraId="347B6315">
                  <w:pPr>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w:t>
                  </w:r>
                </w:p>
              </w:tc>
              <w:tc>
                <w:tcPr>
                  <w:tcW w:w="846" w:type="pct"/>
                  <w:shd w:val="clear" w:color="auto" w:fill="auto"/>
                  <w:vAlign w:val="center"/>
                </w:tcPr>
                <w:p w14:paraId="38BFEB25">
                  <w:pPr>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vertAlign w:val="baseline"/>
                      <w:lang w:val="en-US" w:eastAsia="zh-CN"/>
                    </w:rPr>
                    <w:t>/</w:t>
                  </w:r>
                </w:p>
              </w:tc>
              <w:tc>
                <w:tcPr>
                  <w:tcW w:w="1698" w:type="pct"/>
                  <w:gridSpan w:val="2"/>
                  <w:vAlign w:val="center"/>
                </w:tcPr>
                <w:p w14:paraId="57112DF2">
                  <w:pPr>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其他损耗</w:t>
                  </w:r>
                </w:p>
              </w:tc>
              <w:tc>
                <w:tcPr>
                  <w:tcW w:w="1200" w:type="pct"/>
                  <w:vAlign w:val="center"/>
                </w:tcPr>
                <w:p w14:paraId="6E7F9784">
                  <w:pPr>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0.025</w:t>
                  </w:r>
                </w:p>
              </w:tc>
            </w:tr>
            <w:tr w14:paraId="72D8E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5" w:type="pct"/>
                  <w:shd w:val="clear" w:color="auto" w:fill="auto"/>
                  <w:vAlign w:val="center"/>
                </w:tcPr>
                <w:p w14:paraId="2D6F6680">
                  <w:pPr>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合计</w:t>
                  </w:r>
                </w:p>
              </w:tc>
              <w:tc>
                <w:tcPr>
                  <w:tcW w:w="846" w:type="pct"/>
                  <w:vAlign w:val="center"/>
                </w:tcPr>
                <w:p w14:paraId="0C3C6F60">
                  <w:pPr>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205</w:t>
                  </w:r>
                </w:p>
              </w:tc>
              <w:tc>
                <w:tcPr>
                  <w:tcW w:w="1698" w:type="pct"/>
                  <w:gridSpan w:val="2"/>
                  <w:vAlign w:val="center"/>
                </w:tcPr>
                <w:p w14:paraId="57269746">
                  <w:pPr>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合计</w:t>
                  </w:r>
                </w:p>
              </w:tc>
              <w:tc>
                <w:tcPr>
                  <w:tcW w:w="1200" w:type="pct"/>
                  <w:vAlign w:val="center"/>
                </w:tcPr>
                <w:p w14:paraId="3AF8E8CD">
                  <w:pPr>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205</w:t>
                  </w:r>
                </w:p>
              </w:tc>
            </w:tr>
          </w:tbl>
          <w:p w14:paraId="1212EB71">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建设项目</w:t>
            </w:r>
            <w:r>
              <w:rPr>
                <w:rFonts w:hint="default" w:ascii="Times New Roman" w:hAnsi="Times New Roman" w:cs="Times New Roman"/>
                <w:b/>
                <w:bCs/>
                <w:color w:val="auto"/>
                <w:sz w:val="24"/>
                <w:szCs w:val="24"/>
              </w:rPr>
              <w:t>劳动定员及工作制度</w:t>
            </w:r>
          </w:p>
          <w:p w14:paraId="4B934E3A">
            <w:pPr>
              <w:spacing w:line="360" w:lineRule="auto"/>
              <w:ind w:firstLine="480" w:firstLineChars="200"/>
              <w:rPr>
                <w:rFonts w:hint="default" w:ascii="Times New Roman" w:hAnsi="Times New Roman" w:cs="Times New Roman" w:eastAsiaTheme="minorEastAsia"/>
                <w:color w:val="auto"/>
                <w:sz w:val="24"/>
                <w:lang w:val="en-US" w:eastAsia="zh-CN"/>
              </w:rPr>
            </w:pPr>
            <w:r>
              <w:rPr>
                <w:rFonts w:hint="default" w:ascii="Times New Roman" w:hAnsi="Times New Roman" w:cs="Times New Roman"/>
                <w:color w:val="auto"/>
                <w:sz w:val="24"/>
              </w:rPr>
              <w:t>本项目</w:t>
            </w:r>
            <w:r>
              <w:rPr>
                <w:rFonts w:hint="default" w:ascii="Times New Roman" w:hAnsi="Times New Roman" w:cs="Times New Roman"/>
                <w:color w:val="auto"/>
                <w:sz w:val="24"/>
                <w:lang w:eastAsia="zh-CN"/>
              </w:rPr>
              <w:t>劳动定员</w:t>
            </w:r>
            <w:r>
              <w:rPr>
                <w:rFonts w:hint="eastAsia" w:ascii="Times New Roman" w:hAnsi="Times New Roman" w:cs="Times New Roman"/>
                <w:color w:val="auto"/>
                <w:sz w:val="24"/>
                <w:lang w:val="en-US" w:eastAsia="zh-CN"/>
              </w:rPr>
              <w:t>30</w:t>
            </w:r>
            <w:r>
              <w:rPr>
                <w:rFonts w:hint="default" w:ascii="Times New Roman" w:hAnsi="Times New Roman" w:cs="Times New Roman"/>
                <w:color w:val="auto"/>
                <w:sz w:val="24"/>
              </w:rPr>
              <w:t>人，</w:t>
            </w:r>
            <w:r>
              <w:rPr>
                <w:rFonts w:hint="eastAsia" w:ascii="Times New Roman" w:hAnsi="Times New Roman" w:cs="Times New Roman"/>
                <w:color w:val="auto"/>
                <w:sz w:val="24"/>
                <w:lang w:val="en-US" w:eastAsia="zh-CN"/>
              </w:rPr>
              <w:t>职工均为附近居民，本项目</w:t>
            </w:r>
            <w:r>
              <w:rPr>
                <w:rFonts w:hint="default" w:ascii="Times New Roman" w:hAnsi="Times New Roman" w:cs="Times New Roman"/>
                <w:color w:val="auto"/>
                <w:sz w:val="24"/>
                <w:lang w:eastAsia="zh-CN"/>
              </w:rPr>
              <w:t>不</w:t>
            </w:r>
            <w:r>
              <w:rPr>
                <w:rFonts w:hint="default" w:ascii="Times New Roman" w:hAnsi="Times New Roman" w:cs="Times New Roman"/>
                <w:color w:val="auto"/>
                <w:sz w:val="24"/>
              </w:rPr>
              <w:t>提供职工食堂</w:t>
            </w:r>
            <w:r>
              <w:rPr>
                <w:rFonts w:hint="default" w:ascii="Times New Roman" w:hAnsi="Times New Roman" w:cs="Times New Roman"/>
                <w:color w:val="auto"/>
                <w:sz w:val="24"/>
                <w:lang w:eastAsia="zh-CN"/>
              </w:rPr>
              <w:t>及</w:t>
            </w:r>
            <w:r>
              <w:rPr>
                <w:rFonts w:hint="default" w:ascii="Times New Roman" w:hAnsi="Times New Roman" w:cs="Times New Roman"/>
                <w:color w:val="auto"/>
                <w:sz w:val="24"/>
              </w:rPr>
              <w:t>职工宿舍。本项目工作制度为年工作日</w:t>
            </w:r>
            <w:r>
              <w:rPr>
                <w:rFonts w:hint="eastAsia" w:ascii="Times New Roman" w:hAnsi="Times New Roman" w:cs="Times New Roman"/>
                <w:color w:val="auto"/>
                <w:sz w:val="24"/>
                <w:lang w:val="en-US" w:eastAsia="zh-CN"/>
              </w:rPr>
              <w:t>300</w:t>
            </w:r>
            <w:r>
              <w:rPr>
                <w:rFonts w:hint="default" w:ascii="Times New Roman" w:hAnsi="Times New Roman" w:cs="Times New Roman"/>
                <w:color w:val="auto"/>
                <w:sz w:val="24"/>
              </w:rPr>
              <w:t>天，</w:t>
            </w:r>
            <w:r>
              <w:rPr>
                <w:rFonts w:hint="default" w:ascii="Times New Roman" w:hAnsi="Times New Roman" w:cs="Times New Roman"/>
                <w:color w:val="auto"/>
                <w:sz w:val="24"/>
                <w:lang w:val="en-US" w:eastAsia="zh-CN"/>
              </w:rPr>
              <w:t>工作时间为8小时</w:t>
            </w:r>
            <w:r>
              <w:rPr>
                <w:rFonts w:hint="eastAsia" w:ascii="Times New Roman" w:hAnsi="Times New Roman" w:cs="Times New Roman"/>
                <w:color w:val="auto"/>
                <w:sz w:val="24"/>
                <w:lang w:val="en-US" w:eastAsia="zh-CN"/>
              </w:rPr>
              <w:t>昼夜</w:t>
            </w:r>
            <w:r>
              <w:rPr>
                <w:rFonts w:hint="default" w:ascii="Times New Roman" w:hAnsi="Times New Roman" w:cs="Times New Roman"/>
                <w:color w:val="auto"/>
                <w:sz w:val="24"/>
                <w:lang w:val="en-US" w:eastAsia="zh-CN"/>
              </w:rPr>
              <w:t>两班倒。</w:t>
            </w:r>
          </w:p>
          <w:p w14:paraId="40A534E1">
            <w:pPr>
              <w:spacing w:line="360" w:lineRule="auto"/>
              <w:ind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6</w:t>
            </w: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建设项目厂区</w:t>
            </w:r>
            <w:r>
              <w:rPr>
                <w:rFonts w:hint="default" w:ascii="Times New Roman" w:hAnsi="Times New Roman" w:cs="Times New Roman"/>
                <w:b/>
                <w:bCs/>
                <w:color w:val="auto"/>
                <w:sz w:val="24"/>
                <w:szCs w:val="24"/>
              </w:rPr>
              <w:t>平面布置</w:t>
            </w:r>
          </w:p>
          <w:p w14:paraId="7AF2FF4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rPr>
              <w:t>总平面布置的指导原则是合理布局，节约用地，适当预留发展余地。厂区布置工艺物料流向顺畅，道路、管网连接顺畅。建筑物布局按建筑设计防火规范进行，满足生产、交通、防火的各种要求</w:t>
            </w:r>
            <w:r>
              <w:rPr>
                <w:rFonts w:hint="default" w:ascii="Times New Roman" w:hAnsi="Times New Roman" w:cs="Times New Roman"/>
                <w:color w:val="auto"/>
                <w:sz w:val="24"/>
                <w:szCs w:val="24"/>
                <w:lang w:eastAsia="zh-CN"/>
              </w:rPr>
              <w:t>。</w:t>
            </w:r>
          </w:p>
          <w:p w14:paraId="61EAEB5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color w:val="auto"/>
                <w:sz w:val="24"/>
                <w:szCs w:val="24"/>
                <w:highlight w:val="none"/>
              </w:rPr>
              <w:t>建设项目</w:t>
            </w:r>
            <w:r>
              <w:rPr>
                <w:rFonts w:hint="default" w:ascii="Times New Roman" w:hAnsi="Times New Roman" w:cs="Times New Roman"/>
                <w:b w:val="0"/>
                <w:bCs w:val="0"/>
                <w:color w:val="auto"/>
                <w:sz w:val="24"/>
                <w:szCs w:val="24"/>
                <w:highlight w:val="none"/>
                <w:lang w:val="en-US" w:eastAsia="zh-CN"/>
              </w:rPr>
              <w:t>厂区总平面布置图</w:t>
            </w:r>
            <w:r>
              <w:rPr>
                <w:rFonts w:hint="default" w:ascii="Times New Roman" w:hAnsi="Times New Roman" w:cs="Times New Roman"/>
                <w:color w:val="auto"/>
                <w:sz w:val="24"/>
                <w:szCs w:val="24"/>
                <w:highlight w:val="none"/>
              </w:rPr>
              <w:t>见附</w:t>
            </w:r>
            <w:r>
              <w:rPr>
                <w:rFonts w:hint="default" w:ascii="Times New Roman" w:hAnsi="Times New Roman" w:cs="Times New Roman"/>
                <w:b w:val="0"/>
                <w:bCs w:val="0"/>
                <w:color w:val="auto"/>
                <w:sz w:val="24"/>
                <w:szCs w:val="24"/>
                <w:highlight w:val="none"/>
              </w:rPr>
              <w:t>图</w:t>
            </w:r>
            <w:r>
              <w:rPr>
                <w:rFonts w:hint="eastAsia" w:ascii="Times New Roman" w:hAnsi="Times New Roman" w:cs="Times New Roman"/>
                <w:b w:val="0"/>
                <w:bCs w:val="0"/>
                <w:color w:val="auto"/>
                <w:sz w:val="24"/>
                <w:szCs w:val="24"/>
                <w:highlight w:val="none"/>
                <w:lang w:val="en-US" w:eastAsia="zh-CN"/>
              </w:rPr>
              <w:t>14</w:t>
            </w:r>
            <w:r>
              <w:rPr>
                <w:rFonts w:hint="default" w:ascii="Times New Roman" w:hAnsi="Times New Roman" w:cs="Times New Roman"/>
                <w:b w:val="0"/>
                <w:bCs w:val="0"/>
                <w:color w:val="auto"/>
                <w:sz w:val="24"/>
                <w:szCs w:val="24"/>
                <w:highlight w:val="none"/>
                <w:lang w:val="en-US" w:eastAsia="zh-CN"/>
              </w:rPr>
              <w:t>，建设项目废气收集管线布置示意图见附图</w:t>
            </w:r>
            <w:r>
              <w:rPr>
                <w:rFonts w:hint="eastAsia" w:ascii="Times New Roman" w:hAnsi="Times New Roman" w:cs="Times New Roman"/>
                <w:b w:val="0"/>
                <w:bCs w:val="0"/>
                <w:color w:val="auto"/>
                <w:sz w:val="24"/>
                <w:szCs w:val="24"/>
                <w:highlight w:val="none"/>
                <w:lang w:val="en-US" w:eastAsia="zh-CN"/>
              </w:rPr>
              <w:t>15，本项目所在园区污水管网图见附图16。</w:t>
            </w:r>
          </w:p>
        </w:tc>
      </w:tr>
      <w:tr w14:paraId="3C3ED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94" w:hRule="atLeast"/>
          <w:jc w:val="center"/>
        </w:trPr>
        <w:tc>
          <w:tcPr>
            <w:tcW w:w="713" w:type="dxa"/>
            <w:vAlign w:val="center"/>
          </w:tcPr>
          <w:p w14:paraId="0420564B">
            <w:pPr>
              <w:jc w:val="center"/>
              <w:rPr>
                <w:rFonts w:hint="default" w:ascii="Times New Roman" w:hAnsi="Times New Roman" w:cs="Times New Roman"/>
                <w:color w:val="auto"/>
                <w:szCs w:val="21"/>
              </w:rPr>
            </w:pPr>
            <w:r>
              <w:rPr>
                <w:rFonts w:hint="default" w:ascii="Times New Roman" w:hAnsi="Times New Roman" w:cs="Times New Roman"/>
                <w:color w:val="auto"/>
                <w:szCs w:val="21"/>
              </w:rPr>
              <w:t>工艺流程和产污环节</w:t>
            </w:r>
          </w:p>
        </w:tc>
        <w:tc>
          <w:tcPr>
            <w:tcW w:w="9577" w:type="dxa"/>
            <w:vAlign w:val="center"/>
          </w:tcPr>
          <w:p w14:paraId="7EDAA5D4">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1、工艺流程和产排污环节</w:t>
            </w:r>
          </w:p>
          <w:p w14:paraId="0F0549E2">
            <w:pPr>
              <w:pStyle w:val="54"/>
              <w:spacing w:line="360" w:lineRule="auto"/>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本项目运营期产品为</w:t>
            </w:r>
            <w:r>
              <w:rPr>
                <w:rFonts w:hint="eastAsia" w:ascii="Times New Roman" w:hAnsi="Times New Roman" w:eastAsia="宋体" w:cs="Times New Roman"/>
                <w:color w:val="auto"/>
                <w:szCs w:val="24"/>
                <w:lang w:val="en-US" w:eastAsia="zh-CN"/>
              </w:rPr>
              <w:t>密胺餐具</w:t>
            </w:r>
            <w:r>
              <w:rPr>
                <w:rFonts w:hint="default" w:ascii="Times New Roman" w:hAnsi="Times New Roman" w:eastAsia="宋体" w:cs="Times New Roman"/>
                <w:color w:val="auto"/>
                <w:szCs w:val="24"/>
                <w:lang w:val="en-US" w:eastAsia="zh-CN"/>
              </w:rPr>
              <w:t>。</w:t>
            </w:r>
            <w:r>
              <w:rPr>
                <w:rFonts w:hint="eastAsia" w:ascii="Times New Roman" w:hAnsi="Times New Roman" w:eastAsia="宋体" w:cs="Times New Roman"/>
                <w:color w:val="auto"/>
                <w:szCs w:val="24"/>
                <w:lang w:val="en-US" w:eastAsia="zh-CN"/>
              </w:rPr>
              <w:t>密胺餐具</w:t>
            </w:r>
            <w:r>
              <w:rPr>
                <w:rFonts w:hint="default" w:ascii="Times New Roman" w:hAnsi="Times New Roman" w:eastAsia="宋体" w:cs="Times New Roman"/>
                <w:color w:val="auto"/>
                <w:szCs w:val="24"/>
                <w:lang w:eastAsia="zh-CN"/>
              </w:rPr>
              <w:t>生产工艺流程及产污节点见图</w:t>
            </w:r>
            <w:r>
              <w:rPr>
                <w:rFonts w:hint="default" w:ascii="Times New Roman" w:hAnsi="Times New Roman" w:eastAsia="宋体" w:cs="Times New Roman"/>
                <w:color w:val="auto"/>
                <w:szCs w:val="24"/>
                <w:lang w:val="en-US" w:eastAsia="zh-CN"/>
              </w:rPr>
              <w:t>2.1。</w:t>
            </w:r>
          </w:p>
          <w:p w14:paraId="603DD5A2">
            <w:pPr>
              <w:pStyle w:val="54"/>
              <w:spacing w:line="360" w:lineRule="auto"/>
              <w:ind w:left="0" w:leftChars="0" w:firstLine="0" w:firstLineChars="0"/>
              <w:jc w:val="center"/>
              <w:rPr>
                <w:rFonts w:hint="default" w:ascii="Times New Roman" w:hAnsi="Times New Roman" w:eastAsia="仿宋_GB2312" w:cs="Times New Roman"/>
                <w:color w:val="auto"/>
                <w:lang w:eastAsia="zh-CN"/>
              </w:rPr>
            </w:pPr>
            <w:r>
              <w:rPr>
                <w:rFonts w:hint="default" w:ascii="Times New Roman" w:hAnsi="Times New Roman" w:eastAsia="仿宋_GB2312" w:cs="Times New Roman"/>
                <w:color w:val="auto"/>
                <w:lang w:eastAsia="zh-CN"/>
              </w:rPr>
              <w:object>
                <v:shape id="_x0000_i1025" o:spt="75" type="#_x0000_t75" style="height:453.75pt;width:201.75pt;" o:ole="t" filled="f" o:preferrelative="t" stroked="f" coordsize="21600,21600">
                  <v:path/>
                  <v:fill on="f" focussize="0,0"/>
                  <v:stroke on="f"/>
                  <v:imagedata r:id="rId9" o:title=""/>
                  <o:lock v:ext="edit" aspectratio="f"/>
                  <w10:wrap type="none"/>
                  <w10:anchorlock/>
                </v:shape>
                <o:OLEObject Type="Embed" ProgID="Visio.Drawing.15" ShapeID="_x0000_i1025" DrawAspect="Content" ObjectID="_1468075725" r:id="rId8">
                  <o:LockedField>false</o:LockedField>
                </o:OLEObject>
              </w:object>
            </w:r>
          </w:p>
          <w:p w14:paraId="72E5143E">
            <w:pPr>
              <w:pStyle w:val="54"/>
              <w:spacing w:line="240" w:lineRule="auto"/>
              <w:ind w:left="0" w:leftChars="0"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图2.1  密胺餐具生产工艺流程及产污节点</w:t>
            </w:r>
          </w:p>
          <w:p w14:paraId="206DFE2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密胺餐具</w:t>
            </w:r>
            <w:r>
              <w:rPr>
                <w:rFonts w:hint="default" w:ascii="Times New Roman" w:hAnsi="Times New Roman" w:cs="Times New Roman"/>
                <w:b/>
                <w:bCs/>
                <w:color w:val="auto"/>
                <w:sz w:val="24"/>
                <w:szCs w:val="24"/>
                <w:lang w:val="en-US" w:eastAsia="zh-CN"/>
              </w:rPr>
              <w:t>生产工艺流程简述：</w:t>
            </w:r>
          </w:p>
          <w:p w14:paraId="1A90682F">
            <w:pPr>
              <w:autoSpaceDE w:val="0"/>
              <w:autoSpaceDN w:val="0"/>
              <w:adjustRightInd w:val="0"/>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拆包</w:t>
            </w:r>
          </w:p>
          <w:p w14:paraId="7C0CA855">
            <w:pPr>
              <w:widowControl/>
              <w:spacing w:line="360" w:lineRule="auto"/>
              <w:ind w:firstLine="480" w:firstLineChars="200"/>
              <w:jc w:val="left"/>
              <w:rPr>
                <w:rFonts w:hint="default"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对外购密胺粉、罩光粉进行拆包。</w:t>
            </w:r>
          </w:p>
          <w:p w14:paraId="616BA451">
            <w:pPr>
              <w:widowControl/>
              <w:spacing w:line="360" w:lineRule="auto"/>
              <w:ind w:firstLine="480" w:firstLineChars="200"/>
              <w:jc w:val="left"/>
              <w:rPr>
                <w:rFonts w:hint="default" w:ascii="Times New Roman" w:hAnsi="Times New Roman" w:cs="Times New Roman"/>
                <w:sz w:val="24"/>
                <w:highlight w:val="none"/>
              </w:rPr>
            </w:pPr>
            <w:r>
              <w:rPr>
                <w:rFonts w:hint="eastAsia" w:ascii="Times New Roman" w:hAnsi="Times New Roman" w:cs="Times New Roman"/>
                <w:sz w:val="24"/>
                <w:lang w:val="en-US" w:eastAsia="zh-CN"/>
              </w:rPr>
              <w:t>产污环节：此</w:t>
            </w:r>
            <w:r>
              <w:rPr>
                <w:rFonts w:hint="default" w:ascii="Times New Roman" w:hAnsi="Times New Roman" w:cs="Times New Roman"/>
                <w:sz w:val="24"/>
              </w:rPr>
              <w:t>工序会</w:t>
            </w:r>
            <w:r>
              <w:rPr>
                <w:rFonts w:hint="default" w:ascii="Times New Roman" w:hAnsi="Times New Roman" w:cs="Times New Roman"/>
                <w:sz w:val="24"/>
                <w:highlight w:val="none"/>
              </w:rPr>
              <w:t>产生</w:t>
            </w:r>
            <w:r>
              <w:rPr>
                <w:rFonts w:hint="eastAsia" w:ascii="Times New Roman" w:hAnsi="Times New Roman" w:cs="Times New Roman"/>
                <w:sz w:val="24"/>
                <w:highlight w:val="none"/>
                <w:lang w:eastAsia="zh-CN"/>
              </w:rPr>
              <w:t>废包装物</w:t>
            </w:r>
            <w:r>
              <w:rPr>
                <w:rFonts w:hint="default" w:ascii="Times New Roman" w:hAnsi="Times New Roman" w:cs="Times New Roman"/>
                <w:sz w:val="24"/>
                <w:highlight w:val="none"/>
              </w:rPr>
              <w:t>（</w:t>
            </w:r>
            <w:r>
              <w:rPr>
                <w:rFonts w:hint="default" w:ascii="Times New Roman" w:hAnsi="Times New Roman" w:cs="Times New Roman"/>
                <w:sz w:val="24"/>
                <w:highlight w:val="none"/>
                <w:lang w:val="en-US" w:eastAsia="zh-CN"/>
              </w:rPr>
              <w:t>S</w:t>
            </w:r>
            <w:r>
              <w:rPr>
                <w:rFonts w:hint="default" w:ascii="Times New Roman" w:hAnsi="Times New Roman" w:cs="Times New Roman"/>
                <w:sz w:val="24"/>
                <w:highlight w:val="none"/>
                <w:vertAlign w:val="subscript"/>
              </w:rPr>
              <w:t>1</w:t>
            </w:r>
            <w:r>
              <w:rPr>
                <w:rFonts w:hint="default" w:ascii="Times New Roman" w:hAnsi="Times New Roman" w:cs="Times New Roman"/>
                <w:sz w:val="24"/>
                <w:highlight w:val="none"/>
              </w:rPr>
              <w:t>）。</w:t>
            </w:r>
          </w:p>
          <w:p w14:paraId="65E07D7E">
            <w:pPr>
              <w:autoSpaceDE w:val="0"/>
              <w:autoSpaceDN w:val="0"/>
              <w:adjustRightIn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称重</w:t>
            </w:r>
          </w:p>
          <w:p w14:paraId="5F50994E">
            <w:pPr>
              <w:autoSpaceDE w:val="0"/>
              <w:autoSpaceDN w:val="0"/>
              <w:adjustRightInd w:val="0"/>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根据产品规格，使用胶杯装一定原料，放磅秤上称好一次成型所需的原料，单个产品每次称取约100g，称量过程使用原料较少，无粉尘产生。</w:t>
            </w:r>
          </w:p>
          <w:p w14:paraId="2A4D2ACC">
            <w:pPr>
              <w:autoSpaceDE w:val="0"/>
              <w:autoSpaceDN w:val="0"/>
              <w:adjustRightIn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（3）烤料</w:t>
            </w:r>
          </w:p>
          <w:p w14:paraId="43D425A5">
            <w:pPr>
              <w:autoSpaceDE w:val="0"/>
              <w:autoSpaceDN w:val="0"/>
              <w:adjustRightInd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将已经称好装原料的胶杯放到高周波的烘料平板上，烘料温度约为150-160℃，烘料时间约为5min，将粉状原料烘至熔融状态。烤料过程产生有机废气，有机废气经集气罩收集后经两级活性炭吸附箱处理，处理后经15m高排气筒排放（DA001）。</w:t>
            </w:r>
          </w:p>
          <w:p w14:paraId="2C770464">
            <w:pPr>
              <w:autoSpaceDE w:val="0"/>
              <w:autoSpaceDN w:val="0"/>
              <w:adjustRightInd w:val="0"/>
              <w:spacing w:line="360" w:lineRule="auto"/>
              <w:ind w:firstLine="480" w:firstLineChars="200"/>
              <w:rPr>
                <w:rFonts w:hint="default" w:ascii="Times New Roman" w:hAnsi="Times New Roman" w:cs="Times New Roman"/>
                <w:color w:val="auto"/>
                <w:sz w:val="24"/>
                <w:szCs w:val="24"/>
                <w:lang w:eastAsia="zh-CN"/>
              </w:rPr>
            </w:pPr>
            <w:r>
              <w:rPr>
                <w:rFonts w:hint="eastAsia" w:ascii="Times New Roman" w:hAnsi="Times New Roman" w:cs="Times New Roman"/>
                <w:sz w:val="24"/>
                <w:lang w:val="en-US" w:eastAsia="zh-CN"/>
              </w:rPr>
              <w:t>产污环节：</w:t>
            </w:r>
            <w:r>
              <w:rPr>
                <w:rFonts w:hint="default" w:ascii="Times New Roman" w:hAnsi="Times New Roman" w:cs="Times New Roman"/>
                <w:color w:val="auto"/>
                <w:sz w:val="24"/>
                <w:szCs w:val="24"/>
                <w:lang w:eastAsia="zh-CN"/>
              </w:rPr>
              <w:t>此工序产生</w:t>
            </w:r>
            <w:r>
              <w:rPr>
                <w:rFonts w:hint="default" w:ascii="Times New Roman" w:hAnsi="Times New Roman" w:cs="Times New Roman"/>
                <w:sz w:val="24"/>
              </w:rPr>
              <w:t>噪声（N</w:t>
            </w:r>
            <w:r>
              <w:rPr>
                <w:rFonts w:hint="eastAsia" w:ascii="Times New Roman" w:hAnsi="Times New Roman" w:cs="Times New Roman"/>
                <w:sz w:val="24"/>
                <w:vertAlign w:val="subscript"/>
                <w:lang w:val="en-US" w:eastAsia="zh-CN"/>
              </w:rPr>
              <w:t>1</w:t>
            </w:r>
            <w:r>
              <w:rPr>
                <w:rFonts w:hint="default" w:ascii="Times New Roman" w:hAnsi="Times New Roman" w:cs="Times New Roman"/>
                <w:sz w:val="24"/>
              </w:rPr>
              <w:t>）</w:t>
            </w:r>
            <w:r>
              <w:rPr>
                <w:rFonts w:hint="default" w:ascii="Times New Roman" w:hAnsi="Times New Roman" w:cs="Times New Roman"/>
                <w:sz w:val="24"/>
                <w:lang w:eastAsia="zh-CN"/>
              </w:rPr>
              <w:t>、</w:t>
            </w:r>
            <w:r>
              <w:rPr>
                <w:rFonts w:hint="eastAsia" w:ascii="Times New Roman" w:hAnsi="Times New Roman" w:cs="Times New Roman"/>
                <w:color w:val="auto"/>
                <w:sz w:val="24"/>
                <w:szCs w:val="24"/>
                <w:lang w:val="en-US" w:eastAsia="zh-CN"/>
              </w:rPr>
              <w:t>有机废气</w:t>
            </w:r>
            <w:r>
              <w:rPr>
                <w:rFonts w:hint="default" w:ascii="Times New Roman" w:hAnsi="Times New Roman" w:cs="Times New Roman"/>
                <w:color w:val="auto"/>
                <w:sz w:val="24"/>
                <w:szCs w:val="24"/>
                <w:lang w:val="en-US" w:eastAsia="zh-CN"/>
              </w:rPr>
              <w:t>（G</w:t>
            </w:r>
            <w:r>
              <w:rPr>
                <w:rFonts w:hint="eastAsia" w:ascii="Times New Roman" w:hAnsi="Times New Roman" w:cs="Times New Roman"/>
                <w:color w:val="auto"/>
                <w:sz w:val="24"/>
                <w:szCs w:val="24"/>
                <w:vertAlign w:val="subscript"/>
                <w:lang w:val="en-US" w:eastAsia="zh-CN"/>
              </w:rPr>
              <w:t>1</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、废活性炭</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S</w:t>
            </w:r>
            <w:r>
              <w:rPr>
                <w:rFonts w:hint="eastAsia"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w:t>
            </w:r>
          </w:p>
          <w:p w14:paraId="2FAEFA4A">
            <w:pPr>
              <w:autoSpaceDE w:val="0"/>
              <w:autoSpaceDN w:val="0"/>
              <w:adjustRightInd w:val="0"/>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吹灰</w:t>
            </w:r>
          </w:p>
          <w:p w14:paraId="7AE7CAEB">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为保证产品质量及保持现场整洁，用毛刷将机器烘料平板清理干净，使用风枪清理热压成型机中模具内的杂质，</w:t>
            </w:r>
            <w:r>
              <w:rPr>
                <w:rFonts w:hint="eastAsia" w:ascii="Times New Roman" w:hAnsi="Times New Roman" w:cs="Times New Roman"/>
                <w:color w:val="auto"/>
                <w:sz w:val="24"/>
                <w:szCs w:val="24"/>
                <w:highlight w:val="none"/>
                <w:lang w:val="en-US" w:eastAsia="zh-CN"/>
              </w:rPr>
              <w:t>吹灰过程产生颗粒物，颗粒物经集气罩收集后经袋式除尘器处理，处理后经15m高排气筒排放（DA001）。</w:t>
            </w:r>
          </w:p>
          <w:p w14:paraId="41D73053">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sz w:val="24"/>
                <w:lang w:val="en-US" w:eastAsia="zh-CN"/>
              </w:rPr>
              <w:t>产污环节：</w:t>
            </w:r>
            <w:r>
              <w:rPr>
                <w:rFonts w:hint="default" w:ascii="Times New Roman" w:hAnsi="Times New Roman" w:cs="Times New Roman"/>
                <w:color w:val="auto"/>
                <w:sz w:val="24"/>
                <w:szCs w:val="24"/>
                <w:lang w:eastAsia="zh-CN"/>
              </w:rPr>
              <w:t>此工序产生</w:t>
            </w:r>
            <w:r>
              <w:rPr>
                <w:rFonts w:hint="default" w:ascii="Times New Roman" w:hAnsi="Times New Roman" w:cs="Times New Roman"/>
                <w:sz w:val="24"/>
              </w:rPr>
              <w:t>噪声（N</w:t>
            </w:r>
            <w:r>
              <w:rPr>
                <w:rFonts w:hint="eastAsia" w:ascii="Times New Roman" w:hAnsi="Times New Roman" w:cs="Times New Roman"/>
                <w:sz w:val="24"/>
                <w:vertAlign w:val="subscript"/>
                <w:lang w:val="en-US" w:eastAsia="zh-CN"/>
              </w:rPr>
              <w:t>2</w:t>
            </w:r>
            <w:r>
              <w:rPr>
                <w:rFonts w:hint="default" w:ascii="Times New Roman" w:hAnsi="Times New Roman" w:cs="Times New Roman"/>
                <w:sz w:val="24"/>
              </w:rPr>
              <w:t>）</w:t>
            </w:r>
            <w:r>
              <w:rPr>
                <w:rFonts w:hint="default" w:ascii="Times New Roman" w:hAnsi="Times New Roman" w:cs="Times New Roman"/>
                <w:sz w:val="24"/>
                <w:lang w:eastAsia="zh-CN"/>
              </w:rPr>
              <w:t>、</w:t>
            </w:r>
            <w:r>
              <w:rPr>
                <w:rFonts w:hint="eastAsia" w:ascii="Times New Roman" w:hAnsi="Times New Roman" w:cs="Times New Roman"/>
                <w:color w:val="auto"/>
                <w:sz w:val="24"/>
                <w:szCs w:val="24"/>
                <w:lang w:val="en-US" w:eastAsia="zh-CN"/>
              </w:rPr>
              <w:t>颗粒物</w:t>
            </w:r>
            <w:r>
              <w:rPr>
                <w:rFonts w:hint="default" w:ascii="Times New Roman" w:hAnsi="Times New Roman" w:cs="Times New Roman"/>
                <w:color w:val="auto"/>
                <w:sz w:val="24"/>
                <w:szCs w:val="24"/>
                <w:lang w:val="en-US" w:eastAsia="zh-CN"/>
              </w:rPr>
              <w:t>（G</w:t>
            </w:r>
            <w:r>
              <w:rPr>
                <w:rFonts w:hint="eastAsia"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、除尘器收集的粉尘</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S</w:t>
            </w:r>
            <w:r>
              <w:rPr>
                <w:rFonts w:hint="eastAsia"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w:t>
            </w:r>
          </w:p>
          <w:p w14:paraId="3BAC3247">
            <w:pPr>
              <w:autoSpaceDE w:val="0"/>
              <w:autoSpaceDN w:val="0"/>
              <w:adjustRightInd w:val="0"/>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热压成型</w:t>
            </w:r>
          </w:p>
          <w:p w14:paraId="4EFEF292">
            <w:pPr>
              <w:autoSpaceDE w:val="0"/>
              <w:autoSpaceDN w:val="0"/>
              <w:adjustRightInd w:val="0"/>
              <w:spacing w:line="360" w:lineRule="auto"/>
              <w:ind w:firstLine="480" w:firstLineChars="200"/>
              <w:rPr>
                <w:rFonts w:hint="default" w:ascii="Times New Roman" w:hAnsi="Times New Roman" w:cs="Times New Roman"/>
                <w:color w:val="auto"/>
                <w:sz w:val="24"/>
                <w:szCs w:val="24"/>
                <w:lang w:val="en-US"/>
              </w:rPr>
            </w:pPr>
            <w:r>
              <w:rPr>
                <w:rFonts w:hint="eastAsia" w:ascii="Times New Roman" w:hAnsi="Times New Roman" w:cs="Times New Roman"/>
                <w:color w:val="auto"/>
                <w:sz w:val="24"/>
                <w:szCs w:val="24"/>
                <w:highlight w:val="none"/>
                <w:lang w:val="en-US" w:eastAsia="zh-CN"/>
              </w:rPr>
              <w:t>将烤料后的熔融原料倒入成型机模具内，</w:t>
            </w:r>
            <w:r>
              <w:rPr>
                <w:rFonts w:hint="eastAsia" w:ascii="Times New Roman" w:hAnsi="Times New Roman" w:cs="Times New Roman"/>
                <w:color w:val="auto"/>
                <w:sz w:val="24"/>
                <w:szCs w:val="24"/>
                <w:lang w:val="en-US" w:eastAsia="zh-CN"/>
              </w:rPr>
              <w:t>热压成型无需加热，单个产品热压时间约为5min，热压成型过程熔融的原料</w:t>
            </w:r>
            <w:r>
              <w:rPr>
                <w:rFonts w:hint="eastAsia" w:ascii="Times New Roman" w:hAnsi="Times New Roman" w:cs="Times New Roman"/>
                <w:color w:val="auto"/>
                <w:sz w:val="24"/>
                <w:szCs w:val="24"/>
                <w:highlight w:val="none"/>
                <w:lang w:val="en-US" w:eastAsia="zh-CN"/>
              </w:rPr>
              <w:t>产生有机废气，有机废气经集气罩收集后经两级活性炭吸附箱处理，处理后经15m高排气筒排放（DA001）。</w:t>
            </w:r>
          </w:p>
          <w:p w14:paraId="142D2FA7">
            <w:pPr>
              <w:autoSpaceDE w:val="0"/>
              <w:autoSpaceDN w:val="0"/>
              <w:adjustRightInd w:val="0"/>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cs="Times New Roman"/>
                <w:sz w:val="24"/>
                <w:lang w:val="en-US" w:eastAsia="zh-CN"/>
              </w:rPr>
              <w:t>产污环节：</w:t>
            </w:r>
            <w:r>
              <w:rPr>
                <w:rFonts w:hint="default" w:ascii="Times New Roman" w:hAnsi="Times New Roman" w:cs="Times New Roman"/>
                <w:color w:val="auto"/>
                <w:sz w:val="24"/>
                <w:szCs w:val="24"/>
                <w:lang w:eastAsia="zh-CN"/>
              </w:rPr>
              <w:t>此工序产生</w:t>
            </w:r>
            <w:r>
              <w:rPr>
                <w:rFonts w:hint="default" w:ascii="Times New Roman" w:hAnsi="Times New Roman" w:cs="Times New Roman"/>
                <w:sz w:val="24"/>
              </w:rPr>
              <w:t>噪声（N</w:t>
            </w:r>
            <w:r>
              <w:rPr>
                <w:rFonts w:hint="eastAsia" w:ascii="Times New Roman" w:hAnsi="Times New Roman" w:cs="Times New Roman"/>
                <w:sz w:val="24"/>
                <w:vertAlign w:val="subscript"/>
                <w:lang w:val="en-US" w:eastAsia="zh-CN"/>
              </w:rPr>
              <w:t>3</w:t>
            </w:r>
            <w:r>
              <w:rPr>
                <w:rFonts w:hint="default" w:ascii="Times New Roman" w:hAnsi="Times New Roman" w:cs="Times New Roman"/>
                <w:sz w:val="24"/>
              </w:rPr>
              <w:t>）</w:t>
            </w:r>
            <w:r>
              <w:rPr>
                <w:rFonts w:hint="default" w:ascii="Times New Roman" w:hAnsi="Times New Roman" w:cs="Times New Roman"/>
                <w:sz w:val="24"/>
                <w:lang w:eastAsia="zh-CN"/>
              </w:rPr>
              <w:t>、</w:t>
            </w:r>
            <w:r>
              <w:rPr>
                <w:rFonts w:hint="eastAsia" w:ascii="Times New Roman" w:hAnsi="Times New Roman" w:cs="Times New Roman"/>
                <w:color w:val="auto"/>
                <w:sz w:val="24"/>
                <w:szCs w:val="24"/>
                <w:lang w:val="en-US" w:eastAsia="zh-CN"/>
              </w:rPr>
              <w:t>有机废气</w:t>
            </w:r>
            <w:r>
              <w:rPr>
                <w:rFonts w:hint="default" w:ascii="Times New Roman" w:hAnsi="Times New Roman" w:cs="Times New Roman"/>
                <w:color w:val="auto"/>
                <w:sz w:val="24"/>
                <w:szCs w:val="24"/>
                <w:lang w:val="en-US" w:eastAsia="zh-CN"/>
              </w:rPr>
              <w:t>（G</w:t>
            </w:r>
            <w:r>
              <w:rPr>
                <w:rFonts w:hint="eastAsia" w:ascii="Times New Roman" w:hAnsi="Times New Roman" w:cs="Times New Roman"/>
                <w:color w:val="auto"/>
                <w:sz w:val="24"/>
                <w:szCs w:val="24"/>
                <w:vertAlign w:val="subscript"/>
                <w:lang w:val="en-US" w:eastAsia="zh-CN"/>
              </w:rPr>
              <w:t>1</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、废活性炭</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S</w:t>
            </w:r>
            <w:r>
              <w:rPr>
                <w:rFonts w:hint="eastAsia"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w:t>
            </w:r>
          </w:p>
          <w:p w14:paraId="28D2EF42">
            <w:pPr>
              <w:autoSpaceDE w:val="0"/>
              <w:autoSpaceDN w:val="0"/>
              <w:adjustRightInd w:val="0"/>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6</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修剪</w:t>
            </w:r>
          </w:p>
          <w:p w14:paraId="6B388F8C">
            <w:pPr>
              <w:autoSpaceDE w:val="0"/>
              <w:autoSpaceDN w:val="0"/>
              <w:adjustRightInd w:val="0"/>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color w:val="auto"/>
                <w:sz w:val="24"/>
                <w:szCs w:val="24"/>
                <w:lang w:val="en-US" w:eastAsia="zh-CN"/>
              </w:rPr>
              <w:t>热压成型后的半产品经人工修剪掉边角料，形成产品。</w:t>
            </w:r>
          </w:p>
          <w:p w14:paraId="15FC265A">
            <w:pPr>
              <w:autoSpaceDE w:val="0"/>
              <w:autoSpaceDN w:val="0"/>
              <w:adjustRightInd w:val="0"/>
              <w:spacing w:line="360" w:lineRule="auto"/>
              <w:ind w:firstLine="480" w:firstLineChars="200"/>
              <w:rPr>
                <w:rFonts w:hint="default" w:ascii="Times New Roman" w:hAnsi="Times New Roman" w:cs="Times New Roman"/>
                <w:color w:val="auto"/>
                <w:sz w:val="24"/>
                <w:szCs w:val="24"/>
              </w:rPr>
            </w:pPr>
            <w:r>
              <w:rPr>
                <w:rFonts w:hint="eastAsia" w:ascii="Times New Roman" w:hAnsi="Times New Roman" w:cs="Times New Roman"/>
                <w:sz w:val="24"/>
                <w:lang w:val="en-US" w:eastAsia="zh-CN"/>
              </w:rPr>
              <w:t>产污环节：</w:t>
            </w:r>
            <w:r>
              <w:rPr>
                <w:rFonts w:hint="default" w:ascii="Times New Roman" w:hAnsi="Times New Roman" w:cs="Times New Roman"/>
                <w:color w:val="auto"/>
                <w:sz w:val="24"/>
                <w:szCs w:val="24"/>
                <w:lang w:eastAsia="zh-CN"/>
              </w:rPr>
              <w:t>此工序产生</w:t>
            </w:r>
            <w:r>
              <w:rPr>
                <w:rFonts w:hint="default" w:ascii="Times New Roman" w:hAnsi="Times New Roman" w:cs="Times New Roman"/>
                <w:sz w:val="24"/>
              </w:rPr>
              <w:t>噪声（N</w:t>
            </w:r>
            <w:r>
              <w:rPr>
                <w:rFonts w:hint="eastAsia" w:ascii="Times New Roman" w:hAnsi="Times New Roman" w:cs="Times New Roman"/>
                <w:sz w:val="24"/>
                <w:vertAlign w:val="subscript"/>
                <w:lang w:val="en-US" w:eastAsia="zh-CN"/>
              </w:rPr>
              <w:t>4</w:t>
            </w:r>
            <w:r>
              <w:rPr>
                <w:rFonts w:hint="default" w:ascii="Times New Roman" w:hAnsi="Times New Roman" w:cs="Times New Roman"/>
                <w:sz w:val="24"/>
              </w:rPr>
              <w:t>）</w:t>
            </w:r>
            <w:r>
              <w:rPr>
                <w:rFonts w:hint="default" w:ascii="Times New Roman" w:hAnsi="Times New Roman" w:cs="Times New Roman"/>
                <w:sz w:val="24"/>
                <w:lang w:eastAsia="zh-CN"/>
              </w:rPr>
              <w:t>、</w:t>
            </w:r>
            <w:r>
              <w:rPr>
                <w:rFonts w:hint="eastAsia" w:ascii="Times New Roman" w:hAnsi="Times New Roman" w:cs="Times New Roman"/>
                <w:sz w:val="24"/>
                <w:lang w:val="en-US" w:eastAsia="zh-CN"/>
              </w:rPr>
              <w:t>边角料</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S</w:t>
            </w:r>
            <w:r>
              <w:rPr>
                <w:rFonts w:hint="eastAsia" w:ascii="Times New Roman" w:hAnsi="Times New Roman" w:cs="Times New Roman"/>
                <w:color w:val="auto"/>
                <w:sz w:val="24"/>
                <w:szCs w:val="24"/>
                <w:vertAlign w:val="subscript"/>
                <w:lang w:val="en-US" w:eastAsia="zh-CN"/>
              </w:rPr>
              <w:t>4</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w:t>
            </w:r>
          </w:p>
          <w:p w14:paraId="1880BE35">
            <w:pPr>
              <w:autoSpaceDE w:val="0"/>
              <w:autoSpaceDN w:val="0"/>
              <w:adjustRightInd w:val="0"/>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磨边</w:t>
            </w:r>
          </w:p>
          <w:p w14:paraId="1D6B1E81">
            <w:pPr>
              <w:autoSpaceDE w:val="0"/>
              <w:autoSpaceDN w:val="0"/>
              <w:adjustRightInd w:val="0"/>
              <w:spacing w:line="360" w:lineRule="auto"/>
              <w:ind w:firstLine="480" w:firstLineChars="200"/>
              <w:rPr>
                <w:rFonts w:hint="default" w:eastAsia="宋体"/>
                <w:sz w:val="24"/>
                <w:szCs w:val="28"/>
                <w:lang w:val="en-US" w:eastAsia="zh-CN"/>
              </w:rPr>
            </w:pPr>
            <w:r>
              <w:rPr>
                <w:rFonts w:hint="eastAsia" w:eastAsia="宋体"/>
                <w:sz w:val="24"/>
                <w:szCs w:val="28"/>
                <w:lang w:val="en-US" w:eastAsia="zh-CN"/>
              </w:rPr>
              <w:t>部分产品经机器使用自动磨边机对产品进行磨边，部分产品经人工使用半自动磨边机对产品进行磨边，磨边过程产生粉尘，</w:t>
            </w:r>
            <w:r>
              <w:rPr>
                <w:rFonts w:hint="eastAsia" w:ascii="Times New Roman" w:hAnsi="Times New Roman" w:eastAsia="宋体" w:cs="Times New Roman"/>
                <w:color w:val="auto"/>
                <w:sz w:val="24"/>
                <w:szCs w:val="24"/>
                <w:highlight w:val="none"/>
                <w:lang w:val="en-US" w:eastAsia="zh-CN"/>
              </w:rPr>
              <w:t>磨边机侧方设置移动式集气罩，自动磨边机设置的集气罩随着机器移动，半自动磨边机设置的集气罩为固定装置，人工在半自动磨边机前侧操作</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使用集气罩对磨边粉尘进行收集，收集后的粉尘经袋式除尘装置处理后经15m高排气筒排放（DA002）。</w:t>
            </w:r>
          </w:p>
          <w:p w14:paraId="0D25D1F4">
            <w:pPr>
              <w:autoSpaceDE w:val="0"/>
              <w:autoSpaceDN w:val="0"/>
              <w:adjustRightInd w:val="0"/>
              <w:spacing w:line="360" w:lineRule="auto"/>
              <w:ind w:firstLine="480" w:firstLineChars="200"/>
              <w:rPr>
                <w:rFonts w:hint="eastAsia" w:eastAsia="宋体"/>
                <w:sz w:val="24"/>
                <w:szCs w:val="28"/>
              </w:rPr>
            </w:pPr>
            <w:r>
              <w:rPr>
                <w:rFonts w:hint="eastAsia" w:ascii="Times New Roman" w:hAnsi="Times New Roman" w:cs="Times New Roman"/>
                <w:sz w:val="24"/>
                <w:lang w:val="en-US" w:eastAsia="zh-CN"/>
              </w:rPr>
              <w:t>产污环节：</w:t>
            </w:r>
            <w:r>
              <w:rPr>
                <w:rFonts w:hint="default" w:ascii="Times New Roman" w:hAnsi="Times New Roman" w:cs="Times New Roman"/>
                <w:color w:val="auto"/>
                <w:sz w:val="24"/>
                <w:szCs w:val="24"/>
                <w:lang w:eastAsia="zh-CN"/>
              </w:rPr>
              <w:t>此工序产生</w:t>
            </w:r>
            <w:r>
              <w:rPr>
                <w:rFonts w:hint="default" w:ascii="Times New Roman" w:hAnsi="Times New Roman" w:cs="Times New Roman"/>
                <w:sz w:val="24"/>
              </w:rPr>
              <w:t>噪声（N</w:t>
            </w:r>
            <w:r>
              <w:rPr>
                <w:rFonts w:hint="eastAsia" w:ascii="Times New Roman" w:hAnsi="Times New Roman" w:cs="Times New Roman"/>
                <w:sz w:val="24"/>
                <w:vertAlign w:val="subscript"/>
                <w:lang w:val="en-US" w:eastAsia="zh-CN"/>
              </w:rPr>
              <w:t>4</w:t>
            </w:r>
            <w:r>
              <w:rPr>
                <w:rFonts w:hint="default" w:ascii="Times New Roman" w:hAnsi="Times New Roman" w:cs="Times New Roman"/>
                <w:sz w:val="24"/>
              </w:rPr>
              <w:t>）</w:t>
            </w:r>
            <w:r>
              <w:rPr>
                <w:rFonts w:hint="default" w:ascii="Times New Roman" w:hAnsi="Times New Roman" w:cs="Times New Roman"/>
                <w:sz w:val="24"/>
                <w:lang w:eastAsia="zh-CN"/>
              </w:rPr>
              <w:t>、</w:t>
            </w:r>
            <w:r>
              <w:rPr>
                <w:rFonts w:hint="eastAsia" w:ascii="Times New Roman" w:hAnsi="Times New Roman" w:cs="Times New Roman"/>
                <w:color w:val="auto"/>
                <w:sz w:val="24"/>
                <w:szCs w:val="24"/>
                <w:lang w:val="en-US" w:eastAsia="zh-CN"/>
              </w:rPr>
              <w:t>颗粒物</w:t>
            </w:r>
            <w:r>
              <w:rPr>
                <w:rFonts w:hint="default" w:ascii="Times New Roman" w:hAnsi="Times New Roman" w:cs="Times New Roman"/>
                <w:color w:val="auto"/>
                <w:sz w:val="24"/>
                <w:szCs w:val="24"/>
                <w:lang w:val="en-US" w:eastAsia="zh-CN"/>
              </w:rPr>
              <w:t>（G</w:t>
            </w:r>
            <w:r>
              <w:rPr>
                <w:rFonts w:hint="eastAsia"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、除尘器收集的粉尘</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S</w:t>
            </w:r>
            <w:r>
              <w:rPr>
                <w:rFonts w:hint="eastAsia"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w:t>
            </w:r>
          </w:p>
          <w:p w14:paraId="1CFB46EF">
            <w:pPr>
              <w:autoSpaceDE w:val="0"/>
              <w:autoSpaceDN w:val="0"/>
              <w:adjustRightInd w:val="0"/>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检验</w:t>
            </w:r>
          </w:p>
          <w:p w14:paraId="2B7DE955">
            <w:pPr>
              <w:autoSpaceDE w:val="0"/>
              <w:autoSpaceDN w:val="0"/>
              <w:adjustRightInd w:val="0"/>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对产品进行</w:t>
            </w:r>
            <w:r>
              <w:rPr>
                <w:rFonts w:hint="eastAsia" w:ascii="Times New Roman" w:hAnsi="Times New Roman" w:cs="Times New Roman"/>
                <w:color w:val="auto"/>
                <w:sz w:val="24"/>
                <w:szCs w:val="24"/>
                <w:lang w:val="en-US" w:eastAsia="zh-CN"/>
              </w:rPr>
              <w:t>检验</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主要通过人工检验外观有无损伤，</w:t>
            </w:r>
            <w:r>
              <w:rPr>
                <w:rFonts w:hint="default" w:ascii="Times New Roman" w:hAnsi="Times New Roman" w:cs="Times New Roman"/>
                <w:color w:val="auto"/>
                <w:sz w:val="24"/>
                <w:szCs w:val="24"/>
                <w:lang w:val="en-US" w:eastAsia="zh-CN"/>
              </w:rPr>
              <w:t>合格产品进入仓库暂存，</w:t>
            </w:r>
            <w:r>
              <w:rPr>
                <w:rFonts w:hint="eastAsia" w:ascii="Times New Roman" w:hAnsi="Times New Roman" w:cs="Times New Roman"/>
                <w:color w:val="auto"/>
                <w:sz w:val="24"/>
                <w:szCs w:val="24"/>
                <w:lang w:val="en-US" w:eastAsia="zh-CN"/>
              </w:rPr>
              <w:t>破损</w:t>
            </w:r>
            <w:r>
              <w:rPr>
                <w:rFonts w:hint="default" w:ascii="Times New Roman" w:hAnsi="Times New Roman" w:cs="Times New Roman"/>
                <w:color w:val="auto"/>
                <w:sz w:val="24"/>
                <w:szCs w:val="24"/>
                <w:lang w:val="en-US" w:eastAsia="zh-CN"/>
              </w:rPr>
              <w:t>产品采用低价销售方式出售，故检验工序无不合格品。</w:t>
            </w:r>
          </w:p>
          <w:p w14:paraId="03AD0184">
            <w:pPr>
              <w:autoSpaceDE w:val="0"/>
              <w:autoSpaceDN w:val="0"/>
              <w:adjustRightInd w:val="0"/>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包装</w:t>
            </w:r>
            <w:r>
              <w:rPr>
                <w:rFonts w:hint="default" w:ascii="Times New Roman" w:hAnsi="Times New Roman" w:cs="Times New Roman"/>
                <w:color w:val="auto"/>
                <w:sz w:val="24"/>
                <w:szCs w:val="24"/>
                <w:lang w:val="en-US" w:eastAsia="zh-CN"/>
              </w:rPr>
              <w:t>入库</w:t>
            </w:r>
          </w:p>
          <w:p w14:paraId="04BB8465">
            <w:pPr>
              <w:autoSpaceDE w:val="0"/>
              <w:autoSpaceDN w:val="0"/>
              <w:adjustRightIn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lang w:val="en-US" w:eastAsia="zh-CN"/>
              </w:rPr>
              <w:t>生产后的产品</w:t>
            </w:r>
            <w:r>
              <w:rPr>
                <w:rFonts w:hint="eastAsia" w:ascii="Times New Roman" w:hAnsi="Times New Roman" w:eastAsia="宋体" w:cs="Times New Roman"/>
                <w:color w:val="auto"/>
                <w:sz w:val="24"/>
                <w:szCs w:val="24"/>
                <w:lang w:val="en-US" w:eastAsia="zh-CN"/>
              </w:rPr>
              <w:t>包装后</w:t>
            </w:r>
            <w:r>
              <w:rPr>
                <w:rFonts w:hint="default" w:ascii="Times New Roman" w:hAnsi="Times New Roman" w:eastAsia="宋体" w:cs="Times New Roman"/>
                <w:color w:val="auto"/>
                <w:sz w:val="24"/>
                <w:szCs w:val="24"/>
                <w:lang w:val="en-US" w:eastAsia="zh-CN"/>
              </w:rPr>
              <w:t>入库待售。</w:t>
            </w:r>
          </w:p>
          <w:p w14:paraId="26ADCEB1">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其他产污节点：</w:t>
            </w:r>
          </w:p>
          <w:p w14:paraId="0A59BACC">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（1）本项目热压成型机中需添加抗磨压油进行润滑，抗磨压油定期补充添加，定期更换，抗磨压油拆包过程产生废油桶（S</w:t>
            </w:r>
            <w:r>
              <w:rPr>
                <w:rFonts w:hint="eastAsia" w:ascii="Times New Roman" w:hAnsi="Times New Roman" w:eastAsia="宋体" w:cs="Times New Roman"/>
                <w:color w:val="auto"/>
                <w:sz w:val="24"/>
                <w:szCs w:val="24"/>
                <w:vertAlign w:val="subscript"/>
                <w:lang w:val="en-US" w:eastAsia="zh-CN"/>
              </w:rPr>
              <w:t>5</w:t>
            </w:r>
            <w:r>
              <w:rPr>
                <w:rFonts w:hint="eastAsia" w:ascii="Times New Roman" w:hAnsi="Times New Roman" w:eastAsia="宋体" w:cs="Times New Roman"/>
                <w:color w:val="auto"/>
                <w:sz w:val="24"/>
                <w:szCs w:val="24"/>
                <w:lang w:val="en-US" w:eastAsia="zh-CN"/>
              </w:rPr>
              <w:t>）、更换过程产生废矿物油（S</w:t>
            </w:r>
            <w:r>
              <w:rPr>
                <w:rFonts w:hint="eastAsia" w:ascii="Times New Roman" w:hAnsi="Times New Roman" w:eastAsia="宋体" w:cs="Times New Roman"/>
                <w:color w:val="auto"/>
                <w:sz w:val="24"/>
                <w:szCs w:val="24"/>
                <w:vertAlign w:val="subscript"/>
                <w:lang w:val="en-US" w:eastAsia="zh-CN"/>
              </w:rPr>
              <w:t>6</w:t>
            </w:r>
            <w:r>
              <w:rPr>
                <w:rFonts w:hint="eastAsia" w:ascii="Times New Roman" w:hAnsi="Times New Roman" w:eastAsia="宋体" w:cs="Times New Roman"/>
                <w:color w:val="auto"/>
                <w:sz w:val="24"/>
                <w:szCs w:val="24"/>
                <w:lang w:val="en-US" w:eastAsia="zh-CN"/>
              </w:rPr>
              <w:t>）。</w:t>
            </w:r>
          </w:p>
          <w:p w14:paraId="464EBD7A">
            <w:pPr>
              <w:autoSpaceDE w:val="0"/>
              <w:autoSpaceDN w:val="0"/>
              <w:adjustRightIn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（2）员工办公过程产生生活污水（W</w:t>
            </w:r>
            <w:r>
              <w:rPr>
                <w:rFonts w:hint="eastAsia" w:ascii="Times New Roman" w:hAnsi="Times New Roman" w:eastAsia="宋体" w:cs="Times New Roman"/>
                <w:color w:val="auto"/>
                <w:sz w:val="24"/>
                <w:szCs w:val="24"/>
                <w:vertAlign w:val="subscript"/>
                <w:lang w:val="en-US" w:eastAsia="zh-CN"/>
              </w:rPr>
              <w:t>1</w:t>
            </w:r>
            <w:r>
              <w:rPr>
                <w:rFonts w:hint="eastAsia" w:ascii="Times New Roman" w:hAnsi="Times New Roman" w:eastAsia="宋体" w:cs="Times New Roman"/>
                <w:color w:val="auto"/>
                <w:sz w:val="24"/>
                <w:szCs w:val="24"/>
                <w:lang w:val="en-US" w:eastAsia="zh-CN"/>
              </w:rPr>
              <w:t>）、生活垃圾（S</w:t>
            </w:r>
            <w:r>
              <w:rPr>
                <w:rFonts w:hint="eastAsia" w:ascii="Times New Roman" w:hAnsi="Times New Roman" w:eastAsia="宋体" w:cs="Times New Roman"/>
                <w:color w:val="auto"/>
                <w:sz w:val="24"/>
                <w:szCs w:val="24"/>
                <w:vertAlign w:val="subscript"/>
                <w:lang w:val="en-US" w:eastAsia="zh-CN"/>
              </w:rPr>
              <w:t>7</w:t>
            </w:r>
            <w:r>
              <w:rPr>
                <w:rFonts w:hint="eastAsia" w:ascii="Times New Roman" w:hAnsi="Times New Roman" w:eastAsia="宋体" w:cs="Times New Roman"/>
                <w:color w:val="auto"/>
                <w:sz w:val="24"/>
                <w:szCs w:val="24"/>
                <w:lang w:val="en-US" w:eastAsia="zh-CN"/>
              </w:rPr>
              <w:t>）。</w:t>
            </w:r>
          </w:p>
          <w:p w14:paraId="267C3FA0">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本项目污染物产污环节汇总见下表2.7</w:t>
            </w:r>
          </w:p>
          <w:p w14:paraId="45085CD8">
            <w:pPr>
              <w:pStyle w:val="90"/>
              <w:rPr>
                <w:sz w:val="21"/>
                <w:szCs w:val="21"/>
              </w:rPr>
            </w:pPr>
            <w:r>
              <w:rPr>
                <w:sz w:val="21"/>
                <w:szCs w:val="21"/>
              </w:rPr>
              <w:t>表</w:t>
            </w:r>
            <w:r>
              <w:rPr>
                <w:rFonts w:hint="eastAsia"/>
                <w:sz w:val="21"/>
                <w:szCs w:val="21"/>
                <w:lang w:val="en-US" w:eastAsia="zh-CN"/>
              </w:rPr>
              <w:t>2.7</w:t>
            </w:r>
            <w:r>
              <w:rPr>
                <w:sz w:val="21"/>
                <w:szCs w:val="21"/>
              </w:rPr>
              <w:t xml:space="preserve">  </w:t>
            </w:r>
            <w:r>
              <w:rPr>
                <w:rFonts w:hint="eastAsia"/>
                <w:sz w:val="21"/>
                <w:szCs w:val="21"/>
              </w:rPr>
              <w:t xml:space="preserve"> </w:t>
            </w:r>
            <w:r>
              <w:rPr>
                <w:sz w:val="21"/>
                <w:szCs w:val="21"/>
              </w:rPr>
              <w:t>项目产污环节汇总</w:t>
            </w:r>
          </w:p>
          <w:tbl>
            <w:tblPr>
              <w:tblStyle w:val="3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57" w:type="dxa"/>
                <w:bottom w:w="0" w:type="dxa"/>
                <w:right w:w="57" w:type="dxa"/>
              </w:tblCellMar>
            </w:tblPr>
            <w:tblGrid>
              <w:gridCol w:w="1563"/>
              <w:gridCol w:w="771"/>
              <w:gridCol w:w="2071"/>
              <w:gridCol w:w="2331"/>
              <w:gridCol w:w="2890"/>
            </w:tblGrid>
            <w:tr w14:paraId="5165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54" w:hRule="atLeast"/>
                <w:jc w:val="center"/>
              </w:trPr>
              <w:tc>
                <w:tcPr>
                  <w:tcW w:w="812" w:type="pct"/>
                  <w:tcBorders>
                    <w:tl2br w:val="nil"/>
                    <w:tr2bl w:val="nil"/>
                  </w:tcBorders>
                  <w:shd w:val="clear" w:color="auto" w:fill="auto"/>
                  <w:vAlign w:val="center"/>
                </w:tcPr>
                <w:p w14:paraId="6CDE9B8A">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污染物类别</w:t>
                  </w:r>
                </w:p>
              </w:tc>
              <w:tc>
                <w:tcPr>
                  <w:tcW w:w="400" w:type="pct"/>
                  <w:tcBorders>
                    <w:tl2br w:val="nil"/>
                    <w:tr2bl w:val="nil"/>
                  </w:tcBorders>
                  <w:shd w:val="clear" w:color="auto" w:fill="auto"/>
                  <w:vAlign w:val="center"/>
                </w:tcPr>
                <w:p w14:paraId="3301EB81">
                  <w:pPr>
                    <w:adjustRightInd w:val="0"/>
                    <w:snapToGrid w:val="0"/>
                    <w:jc w:val="center"/>
                    <w:rPr>
                      <w:rFonts w:hint="eastAsia" w:ascii="Times New Roman" w:hAnsi="Times New Roman" w:eastAsia="宋体" w:cs="Times New Roman"/>
                      <w:b/>
                      <w:sz w:val="21"/>
                      <w:szCs w:val="21"/>
                      <w:lang w:eastAsia="zh-CN"/>
                    </w:rPr>
                  </w:pPr>
                  <w:r>
                    <w:rPr>
                      <w:rFonts w:hint="eastAsia" w:ascii="Times New Roman" w:hAnsi="Times New Roman" w:eastAsia="宋体" w:cs="Times New Roman"/>
                      <w:b/>
                      <w:sz w:val="21"/>
                      <w:szCs w:val="21"/>
                      <w:lang w:val="en-US" w:eastAsia="zh-CN"/>
                    </w:rPr>
                    <w:t>编号</w:t>
                  </w:r>
                </w:p>
              </w:tc>
              <w:tc>
                <w:tcPr>
                  <w:tcW w:w="1075" w:type="pct"/>
                  <w:tcBorders>
                    <w:tl2br w:val="nil"/>
                    <w:tr2bl w:val="nil"/>
                  </w:tcBorders>
                  <w:shd w:val="clear" w:color="auto" w:fill="auto"/>
                  <w:vAlign w:val="center"/>
                </w:tcPr>
                <w:p w14:paraId="6BB47CC4">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污染物名称</w:t>
                  </w:r>
                </w:p>
              </w:tc>
              <w:tc>
                <w:tcPr>
                  <w:tcW w:w="1210" w:type="pct"/>
                  <w:tcBorders>
                    <w:tl2br w:val="nil"/>
                    <w:tr2bl w:val="nil"/>
                  </w:tcBorders>
                  <w:shd w:val="clear" w:color="auto" w:fill="auto"/>
                  <w:vAlign w:val="center"/>
                </w:tcPr>
                <w:p w14:paraId="0623614B">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产污节点</w:t>
                  </w:r>
                </w:p>
              </w:tc>
              <w:tc>
                <w:tcPr>
                  <w:tcW w:w="1500" w:type="pct"/>
                  <w:tcBorders>
                    <w:tl2br w:val="nil"/>
                    <w:tr2bl w:val="nil"/>
                  </w:tcBorders>
                  <w:shd w:val="clear" w:color="auto" w:fill="auto"/>
                  <w:vAlign w:val="center"/>
                </w:tcPr>
                <w:p w14:paraId="165837EA">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污染因子</w:t>
                  </w:r>
                </w:p>
              </w:tc>
            </w:tr>
            <w:tr w14:paraId="431B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812" w:type="pct"/>
                  <w:vMerge w:val="restart"/>
                  <w:tcBorders>
                    <w:tl2br w:val="nil"/>
                    <w:tr2bl w:val="nil"/>
                  </w:tcBorders>
                  <w:shd w:val="clear" w:color="auto" w:fill="auto"/>
                  <w:vAlign w:val="center"/>
                </w:tcPr>
                <w:p w14:paraId="4A414942">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w:t>
                  </w:r>
                </w:p>
              </w:tc>
              <w:tc>
                <w:tcPr>
                  <w:tcW w:w="400" w:type="pct"/>
                  <w:tcBorders>
                    <w:tl2br w:val="nil"/>
                    <w:tr2bl w:val="nil"/>
                  </w:tcBorders>
                  <w:shd w:val="clear" w:color="auto" w:fill="auto"/>
                  <w:vAlign w:val="center"/>
                </w:tcPr>
                <w:p w14:paraId="45A443CA">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w:t>
                  </w:r>
                  <w:r>
                    <w:rPr>
                      <w:rFonts w:hint="default" w:ascii="Times New Roman" w:hAnsi="Times New Roman" w:eastAsia="宋体" w:cs="Times New Roman"/>
                      <w:sz w:val="21"/>
                      <w:szCs w:val="21"/>
                      <w:vertAlign w:val="subscript"/>
                    </w:rPr>
                    <w:t>1</w:t>
                  </w:r>
                </w:p>
              </w:tc>
              <w:tc>
                <w:tcPr>
                  <w:tcW w:w="1075" w:type="pct"/>
                  <w:tcBorders>
                    <w:tl2br w:val="nil"/>
                    <w:tr2bl w:val="nil"/>
                  </w:tcBorders>
                  <w:shd w:val="clear" w:color="auto" w:fill="auto"/>
                  <w:vAlign w:val="center"/>
                </w:tcPr>
                <w:p w14:paraId="49C97BEB">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有机废气</w:t>
                  </w:r>
                </w:p>
              </w:tc>
              <w:tc>
                <w:tcPr>
                  <w:tcW w:w="1210" w:type="pct"/>
                  <w:tcBorders>
                    <w:tl2br w:val="nil"/>
                    <w:tr2bl w:val="nil"/>
                  </w:tcBorders>
                  <w:shd w:val="clear" w:color="auto" w:fill="auto"/>
                  <w:vAlign w:val="center"/>
                </w:tcPr>
                <w:p w14:paraId="51A3B08D">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烤料、热压成型</w:t>
                  </w:r>
                </w:p>
              </w:tc>
              <w:tc>
                <w:tcPr>
                  <w:tcW w:w="1500" w:type="pct"/>
                  <w:tcBorders>
                    <w:tl2br w:val="nil"/>
                    <w:tr2bl w:val="nil"/>
                  </w:tcBorders>
                  <w:shd w:val="clear" w:color="auto" w:fill="auto"/>
                  <w:vAlign w:val="center"/>
                </w:tcPr>
                <w:p w14:paraId="0FB8E452">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非甲烷总烃</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甲醛</w:t>
                  </w:r>
                </w:p>
              </w:tc>
            </w:tr>
            <w:tr w14:paraId="157E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812" w:type="pct"/>
                  <w:vMerge w:val="continue"/>
                  <w:tcBorders>
                    <w:tl2br w:val="nil"/>
                    <w:tr2bl w:val="nil"/>
                  </w:tcBorders>
                  <w:shd w:val="clear" w:color="auto" w:fill="auto"/>
                  <w:vAlign w:val="center"/>
                </w:tcPr>
                <w:p w14:paraId="7A8C34A9">
                  <w:pPr>
                    <w:adjustRightInd w:val="0"/>
                    <w:snapToGrid w:val="0"/>
                    <w:jc w:val="center"/>
                    <w:rPr>
                      <w:rFonts w:hint="default" w:ascii="Times New Roman" w:hAnsi="Times New Roman" w:eastAsia="宋体" w:cs="Times New Roman"/>
                      <w:sz w:val="21"/>
                      <w:szCs w:val="21"/>
                    </w:rPr>
                  </w:pPr>
                </w:p>
              </w:tc>
              <w:tc>
                <w:tcPr>
                  <w:tcW w:w="400" w:type="pct"/>
                  <w:tcBorders>
                    <w:tl2br w:val="nil"/>
                    <w:tr2bl w:val="nil"/>
                  </w:tcBorders>
                  <w:shd w:val="clear" w:color="auto" w:fill="auto"/>
                  <w:vAlign w:val="center"/>
                </w:tcPr>
                <w:p w14:paraId="3753F041">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w:t>
                  </w:r>
                  <w:r>
                    <w:rPr>
                      <w:rFonts w:hint="eastAsia" w:ascii="Times New Roman" w:hAnsi="Times New Roman" w:eastAsia="宋体" w:cs="Times New Roman"/>
                      <w:sz w:val="21"/>
                      <w:szCs w:val="21"/>
                      <w:vertAlign w:val="subscript"/>
                      <w:lang w:val="en-US" w:eastAsia="zh-CN"/>
                    </w:rPr>
                    <w:t>2</w:t>
                  </w:r>
                </w:p>
              </w:tc>
              <w:tc>
                <w:tcPr>
                  <w:tcW w:w="1075" w:type="pct"/>
                  <w:tcBorders>
                    <w:tl2br w:val="nil"/>
                    <w:tr2bl w:val="nil"/>
                  </w:tcBorders>
                  <w:shd w:val="clear" w:color="auto" w:fill="auto"/>
                  <w:vAlign w:val="center"/>
                </w:tcPr>
                <w:p w14:paraId="1A90F6F4">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1210" w:type="pct"/>
                  <w:tcBorders>
                    <w:tl2br w:val="nil"/>
                    <w:tr2bl w:val="nil"/>
                  </w:tcBorders>
                  <w:shd w:val="clear" w:color="auto" w:fill="auto"/>
                  <w:vAlign w:val="center"/>
                </w:tcPr>
                <w:p w14:paraId="2FAFE408">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吹灰</w:t>
                  </w:r>
                </w:p>
              </w:tc>
              <w:tc>
                <w:tcPr>
                  <w:tcW w:w="1500" w:type="pct"/>
                  <w:tcBorders>
                    <w:tl2br w:val="nil"/>
                    <w:tr2bl w:val="nil"/>
                  </w:tcBorders>
                  <w:shd w:val="clear" w:color="auto" w:fill="auto"/>
                  <w:vAlign w:val="center"/>
                </w:tcPr>
                <w:p w14:paraId="4EF22A3B">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r>
            <w:tr w14:paraId="73B1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812" w:type="pct"/>
                  <w:vMerge w:val="continue"/>
                  <w:tcBorders>
                    <w:tl2br w:val="nil"/>
                    <w:tr2bl w:val="nil"/>
                  </w:tcBorders>
                  <w:shd w:val="clear" w:color="auto" w:fill="auto"/>
                  <w:vAlign w:val="center"/>
                </w:tcPr>
                <w:p w14:paraId="11DD6742">
                  <w:pPr>
                    <w:adjustRightInd w:val="0"/>
                    <w:snapToGrid w:val="0"/>
                    <w:jc w:val="center"/>
                    <w:rPr>
                      <w:rFonts w:hint="default" w:ascii="Times New Roman" w:hAnsi="Times New Roman" w:eastAsia="宋体" w:cs="Times New Roman"/>
                      <w:sz w:val="21"/>
                      <w:szCs w:val="21"/>
                    </w:rPr>
                  </w:pPr>
                </w:p>
              </w:tc>
              <w:tc>
                <w:tcPr>
                  <w:tcW w:w="400" w:type="pct"/>
                  <w:tcBorders>
                    <w:tl2br w:val="nil"/>
                    <w:tr2bl w:val="nil"/>
                  </w:tcBorders>
                  <w:shd w:val="clear" w:color="auto" w:fill="auto"/>
                  <w:vAlign w:val="center"/>
                </w:tcPr>
                <w:p w14:paraId="767321A2">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w:t>
                  </w:r>
                  <w:r>
                    <w:rPr>
                      <w:rFonts w:hint="eastAsia" w:ascii="Times New Roman" w:hAnsi="Times New Roman" w:eastAsia="宋体" w:cs="Times New Roman"/>
                      <w:sz w:val="21"/>
                      <w:szCs w:val="21"/>
                      <w:vertAlign w:val="subscript"/>
                      <w:lang w:val="en-US" w:eastAsia="zh-CN"/>
                    </w:rPr>
                    <w:t>3</w:t>
                  </w:r>
                </w:p>
              </w:tc>
              <w:tc>
                <w:tcPr>
                  <w:tcW w:w="1075" w:type="pct"/>
                  <w:tcBorders>
                    <w:tl2br w:val="nil"/>
                    <w:tr2bl w:val="nil"/>
                  </w:tcBorders>
                  <w:shd w:val="clear" w:color="auto" w:fill="auto"/>
                  <w:vAlign w:val="center"/>
                </w:tcPr>
                <w:p w14:paraId="5A87A604">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颗粒物</w:t>
                  </w:r>
                </w:p>
              </w:tc>
              <w:tc>
                <w:tcPr>
                  <w:tcW w:w="1210" w:type="pct"/>
                  <w:tcBorders>
                    <w:tl2br w:val="nil"/>
                    <w:tr2bl w:val="nil"/>
                  </w:tcBorders>
                  <w:shd w:val="clear" w:color="auto" w:fill="auto"/>
                  <w:vAlign w:val="center"/>
                </w:tcPr>
                <w:p w14:paraId="5B10EEC0">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磨边</w:t>
                  </w:r>
                </w:p>
              </w:tc>
              <w:tc>
                <w:tcPr>
                  <w:tcW w:w="1500" w:type="pct"/>
                  <w:tcBorders>
                    <w:tl2br w:val="nil"/>
                    <w:tr2bl w:val="nil"/>
                  </w:tcBorders>
                  <w:shd w:val="clear" w:color="auto" w:fill="auto"/>
                  <w:vAlign w:val="center"/>
                </w:tcPr>
                <w:p w14:paraId="3C9143D0">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颗粒物</w:t>
                  </w:r>
                </w:p>
              </w:tc>
            </w:tr>
            <w:tr w14:paraId="576BE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812" w:type="pct"/>
                  <w:tcBorders>
                    <w:tl2br w:val="nil"/>
                    <w:tr2bl w:val="nil"/>
                  </w:tcBorders>
                  <w:shd w:val="clear" w:color="auto" w:fill="auto"/>
                  <w:vAlign w:val="center"/>
                </w:tcPr>
                <w:p w14:paraId="1FBEB247">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w:t>
                  </w:r>
                </w:p>
              </w:tc>
              <w:tc>
                <w:tcPr>
                  <w:tcW w:w="400" w:type="pct"/>
                  <w:tcBorders>
                    <w:tl2br w:val="nil"/>
                    <w:tr2bl w:val="nil"/>
                  </w:tcBorders>
                  <w:shd w:val="clear" w:color="auto" w:fill="auto"/>
                  <w:vAlign w:val="center"/>
                </w:tcPr>
                <w:p w14:paraId="71CA20A9">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w:t>
                  </w:r>
                  <w:r>
                    <w:rPr>
                      <w:rFonts w:hint="default" w:ascii="Times New Roman" w:hAnsi="Times New Roman" w:eastAsia="宋体" w:cs="Times New Roman"/>
                      <w:sz w:val="21"/>
                      <w:szCs w:val="21"/>
                      <w:vertAlign w:val="subscript"/>
                    </w:rPr>
                    <w:t>1</w:t>
                  </w:r>
                </w:p>
              </w:tc>
              <w:tc>
                <w:tcPr>
                  <w:tcW w:w="1075" w:type="pct"/>
                  <w:tcBorders>
                    <w:tl2br w:val="nil"/>
                    <w:tr2bl w:val="nil"/>
                  </w:tcBorders>
                  <w:shd w:val="clear" w:color="auto" w:fill="auto"/>
                  <w:vAlign w:val="center"/>
                </w:tcPr>
                <w:p w14:paraId="7253EF8C">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生活污水</w:t>
                  </w:r>
                </w:p>
              </w:tc>
              <w:tc>
                <w:tcPr>
                  <w:tcW w:w="1210" w:type="pct"/>
                  <w:tcBorders>
                    <w:tl2br w:val="nil"/>
                    <w:tr2bl w:val="nil"/>
                  </w:tcBorders>
                  <w:shd w:val="clear" w:color="auto" w:fill="auto"/>
                  <w:vAlign w:val="center"/>
                </w:tcPr>
                <w:p w14:paraId="1919CD51">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职工生活</w:t>
                  </w:r>
                </w:p>
              </w:tc>
              <w:tc>
                <w:tcPr>
                  <w:tcW w:w="1500" w:type="pct"/>
                  <w:tcBorders>
                    <w:tl2br w:val="nil"/>
                    <w:tr2bl w:val="nil"/>
                  </w:tcBorders>
                  <w:shd w:val="clear" w:color="auto" w:fill="auto"/>
                  <w:vAlign w:val="center"/>
                </w:tcPr>
                <w:p w14:paraId="0DE64EDB">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COD、BOD</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、SS、NH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tc>
            </w:tr>
            <w:tr w14:paraId="6821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812" w:type="pct"/>
                  <w:vMerge w:val="restart"/>
                  <w:tcBorders>
                    <w:tl2br w:val="nil"/>
                    <w:tr2bl w:val="nil"/>
                  </w:tcBorders>
                  <w:shd w:val="clear" w:color="auto" w:fill="auto"/>
                  <w:vAlign w:val="center"/>
                </w:tcPr>
                <w:p w14:paraId="612609C6">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固体废物</w:t>
                  </w:r>
                </w:p>
              </w:tc>
              <w:tc>
                <w:tcPr>
                  <w:tcW w:w="400" w:type="pct"/>
                  <w:tcBorders>
                    <w:tl2br w:val="nil"/>
                    <w:tr2bl w:val="nil"/>
                  </w:tcBorders>
                  <w:shd w:val="clear" w:color="auto" w:fill="auto"/>
                  <w:vAlign w:val="center"/>
                </w:tcPr>
                <w:p w14:paraId="0B51E047">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w:t>
                  </w:r>
                  <w:r>
                    <w:rPr>
                      <w:rFonts w:hint="default" w:ascii="Times New Roman" w:hAnsi="Times New Roman" w:eastAsia="宋体" w:cs="Times New Roman"/>
                      <w:sz w:val="21"/>
                      <w:szCs w:val="21"/>
                      <w:vertAlign w:val="subscript"/>
                    </w:rPr>
                    <w:t>1</w:t>
                  </w:r>
                </w:p>
              </w:tc>
              <w:tc>
                <w:tcPr>
                  <w:tcW w:w="1075" w:type="pct"/>
                  <w:tcBorders>
                    <w:tl2br w:val="nil"/>
                    <w:tr2bl w:val="nil"/>
                  </w:tcBorders>
                  <w:shd w:val="clear" w:color="auto" w:fill="auto"/>
                  <w:vAlign w:val="center"/>
                </w:tcPr>
                <w:p w14:paraId="5F15B41F">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废包装物</w:t>
                  </w:r>
                </w:p>
              </w:tc>
              <w:tc>
                <w:tcPr>
                  <w:tcW w:w="1210" w:type="pct"/>
                  <w:tcBorders>
                    <w:tl2br w:val="nil"/>
                    <w:tr2bl w:val="nil"/>
                  </w:tcBorders>
                  <w:shd w:val="clear" w:color="auto" w:fill="auto"/>
                  <w:vAlign w:val="center"/>
                </w:tcPr>
                <w:p w14:paraId="5EABE92B">
                  <w:pPr>
                    <w:adjustRightInd w:val="0"/>
                    <w:snapToGrid w:val="0"/>
                    <w:jc w:val="center"/>
                    <w:rPr>
                      <w:rFonts w:hint="default" w:ascii="Times New Roman" w:hAnsi="Times New Roman" w:eastAsia="宋体" w:cs="Times New Roman"/>
                      <w:spacing w:val="-8"/>
                      <w:sz w:val="21"/>
                      <w:szCs w:val="21"/>
                      <w:lang w:val="en-US" w:eastAsia="zh-CN"/>
                    </w:rPr>
                  </w:pPr>
                  <w:r>
                    <w:rPr>
                      <w:rFonts w:hint="eastAsia" w:ascii="Times New Roman" w:hAnsi="Times New Roman" w:eastAsia="宋体" w:cs="Times New Roman"/>
                      <w:spacing w:val="-8"/>
                      <w:sz w:val="21"/>
                      <w:szCs w:val="21"/>
                      <w:lang w:val="en-US" w:eastAsia="zh-CN"/>
                    </w:rPr>
                    <w:t>原料拆包</w:t>
                  </w:r>
                </w:p>
              </w:tc>
              <w:tc>
                <w:tcPr>
                  <w:tcW w:w="1500" w:type="pct"/>
                  <w:tcBorders>
                    <w:tl2br w:val="nil"/>
                    <w:tr2bl w:val="nil"/>
                  </w:tcBorders>
                  <w:shd w:val="clear" w:color="auto" w:fill="auto"/>
                  <w:vAlign w:val="center"/>
                </w:tcPr>
                <w:p w14:paraId="041D03A5">
                  <w:pPr>
                    <w:adjustRightInd w:val="0"/>
                    <w:snapToGrid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塑料</w:t>
                  </w:r>
                  <w:r>
                    <w:rPr>
                      <w:rFonts w:hint="eastAsia" w:ascii="Times New Roman" w:hAnsi="Times New Roman" w:eastAsia="宋体" w:cs="Times New Roman"/>
                      <w:sz w:val="21"/>
                      <w:szCs w:val="21"/>
                      <w:lang w:val="en-US" w:eastAsia="zh-CN"/>
                    </w:rPr>
                    <w:t>袋</w:t>
                  </w:r>
                </w:p>
              </w:tc>
            </w:tr>
            <w:tr w14:paraId="31A3B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812" w:type="pct"/>
                  <w:vMerge w:val="continue"/>
                  <w:tcBorders>
                    <w:tl2br w:val="nil"/>
                    <w:tr2bl w:val="nil"/>
                  </w:tcBorders>
                  <w:shd w:val="clear" w:color="auto" w:fill="auto"/>
                  <w:vAlign w:val="center"/>
                </w:tcPr>
                <w:p w14:paraId="18C661AE">
                  <w:pPr>
                    <w:adjustRightInd w:val="0"/>
                    <w:snapToGrid w:val="0"/>
                    <w:jc w:val="center"/>
                    <w:rPr>
                      <w:rFonts w:hint="default" w:ascii="Times New Roman" w:hAnsi="Times New Roman" w:eastAsia="宋体" w:cs="Times New Roman"/>
                      <w:sz w:val="21"/>
                      <w:szCs w:val="21"/>
                    </w:rPr>
                  </w:pPr>
                </w:p>
              </w:tc>
              <w:tc>
                <w:tcPr>
                  <w:tcW w:w="400" w:type="pct"/>
                  <w:tcBorders>
                    <w:tl2br w:val="nil"/>
                    <w:tr2bl w:val="nil"/>
                  </w:tcBorders>
                  <w:shd w:val="clear" w:color="auto" w:fill="auto"/>
                  <w:vAlign w:val="center"/>
                </w:tcPr>
                <w:p w14:paraId="0D9E0557">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w:t>
                  </w:r>
                  <w:r>
                    <w:rPr>
                      <w:rFonts w:hint="default" w:ascii="Times New Roman" w:hAnsi="Times New Roman" w:eastAsia="宋体" w:cs="Times New Roman"/>
                      <w:sz w:val="21"/>
                      <w:szCs w:val="21"/>
                      <w:vertAlign w:val="subscript"/>
                    </w:rPr>
                    <w:t>2</w:t>
                  </w:r>
                </w:p>
              </w:tc>
              <w:tc>
                <w:tcPr>
                  <w:tcW w:w="1075" w:type="pct"/>
                  <w:tcBorders>
                    <w:tl2br w:val="nil"/>
                    <w:tr2bl w:val="nil"/>
                  </w:tcBorders>
                  <w:shd w:val="clear" w:color="auto" w:fill="auto"/>
                  <w:vAlign w:val="center"/>
                </w:tcPr>
                <w:p w14:paraId="023F85C5">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废活性炭</w:t>
                  </w:r>
                </w:p>
              </w:tc>
              <w:tc>
                <w:tcPr>
                  <w:tcW w:w="1210" w:type="pct"/>
                  <w:tcBorders>
                    <w:tl2br w:val="nil"/>
                    <w:tr2bl w:val="nil"/>
                  </w:tcBorders>
                  <w:shd w:val="clear" w:color="auto" w:fill="auto"/>
                  <w:vAlign w:val="center"/>
                </w:tcPr>
                <w:p w14:paraId="59FB7BA8">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废气处理</w:t>
                  </w:r>
                </w:p>
              </w:tc>
              <w:tc>
                <w:tcPr>
                  <w:tcW w:w="1500" w:type="pct"/>
                  <w:tcBorders>
                    <w:tl2br w:val="nil"/>
                    <w:tr2bl w:val="nil"/>
                  </w:tcBorders>
                  <w:shd w:val="clear" w:color="auto" w:fill="auto"/>
                  <w:vAlign w:val="center"/>
                </w:tcPr>
                <w:p w14:paraId="1FC3B281">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活性炭、有机物</w:t>
                  </w:r>
                </w:p>
              </w:tc>
            </w:tr>
            <w:tr w14:paraId="4F313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812" w:type="pct"/>
                  <w:vMerge w:val="continue"/>
                  <w:tcBorders>
                    <w:tl2br w:val="nil"/>
                    <w:tr2bl w:val="nil"/>
                  </w:tcBorders>
                  <w:shd w:val="clear" w:color="auto" w:fill="auto"/>
                  <w:vAlign w:val="center"/>
                </w:tcPr>
                <w:p w14:paraId="6A885B88">
                  <w:pPr>
                    <w:adjustRightInd w:val="0"/>
                    <w:snapToGrid w:val="0"/>
                    <w:jc w:val="center"/>
                    <w:rPr>
                      <w:rFonts w:hint="default" w:ascii="Times New Roman" w:hAnsi="Times New Roman" w:eastAsia="宋体" w:cs="Times New Roman"/>
                      <w:sz w:val="21"/>
                      <w:szCs w:val="21"/>
                    </w:rPr>
                  </w:pPr>
                </w:p>
              </w:tc>
              <w:tc>
                <w:tcPr>
                  <w:tcW w:w="400" w:type="pct"/>
                  <w:tcBorders>
                    <w:tl2br w:val="nil"/>
                    <w:tr2bl w:val="nil"/>
                  </w:tcBorders>
                  <w:shd w:val="clear" w:color="auto" w:fill="auto"/>
                  <w:vAlign w:val="center"/>
                </w:tcPr>
                <w:p w14:paraId="0C2C51D1">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w:t>
                  </w:r>
                  <w:r>
                    <w:rPr>
                      <w:rFonts w:hint="default" w:ascii="Times New Roman" w:hAnsi="Times New Roman" w:eastAsia="宋体" w:cs="Times New Roman"/>
                      <w:sz w:val="21"/>
                      <w:szCs w:val="21"/>
                      <w:vertAlign w:val="subscript"/>
                    </w:rPr>
                    <w:t>3</w:t>
                  </w:r>
                </w:p>
              </w:tc>
              <w:tc>
                <w:tcPr>
                  <w:tcW w:w="1075" w:type="pct"/>
                  <w:tcBorders>
                    <w:tl2br w:val="nil"/>
                    <w:tr2bl w:val="nil"/>
                  </w:tcBorders>
                  <w:shd w:val="clear" w:color="auto" w:fill="auto"/>
                  <w:vAlign w:val="center"/>
                </w:tcPr>
                <w:p w14:paraId="1B4B7780">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除尘器收集的粉尘</w:t>
                  </w:r>
                </w:p>
              </w:tc>
              <w:tc>
                <w:tcPr>
                  <w:tcW w:w="1210" w:type="pct"/>
                  <w:tcBorders>
                    <w:tl2br w:val="nil"/>
                    <w:tr2bl w:val="nil"/>
                  </w:tcBorders>
                  <w:shd w:val="clear" w:color="auto" w:fill="auto"/>
                  <w:vAlign w:val="center"/>
                </w:tcPr>
                <w:p w14:paraId="3934224C">
                  <w:pPr>
                    <w:adjustRightInd w:val="0"/>
                    <w:snapToGrid w:val="0"/>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z w:val="21"/>
                      <w:szCs w:val="21"/>
                    </w:rPr>
                    <w:t>废气处理</w:t>
                  </w:r>
                </w:p>
              </w:tc>
              <w:tc>
                <w:tcPr>
                  <w:tcW w:w="1500" w:type="pct"/>
                  <w:tcBorders>
                    <w:tl2br w:val="nil"/>
                    <w:tr2bl w:val="nil"/>
                  </w:tcBorders>
                  <w:shd w:val="clear" w:color="auto" w:fill="auto"/>
                  <w:vAlign w:val="center"/>
                </w:tcPr>
                <w:p w14:paraId="20148B50">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粉尘</w:t>
                  </w:r>
                </w:p>
              </w:tc>
            </w:tr>
            <w:tr w14:paraId="7AF1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812" w:type="pct"/>
                  <w:vMerge w:val="continue"/>
                  <w:tcBorders>
                    <w:tl2br w:val="nil"/>
                    <w:tr2bl w:val="nil"/>
                  </w:tcBorders>
                  <w:shd w:val="clear" w:color="auto" w:fill="auto"/>
                  <w:vAlign w:val="center"/>
                </w:tcPr>
                <w:p w14:paraId="2F0D5AE1">
                  <w:pPr>
                    <w:adjustRightInd w:val="0"/>
                    <w:snapToGrid w:val="0"/>
                    <w:jc w:val="center"/>
                    <w:rPr>
                      <w:rFonts w:hint="default" w:ascii="Times New Roman" w:hAnsi="Times New Roman" w:eastAsia="宋体" w:cs="Times New Roman"/>
                      <w:sz w:val="21"/>
                      <w:szCs w:val="21"/>
                    </w:rPr>
                  </w:pPr>
                </w:p>
              </w:tc>
              <w:tc>
                <w:tcPr>
                  <w:tcW w:w="400" w:type="pct"/>
                  <w:tcBorders>
                    <w:tl2br w:val="nil"/>
                    <w:tr2bl w:val="nil"/>
                  </w:tcBorders>
                  <w:shd w:val="clear" w:color="auto" w:fill="auto"/>
                  <w:vAlign w:val="center"/>
                </w:tcPr>
                <w:p w14:paraId="2E644800">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w:t>
                  </w:r>
                  <w:r>
                    <w:rPr>
                      <w:rFonts w:hint="default" w:ascii="Times New Roman" w:hAnsi="Times New Roman" w:eastAsia="宋体" w:cs="Times New Roman"/>
                      <w:sz w:val="21"/>
                      <w:szCs w:val="21"/>
                      <w:vertAlign w:val="subscript"/>
                    </w:rPr>
                    <w:t>4</w:t>
                  </w:r>
                </w:p>
              </w:tc>
              <w:tc>
                <w:tcPr>
                  <w:tcW w:w="1075" w:type="pct"/>
                  <w:tcBorders>
                    <w:tl2br w:val="nil"/>
                    <w:tr2bl w:val="nil"/>
                  </w:tcBorders>
                  <w:shd w:val="clear" w:color="auto" w:fill="auto"/>
                  <w:vAlign w:val="center"/>
                </w:tcPr>
                <w:p w14:paraId="582AEECE">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边角料</w:t>
                  </w:r>
                </w:p>
              </w:tc>
              <w:tc>
                <w:tcPr>
                  <w:tcW w:w="1210" w:type="pct"/>
                  <w:tcBorders>
                    <w:tl2br w:val="nil"/>
                    <w:tr2bl w:val="nil"/>
                  </w:tcBorders>
                  <w:shd w:val="clear" w:color="auto" w:fill="auto"/>
                  <w:vAlign w:val="center"/>
                </w:tcPr>
                <w:p w14:paraId="021847A1">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修剪</w:t>
                  </w:r>
                </w:p>
              </w:tc>
              <w:tc>
                <w:tcPr>
                  <w:tcW w:w="1500" w:type="pct"/>
                  <w:tcBorders>
                    <w:tl2br w:val="nil"/>
                    <w:tr2bl w:val="nil"/>
                  </w:tcBorders>
                  <w:shd w:val="clear" w:color="auto" w:fill="auto"/>
                  <w:vAlign w:val="center"/>
                </w:tcPr>
                <w:p w14:paraId="7880A973">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边角料</w:t>
                  </w:r>
                </w:p>
              </w:tc>
            </w:tr>
            <w:tr w14:paraId="51D8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812" w:type="pct"/>
                  <w:vMerge w:val="continue"/>
                  <w:tcBorders>
                    <w:tl2br w:val="nil"/>
                    <w:tr2bl w:val="nil"/>
                  </w:tcBorders>
                  <w:shd w:val="clear" w:color="auto" w:fill="auto"/>
                  <w:vAlign w:val="center"/>
                </w:tcPr>
                <w:p w14:paraId="09EA274F">
                  <w:pPr>
                    <w:adjustRightInd w:val="0"/>
                    <w:snapToGrid w:val="0"/>
                    <w:jc w:val="center"/>
                    <w:rPr>
                      <w:rFonts w:hint="default" w:ascii="Times New Roman" w:hAnsi="Times New Roman" w:eastAsia="宋体" w:cs="Times New Roman"/>
                      <w:sz w:val="21"/>
                      <w:szCs w:val="21"/>
                    </w:rPr>
                  </w:pPr>
                </w:p>
              </w:tc>
              <w:tc>
                <w:tcPr>
                  <w:tcW w:w="400" w:type="pct"/>
                  <w:tcBorders>
                    <w:tl2br w:val="nil"/>
                    <w:tr2bl w:val="nil"/>
                  </w:tcBorders>
                  <w:shd w:val="clear" w:color="auto" w:fill="auto"/>
                  <w:vAlign w:val="center"/>
                </w:tcPr>
                <w:p w14:paraId="440C3223">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w:t>
                  </w:r>
                  <w:r>
                    <w:rPr>
                      <w:rFonts w:hint="default" w:ascii="Times New Roman" w:hAnsi="Times New Roman" w:eastAsia="宋体" w:cs="Times New Roman"/>
                      <w:sz w:val="21"/>
                      <w:szCs w:val="21"/>
                      <w:vertAlign w:val="subscript"/>
                    </w:rPr>
                    <w:t>5</w:t>
                  </w:r>
                </w:p>
              </w:tc>
              <w:tc>
                <w:tcPr>
                  <w:tcW w:w="1075" w:type="pct"/>
                  <w:tcBorders>
                    <w:tl2br w:val="nil"/>
                    <w:tr2bl w:val="nil"/>
                  </w:tcBorders>
                  <w:shd w:val="clear" w:color="auto" w:fill="auto"/>
                  <w:vAlign w:val="center"/>
                </w:tcPr>
                <w:p w14:paraId="07D56C01">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废油桶</w:t>
                  </w:r>
                </w:p>
              </w:tc>
              <w:tc>
                <w:tcPr>
                  <w:tcW w:w="1210" w:type="pct"/>
                  <w:tcBorders>
                    <w:tl2br w:val="nil"/>
                    <w:tr2bl w:val="nil"/>
                  </w:tcBorders>
                  <w:shd w:val="clear" w:color="auto" w:fill="auto"/>
                  <w:vAlign w:val="center"/>
                </w:tcPr>
                <w:p w14:paraId="497501CF">
                  <w:pPr>
                    <w:adjustRightInd w:val="0"/>
                    <w:snapToGrid w:val="0"/>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sz w:val="21"/>
                      <w:szCs w:val="21"/>
                      <w:lang w:val="en-US" w:eastAsia="zh-CN"/>
                    </w:rPr>
                    <w:t>抗磨压油拆包</w:t>
                  </w:r>
                </w:p>
              </w:tc>
              <w:tc>
                <w:tcPr>
                  <w:tcW w:w="1500" w:type="pct"/>
                  <w:tcBorders>
                    <w:tl2br w:val="nil"/>
                    <w:tr2bl w:val="nil"/>
                  </w:tcBorders>
                  <w:shd w:val="clear" w:color="auto" w:fill="auto"/>
                  <w:vAlign w:val="center"/>
                </w:tcPr>
                <w:p w14:paraId="2C5700E3">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铁桶、矿物油</w:t>
                  </w:r>
                </w:p>
              </w:tc>
            </w:tr>
            <w:tr w14:paraId="632FB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812" w:type="pct"/>
                  <w:vMerge w:val="continue"/>
                  <w:tcBorders>
                    <w:tl2br w:val="nil"/>
                    <w:tr2bl w:val="nil"/>
                  </w:tcBorders>
                  <w:shd w:val="clear" w:color="auto" w:fill="auto"/>
                  <w:vAlign w:val="center"/>
                </w:tcPr>
                <w:p w14:paraId="00D7470D">
                  <w:pPr>
                    <w:adjustRightInd w:val="0"/>
                    <w:snapToGrid w:val="0"/>
                    <w:jc w:val="center"/>
                    <w:rPr>
                      <w:rFonts w:hint="default" w:ascii="Times New Roman" w:hAnsi="Times New Roman" w:eastAsia="宋体" w:cs="Times New Roman"/>
                      <w:sz w:val="21"/>
                      <w:szCs w:val="21"/>
                    </w:rPr>
                  </w:pPr>
                </w:p>
              </w:tc>
              <w:tc>
                <w:tcPr>
                  <w:tcW w:w="400" w:type="pct"/>
                  <w:tcBorders>
                    <w:tl2br w:val="nil"/>
                    <w:tr2bl w:val="nil"/>
                  </w:tcBorders>
                  <w:shd w:val="clear" w:color="auto" w:fill="auto"/>
                  <w:vAlign w:val="center"/>
                </w:tcPr>
                <w:p w14:paraId="3E7B98A4">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w:t>
                  </w:r>
                  <w:r>
                    <w:rPr>
                      <w:rFonts w:hint="eastAsia" w:ascii="Times New Roman" w:hAnsi="Times New Roman" w:eastAsia="宋体" w:cs="Times New Roman"/>
                      <w:sz w:val="21"/>
                      <w:szCs w:val="21"/>
                      <w:vertAlign w:val="subscript"/>
                      <w:lang w:val="en-US" w:eastAsia="zh-CN"/>
                    </w:rPr>
                    <w:t>6</w:t>
                  </w:r>
                </w:p>
              </w:tc>
              <w:tc>
                <w:tcPr>
                  <w:tcW w:w="1075" w:type="pct"/>
                  <w:tcBorders>
                    <w:tl2br w:val="nil"/>
                    <w:tr2bl w:val="nil"/>
                  </w:tcBorders>
                  <w:shd w:val="clear" w:color="auto" w:fill="auto"/>
                  <w:vAlign w:val="center"/>
                </w:tcPr>
                <w:p w14:paraId="766A9FA7">
                  <w:pPr>
                    <w:adjustRightInd w:val="0"/>
                    <w:snapToGrid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废矿物油</w:t>
                  </w:r>
                </w:p>
              </w:tc>
              <w:tc>
                <w:tcPr>
                  <w:tcW w:w="1210" w:type="pct"/>
                  <w:tcBorders>
                    <w:tl2br w:val="nil"/>
                    <w:tr2bl w:val="nil"/>
                  </w:tcBorders>
                  <w:shd w:val="clear" w:color="auto" w:fill="auto"/>
                  <w:vAlign w:val="center"/>
                </w:tcPr>
                <w:p w14:paraId="1782F16F">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抗磨压油更换</w:t>
                  </w:r>
                </w:p>
              </w:tc>
              <w:tc>
                <w:tcPr>
                  <w:tcW w:w="1500" w:type="pct"/>
                  <w:tcBorders>
                    <w:tl2br w:val="nil"/>
                    <w:tr2bl w:val="nil"/>
                  </w:tcBorders>
                  <w:shd w:val="clear" w:color="auto" w:fill="auto"/>
                  <w:vAlign w:val="center"/>
                </w:tcPr>
                <w:p w14:paraId="720DE4CE">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矿物油</w:t>
                  </w:r>
                </w:p>
              </w:tc>
            </w:tr>
            <w:tr w14:paraId="26475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atLeast"/>
                <w:jc w:val="center"/>
              </w:trPr>
              <w:tc>
                <w:tcPr>
                  <w:tcW w:w="812" w:type="pct"/>
                  <w:vMerge w:val="continue"/>
                  <w:tcBorders>
                    <w:tl2br w:val="nil"/>
                    <w:tr2bl w:val="nil"/>
                  </w:tcBorders>
                  <w:shd w:val="clear" w:color="auto" w:fill="auto"/>
                  <w:vAlign w:val="center"/>
                </w:tcPr>
                <w:p w14:paraId="70F92D70">
                  <w:pPr>
                    <w:adjustRightInd w:val="0"/>
                    <w:snapToGrid w:val="0"/>
                    <w:jc w:val="center"/>
                    <w:rPr>
                      <w:rFonts w:hint="default" w:ascii="Times New Roman" w:hAnsi="Times New Roman" w:eastAsia="宋体" w:cs="Times New Roman"/>
                      <w:sz w:val="21"/>
                      <w:szCs w:val="21"/>
                    </w:rPr>
                  </w:pPr>
                </w:p>
              </w:tc>
              <w:tc>
                <w:tcPr>
                  <w:tcW w:w="400" w:type="pct"/>
                  <w:tcBorders>
                    <w:tl2br w:val="nil"/>
                    <w:tr2bl w:val="nil"/>
                  </w:tcBorders>
                  <w:shd w:val="clear" w:color="auto" w:fill="auto"/>
                  <w:vAlign w:val="center"/>
                </w:tcPr>
                <w:p w14:paraId="17A7830F">
                  <w:pPr>
                    <w:adjustRightInd w:val="0"/>
                    <w:snapToGrid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S</w:t>
                  </w:r>
                  <w:r>
                    <w:rPr>
                      <w:rFonts w:hint="eastAsia" w:ascii="Times New Roman" w:hAnsi="Times New Roman" w:eastAsia="宋体" w:cs="Times New Roman"/>
                      <w:sz w:val="21"/>
                      <w:szCs w:val="21"/>
                      <w:vertAlign w:val="subscript"/>
                      <w:lang w:val="en-US" w:eastAsia="zh-CN"/>
                    </w:rPr>
                    <w:t>7</w:t>
                  </w:r>
                </w:p>
              </w:tc>
              <w:tc>
                <w:tcPr>
                  <w:tcW w:w="1075" w:type="pct"/>
                  <w:tcBorders>
                    <w:tl2br w:val="nil"/>
                    <w:tr2bl w:val="nil"/>
                  </w:tcBorders>
                  <w:shd w:val="clear" w:color="auto" w:fill="auto"/>
                  <w:vAlign w:val="center"/>
                </w:tcPr>
                <w:p w14:paraId="105B8535">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生活垃圾</w:t>
                  </w:r>
                </w:p>
              </w:tc>
              <w:tc>
                <w:tcPr>
                  <w:tcW w:w="1210" w:type="pct"/>
                  <w:tcBorders>
                    <w:tl2br w:val="nil"/>
                    <w:tr2bl w:val="nil"/>
                  </w:tcBorders>
                  <w:shd w:val="clear" w:color="auto" w:fill="auto"/>
                  <w:vAlign w:val="center"/>
                </w:tcPr>
                <w:p w14:paraId="221202EB">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职工生活</w:t>
                  </w:r>
                </w:p>
              </w:tc>
              <w:tc>
                <w:tcPr>
                  <w:tcW w:w="1500" w:type="pct"/>
                  <w:tcBorders>
                    <w:tl2br w:val="nil"/>
                    <w:tr2bl w:val="nil"/>
                  </w:tcBorders>
                  <w:shd w:val="clear" w:color="auto" w:fill="auto"/>
                  <w:vAlign w:val="center"/>
                </w:tcPr>
                <w:p w14:paraId="2806C1D9">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果皮、纸屑等</w:t>
                  </w:r>
                </w:p>
              </w:tc>
            </w:tr>
            <w:tr w14:paraId="558D1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369" w:hRule="atLeast"/>
                <w:jc w:val="center"/>
              </w:trPr>
              <w:tc>
                <w:tcPr>
                  <w:tcW w:w="812" w:type="pct"/>
                  <w:tcBorders>
                    <w:tl2br w:val="nil"/>
                    <w:tr2bl w:val="nil"/>
                  </w:tcBorders>
                  <w:shd w:val="clear" w:color="auto" w:fill="auto"/>
                  <w:vAlign w:val="center"/>
                </w:tcPr>
                <w:p w14:paraId="1A1943F1">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400" w:type="pct"/>
                  <w:tcBorders>
                    <w:tl2br w:val="nil"/>
                    <w:tr2bl w:val="nil"/>
                  </w:tcBorders>
                  <w:shd w:val="clear" w:color="auto" w:fill="auto"/>
                  <w:vAlign w:val="center"/>
                </w:tcPr>
                <w:p w14:paraId="56503A4F">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w:t>
                  </w:r>
                  <w:r>
                    <w:rPr>
                      <w:rFonts w:hint="default" w:ascii="Times New Roman" w:hAnsi="Times New Roman" w:eastAsia="宋体" w:cs="Times New Roman"/>
                      <w:sz w:val="21"/>
                      <w:szCs w:val="21"/>
                      <w:vertAlign w:val="subscript"/>
                    </w:rPr>
                    <w:t>1</w:t>
                  </w:r>
                </w:p>
              </w:tc>
              <w:tc>
                <w:tcPr>
                  <w:tcW w:w="1075" w:type="pct"/>
                  <w:tcBorders>
                    <w:tl2br w:val="nil"/>
                    <w:tr2bl w:val="nil"/>
                  </w:tcBorders>
                  <w:shd w:val="clear" w:color="auto" w:fill="auto"/>
                  <w:vAlign w:val="center"/>
                </w:tcPr>
                <w:p w14:paraId="5ED9C6A8">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设备噪声</w:t>
                  </w:r>
                </w:p>
              </w:tc>
              <w:tc>
                <w:tcPr>
                  <w:tcW w:w="1210" w:type="pct"/>
                  <w:tcBorders>
                    <w:tl2br w:val="nil"/>
                    <w:tr2bl w:val="nil"/>
                  </w:tcBorders>
                  <w:shd w:val="clear" w:color="auto" w:fill="auto"/>
                  <w:vAlign w:val="center"/>
                </w:tcPr>
                <w:p w14:paraId="63A712B1">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各类机械设备运转</w:t>
                  </w:r>
                </w:p>
              </w:tc>
              <w:tc>
                <w:tcPr>
                  <w:tcW w:w="1500" w:type="pct"/>
                  <w:tcBorders>
                    <w:tl2br w:val="nil"/>
                    <w:tr2bl w:val="nil"/>
                  </w:tcBorders>
                  <w:shd w:val="clear" w:color="auto" w:fill="auto"/>
                  <w:vAlign w:val="center"/>
                </w:tcPr>
                <w:p w14:paraId="1B84ED37">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Leq(A)</w:t>
                  </w:r>
                </w:p>
              </w:tc>
            </w:tr>
          </w:tbl>
          <w:p w14:paraId="4C2A3049">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   </w:t>
            </w:r>
          </w:p>
        </w:tc>
      </w:tr>
      <w:tr w14:paraId="447B9E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713" w:type="dxa"/>
            <w:vAlign w:val="center"/>
          </w:tcPr>
          <w:p w14:paraId="73E0E1DF">
            <w:pPr>
              <w:jc w:val="center"/>
              <w:rPr>
                <w:rFonts w:hint="default" w:ascii="Times New Roman" w:hAnsi="Times New Roman" w:cs="Times New Roman"/>
                <w:color w:val="auto"/>
                <w:szCs w:val="21"/>
              </w:rPr>
            </w:pPr>
            <w:r>
              <w:rPr>
                <w:rFonts w:hint="default" w:ascii="Times New Roman" w:hAnsi="Times New Roman" w:cs="Times New Roman"/>
                <w:color w:val="auto"/>
              </w:rPr>
              <w:t>与项目有关的原有环境污染问题</w:t>
            </w:r>
          </w:p>
        </w:tc>
        <w:tc>
          <w:tcPr>
            <w:tcW w:w="9577" w:type="dxa"/>
            <w:vAlign w:val="center"/>
          </w:tcPr>
          <w:p w14:paraId="73DE9715">
            <w:pPr>
              <w:keepNext w:val="0"/>
              <w:keepLines w:val="0"/>
              <w:pageBreakBefore w:val="0"/>
              <w:widowControl w:val="0"/>
              <w:kinsoku/>
              <w:wordWrap/>
              <w:overflowPunct w:val="0"/>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本项目为新建项目，</w:t>
            </w:r>
            <w:r>
              <w:rPr>
                <w:rFonts w:hint="eastAsia" w:ascii="Times New Roman" w:hAnsi="Times New Roman" w:cs="Times New Roman"/>
                <w:color w:val="auto"/>
                <w:sz w:val="24"/>
                <w:szCs w:val="24"/>
                <w:lang w:val="en-US" w:eastAsia="zh-CN"/>
              </w:rPr>
              <w:t>租赁厂房</w:t>
            </w:r>
            <w:r>
              <w:rPr>
                <w:rFonts w:hint="default" w:ascii="Times New Roman" w:hAnsi="Times New Roman" w:cs="Times New Roman"/>
                <w:color w:val="auto"/>
                <w:sz w:val="24"/>
                <w:szCs w:val="24"/>
                <w:lang w:val="en-US" w:eastAsia="zh-CN"/>
              </w:rPr>
              <w:t>为空置厂房，</w:t>
            </w:r>
            <w:r>
              <w:rPr>
                <w:rFonts w:hint="default" w:ascii="Times New Roman" w:hAnsi="Times New Roman" w:eastAsia="宋体" w:cs="Times New Roman"/>
                <w:color w:val="auto"/>
                <w:sz w:val="24"/>
                <w:szCs w:val="24"/>
                <w:lang w:val="en-US" w:eastAsia="zh-CN"/>
              </w:rPr>
              <w:t>因此不存在与本项目相关的原有污染情况及主要环境问题</w:t>
            </w:r>
            <w:r>
              <w:rPr>
                <w:rFonts w:hint="default" w:ascii="Times New Roman" w:hAnsi="Times New Roman" w:cs="Times New Roman"/>
                <w:color w:val="auto"/>
                <w:sz w:val="24"/>
                <w:szCs w:val="24"/>
                <w:lang w:val="en-US" w:eastAsia="zh-CN"/>
              </w:rPr>
              <w:t>。</w:t>
            </w:r>
          </w:p>
          <w:p w14:paraId="26AB9950">
            <w:pPr>
              <w:keepNext w:val="0"/>
              <w:keepLines w:val="0"/>
              <w:pageBreakBefore w:val="0"/>
              <w:widowControl w:val="0"/>
              <w:kinsoku/>
              <w:wordWrap/>
              <w:overflowPunct w:val="0"/>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p>
          <w:p w14:paraId="19C6C421">
            <w:pPr>
              <w:keepNext w:val="0"/>
              <w:keepLines w:val="0"/>
              <w:pageBreakBefore w:val="0"/>
              <w:widowControl w:val="0"/>
              <w:kinsoku/>
              <w:wordWrap/>
              <w:overflowPunct w:val="0"/>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p>
          <w:p w14:paraId="3BB0F254">
            <w:pPr>
              <w:keepNext w:val="0"/>
              <w:keepLines w:val="0"/>
              <w:pageBreakBefore w:val="0"/>
              <w:widowControl w:val="0"/>
              <w:kinsoku/>
              <w:wordWrap/>
              <w:overflowPunct w:val="0"/>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p>
          <w:p w14:paraId="7A5A8C61">
            <w:pPr>
              <w:keepNext w:val="0"/>
              <w:keepLines w:val="0"/>
              <w:pageBreakBefore w:val="0"/>
              <w:widowControl w:val="0"/>
              <w:kinsoku/>
              <w:wordWrap/>
              <w:overflowPunct w:val="0"/>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p>
          <w:p w14:paraId="58395800">
            <w:pPr>
              <w:keepNext w:val="0"/>
              <w:keepLines w:val="0"/>
              <w:pageBreakBefore w:val="0"/>
              <w:widowControl w:val="0"/>
              <w:kinsoku/>
              <w:wordWrap/>
              <w:overflowPunct w:val="0"/>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p>
          <w:p w14:paraId="119700C2">
            <w:pPr>
              <w:keepNext w:val="0"/>
              <w:keepLines w:val="0"/>
              <w:pageBreakBefore w:val="0"/>
              <w:widowControl w:val="0"/>
              <w:kinsoku/>
              <w:wordWrap/>
              <w:overflowPunct w:val="0"/>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p>
          <w:p w14:paraId="4E712823">
            <w:pPr>
              <w:keepNext w:val="0"/>
              <w:keepLines w:val="0"/>
              <w:pageBreakBefore w:val="0"/>
              <w:widowControl w:val="0"/>
              <w:kinsoku/>
              <w:wordWrap/>
              <w:overflowPunct w:val="0"/>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p>
          <w:p w14:paraId="687A5A65">
            <w:pPr>
              <w:pStyle w:val="45"/>
              <w:ind w:firstLine="0" w:firstLineChars="0"/>
              <w:rPr>
                <w:rFonts w:hint="default" w:ascii="Times New Roman" w:hAnsi="Times New Roman" w:cs="Times New Roman"/>
                <w:color w:val="auto"/>
                <w:sz w:val="21"/>
                <w:szCs w:val="21"/>
              </w:rPr>
            </w:pPr>
          </w:p>
        </w:tc>
      </w:tr>
    </w:tbl>
    <w:p w14:paraId="3DB5DB47">
      <w:pPr>
        <w:keepNext w:val="0"/>
        <w:keepLines w:val="0"/>
        <w:pageBreakBefore/>
        <w:widowControl w:val="0"/>
        <w:kinsoku/>
        <w:wordWrap/>
        <w:overflowPunct/>
        <w:topLinePunct w:val="0"/>
        <w:autoSpaceDE/>
        <w:autoSpaceDN/>
        <w:bidi w:val="0"/>
        <w:adjustRightInd/>
        <w:snapToGrid/>
        <w:jc w:val="left"/>
        <w:textAlignment w:val="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三、区域环境质量现状、环境保护目标及评价标准</w:t>
      </w:r>
    </w:p>
    <w:tbl>
      <w:tblPr>
        <w:tblStyle w:val="32"/>
        <w:tblW w:w="102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9580"/>
      </w:tblGrid>
      <w:tr w14:paraId="5AC85A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45" w:hRule="atLeast"/>
          <w:jc w:val="center"/>
        </w:trPr>
        <w:tc>
          <w:tcPr>
            <w:tcW w:w="717" w:type="dxa"/>
            <w:vAlign w:val="center"/>
          </w:tcPr>
          <w:p w14:paraId="3D897B1A">
            <w:pPr>
              <w:jc w:val="center"/>
              <w:rPr>
                <w:rFonts w:hint="default" w:ascii="Times New Roman" w:hAnsi="Times New Roman" w:cs="Times New Roman"/>
                <w:color w:val="auto"/>
                <w:szCs w:val="21"/>
              </w:rPr>
            </w:pPr>
            <w:r>
              <w:rPr>
                <w:rFonts w:hint="default" w:ascii="Times New Roman" w:hAnsi="Times New Roman" w:cs="Times New Roman"/>
                <w:color w:val="auto"/>
                <w:szCs w:val="21"/>
              </w:rPr>
              <w:t>区域环境质量现状</w:t>
            </w:r>
          </w:p>
        </w:tc>
        <w:tc>
          <w:tcPr>
            <w:tcW w:w="8637" w:type="dxa"/>
            <w:vAlign w:val="center"/>
          </w:tcPr>
          <w:p w14:paraId="12AB1BFA">
            <w:pPr>
              <w:widowControl/>
              <w:spacing w:line="360" w:lineRule="auto"/>
              <w:ind w:firstLine="482" w:firstLineChars="200"/>
              <w:jc w:val="both"/>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1、大气环境</w:t>
            </w:r>
          </w:p>
          <w:p w14:paraId="4CE37DAB">
            <w:pPr>
              <w:widowControl/>
              <w:spacing w:line="360" w:lineRule="auto"/>
              <w:ind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b w:val="0"/>
                <w:bCs/>
                <w:color w:val="auto"/>
                <w:kern w:val="1"/>
                <w:sz w:val="24"/>
                <w:szCs w:val="24"/>
                <w:lang w:val="en-US" w:eastAsia="zh-CN"/>
              </w:rPr>
              <w:t>基本</w:t>
            </w:r>
            <w:r>
              <w:rPr>
                <w:rFonts w:hint="default" w:ascii="Times New Roman" w:hAnsi="Times New Roman" w:eastAsia="宋体" w:cs="Times New Roman"/>
                <w:b w:val="0"/>
                <w:bCs/>
                <w:color w:val="auto"/>
                <w:kern w:val="1"/>
                <w:sz w:val="24"/>
                <w:szCs w:val="24"/>
              </w:rPr>
              <w:t>污染物环境质量现状</w:t>
            </w:r>
          </w:p>
          <w:p w14:paraId="6E17745E">
            <w:pPr>
              <w:spacing w:line="360" w:lineRule="auto"/>
              <w:ind w:firstLine="480" w:firstLineChars="200"/>
              <w:jc w:val="both"/>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、CO和O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环境质量现状引用《</w:t>
            </w:r>
            <w:r>
              <w:rPr>
                <w:rFonts w:hint="default" w:ascii="Times New Roman" w:hAnsi="Times New Roman" w:eastAsia="宋体" w:cs="Times New Roman"/>
                <w:color w:val="auto"/>
                <w:sz w:val="24"/>
                <w:szCs w:val="24"/>
                <w:lang w:val="en-US" w:eastAsia="zh-CN"/>
              </w:rPr>
              <w:t>宿州市2024年环境质量状况报告</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宿州市</w:t>
            </w:r>
            <w:r>
              <w:rPr>
                <w:rFonts w:hint="default" w:ascii="Times New Roman" w:hAnsi="Times New Roman" w:eastAsia="宋体" w:cs="Times New Roman"/>
                <w:color w:val="auto"/>
                <w:sz w:val="24"/>
                <w:szCs w:val="24"/>
                <w:lang w:eastAsia="zh-CN"/>
              </w:rPr>
              <w:t>生态环境局，</w:t>
            </w:r>
            <w:r>
              <w:rPr>
                <w:rFonts w:hint="default" w:ascii="Times New Roman" w:hAnsi="Times New Roman" w:eastAsia="宋体" w:cs="Times New Roman"/>
                <w:color w:val="auto"/>
                <w:sz w:val="24"/>
                <w:szCs w:val="24"/>
                <w:lang w:val="en-US" w:eastAsia="zh-CN"/>
              </w:rPr>
              <w:t>2025年11月24日</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中数</w:t>
            </w:r>
            <w:r>
              <w:rPr>
                <w:rFonts w:hint="default" w:ascii="Times New Roman" w:hAnsi="Times New Roman" w:eastAsia="宋体" w:cs="Times New Roman"/>
                <w:color w:val="auto"/>
                <w:sz w:val="24"/>
                <w:szCs w:val="24"/>
                <w:lang w:val="en-US" w:eastAsia="zh-CN"/>
              </w:rPr>
              <w:t>据：“</w:t>
            </w:r>
            <w:r>
              <w:rPr>
                <w:rFonts w:hint="default" w:ascii="Times New Roman" w:hAnsi="Times New Roman" w:cs="Times New Roman" w:eastAsiaTheme="minorEastAsia"/>
                <w:color w:val="auto"/>
                <w:kern w:val="2"/>
                <w:sz w:val="24"/>
                <w:szCs w:val="24"/>
                <w:lang w:val="en-US" w:eastAsia="zh-CN" w:bidi="ar-SA"/>
              </w:rPr>
              <w:t>2024年，宿州市环境空气中细颗粒物（PM</w:t>
            </w:r>
            <w:r>
              <w:rPr>
                <w:rFonts w:hint="default" w:ascii="Times New Roman" w:hAnsi="Times New Roman" w:cs="Times New Roman" w:eastAsiaTheme="minorEastAsia"/>
                <w:color w:val="auto"/>
                <w:kern w:val="2"/>
                <w:sz w:val="24"/>
                <w:szCs w:val="24"/>
                <w:vertAlign w:val="subscript"/>
                <w:lang w:val="en-US" w:eastAsia="zh-CN" w:bidi="ar-SA"/>
              </w:rPr>
              <w:t>2.5</w:t>
            </w:r>
            <w:r>
              <w:rPr>
                <w:rFonts w:hint="default" w:ascii="Times New Roman" w:hAnsi="Times New Roman" w:cs="Times New Roman" w:eastAsiaTheme="minorEastAsia"/>
                <w:color w:val="auto"/>
                <w:kern w:val="2"/>
                <w:sz w:val="24"/>
                <w:szCs w:val="24"/>
                <w:lang w:val="en-US" w:eastAsia="zh-CN" w:bidi="ar-SA"/>
              </w:rPr>
              <w:t>）年平均浓度为42.9微克/立方米；全市空气质量优良天数比率为74.9%，好于省年度考核目标1.6个百分点，优良天数改善幅度全省第一</w:t>
            </w:r>
            <w:r>
              <w:rPr>
                <w:rFonts w:hint="default"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sz w:val="24"/>
                <w:szCs w:val="24"/>
                <w:lang w:val="en-US" w:eastAsia="zh-CN"/>
              </w:rPr>
              <w:t>”</w:t>
            </w:r>
          </w:p>
          <w:p w14:paraId="182F51D6">
            <w:pPr>
              <w:pStyle w:val="50"/>
              <w:autoSpaceDE w:val="0"/>
              <w:autoSpaceDN w:val="0"/>
              <w:adjustRightInd w:val="0"/>
              <w:snapToGrid w:val="0"/>
              <w:ind w:firstLine="0" w:firstLineChars="0"/>
              <w:jc w:val="center"/>
              <w:rPr>
                <w:rFonts w:hint="default" w:ascii="Times New Roman" w:hAnsi="Times New Roman" w:cs="Times New Roman"/>
                <w:b/>
                <w:bCs/>
                <w:color w:val="auto"/>
                <w:sz w:val="21"/>
                <w:szCs w:val="21"/>
                <w:highlight w:val="none"/>
                <w:lang w:val="zh-CN"/>
              </w:rPr>
            </w:pPr>
            <w:r>
              <w:rPr>
                <w:rFonts w:hint="default" w:ascii="Times New Roman" w:hAnsi="Times New Roman" w:cs="Times New Roman"/>
                <w:b/>
                <w:bCs/>
                <w:color w:val="auto"/>
                <w:sz w:val="21"/>
                <w:szCs w:val="21"/>
                <w:highlight w:val="none"/>
                <w:lang w:val="zh-CN"/>
              </w:rPr>
              <w:t>表</w:t>
            </w:r>
            <w:r>
              <w:rPr>
                <w:rFonts w:hint="default" w:ascii="Times New Roman" w:hAnsi="Times New Roman" w:cs="Times New Roman"/>
                <w:b/>
                <w:bCs/>
                <w:color w:val="auto"/>
                <w:sz w:val="21"/>
                <w:szCs w:val="21"/>
                <w:highlight w:val="none"/>
              </w:rPr>
              <w:t>3.1  区域空气质量现状评价表</w:t>
            </w:r>
          </w:p>
          <w:tbl>
            <w:tblPr>
              <w:tblStyle w:val="31"/>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2989"/>
              <w:gridCol w:w="1310"/>
              <w:gridCol w:w="1507"/>
              <w:gridCol w:w="1300"/>
              <w:gridCol w:w="1143"/>
            </w:tblGrid>
            <w:tr w14:paraId="7EDA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9" w:type="dxa"/>
                  <w:tcBorders>
                    <w:bottom w:val="single" w:color="auto" w:sz="4" w:space="0"/>
                    <w:right w:val="single" w:color="auto" w:sz="4" w:space="0"/>
                  </w:tcBorders>
                  <w:vAlign w:val="center"/>
                </w:tcPr>
                <w:p w14:paraId="29D33334">
                  <w:pPr>
                    <w:pStyle w:val="4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3018" w:type="dxa"/>
                  <w:tcBorders>
                    <w:left w:val="single" w:color="auto" w:sz="4" w:space="0"/>
                    <w:bottom w:val="single" w:color="auto" w:sz="4" w:space="0"/>
                    <w:right w:val="single" w:color="auto" w:sz="4" w:space="0"/>
                  </w:tcBorders>
                  <w:vAlign w:val="center"/>
                </w:tcPr>
                <w:p w14:paraId="57FD726B">
                  <w:pPr>
                    <w:pStyle w:val="4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评价指标</w:t>
                  </w:r>
                </w:p>
              </w:tc>
              <w:tc>
                <w:tcPr>
                  <w:tcW w:w="1260" w:type="dxa"/>
                  <w:tcBorders>
                    <w:left w:val="single" w:color="auto" w:sz="4" w:space="0"/>
                    <w:bottom w:val="single" w:color="auto" w:sz="4" w:space="0"/>
                    <w:right w:val="single" w:color="auto" w:sz="4" w:space="0"/>
                  </w:tcBorders>
                  <w:vAlign w:val="center"/>
                </w:tcPr>
                <w:p w14:paraId="50C6F0DB">
                  <w:pPr>
                    <w:pStyle w:val="4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年均浓度</w:t>
                  </w:r>
                </w:p>
              </w:tc>
              <w:tc>
                <w:tcPr>
                  <w:tcW w:w="1510" w:type="dxa"/>
                  <w:tcBorders>
                    <w:left w:val="single" w:color="auto" w:sz="4" w:space="0"/>
                    <w:bottom w:val="single" w:color="auto" w:sz="4" w:space="0"/>
                    <w:right w:val="single" w:color="auto" w:sz="4" w:space="0"/>
                  </w:tcBorders>
                  <w:vAlign w:val="center"/>
                </w:tcPr>
                <w:p w14:paraId="65C31DB7">
                  <w:pPr>
                    <w:pStyle w:val="48"/>
                    <w:spacing w:line="240" w:lineRule="auto"/>
                    <w:rPr>
                      <w:rFonts w:hint="default" w:ascii="Times New Roman" w:hAnsi="Times New Roman" w:cs="Times New Roman"/>
                      <w:color w:val="auto"/>
                      <w:sz w:val="21"/>
                      <w:szCs w:val="21"/>
                      <w:highlight w:val="none"/>
                    </w:rPr>
                  </w:pPr>
                  <w:r>
                    <w:rPr>
                      <w:rFonts w:hint="eastAsia" w:cs="Times New Roman"/>
                      <w:color w:val="auto"/>
                      <w:szCs w:val="21"/>
                      <w:highlight w:val="none"/>
                      <w:lang w:val="en-US" w:eastAsia="zh-CN"/>
                    </w:rPr>
                    <w:t>过渡阶段浓度限值（二级）</w:t>
                  </w:r>
                </w:p>
              </w:tc>
              <w:tc>
                <w:tcPr>
                  <w:tcW w:w="1306" w:type="dxa"/>
                  <w:tcBorders>
                    <w:left w:val="single" w:color="auto" w:sz="4" w:space="0"/>
                    <w:bottom w:val="single" w:color="auto" w:sz="4" w:space="0"/>
                    <w:right w:val="single" w:color="auto" w:sz="4" w:space="0"/>
                  </w:tcBorders>
                  <w:vAlign w:val="center"/>
                </w:tcPr>
                <w:p w14:paraId="2820F756">
                  <w:pPr>
                    <w:pStyle w:val="4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占标率/%</w:t>
                  </w:r>
                </w:p>
              </w:tc>
              <w:tc>
                <w:tcPr>
                  <w:tcW w:w="1151" w:type="dxa"/>
                  <w:tcBorders>
                    <w:left w:val="single" w:color="auto" w:sz="4" w:space="0"/>
                    <w:bottom w:val="single" w:color="auto" w:sz="4" w:space="0"/>
                  </w:tcBorders>
                  <w:vAlign w:val="center"/>
                </w:tcPr>
                <w:p w14:paraId="6569127E">
                  <w:pPr>
                    <w:pStyle w:val="4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达标情况</w:t>
                  </w:r>
                </w:p>
              </w:tc>
            </w:tr>
            <w:tr w14:paraId="0DC2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dxa"/>
                  <w:tcBorders>
                    <w:top w:val="single" w:color="auto" w:sz="4" w:space="0"/>
                    <w:bottom w:val="single" w:color="auto" w:sz="4" w:space="0"/>
                    <w:right w:val="single" w:color="auto" w:sz="4" w:space="0"/>
                  </w:tcBorders>
                  <w:shd w:val="clear" w:color="auto" w:fill="auto"/>
                  <w:vAlign w:val="center"/>
                </w:tcPr>
                <w:p w14:paraId="7D1113DA">
                  <w:pPr>
                    <w:pStyle w:val="4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10</w:t>
                  </w:r>
                </w:p>
              </w:tc>
              <w:tc>
                <w:tcPr>
                  <w:tcW w:w="3018" w:type="dxa"/>
                  <w:tcBorders>
                    <w:top w:val="single" w:color="auto" w:sz="4" w:space="0"/>
                    <w:left w:val="single" w:color="auto" w:sz="4" w:space="0"/>
                    <w:bottom w:val="single" w:color="auto" w:sz="4" w:space="0"/>
                    <w:right w:val="single" w:color="auto" w:sz="4" w:space="0"/>
                  </w:tcBorders>
                  <w:shd w:val="clear" w:color="auto" w:fill="auto"/>
                  <w:vAlign w:val="center"/>
                </w:tcPr>
                <w:p w14:paraId="0769B75E">
                  <w:pPr>
                    <w:pStyle w:val="4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256A97EA">
                  <w:pPr>
                    <w:pStyle w:val="48"/>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71</w:t>
                  </w:r>
                  <w:r>
                    <w:rPr>
                      <w:rFonts w:hint="default" w:ascii="Times New Roman" w:hAnsi="Times New Roman" w:cs="Times New Roman"/>
                      <w:color w:val="auto"/>
                      <w:sz w:val="21"/>
                      <w:szCs w:val="21"/>
                      <w:highlight w:val="none"/>
                    </w:rPr>
                    <w:t>μg/m³</w:t>
                  </w:r>
                </w:p>
              </w:tc>
              <w:tc>
                <w:tcPr>
                  <w:tcW w:w="1510" w:type="dxa"/>
                  <w:tcBorders>
                    <w:top w:val="single" w:color="auto" w:sz="4" w:space="0"/>
                    <w:left w:val="single" w:color="auto" w:sz="4" w:space="0"/>
                    <w:bottom w:val="single" w:color="auto" w:sz="4" w:space="0"/>
                    <w:right w:val="single" w:color="auto" w:sz="4" w:space="0"/>
                  </w:tcBorders>
                  <w:shd w:val="clear" w:color="auto" w:fill="auto"/>
                  <w:vAlign w:val="center"/>
                </w:tcPr>
                <w:p w14:paraId="6DC923ED">
                  <w:pPr>
                    <w:pStyle w:val="48"/>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60</w:t>
                  </w:r>
                  <w:r>
                    <w:rPr>
                      <w:rFonts w:cs="Times New Roman"/>
                      <w:color w:val="auto"/>
                      <w:szCs w:val="21"/>
                      <w:highlight w:val="none"/>
                    </w:rPr>
                    <w:t>μg/m³</w:t>
                  </w:r>
                </w:p>
              </w:tc>
              <w:tc>
                <w:tcPr>
                  <w:tcW w:w="1306"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05B836A9">
                  <w:pPr>
                    <w:pStyle w:val="48"/>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118.3</w:t>
                  </w:r>
                </w:p>
              </w:tc>
              <w:tc>
                <w:tcPr>
                  <w:tcW w:w="1151" w:type="dxa"/>
                  <w:tcBorders>
                    <w:top w:val="single" w:color="auto" w:sz="4" w:space="0"/>
                    <w:left w:val="single" w:color="auto" w:sz="4" w:space="0"/>
                    <w:bottom w:val="single" w:color="auto" w:sz="4" w:space="0"/>
                  </w:tcBorders>
                  <w:vAlign w:val="center"/>
                </w:tcPr>
                <w:p w14:paraId="1A931EEF">
                  <w:pPr>
                    <w:pStyle w:val="4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不达标</w:t>
                  </w:r>
                </w:p>
              </w:tc>
            </w:tr>
            <w:tr w14:paraId="0A97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dxa"/>
                  <w:tcBorders>
                    <w:top w:val="single" w:color="auto" w:sz="4" w:space="0"/>
                    <w:bottom w:val="single" w:color="auto" w:sz="4" w:space="0"/>
                    <w:right w:val="single" w:color="auto" w:sz="4" w:space="0"/>
                  </w:tcBorders>
                  <w:shd w:val="clear" w:color="auto" w:fill="auto"/>
                  <w:vAlign w:val="center"/>
                </w:tcPr>
                <w:p w14:paraId="26502442">
                  <w:pPr>
                    <w:pStyle w:val="4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PM</w:t>
                  </w:r>
                  <w:r>
                    <w:rPr>
                      <w:rFonts w:hint="default" w:ascii="Times New Roman" w:hAnsi="Times New Roman" w:cs="Times New Roman"/>
                      <w:color w:val="auto"/>
                      <w:sz w:val="21"/>
                      <w:szCs w:val="21"/>
                      <w:highlight w:val="none"/>
                      <w:vertAlign w:val="subscript"/>
                    </w:rPr>
                    <w:t>2.5</w:t>
                  </w:r>
                </w:p>
              </w:tc>
              <w:tc>
                <w:tcPr>
                  <w:tcW w:w="3018" w:type="dxa"/>
                  <w:tcBorders>
                    <w:top w:val="single" w:color="auto" w:sz="4" w:space="0"/>
                    <w:left w:val="single" w:color="auto" w:sz="4" w:space="0"/>
                    <w:bottom w:val="single" w:color="auto" w:sz="4" w:space="0"/>
                    <w:right w:val="single" w:color="auto" w:sz="4" w:space="0"/>
                  </w:tcBorders>
                  <w:shd w:val="clear" w:color="auto" w:fill="auto"/>
                  <w:vAlign w:val="center"/>
                </w:tcPr>
                <w:p w14:paraId="493C33F1">
                  <w:pPr>
                    <w:pStyle w:val="4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6BC44C7B">
                  <w:pPr>
                    <w:pStyle w:val="48"/>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4</w:t>
                  </w:r>
                  <w:r>
                    <w:rPr>
                      <w:rFonts w:hint="eastAsia" w:cs="Times New Roman"/>
                      <w:color w:val="auto"/>
                      <w:sz w:val="21"/>
                      <w:szCs w:val="21"/>
                      <w:highlight w:val="none"/>
                      <w:lang w:val="en-US" w:eastAsia="zh-CN"/>
                    </w:rPr>
                    <w:t>2.9</w:t>
                  </w:r>
                  <w:r>
                    <w:rPr>
                      <w:rFonts w:hint="default" w:ascii="Times New Roman" w:hAnsi="Times New Roman" w:cs="Times New Roman"/>
                      <w:color w:val="auto"/>
                      <w:sz w:val="21"/>
                      <w:szCs w:val="21"/>
                      <w:highlight w:val="none"/>
                    </w:rPr>
                    <w:t>μg/m³</w:t>
                  </w:r>
                </w:p>
              </w:tc>
              <w:tc>
                <w:tcPr>
                  <w:tcW w:w="1510" w:type="dxa"/>
                  <w:tcBorders>
                    <w:top w:val="single" w:color="auto" w:sz="4" w:space="0"/>
                    <w:left w:val="single" w:color="auto" w:sz="4" w:space="0"/>
                    <w:bottom w:val="single" w:color="auto" w:sz="4" w:space="0"/>
                    <w:right w:val="single" w:color="auto" w:sz="4" w:space="0"/>
                  </w:tcBorders>
                  <w:shd w:val="clear" w:color="auto" w:fill="auto"/>
                  <w:vAlign w:val="center"/>
                </w:tcPr>
                <w:p w14:paraId="0F6172A8">
                  <w:pPr>
                    <w:pStyle w:val="48"/>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30</w:t>
                  </w:r>
                  <w:r>
                    <w:rPr>
                      <w:rFonts w:cs="Times New Roman"/>
                      <w:color w:val="auto"/>
                      <w:szCs w:val="21"/>
                      <w:highlight w:val="none"/>
                    </w:rPr>
                    <w:t>μg/m³</w:t>
                  </w:r>
                </w:p>
              </w:tc>
              <w:tc>
                <w:tcPr>
                  <w:tcW w:w="1306"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3D14FDA5">
                  <w:pPr>
                    <w:pStyle w:val="48"/>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143.0</w:t>
                  </w:r>
                </w:p>
              </w:tc>
              <w:tc>
                <w:tcPr>
                  <w:tcW w:w="1151" w:type="dxa"/>
                  <w:tcBorders>
                    <w:top w:val="single" w:color="auto" w:sz="4" w:space="0"/>
                    <w:left w:val="single" w:color="auto" w:sz="4" w:space="0"/>
                    <w:bottom w:val="single" w:color="auto" w:sz="4" w:space="0"/>
                  </w:tcBorders>
                  <w:vAlign w:val="center"/>
                </w:tcPr>
                <w:p w14:paraId="6266087C">
                  <w:pPr>
                    <w:pStyle w:val="4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不达标</w:t>
                  </w:r>
                </w:p>
              </w:tc>
            </w:tr>
            <w:tr w14:paraId="6E31C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dxa"/>
                  <w:tcBorders>
                    <w:top w:val="single" w:color="auto" w:sz="4" w:space="0"/>
                    <w:bottom w:val="single" w:color="auto" w:sz="4" w:space="0"/>
                    <w:right w:val="single" w:color="auto" w:sz="4" w:space="0"/>
                  </w:tcBorders>
                  <w:vAlign w:val="center"/>
                </w:tcPr>
                <w:p w14:paraId="4F3516C1">
                  <w:pPr>
                    <w:pStyle w:val="4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3018" w:type="dxa"/>
                  <w:tcBorders>
                    <w:top w:val="single" w:color="auto" w:sz="4" w:space="0"/>
                    <w:left w:val="single" w:color="auto" w:sz="4" w:space="0"/>
                    <w:bottom w:val="single" w:color="auto" w:sz="4" w:space="0"/>
                    <w:right w:val="single" w:color="auto" w:sz="4" w:space="0"/>
                  </w:tcBorders>
                  <w:vAlign w:val="center"/>
                </w:tcPr>
                <w:p w14:paraId="04D3180C">
                  <w:pPr>
                    <w:pStyle w:val="4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1A3B9E86">
                  <w:pPr>
                    <w:pStyle w:val="48"/>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μg/m³</w:t>
                  </w:r>
                </w:p>
              </w:tc>
              <w:tc>
                <w:tcPr>
                  <w:tcW w:w="1510" w:type="dxa"/>
                  <w:tcBorders>
                    <w:top w:val="single" w:color="auto" w:sz="4" w:space="0"/>
                    <w:left w:val="single" w:color="auto" w:sz="4" w:space="0"/>
                    <w:bottom w:val="single" w:color="auto" w:sz="4" w:space="0"/>
                    <w:right w:val="single" w:color="auto" w:sz="4" w:space="0"/>
                  </w:tcBorders>
                  <w:shd w:val="clear" w:color="auto" w:fill="auto"/>
                  <w:vAlign w:val="center"/>
                </w:tcPr>
                <w:p w14:paraId="27FF876F">
                  <w:pPr>
                    <w:pStyle w:val="48"/>
                    <w:rPr>
                      <w:rFonts w:hint="default" w:ascii="Times New Roman" w:hAnsi="Times New Roman" w:eastAsia="宋体" w:cs="Times New Roman"/>
                      <w:color w:val="auto"/>
                      <w:kern w:val="2"/>
                      <w:sz w:val="21"/>
                      <w:szCs w:val="21"/>
                      <w:highlight w:val="none"/>
                      <w:lang w:val="en-US" w:eastAsia="zh-CN" w:bidi="ar-SA"/>
                    </w:rPr>
                  </w:pPr>
                  <w:r>
                    <w:rPr>
                      <w:rFonts w:cs="Times New Roman"/>
                      <w:color w:val="auto"/>
                      <w:szCs w:val="21"/>
                      <w:highlight w:val="none"/>
                    </w:rPr>
                    <w:t>60μg/m³</w:t>
                  </w: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14:paraId="4146A05E">
                  <w:pPr>
                    <w:pStyle w:val="48"/>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10.0</w:t>
                  </w:r>
                </w:p>
              </w:tc>
              <w:tc>
                <w:tcPr>
                  <w:tcW w:w="1151" w:type="dxa"/>
                  <w:tcBorders>
                    <w:top w:val="single" w:color="auto" w:sz="4" w:space="0"/>
                    <w:left w:val="single" w:color="auto" w:sz="4" w:space="0"/>
                    <w:bottom w:val="single" w:color="auto" w:sz="4" w:space="0"/>
                  </w:tcBorders>
                  <w:vAlign w:val="center"/>
                </w:tcPr>
                <w:p w14:paraId="12D3A422">
                  <w:pPr>
                    <w:pStyle w:val="4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10B4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dxa"/>
                  <w:tcBorders>
                    <w:top w:val="single" w:color="auto" w:sz="4" w:space="0"/>
                    <w:bottom w:val="single" w:color="auto" w:sz="4" w:space="0"/>
                    <w:right w:val="single" w:color="auto" w:sz="4" w:space="0"/>
                  </w:tcBorders>
                  <w:vAlign w:val="center"/>
                </w:tcPr>
                <w:p w14:paraId="121B3F7B">
                  <w:pPr>
                    <w:pStyle w:val="4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w:t>
                  </w:r>
                  <w:r>
                    <w:rPr>
                      <w:rFonts w:hint="default" w:ascii="Times New Roman" w:hAnsi="Times New Roman" w:cs="Times New Roman"/>
                      <w:color w:val="auto"/>
                      <w:sz w:val="21"/>
                      <w:szCs w:val="21"/>
                      <w:highlight w:val="none"/>
                      <w:vertAlign w:val="subscript"/>
                    </w:rPr>
                    <w:t>2</w:t>
                  </w:r>
                </w:p>
              </w:tc>
              <w:tc>
                <w:tcPr>
                  <w:tcW w:w="3018" w:type="dxa"/>
                  <w:tcBorders>
                    <w:top w:val="single" w:color="auto" w:sz="4" w:space="0"/>
                    <w:left w:val="single" w:color="auto" w:sz="4" w:space="0"/>
                    <w:bottom w:val="single" w:color="auto" w:sz="4" w:space="0"/>
                    <w:right w:val="single" w:color="auto" w:sz="4" w:space="0"/>
                  </w:tcBorders>
                  <w:vAlign w:val="center"/>
                </w:tcPr>
                <w:p w14:paraId="3BE8C0EF">
                  <w:pPr>
                    <w:pStyle w:val="4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年平均质量浓度</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5FECC95A">
                  <w:pPr>
                    <w:pStyle w:val="48"/>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18</w:t>
                  </w:r>
                  <w:r>
                    <w:rPr>
                      <w:rFonts w:hint="default" w:ascii="Times New Roman" w:hAnsi="Times New Roman" w:cs="Times New Roman"/>
                      <w:color w:val="auto"/>
                      <w:sz w:val="21"/>
                      <w:szCs w:val="21"/>
                      <w:highlight w:val="none"/>
                    </w:rPr>
                    <w:t>μg/m³</w:t>
                  </w:r>
                </w:p>
              </w:tc>
              <w:tc>
                <w:tcPr>
                  <w:tcW w:w="1510" w:type="dxa"/>
                  <w:tcBorders>
                    <w:top w:val="single" w:color="auto" w:sz="4" w:space="0"/>
                    <w:left w:val="single" w:color="auto" w:sz="4" w:space="0"/>
                    <w:bottom w:val="single" w:color="auto" w:sz="4" w:space="0"/>
                    <w:right w:val="single" w:color="auto" w:sz="4" w:space="0"/>
                  </w:tcBorders>
                  <w:shd w:val="clear" w:color="auto" w:fill="auto"/>
                  <w:vAlign w:val="center"/>
                </w:tcPr>
                <w:p w14:paraId="5AEBE312">
                  <w:pPr>
                    <w:pStyle w:val="48"/>
                    <w:rPr>
                      <w:rFonts w:hint="default" w:ascii="Times New Roman" w:hAnsi="Times New Roman" w:eastAsia="宋体" w:cs="Times New Roman"/>
                      <w:color w:val="auto"/>
                      <w:kern w:val="2"/>
                      <w:sz w:val="21"/>
                      <w:szCs w:val="21"/>
                      <w:highlight w:val="none"/>
                      <w:lang w:val="en-US" w:eastAsia="zh-CN" w:bidi="ar-SA"/>
                    </w:rPr>
                  </w:pPr>
                  <w:r>
                    <w:rPr>
                      <w:rFonts w:cs="Times New Roman"/>
                      <w:color w:val="auto"/>
                      <w:szCs w:val="21"/>
                      <w:highlight w:val="none"/>
                    </w:rPr>
                    <w:t>40μg/m³</w:t>
                  </w: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14:paraId="3389EF80">
                  <w:pPr>
                    <w:pStyle w:val="48"/>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45.0</w:t>
                  </w:r>
                </w:p>
              </w:tc>
              <w:tc>
                <w:tcPr>
                  <w:tcW w:w="1151" w:type="dxa"/>
                  <w:tcBorders>
                    <w:top w:val="single" w:color="auto" w:sz="4" w:space="0"/>
                    <w:left w:val="single" w:color="auto" w:sz="4" w:space="0"/>
                    <w:bottom w:val="single" w:color="auto" w:sz="4" w:space="0"/>
                  </w:tcBorders>
                  <w:vAlign w:val="center"/>
                </w:tcPr>
                <w:p w14:paraId="5DAA32DA">
                  <w:pPr>
                    <w:pStyle w:val="4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12BD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dxa"/>
                  <w:tcBorders>
                    <w:top w:val="single" w:color="auto" w:sz="4" w:space="0"/>
                    <w:bottom w:val="single" w:color="auto" w:sz="4" w:space="0"/>
                    <w:right w:val="single" w:color="auto" w:sz="4" w:space="0"/>
                  </w:tcBorders>
                  <w:vAlign w:val="center"/>
                </w:tcPr>
                <w:p w14:paraId="00CEFDE8">
                  <w:pPr>
                    <w:pStyle w:val="4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w:t>
                  </w:r>
                </w:p>
              </w:tc>
              <w:tc>
                <w:tcPr>
                  <w:tcW w:w="3018" w:type="dxa"/>
                  <w:tcBorders>
                    <w:top w:val="single" w:color="auto" w:sz="4" w:space="0"/>
                    <w:left w:val="single" w:color="auto" w:sz="4" w:space="0"/>
                    <w:bottom w:val="single" w:color="auto" w:sz="4" w:space="0"/>
                    <w:right w:val="single" w:color="auto" w:sz="4" w:space="0"/>
                  </w:tcBorders>
                  <w:vAlign w:val="center"/>
                </w:tcPr>
                <w:p w14:paraId="76999D99">
                  <w:pPr>
                    <w:pStyle w:val="4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日平均第95百分位质量浓度</w:t>
                  </w:r>
                </w:p>
              </w:tc>
              <w:tc>
                <w:tcPr>
                  <w:tcW w:w="1260" w:type="dxa"/>
                  <w:tcBorders>
                    <w:top w:val="single" w:color="auto" w:sz="4" w:space="0"/>
                    <w:left w:val="single" w:color="auto" w:sz="4" w:space="0"/>
                    <w:bottom w:val="single" w:color="auto" w:sz="4" w:space="0"/>
                    <w:right w:val="single" w:color="auto" w:sz="4" w:space="0"/>
                  </w:tcBorders>
                  <w:shd w:val="clear" w:color="auto" w:fill="auto"/>
                  <w:vAlign w:val="center"/>
                </w:tcPr>
                <w:p w14:paraId="64BF97EC">
                  <w:pPr>
                    <w:pStyle w:val="48"/>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0.9</w:t>
                  </w:r>
                  <w:r>
                    <w:rPr>
                      <w:rFonts w:hint="default" w:ascii="Times New Roman" w:hAnsi="Times New Roman" w:cs="Times New Roman"/>
                      <w:color w:val="auto"/>
                      <w:sz w:val="21"/>
                      <w:szCs w:val="21"/>
                      <w:highlight w:val="none"/>
                    </w:rPr>
                    <w:t>mg/m³</w:t>
                  </w:r>
                </w:p>
              </w:tc>
              <w:tc>
                <w:tcPr>
                  <w:tcW w:w="1510" w:type="dxa"/>
                  <w:tcBorders>
                    <w:top w:val="single" w:color="auto" w:sz="4" w:space="0"/>
                    <w:left w:val="single" w:color="auto" w:sz="4" w:space="0"/>
                    <w:bottom w:val="single" w:color="auto" w:sz="4" w:space="0"/>
                    <w:right w:val="single" w:color="auto" w:sz="4" w:space="0"/>
                  </w:tcBorders>
                  <w:shd w:val="clear" w:color="auto" w:fill="auto"/>
                  <w:vAlign w:val="center"/>
                </w:tcPr>
                <w:p w14:paraId="41F7FC25">
                  <w:pPr>
                    <w:pStyle w:val="48"/>
                    <w:rPr>
                      <w:rFonts w:hint="default" w:ascii="Times New Roman" w:hAnsi="Times New Roman" w:eastAsia="宋体" w:cs="Times New Roman"/>
                      <w:color w:val="auto"/>
                      <w:kern w:val="2"/>
                      <w:sz w:val="21"/>
                      <w:szCs w:val="21"/>
                      <w:highlight w:val="none"/>
                      <w:lang w:val="en-US" w:eastAsia="zh-CN" w:bidi="ar-SA"/>
                    </w:rPr>
                  </w:pPr>
                  <w:r>
                    <w:rPr>
                      <w:rFonts w:cs="Times New Roman"/>
                      <w:color w:val="auto"/>
                      <w:szCs w:val="21"/>
                      <w:highlight w:val="none"/>
                    </w:rPr>
                    <w:t>4mg/m³</w:t>
                  </w:r>
                </w:p>
              </w:tc>
              <w:tc>
                <w:tcPr>
                  <w:tcW w:w="1306" w:type="dxa"/>
                  <w:tcBorders>
                    <w:top w:val="single" w:color="auto" w:sz="4" w:space="0"/>
                    <w:left w:val="single" w:color="auto" w:sz="4" w:space="0"/>
                    <w:bottom w:val="single" w:color="auto" w:sz="4" w:space="0"/>
                    <w:right w:val="single" w:color="auto" w:sz="4" w:space="0"/>
                  </w:tcBorders>
                  <w:shd w:val="clear" w:color="auto" w:fill="auto"/>
                  <w:vAlign w:val="center"/>
                </w:tcPr>
                <w:p w14:paraId="6C7F33F7">
                  <w:pPr>
                    <w:pStyle w:val="48"/>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22.5</w:t>
                  </w:r>
                </w:p>
              </w:tc>
              <w:tc>
                <w:tcPr>
                  <w:tcW w:w="1151" w:type="dxa"/>
                  <w:tcBorders>
                    <w:top w:val="single" w:color="auto" w:sz="4" w:space="0"/>
                    <w:left w:val="single" w:color="auto" w:sz="4" w:space="0"/>
                    <w:bottom w:val="single" w:color="auto" w:sz="4" w:space="0"/>
                  </w:tcBorders>
                  <w:vAlign w:val="center"/>
                </w:tcPr>
                <w:p w14:paraId="4BC65E89">
                  <w:pPr>
                    <w:pStyle w:val="4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227B2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9" w:type="dxa"/>
                  <w:tcBorders>
                    <w:top w:val="single" w:color="auto" w:sz="4" w:space="0"/>
                    <w:right w:val="single" w:color="auto" w:sz="4" w:space="0"/>
                  </w:tcBorders>
                  <w:shd w:val="clear" w:color="auto" w:fill="auto"/>
                  <w:vAlign w:val="center"/>
                </w:tcPr>
                <w:p w14:paraId="43056948">
                  <w:pPr>
                    <w:pStyle w:val="4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p>
              </w:tc>
              <w:tc>
                <w:tcPr>
                  <w:tcW w:w="3018" w:type="dxa"/>
                  <w:tcBorders>
                    <w:top w:val="single" w:color="auto" w:sz="4" w:space="0"/>
                    <w:left w:val="single" w:color="auto" w:sz="4" w:space="0"/>
                    <w:right w:val="single" w:color="auto" w:sz="4" w:space="0"/>
                  </w:tcBorders>
                  <w:shd w:val="clear" w:color="auto" w:fill="auto"/>
                  <w:vAlign w:val="center"/>
                </w:tcPr>
                <w:p w14:paraId="26B3A0AA">
                  <w:pPr>
                    <w:pStyle w:val="4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日8小时最大平均第90百分位质量浓度</w:t>
                  </w:r>
                </w:p>
              </w:tc>
              <w:tc>
                <w:tcPr>
                  <w:tcW w:w="1260" w:type="dxa"/>
                  <w:tcBorders>
                    <w:top w:val="single" w:color="auto" w:sz="4" w:space="0"/>
                    <w:left w:val="single" w:color="auto" w:sz="4" w:space="0"/>
                    <w:right w:val="single" w:color="auto" w:sz="4" w:space="0"/>
                  </w:tcBorders>
                  <w:shd w:val="clear" w:color="auto" w:fill="auto"/>
                  <w:vAlign w:val="center"/>
                </w:tcPr>
                <w:p w14:paraId="02611C1F">
                  <w:pPr>
                    <w:pStyle w:val="48"/>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170</w:t>
                  </w:r>
                  <w:r>
                    <w:rPr>
                      <w:rFonts w:hint="default" w:ascii="Times New Roman" w:hAnsi="Times New Roman" w:cs="Times New Roman"/>
                      <w:color w:val="auto"/>
                      <w:sz w:val="21"/>
                      <w:szCs w:val="21"/>
                      <w:highlight w:val="none"/>
                    </w:rPr>
                    <w:t>μg/m³</w:t>
                  </w:r>
                </w:p>
              </w:tc>
              <w:tc>
                <w:tcPr>
                  <w:tcW w:w="1510" w:type="dxa"/>
                  <w:tcBorders>
                    <w:top w:val="single" w:color="auto" w:sz="4" w:space="0"/>
                    <w:left w:val="single" w:color="auto" w:sz="4" w:space="0"/>
                    <w:right w:val="single" w:color="auto" w:sz="4" w:space="0"/>
                  </w:tcBorders>
                  <w:shd w:val="clear" w:color="auto" w:fill="auto"/>
                  <w:vAlign w:val="center"/>
                </w:tcPr>
                <w:p w14:paraId="263F00D5">
                  <w:pPr>
                    <w:pStyle w:val="48"/>
                    <w:rPr>
                      <w:rFonts w:hint="default" w:ascii="Times New Roman" w:hAnsi="Times New Roman" w:eastAsia="宋体" w:cs="Times New Roman"/>
                      <w:color w:val="auto"/>
                      <w:kern w:val="2"/>
                      <w:sz w:val="21"/>
                      <w:szCs w:val="21"/>
                      <w:highlight w:val="none"/>
                      <w:lang w:val="en-US" w:eastAsia="zh-CN" w:bidi="ar-SA"/>
                    </w:rPr>
                  </w:pPr>
                  <w:r>
                    <w:rPr>
                      <w:rFonts w:cs="Times New Roman"/>
                      <w:color w:val="auto"/>
                      <w:szCs w:val="21"/>
                      <w:highlight w:val="none"/>
                    </w:rPr>
                    <w:t>160μg/m³</w:t>
                  </w:r>
                </w:p>
              </w:tc>
              <w:tc>
                <w:tcPr>
                  <w:tcW w:w="1306" w:type="dxa"/>
                  <w:tcBorders>
                    <w:top w:val="single" w:color="auto" w:sz="4" w:space="0"/>
                    <w:left w:val="single" w:color="auto" w:sz="4" w:space="0"/>
                    <w:right w:val="single" w:color="auto" w:sz="4" w:space="0"/>
                  </w:tcBorders>
                  <w:shd w:val="clear" w:color="auto" w:fill="BEBEBE" w:themeFill="background1" w:themeFillShade="BF"/>
                  <w:vAlign w:val="center"/>
                </w:tcPr>
                <w:p w14:paraId="1B7AF077">
                  <w:pPr>
                    <w:pStyle w:val="48"/>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106.3</w:t>
                  </w:r>
                </w:p>
              </w:tc>
              <w:tc>
                <w:tcPr>
                  <w:tcW w:w="1151" w:type="dxa"/>
                  <w:tcBorders>
                    <w:top w:val="single" w:color="auto" w:sz="4" w:space="0"/>
                    <w:left w:val="single" w:color="auto" w:sz="4" w:space="0"/>
                  </w:tcBorders>
                  <w:vAlign w:val="center"/>
                </w:tcPr>
                <w:p w14:paraId="23F48A0D">
                  <w:pPr>
                    <w:pStyle w:val="48"/>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不</w:t>
                  </w:r>
                  <w:r>
                    <w:rPr>
                      <w:rFonts w:hint="default" w:ascii="Times New Roman" w:hAnsi="Times New Roman" w:cs="Times New Roman"/>
                      <w:color w:val="auto"/>
                      <w:sz w:val="21"/>
                      <w:szCs w:val="21"/>
                      <w:highlight w:val="none"/>
                    </w:rPr>
                    <w:t>达标</w:t>
                  </w:r>
                </w:p>
              </w:tc>
            </w:tr>
          </w:tbl>
          <w:p w14:paraId="4B6D281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由上表3.1可知，该项目区六项污染中PM</w:t>
            </w:r>
            <w:r>
              <w:rPr>
                <w:rFonts w:hint="default" w:ascii="Times New Roman" w:hAnsi="Times New Roman" w:cs="Times New Roman"/>
                <w:color w:val="auto"/>
                <w:sz w:val="24"/>
                <w:highlight w:val="none"/>
                <w:vertAlign w:val="subscript"/>
                <w:lang w:val="en-US" w:eastAsia="zh-CN"/>
              </w:rPr>
              <w:t>2.5</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PM</w:t>
            </w:r>
            <w:r>
              <w:rPr>
                <w:rFonts w:hint="default" w:ascii="Times New Roman" w:hAnsi="Times New Roman" w:cs="Times New Roman"/>
                <w:color w:val="auto"/>
                <w:sz w:val="24"/>
                <w:highlight w:val="none"/>
                <w:vertAlign w:val="subscript"/>
                <w:lang w:val="en-US" w:eastAsia="zh-CN"/>
              </w:rPr>
              <w:t>10</w:t>
            </w:r>
            <w:r>
              <w:rPr>
                <w:rFonts w:hint="default" w:ascii="Times New Roman" w:hAnsi="Times New Roman" w:cs="Times New Roman"/>
                <w:color w:val="auto"/>
                <w:sz w:val="24"/>
                <w:highlight w:val="none"/>
                <w:lang w:val="en-US" w:eastAsia="zh-CN"/>
              </w:rPr>
              <w:t>和O</w:t>
            </w:r>
            <w:r>
              <w:rPr>
                <w:rFonts w:hint="default" w:ascii="Times New Roman" w:hAnsi="Times New Roman" w:cs="Times New Roman"/>
                <w:color w:val="auto"/>
                <w:sz w:val="24"/>
                <w:highlight w:val="none"/>
                <w:vertAlign w:val="subscript"/>
                <w:lang w:val="en-US" w:eastAsia="zh-CN"/>
              </w:rPr>
              <w:t>3</w:t>
            </w:r>
            <w:r>
              <w:rPr>
                <w:rFonts w:hint="default" w:ascii="Times New Roman" w:hAnsi="Times New Roman" w:cs="Times New Roman"/>
                <w:color w:val="auto"/>
                <w:sz w:val="24"/>
                <w:highlight w:val="none"/>
              </w:rPr>
              <w:t>不达标，则该项目区为城市环境质量</w:t>
            </w:r>
            <w:r>
              <w:rPr>
                <w:rFonts w:hint="default" w:ascii="Times New Roman" w:hAnsi="Times New Roman" w:cs="Times New Roman"/>
                <w:b/>
                <w:bCs/>
                <w:color w:val="auto"/>
                <w:sz w:val="24"/>
                <w:highlight w:val="none"/>
              </w:rPr>
              <w:t>不达标区</w:t>
            </w:r>
            <w:r>
              <w:rPr>
                <w:rFonts w:hint="default" w:ascii="Times New Roman" w:hAnsi="Times New Roman" w:cs="Times New Roman"/>
                <w:color w:val="auto"/>
                <w:sz w:val="24"/>
                <w:highlight w:val="none"/>
              </w:rPr>
              <w:t>。</w:t>
            </w:r>
          </w:p>
          <w:p w14:paraId="65CD508B">
            <w:pPr>
              <w:spacing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针对基本污染物不达标问题，宿州市人民政府采取措施进行区域整改，具体整改措施如下：</w:t>
            </w:r>
          </w:p>
          <w:p w14:paraId="04D0B601">
            <w:pPr>
              <w:pStyle w:val="38"/>
              <w:spacing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在加大调整产业结构、强化环境监督、综合整治面源污染的同时，进一步完善工业污染源治理，取缔分散居民燃煤锅炉的使用，加强施工临时堆土管理及车辆运输管理，该措施能够使得大气环境质量得到有效改善。</w:t>
            </w:r>
          </w:p>
          <w:p w14:paraId="27C9F757">
            <w:pPr>
              <w:pStyle w:val="38"/>
              <w:spacing w:line="360" w:lineRule="auto"/>
              <w:ind w:firstLine="480" w:firstLineChars="200"/>
              <w:rPr>
                <w:rFonts w:hint="default" w:ascii="Times New Roman" w:hAnsi="Times New Roman" w:cs="Times New Roman" w:eastAsiaTheme="minorEastAsia"/>
                <w:color w:val="auto"/>
                <w:lang w:val="en-US" w:eastAsia="zh-CN"/>
              </w:rPr>
            </w:pPr>
            <w:r>
              <w:rPr>
                <w:rFonts w:hint="default" w:ascii="Times New Roman" w:hAnsi="Times New Roman" w:cs="Times New Roman"/>
                <w:b w:val="0"/>
                <w:bCs/>
                <w:color w:val="auto"/>
                <w:sz w:val="24"/>
                <w:szCs w:val="24"/>
              </w:rPr>
              <w:t>根据《工业炉窑大气污染综合治理方案》</w:t>
            </w:r>
            <w:r>
              <w:rPr>
                <w:rFonts w:hint="default" w:ascii="Times New Roman" w:hAnsi="Times New Roman" w:cs="Times New Roman"/>
                <w:b w:val="0"/>
                <w:bCs/>
                <w:color w:val="auto"/>
                <w:sz w:val="24"/>
                <w:szCs w:val="24"/>
                <w:lang w:eastAsia="zh-CN"/>
              </w:rPr>
              <w:t>（</w:t>
            </w:r>
            <w:r>
              <w:rPr>
                <w:rFonts w:hint="default" w:ascii="Times New Roman" w:hAnsi="Times New Roman" w:cs="Times New Roman"/>
                <w:b w:val="0"/>
                <w:bCs/>
                <w:color w:val="auto"/>
                <w:sz w:val="24"/>
                <w:szCs w:val="24"/>
                <w:lang w:val="en-US" w:eastAsia="zh-CN"/>
              </w:rPr>
              <w:t>环大气【2019】56号</w:t>
            </w:r>
            <w:r>
              <w:rPr>
                <w:rFonts w:hint="default" w:ascii="Times New Roman" w:hAnsi="Times New Roman" w:cs="Times New Roman"/>
                <w:b w:val="0"/>
                <w:bCs/>
                <w:color w:val="auto"/>
                <w:sz w:val="24"/>
                <w:szCs w:val="24"/>
                <w:lang w:eastAsia="zh-CN"/>
              </w:rPr>
              <w:t>）</w:t>
            </w:r>
            <w:r>
              <w:rPr>
                <w:rFonts w:hint="default" w:ascii="Times New Roman" w:hAnsi="Times New Roman" w:cs="Times New Roman"/>
                <w:b w:val="0"/>
                <w:bCs/>
                <w:color w:val="auto"/>
                <w:sz w:val="24"/>
                <w:szCs w:val="24"/>
              </w:rPr>
              <w:t>、</w:t>
            </w:r>
            <w:r>
              <w:rPr>
                <w:rFonts w:hint="default" w:ascii="Times New Roman" w:hAnsi="Times New Roman" w:eastAsia="宋体" w:cs="Times New Roman"/>
                <w:b w:val="0"/>
                <w:bCs/>
                <w:color w:val="auto"/>
                <w:sz w:val="24"/>
                <w:szCs w:val="24"/>
              </w:rPr>
              <w:t>《</w:t>
            </w:r>
            <w:r>
              <w:rPr>
                <w:rFonts w:hint="default" w:ascii="Times New Roman" w:hAnsi="Times New Roman" w:eastAsia="宋体" w:cs="Times New Roman"/>
                <w:b w:val="0"/>
                <w:bCs/>
                <w:color w:val="auto"/>
                <w:sz w:val="24"/>
                <w:szCs w:val="24"/>
                <w:lang w:val="en-US" w:eastAsia="zh-CN"/>
              </w:rPr>
              <w:t>关于印发&lt;</w:t>
            </w:r>
            <w:r>
              <w:rPr>
                <w:rFonts w:hint="default" w:ascii="Times New Roman" w:hAnsi="Times New Roman" w:eastAsia="宋体" w:cs="Times New Roman"/>
                <w:b w:val="0"/>
                <w:bCs/>
                <w:color w:val="auto"/>
                <w:sz w:val="24"/>
                <w:szCs w:val="24"/>
              </w:rPr>
              <w:t>重点行业挥发性有机物综合治理方案</w:t>
            </w:r>
            <w:r>
              <w:rPr>
                <w:rFonts w:hint="default" w:ascii="Times New Roman" w:hAnsi="Times New Roman" w:eastAsia="宋体" w:cs="Times New Roman"/>
                <w:b w:val="0"/>
                <w:bCs/>
                <w:color w:val="auto"/>
                <w:sz w:val="24"/>
                <w:szCs w:val="24"/>
                <w:lang w:val="en-US" w:eastAsia="zh-CN"/>
              </w:rPr>
              <w:t>&gt;的通知</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lang w:val="en-US" w:eastAsia="zh-CN"/>
              </w:rPr>
              <w:t>环大气【</w:t>
            </w:r>
            <w:r>
              <w:rPr>
                <w:rFonts w:hint="default" w:ascii="Times New Roman" w:hAnsi="Times New Roman" w:cs="Times New Roman"/>
                <w:b w:val="0"/>
                <w:bCs/>
                <w:color w:val="auto"/>
                <w:sz w:val="24"/>
                <w:szCs w:val="24"/>
                <w:lang w:val="en-US" w:eastAsia="zh-CN"/>
              </w:rPr>
              <w:t>2019】53号</w:t>
            </w:r>
            <w:r>
              <w:rPr>
                <w:rFonts w:hint="default" w:ascii="Times New Roman" w:hAnsi="Times New Roman" w:cs="Times New Roman"/>
                <w:b w:val="0"/>
                <w:bCs/>
                <w:color w:val="auto"/>
                <w:sz w:val="24"/>
                <w:szCs w:val="24"/>
                <w:lang w:eastAsia="zh-CN"/>
              </w:rPr>
              <w:t>），</w:t>
            </w:r>
            <w:r>
              <w:rPr>
                <w:rFonts w:hint="default" w:ascii="Times New Roman" w:hAnsi="Times New Roman" w:cs="Times New Roman"/>
                <w:b w:val="0"/>
                <w:bCs/>
                <w:color w:val="auto"/>
                <w:sz w:val="24"/>
                <w:szCs w:val="24"/>
              </w:rPr>
              <w:t>宿州市加大区域产业布局调整力度，加快城市建成区及临近周边重污染企业搬迁改造或关闭退出，推动实施低端化工等重污染企业搬迁工程。禁止新增化工园区，加大现有化工园区整治力度。已明确的退城企业，要明确时间表，逾期不退城的予以停产；严格控制“两高”行业产能；强化“散乱污”企业综合整治；深化工业污染治理；大力培育绿色环保产业；加快调整能源结构，构建清洁低碳高效能源体系；积极调整运输结构，发展绿色交通体系等，通过采取以上措施，宿州市区域环境空气质量得到大大改善</w:t>
            </w:r>
            <w:r>
              <w:rPr>
                <w:rFonts w:hint="default" w:ascii="Times New Roman" w:hAnsi="Times New Roman" w:cs="Times New Roman"/>
                <w:b w:val="0"/>
                <w:bCs/>
                <w:color w:val="auto"/>
                <w:sz w:val="24"/>
                <w:szCs w:val="24"/>
                <w:lang w:eastAsia="zh-CN"/>
              </w:rPr>
              <w:t>。</w:t>
            </w:r>
          </w:p>
          <w:p w14:paraId="12885636">
            <w:pPr>
              <w:spacing w:line="360" w:lineRule="auto"/>
              <w:ind w:firstLine="482" w:firstLineChars="200"/>
              <w:jc w:val="both"/>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2、地表水环境</w:t>
            </w:r>
          </w:p>
          <w:p w14:paraId="3EBD4D1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2024年，宿州市水环境质量稳中向好、稳中趋优。全市13个地表水国家考核断面中10个水质达到Ⅲ类，水质优良比例为76.9%，较上一年同比提升7.7个百分点，超额完成省厅下达的年度力争考核目标；10个地表水省考核断面中5个断面水质为Ⅲ类，水质优良比例为50%，超出省年度考核目标20个百分点。9个县级及以上集中式饮用水水源地水质达标率保持100%，切实保障了市民“水缸子”的安全，让群众喝上放心水。</w:t>
            </w:r>
          </w:p>
          <w:p w14:paraId="7CD6F286">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sz w:val="21"/>
                <w:szCs w:val="21"/>
                <w:lang w:val="en-US" w:eastAsia="zh-CN"/>
              </w:rPr>
              <w:t>注：</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宿州市2024年环境质量状况报告</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宿州市</w:t>
            </w:r>
            <w:r>
              <w:rPr>
                <w:rFonts w:hint="default" w:ascii="Times New Roman" w:hAnsi="Times New Roman" w:cs="Times New Roman"/>
                <w:color w:val="auto"/>
                <w:sz w:val="21"/>
                <w:szCs w:val="21"/>
                <w:lang w:eastAsia="zh-CN"/>
              </w:rPr>
              <w:t>生态环境局，</w:t>
            </w:r>
            <w:r>
              <w:rPr>
                <w:rFonts w:hint="default" w:ascii="Times New Roman" w:hAnsi="Times New Roman" w:cs="Times New Roman"/>
                <w:color w:val="auto"/>
                <w:sz w:val="21"/>
                <w:szCs w:val="21"/>
                <w:lang w:val="en-US" w:eastAsia="zh-CN"/>
              </w:rPr>
              <w:t>2025年11月24日</w:t>
            </w:r>
            <w:r>
              <w:rPr>
                <w:rFonts w:hint="default" w:ascii="Times New Roman" w:hAnsi="Times New Roman" w:cs="Times New Roman"/>
                <w:color w:val="auto"/>
                <w:sz w:val="21"/>
                <w:szCs w:val="21"/>
                <w:lang w:eastAsia="zh-CN"/>
              </w:rPr>
              <w:t>）。</w:t>
            </w:r>
          </w:p>
          <w:p w14:paraId="276848E5">
            <w:pPr>
              <w:spacing w:line="360" w:lineRule="auto"/>
              <w:ind w:firstLine="482" w:firstLineChars="200"/>
              <w:jc w:val="both"/>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rPr>
              <w:t>3、声环</w:t>
            </w:r>
            <w:r>
              <w:rPr>
                <w:rFonts w:hint="default" w:ascii="Times New Roman" w:hAnsi="Times New Roman" w:cs="Times New Roman"/>
                <w:b/>
                <w:bCs/>
                <w:color w:val="auto"/>
                <w:sz w:val="24"/>
                <w:highlight w:val="none"/>
              </w:rPr>
              <w:t>境</w:t>
            </w:r>
          </w:p>
          <w:p w14:paraId="79334149">
            <w:pPr>
              <w:pStyle w:val="46"/>
              <w:spacing w:line="360" w:lineRule="auto"/>
              <w:ind w:firstLine="48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根据现场勘察，项目厂界周边50米范围内</w:t>
            </w:r>
            <w:r>
              <w:rPr>
                <w:rFonts w:hint="eastAsia" w:ascii="Times New Roman" w:hAnsi="Times New Roman" w:cs="Times New Roman"/>
                <w:color w:val="auto"/>
                <w:sz w:val="24"/>
                <w:szCs w:val="24"/>
                <w:highlight w:val="none"/>
                <w:lang w:val="en-US" w:eastAsia="zh-CN"/>
              </w:rPr>
              <w:t>不</w:t>
            </w:r>
            <w:r>
              <w:rPr>
                <w:rFonts w:hint="default" w:ascii="Times New Roman" w:hAnsi="Times New Roman" w:cs="Times New Roman"/>
                <w:color w:val="auto"/>
                <w:sz w:val="24"/>
                <w:szCs w:val="24"/>
                <w:highlight w:val="none"/>
              </w:rPr>
              <w:t>存在声环境保护目标。根据《建设项目环境影响报告表编制技术指南（污染影响类）》，本项目</w:t>
            </w:r>
            <w:r>
              <w:rPr>
                <w:rFonts w:hint="eastAsia" w:ascii="Times New Roman" w:hAnsi="Times New Roman" w:cs="Times New Roman"/>
                <w:color w:val="auto"/>
                <w:sz w:val="24"/>
                <w:szCs w:val="24"/>
                <w:highlight w:val="none"/>
                <w:lang w:val="en-US" w:eastAsia="zh-CN"/>
              </w:rPr>
              <w:t>无</w:t>
            </w:r>
            <w:r>
              <w:rPr>
                <w:rFonts w:hint="default" w:ascii="Times New Roman" w:hAnsi="Times New Roman" w:cs="Times New Roman"/>
                <w:color w:val="auto"/>
                <w:sz w:val="24"/>
                <w:szCs w:val="24"/>
                <w:highlight w:val="none"/>
              </w:rPr>
              <w:t>需开展声环境质量现状</w:t>
            </w:r>
            <w:r>
              <w:rPr>
                <w:rFonts w:hint="eastAsia" w:ascii="Times New Roman" w:hAnsi="Times New Roman" w:cs="Times New Roman"/>
                <w:color w:val="auto"/>
                <w:sz w:val="24"/>
                <w:szCs w:val="24"/>
                <w:highlight w:val="none"/>
                <w:lang w:val="en-US" w:eastAsia="zh-CN"/>
              </w:rPr>
              <w:t>监测</w:t>
            </w:r>
            <w:r>
              <w:rPr>
                <w:rFonts w:hint="default" w:ascii="Times New Roman" w:hAnsi="Times New Roman" w:cs="Times New Roman"/>
                <w:color w:val="auto"/>
                <w:sz w:val="24"/>
                <w:szCs w:val="24"/>
                <w:highlight w:val="none"/>
              </w:rPr>
              <w:t>。</w:t>
            </w:r>
          </w:p>
          <w:p w14:paraId="0B915571">
            <w:pPr>
              <w:pStyle w:val="45"/>
              <w:ind w:firstLine="482"/>
              <w:jc w:val="both"/>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4、生态环境</w:t>
            </w:r>
          </w:p>
          <w:p w14:paraId="00730A9F">
            <w:pPr>
              <w:pStyle w:val="45"/>
              <w:jc w:val="both"/>
              <w:rPr>
                <w:rFonts w:hint="default" w:ascii="Times New Roman" w:hAnsi="Times New Roman" w:cs="Times New Roman"/>
                <w:color w:val="auto"/>
              </w:rPr>
            </w:pPr>
            <w:r>
              <w:rPr>
                <w:rFonts w:hint="default" w:ascii="Times New Roman" w:hAnsi="Times New Roman" w:cs="Times New Roman"/>
                <w:color w:val="auto"/>
                <w:highlight w:val="none"/>
              </w:rPr>
              <w:t>本项目建设地点位于</w:t>
            </w:r>
            <w:r>
              <w:rPr>
                <w:rFonts w:hint="eastAsia" w:ascii="Times New Roman" w:hAnsi="Times New Roman" w:cs="Times New Roman"/>
                <w:bCs/>
                <w:color w:val="auto"/>
                <w:sz w:val="24"/>
                <w:szCs w:val="24"/>
                <w:highlight w:val="none"/>
                <w:lang w:val="en-US" w:eastAsia="zh-CN"/>
              </w:rPr>
              <w:t>安徽省宿州市泗县泗水街道唐河路与赤山路交汇处东150米绿朗光电智慧产业园6栋2号</w:t>
            </w:r>
            <w:r>
              <w:rPr>
                <w:rFonts w:hint="default" w:ascii="Times New Roman" w:hAnsi="Times New Roman" w:cs="Times New Roman"/>
                <w:color w:val="auto"/>
                <w:highlight w:val="none"/>
              </w:rPr>
              <w:t>，</w:t>
            </w:r>
            <w:r>
              <w:rPr>
                <w:rFonts w:hint="default" w:ascii="Times New Roman" w:hAnsi="Times New Roman" w:cs="Times New Roman"/>
                <w:color w:val="auto"/>
              </w:rPr>
              <w:t>不属于《建设项目环境影响报告表编制技术指南（污染影响类）》：“产业园区外建设项目新增用地且用地范围内含有生态环境保护目标时，应进行生态现状调查。”</w:t>
            </w:r>
            <w:r>
              <w:rPr>
                <w:rFonts w:hint="default" w:ascii="Times New Roman" w:hAnsi="Times New Roman" w:cs="Times New Roman"/>
                <w:color w:val="auto"/>
                <w:lang w:eastAsia="zh-CN"/>
              </w:rPr>
              <w:t>本项目用地范围内无生态环境保护目标，</w:t>
            </w:r>
            <w:r>
              <w:rPr>
                <w:rFonts w:hint="default" w:ascii="Times New Roman" w:hAnsi="Times New Roman" w:cs="Times New Roman"/>
                <w:color w:val="auto"/>
              </w:rPr>
              <w:t>因此，本项目可不进行生态环境现状调查。</w:t>
            </w:r>
          </w:p>
          <w:p w14:paraId="0CC46659">
            <w:pPr>
              <w:pStyle w:val="45"/>
              <w:ind w:firstLine="482"/>
              <w:jc w:val="both"/>
              <w:rPr>
                <w:rFonts w:hint="default" w:ascii="Times New Roman" w:hAnsi="Times New Roman" w:cs="Times New Roman"/>
                <w:b/>
                <w:bCs/>
                <w:color w:val="auto"/>
              </w:rPr>
            </w:pPr>
            <w:r>
              <w:rPr>
                <w:rFonts w:hint="default" w:ascii="Times New Roman" w:hAnsi="Times New Roman" w:cs="Times New Roman"/>
                <w:b/>
                <w:bCs/>
                <w:color w:val="auto"/>
              </w:rPr>
              <w:t>5、地下水、土壤</w:t>
            </w:r>
          </w:p>
          <w:p w14:paraId="5F8817A4">
            <w:pPr>
              <w:pStyle w:val="45"/>
              <w:jc w:val="both"/>
              <w:rPr>
                <w:rFonts w:hint="default" w:ascii="Times New Roman" w:hAnsi="Times New Roman" w:cs="Times New Roman"/>
                <w:b/>
                <w:bCs/>
                <w:color w:val="auto"/>
              </w:rPr>
            </w:pPr>
            <w:r>
              <w:rPr>
                <w:rFonts w:hint="default" w:ascii="Times New Roman" w:hAnsi="Times New Roman" w:eastAsia="宋体" w:cs="Times New Roman"/>
                <w:color w:val="auto"/>
                <w:lang w:eastAsia="zh-CN"/>
              </w:rPr>
              <w:t>本项目</w:t>
            </w:r>
            <w:r>
              <w:rPr>
                <w:rFonts w:hint="default" w:ascii="Times New Roman" w:hAnsi="Times New Roman" w:eastAsia="宋体" w:cs="Times New Roman"/>
                <w:color w:val="auto"/>
              </w:rPr>
              <w:t>对新增可能对地下水、土壤造成污染的污染源拟采取分区防渗措施，因此建设项目原则上不存在地下水、土壤污染途径，不再开展地下水</w:t>
            </w:r>
            <w:r>
              <w:rPr>
                <w:rFonts w:hint="default" w:ascii="Times New Roman" w:hAnsi="Times New Roman" w:cs="Times New Roman"/>
                <w:color w:val="auto"/>
              </w:rPr>
              <w:t>、土壤</w:t>
            </w:r>
            <w:r>
              <w:rPr>
                <w:rFonts w:hint="default" w:ascii="Times New Roman" w:hAnsi="Times New Roman" w:eastAsia="宋体" w:cs="Times New Roman"/>
                <w:color w:val="auto"/>
              </w:rPr>
              <w:t>环境质量现状调查。</w:t>
            </w:r>
          </w:p>
          <w:p w14:paraId="2B619196">
            <w:pPr>
              <w:pStyle w:val="45"/>
              <w:ind w:firstLine="482"/>
              <w:jc w:val="both"/>
              <w:rPr>
                <w:rFonts w:hint="default" w:ascii="Times New Roman" w:hAnsi="Times New Roman" w:cs="Times New Roman"/>
                <w:b/>
                <w:bCs/>
                <w:color w:val="auto"/>
              </w:rPr>
            </w:pPr>
            <w:r>
              <w:rPr>
                <w:rFonts w:hint="default" w:ascii="Times New Roman" w:hAnsi="Times New Roman" w:cs="Times New Roman"/>
                <w:b/>
                <w:bCs/>
                <w:color w:val="auto"/>
              </w:rPr>
              <w:t>6、电磁辐射</w:t>
            </w:r>
          </w:p>
          <w:p w14:paraId="769652D3">
            <w:pPr>
              <w:pStyle w:val="46"/>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本项目不涉及电磁辐射。</w:t>
            </w:r>
          </w:p>
          <w:p w14:paraId="55DE2F21">
            <w:pPr>
              <w:pStyle w:val="46"/>
              <w:spacing w:line="360" w:lineRule="auto"/>
              <w:ind w:firstLine="480"/>
              <w:rPr>
                <w:rFonts w:hint="default" w:ascii="Times New Roman" w:hAnsi="Times New Roman" w:cs="Times New Roman"/>
                <w:color w:val="auto"/>
                <w:sz w:val="24"/>
                <w:szCs w:val="24"/>
              </w:rPr>
            </w:pPr>
          </w:p>
          <w:p w14:paraId="094D6488">
            <w:pPr>
              <w:pStyle w:val="46"/>
              <w:spacing w:line="360" w:lineRule="auto"/>
              <w:ind w:firstLine="0" w:firstLineChars="0"/>
              <w:rPr>
                <w:rFonts w:hint="default" w:ascii="Times New Roman" w:hAnsi="Times New Roman" w:cs="Times New Roman"/>
                <w:color w:val="auto"/>
                <w:sz w:val="24"/>
                <w:szCs w:val="24"/>
              </w:rPr>
            </w:pPr>
          </w:p>
          <w:p w14:paraId="5ABA0792">
            <w:pPr>
              <w:pStyle w:val="46"/>
              <w:spacing w:line="360" w:lineRule="auto"/>
              <w:ind w:firstLine="0" w:firstLineChars="0"/>
              <w:rPr>
                <w:rFonts w:hint="default" w:ascii="Times New Roman" w:hAnsi="Times New Roman" w:cs="Times New Roman"/>
                <w:color w:val="auto"/>
                <w:sz w:val="24"/>
                <w:szCs w:val="24"/>
              </w:rPr>
            </w:pPr>
          </w:p>
          <w:p w14:paraId="35F7184A">
            <w:pPr>
              <w:pStyle w:val="46"/>
              <w:spacing w:line="360" w:lineRule="auto"/>
              <w:ind w:firstLine="0" w:firstLineChars="0"/>
              <w:rPr>
                <w:rFonts w:hint="default" w:ascii="Times New Roman" w:hAnsi="Times New Roman" w:cs="Times New Roman"/>
                <w:color w:val="auto"/>
                <w:sz w:val="24"/>
                <w:szCs w:val="24"/>
              </w:rPr>
            </w:pPr>
          </w:p>
          <w:p w14:paraId="35B3F7E5">
            <w:pPr>
              <w:pStyle w:val="46"/>
              <w:spacing w:line="360" w:lineRule="auto"/>
              <w:ind w:firstLine="0" w:firstLineChars="0"/>
              <w:rPr>
                <w:rFonts w:hint="default" w:ascii="Times New Roman" w:hAnsi="Times New Roman" w:cs="Times New Roman"/>
                <w:color w:val="auto"/>
                <w:sz w:val="24"/>
                <w:szCs w:val="24"/>
              </w:rPr>
            </w:pPr>
          </w:p>
          <w:p w14:paraId="3442E406">
            <w:pPr>
              <w:pStyle w:val="46"/>
              <w:spacing w:line="360" w:lineRule="auto"/>
              <w:ind w:firstLine="0" w:firstLineChars="0"/>
              <w:rPr>
                <w:rFonts w:hint="default" w:ascii="Times New Roman" w:hAnsi="Times New Roman" w:cs="Times New Roman"/>
                <w:color w:val="auto"/>
                <w:sz w:val="24"/>
                <w:szCs w:val="24"/>
              </w:rPr>
            </w:pPr>
          </w:p>
          <w:p w14:paraId="055C9FDF">
            <w:pPr>
              <w:pStyle w:val="46"/>
              <w:spacing w:line="360" w:lineRule="auto"/>
              <w:ind w:firstLine="0" w:firstLineChars="0"/>
              <w:rPr>
                <w:rFonts w:hint="default" w:ascii="Times New Roman" w:hAnsi="Times New Roman" w:cs="Times New Roman"/>
                <w:color w:val="auto"/>
                <w:sz w:val="24"/>
                <w:szCs w:val="24"/>
              </w:rPr>
            </w:pPr>
          </w:p>
          <w:p w14:paraId="4477B7BC">
            <w:pPr>
              <w:pStyle w:val="46"/>
              <w:spacing w:line="360" w:lineRule="auto"/>
              <w:ind w:firstLine="0" w:firstLineChars="0"/>
              <w:rPr>
                <w:rFonts w:hint="default" w:ascii="Times New Roman" w:hAnsi="Times New Roman" w:cs="Times New Roman"/>
                <w:color w:val="auto"/>
                <w:sz w:val="24"/>
                <w:szCs w:val="24"/>
              </w:rPr>
            </w:pPr>
          </w:p>
        </w:tc>
      </w:tr>
      <w:tr w14:paraId="2D91CE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14:paraId="45467A3C">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环境保护目标</w:t>
            </w:r>
          </w:p>
        </w:tc>
        <w:tc>
          <w:tcPr>
            <w:tcW w:w="8637" w:type="dxa"/>
            <w:vAlign w:val="center"/>
          </w:tcPr>
          <w:p w14:paraId="1C93948D">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1.大气环境</w:t>
            </w:r>
          </w:p>
          <w:p w14:paraId="64346323">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建设项目</w:t>
            </w:r>
            <w:r>
              <w:rPr>
                <w:rFonts w:hint="default" w:ascii="Times New Roman" w:hAnsi="Times New Roman" w:cs="Times New Roman"/>
                <w:color w:val="auto"/>
                <w:sz w:val="24"/>
                <w:szCs w:val="24"/>
              </w:rPr>
              <w:t>厂界外500米范围内</w:t>
            </w:r>
            <w:r>
              <w:rPr>
                <w:rFonts w:hint="eastAsia" w:ascii="Times New Roman" w:hAnsi="Times New Roman" w:cs="Times New Roman"/>
                <w:color w:val="auto"/>
                <w:sz w:val="24"/>
                <w:szCs w:val="24"/>
                <w:lang w:val="en-US" w:eastAsia="zh-CN"/>
              </w:rPr>
              <w:t>无大气</w:t>
            </w:r>
            <w:r>
              <w:rPr>
                <w:rFonts w:hint="default" w:ascii="Times New Roman" w:hAnsi="Times New Roman" w:cs="Times New Roman"/>
                <w:color w:val="auto"/>
                <w:sz w:val="24"/>
                <w:szCs w:val="24"/>
                <w:lang w:eastAsia="zh-CN"/>
              </w:rPr>
              <w:t>环境保护目标</w:t>
            </w:r>
            <w:r>
              <w:rPr>
                <w:rFonts w:hint="default" w:ascii="Times New Roman" w:hAnsi="Times New Roman" w:cs="Times New Roman"/>
                <w:color w:val="auto"/>
                <w:sz w:val="24"/>
                <w:szCs w:val="24"/>
              </w:rPr>
              <w:t>。</w:t>
            </w:r>
            <w:r>
              <w:rPr>
                <w:rFonts w:hint="default" w:ascii="Times New Roman" w:hAnsi="Times New Roman" w:cs="Times New Roman"/>
                <w:b w:val="0"/>
                <w:bCs w:val="0"/>
                <w:color w:val="auto"/>
                <w:sz w:val="24"/>
                <w:szCs w:val="24"/>
                <w:highlight w:val="none"/>
                <w:lang w:val="en-US" w:eastAsia="zh-CN"/>
              </w:rPr>
              <w:t>建设项目</w:t>
            </w:r>
            <w:r>
              <w:rPr>
                <w:rFonts w:hint="eastAsia" w:ascii="Times New Roman" w:hAnsi="Times New Roman" w:cs="Times New Roman"/>
                <w:b w:val="0"/>
                <w:bCs w:val="0"/>
                <w:color w:val="auto"/>
                <w:sz w:val="24"/>
                <w:szCs w:val="24"/>
                <w:highlight w:val="none"/>
                <w:lang w:val="en-US" w:eastAsia="zh-CN"/>
              </w:rPr>
              <w:t>周边500m范围图见</w:t>
            </w:r>
            <w:r>
              <w:rPr>
                <w:rFonts w:hint="default" w:ascii="Times New Roman" w:hAnsi="Times New Roman" w:cs="Times New Roman"/>
                <w:b w:val="0"/>
                <w:bCs w:val="0"/>
                <w:color w:val="auto"/>
                <w:sz w:val="24"/>
                <w:szCs w:val="24"/>
                <w:highlight w:val="none"/>
                <w:lang w:val="en-US" w:eastAsia="zh-CN"/>
              </w:rPr>
              <w:t>附图</w:t>
            </w:r>
            <w:r>
              <w:rPr>
                <w:rFonts w:hint="eastAsia" w:ascii="Times New Roman" w:hAnsi="Times New Roman" w:cs="Times New Roman"/>
                <w:b w:val="0"/>
                <w:bCs w:val="0"/>
                <w:color w:val="auto"/>
                <w:sz w:val="24"/>
                <w:szCs w:val="24"/>
                <w:highlight w:val="none"/>
                <w:lang w:val="en-US" w:eastAsia="zh-CN"/>
              </w:rPr>
              <w:t>17。</w:t>
            </w:r>
          </w:p>
          <w:p w14:paraId="24A74D8F">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2.声环境</w:t>
            </w:r>
          </w:p>
          <w:p w14:paraId="71EF9167">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建设项目厂界外50米范围内</w:t>
            </w:r>
            <w:r>
              <w:rPr>
                <w:rFonts w:hint="eastAsia" w:ascii="Times New Roman" w:hAnsi="Times New Roman" w:cs="Times New Roman"/>
                <w:color w:val="auto"/>
                <w:sz w:val="24"/>
                <w:lang w:val="en-US" w:eastAsia="zh-CN"/>
              </w:rPr>
              <w:t>无</w:t>
            </w:r>
            <w:r>
              <w:rPr>
                <w:rFonts w:hint="default" w:ascii="Times New Roman" w:hAnsi="Times New Roman" w:cs="Times New Roman"/>
                <w:color w:val="auto"/>
                <w:sz w:val="24"/>
              </w:rPr>
              <w:t>声环境保护目标。</w:t>
            </w:r>
          </w:p>
          <w:p w14:paraId="5ED37F51">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3.地下水环境</w:t>
            </w:r>
          </w:p>
          <w:p w14:paraId="173668C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建设项目厂界外500米范围内无地下水集中式饮用水水源和热水、矿泉水、温泉等特殊地下水资源。</w:t>
            </w:r>
          </w:p>
          <w:p w14:paraId="2FE43794">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4</w:t>
            </w:r>
            <w:r>
              <w:rPr>
                <w:rFonts w:hint="default" w:ascii="Times New Roman" w:hAnsi="Times New Roman" w:cs="Times New Roman"/>
                <w:b/>
                <w:bCs/>
                <w:color w:val="auto"/>
                <w:sz w:val="24"/>
              </w:rPr>
              <w:t>.地</w:t>
            </w:r>
            <w:r>
              <w:rPr>
                <w:rFonts w:hint="default" w:ascii="Times New Roman" w:hAnsi="Times New Roman" w:cs="Times New Roman"/>
                <w:b/>
                <w:bCs/>
                <w:color w:val="auto"/>
                <w:sz w:val="24"/>
                <w:lang w:eastAsia="zh-CN"/>
              </w:rPr>
              <w:t>表</w:t>
            </w:r>
            <w:r>
              <w:rPr>
                <w:rFonts w:hint="default" w:ascii="Times New Roman" w:hAnsi="Times New Roman" w:cs="Times New Roman"/>
                <w:b/>
                <w:bCs/>
                <w:color w:val="auto"/>
                <w:sz w:val="24"/>
              </w:rPr>
              <w:t>水环境</w:t>
            </w:r>
          </w:p>
          <w:p w14:paraId="66B27A30">
            <w:pPr>
              <w:spacing w:line="360" w:lineRule="auto"/>
              <w:ind w:firstLine="480" w:firstLineChars="200"/>
              <w:rPr>
                <w:rFonts w:hint="default" w:ascii="Times New Roman" w:hAnsi="Times New Roman" w:cs="Times New Roman"/>
                <w:b w:val="0"/>
                <w:bCs w:val="0"/>
                <w:color w:val="auto"/>
                <w:sz w:val="24"/>
                <w:lang w:val="en-US" w:eastAsia="zh-CN"/>
              </w:rPr>
            </w:pPr>
            <w:r>
              <w:rPr>
                <w:rFonts w:hint="default" w:ascii="Times New Roman" w:hAnsi="Times New Roman" w:cs="Times New Roman"/>
                <w:b w:val="0"/>
                <w:bCs w:val="0"/>
                <w:color w:val="auto"/>
                <w:sz w:val="24"/>
                <w:lang w:eastAsia="zh-CN"/>
              </w:rPr>
              <w:t>地表水环境保护目标一览表见表</w:t>
            </w:r>
            <w:r>
              <w:rPr>
                <w:rFonts w:hint="default" w:ascii="Times New Roman" w:hAnsi="Times New Roman" w:cs="Times New Roman"/>
                <w:b w:val="0"/>
                <w:bCs w:val="0"/>
                <w:color w:val="auto"/>
                <w:sz w:val="24"/>
                <w:lang w:val="en-US" w:eastAsia="zh-CN"/>
              </w:rPr>
              <w:t>3.</w:t>
            </w:r>
            <w:r>
              <w:rPr>
                <w:rFonts w:hint="eastAsia" w:ascii="Times New Roman" w:hAnsi="Times New Roman" w:cs="Times New Roman"/>
                <w:b w:val="0"/>
                <w:bCs w:val="0"/>
                <w:color w:val="auto"/>
                <w:sz w:val="24"/>
                <w:lang w:val="en-US" w:eastAsia="zh-CN"/>
              </w:rPr>
              <w:t>4</w:t>
            </w:r>
            <w:r>
              <w:rPr>
                <w:rFonts w:hint="default" w:ascii="Times New Roman" w:hAnsi="Times New Roman" w:cs="Times New Roman"/>
                <w:b w:val="0"/>
                <w:bCs w:val="0"/>
                <w:color w:val="auto"/>
                <w:sz w:val="24"/>
                <w:lang w:val="en-US" w:eastAsia="zh-CN"/>
              </w:rPr>
              <w:t>。</w:t>
            </w:r>
          </w:p>
          <w:p w14:paraId="742F4207">
            <w:pPr>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lang w:val="en-US" w:eastAsia="zh-CN"/>
              </w:rPr>
              <w:t xml:space="preserve">  地表水环境保护目标一览表</w:t>
            </w:r>
          </w:p>
          <w:tbl>
            <w:tblPr>
              <w:tblStyle w:val="32"/>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1009"/>
              <w:gridCol w:w="827"/>
              <w:gridCol w:w="761"/>
              <w:gridCol w:w="885"/>
              <w:gridCol w:w="1043"/>
              <w:gridCol w:w="2088"/>
              <w:gridCol w:w="866"/>
              <w:gridCol w:w="996"/>
            </w:tblGrid>
            <w:tr w14:paraId="4380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11" w:type="dxa"/>
                  <w:vMerge w:val="restart"/>
                  <w:noWrap w:val="0"/>
                  <w:vAlign w:val="center"/>
                </w:tcPr>
                <w:p w14:paraId="0C542322">
                  <w:pPr>
                    <w:pStyle w:val="48"/>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类别</w:t>
                  </w:r>
                </w:p>
              </w:tc>
              <w:tc>
                <w:tcPr>
                  <w:tcW w:w="1050" w:type="dxa"/>
                  <w:vMerge w:val="restart"/>
                  <w:noWrap w:val="0"/>
                  <w:vAlign w:val="center"/>
                </w:tcPr>
                <w:p w14:paraId="422A2277">
                  <w:pPr>
                    <w:pStyle w:val="48"/>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名称</w:t>
                  </w:r>
                </w:p>
              </w:tc>
              <w:tc>
                <w:tcPr>
                  <w:tcW w:w="1640" w:type="dxa"/>
                  <w:gridSpan w:val="2"/>
                  <w:noWrap w:val="0"/>
                  <w:vAlign w:val="center"/>
                </w:tcPr>
                <w:p w14:paraId="4542BB55">
                  <w:pPr>
                    <w:pStyle w:val="48"/>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坐标</w:t>
                  </w:r>
                </w:p>
              </w:tc>
              <w:tc>
                <w:tcPr>
                  <w:tcW w:w="917" w:type="dxa"/>
                  <w:vMerge w:val="restart"/>
                  <w:noWrap w:val="0"/>
                  <w:vAlign w:val="center"/>
                </w:tcPr>
                <w:p w14:paraId="04CBBD3A">
                  <w:pPr>
                    <w:pStyle w:val="48"/>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保护对象</w:t>
                  </w:r>
                </w:p>
              </w:tc>
              <w:tc>
                <w:tcPr>
                  <w:tcW w:w="1087" w:type="dxa"/>
                  <w:vMerge w:val="restart"/>
                  <w:noWrap w:val="0"/>
                  <w:vAlign w:val="center"/>
                </w:tcPr>
                <w:p w14:paraId="65BDCFB0">
                  <w:pPr>
                    <w:pStyle w:val="48"/>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保护内容</w:t>
                  </w:r>
                </w:p>
              </w:tc>
              <w:tc>
                <w:tcPr>
                  <w:tcW w:w="1838" w:type="dxa"/>
                  <w:vMerge w:val="restart"/>
                  <w:noWrap w:val="0"/>
                  <w:vAlign w:val="center"/>
                </w:tcPr>
                <w:p w14:paraId="69D8D967">
                  <w:pPr>
                    <w:pStyle w:val="48"/>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环境功能区</w:t>
                  </w:r>
                </w:p>
              </w:tc>
              <w:tc>
                <w:tcPr>
                  <w:tcW w:w="888" w:type="dxa"/>
                  <w:vMerge w:val="restart"/>
                  <w:noWrap w:val="0"/>
                  <w:vAlign w:val="center"/>
                </w:tcPr>
                <w:p w14:paraId="1A7F0946">
                  <w:pPr>
                    <w:pStyle w:val="48"/>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相对厂址方位</w:t>
                  </w:r>
                </w:p>
              </w:tc>
              <w:tc>
                <w:tcPr>
                  <w:tcW w:w="1023" w:type="dxa"/>
                  <w:vMerge w:val="restart"/>
                  <w:noWrap w:val="0"/>
                  <w:vAlign w:val="center"/>
                </w:tcPr>
                <w:p w14:paraId="4CCCB6C1">
                  <w:pPr>
                    <w:pStyle w:val="48"/>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相对厂界距离/m</w:t>
                  </w:r>
                </w:p>
              </w:tc>
            </w:tr>
            <w:tr w14:paraId="6C650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11" w:type="dxa"/>
                  <w:vMerge w:val="continue"/>
                  <w:noWrap w:val="0"/>
                  <w:vAlign w:val="center"/>
                </w:tcPr>
                <w:p w14:paraId="38C93AD4">
                  <w:pPr>
                    <w:pStyle w:val="48"/>
                    <w:spacing w:line="240" w:lineRule="auto"/>
                    <w:rPr>
                      <w:rFonts w:hint="default" w:ascii="Times New Roman" w:hAnsi="Times New Roman" w:eastAsia="宋体" w:cs="Times New Roman"/>
                      <w:color w:val="auto"/>
                      <w:sz w:val="21"/>
                      <w:szCs w:val="21"/>
                      <w:lang w:val="en-US" w:eastAsia="zh-CN"/>
                    </w:rPr>
                  </w:pPr>
                </w:p>
              </w:tc>
              <w:tc>
                <w:tcPr>
                  <w:tcW w:w="1050" w:type="dxa"/>
                  <w:vMerge w:val="continue"/>
                  <w:noWrap w:val="0"/>
                  <w:vAlign w:val="center"/>
                </w:tcPr>
                <w:p w14:paraId="26FDDCE2">
                  <w:pPr>
                    <w:pStyle w:val="48"/>
                    <w:spacing w:line="240" w:lineRule="auto"/>
                    <w:rPr>
                      <w:rFonts w:hint="default" w:ascii="Times New Roman" w:hAnsi="Times New Roman" w:eastAsia="宋体" w:cs="Times New Roman"/>
                      <w:color w:val="auto"/>
                      <w:sz w:val="21"/>
                      <w:szCs w:val="21"/>
                      <w:lang w:val="en-US" w:eastAsia="zh-CN"/>
                    </w:rPr>
                  </w:pPr>
                </w:p>
              </w:tc>
              <w:tc>
                <w:tcPr>
                  <w:tcW w:w="855" w:type="dxa"/>
                  <w:noWrap w:val="0"/>
                  <w:vAlign w:val="center"/>
                </w:tcPr>
                <w:p w14:paraId="324F09F6">
                  <w:pPr>
                    <w:pStyle w:val="48"/>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经度</w:t>
                  </w:r>
                </w:p>
              </w:tc>
              <w:tc>
                <w:tcPr>
                  <w:tcW w:w="785" w:type="dxa"/>
                  <w:noWrap w:val="0"/>
                  <w:vAlign w:val="center"/>
                </w:tcPr>
                <w:p w14:paraId="4A59CBC7">
                  <w:pPr>
                    <w:pStyle w:val="48"/>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纬度</w:t>
                  </w:r>
                </w:p>
              </w:tc>
              <w:tc>
                <w:tcPr>
                  <w:tcW w:w="917" w:type="dxa"/>
                  <w:vMerge w:val="continue"/>
                  <w:noWrap w:val="0"/>
                  <w:vAlign w:val="center"/>
                </w:tcPr>
                <w:p w14:paraId="6BF980F0">
                  <w:pPr>
                    <w:pStyle w:val="48"/>
                    <w:spacing w:line="240" w:lineRule="auto"/>
                    <w:rPr>
                      <w:rFonts w:hint="default" w:ascii="Times New Roman" w:hAnsi="Times New Roman" w:eastAsia="宋体" w:cs="Times New Roman"/>
                      <w:color w:val="auto"/>
                      <w:sz w:val="21"/>
                      <w:szCs w:val="21"/>
                      <w:lang w:val="en-US" w:eastAsia="zh-CN"/>
                    </w:rPr>
                  </w:pPr>
                </w:p>
              </w:tc>
              <w:tc>
                <w:tcPr>
                  <w:tcW w:w="1087" w:type="dxa"/>
                  <w:vMerge w:val="continue"/>
                  <w:noWrap w:val="0"/>
                  <w:vAlign w:val="center"/>
                </w:tcPr>
                <w:p w14:paraId="460F6826">
                  <w:pPr>
                    <w:pStyle w:val="48"/>
                    <w:spacing w:line="240" w:lineRule="auto"/>
                    <w:rPr>
                      <w:rFonts w:hint="default" w:ascii="Times New Roman" w:hAnsi="Times New Roman" w:eastAsia="宋体" w:cs="Times New Roman"/>
                      <w:color w:val="auto"/>
                      <w:sz w:val="21"/>
                      <w:szCs w:val="21"/>
                      <w:lang w:val="en-US" w:eastAsia="zh-CN"/>
                    </w:rPr>
                  </w:pPr>
                </w:p>
              </w:tc>
              <w:tc>
                <w:tcPr>
                  <w:tcW w:w="1838" w:type="dxa"/>
                  <w:vMerge w:val="continue"/>
                  <w:noWrap w:val="0"/>
                  <w:vAlign w:val="center"/>
                </w:tcPr>
                <w:p w14:paraId="607C79DF">
                  <w:pPr>
                    <w:pStyle w:val="48"/>
                    <w:spacing w:line="240" w:lineRule="auto"/>
                    <w:rPr>
                      <w:rFonts w:hint="default" w:ascii="Times New Roman" w:hAnsi="Times New Roman" w:eastAsia="宋体" w:cs="Times New Roman"/>
                      <w:color w:val="auto"/>
                      <w:sz w:val="21"/>
                      <w:szCs w:val="21"/>
                      <w:lang w:val="en-US" w:eastAsia="zh-CN"/>
                    </w:rPr>
                  </w:pPr>
                </w:p>
              </w:tc>
              <w:tc>
                <w:tcPr>
                  <w:tcW w:w="888" w:type="dxa"/>
                  <w:vMerge w:val="continue"/>
                  <w:noWrap w:val="0"/>
                  <w:vAlign w:val="center"/>
                </w:tcPr>
                <w:p w14:paraId="79C07806">
                  <w:pPr>
                    <w:pStyle w:val="48"/>
                    <w:spacing w:line="240" w:lineRule="auto"/>
                    <w:rPr>
                      <w:rFonts w:hint="default" w:ascii="Times New Roman" w:hAnsi="Times New Roman" w:eastAsia="宋体" w:cs="Times New Roman"/>
                      <w:color w:val="auto"/>
                      <w:sz w:val="21"/>
                      <w:szCs w:val="21"/>
                      <w:lang w:val="en-US" w:eastAsia="zh-CN"/>
                    </w:rPr>
                  </w:pPr>
                </w:p>
              </w:tc>
              <w:tc>
                <w:tcPr>
                  <w:tcW w:w="1023" w:type="dxa"/>
                  <w:vMerge w:val="continue"/>
                  <w:noWrap w:val="0"/>
                  <w:vAlign w:val="center"/>
                </w:tcPr>
                <w:p w14:paraId="6FDA3DDE">
                  <w:pPr>
                    <w:pStyle w:val="48"/>
                    <w:spacing w:line="240" w:lineRule="auto"/>
                    <w:rPr>
                      <w:rFonts w:hint="default" w:ascii="Times New Roman" w:hAnsi="Times New Roman" w:eastAsia="宋体" w:cs="Times New Roman"/>
                      <w:color w:val="auto"/>
                      <w:sz w:val="21"/>
                      <w:szCs w:val="21"/>
                      <w:lang w:val="en-US" w:eastAsia="zh-CN"/>
                    </w:rPr>
                  </w:pPr>
                </w:p>
              </w:tc>
            </w:tr>
            <w:tr w14:paraId="517B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11" w:type="dxa"/>
                  <w:vMerge w:val="restart"/>
                  <w:noWrap w:val="0"/>
                  <w:vAlign w:val="center"/>
                </w:tcPr>
                <w:p w14:paraId="5177B75E">
                  <w:pPr>
                    <w:pStyle w:val="48"/>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地表水环境</w:t>
                  </w:r>
                </w:p>
              </w:tc>
              <w:tc>
                <w:tcPr>
                  <w:tcW w:w="1050" w:type="dxa"/>
                  <w:noWrap w:val="0"/>
                  <w:vAlign w:val="center"/>
                </w:tcPr>
                <w:p w14:paraId="5CFB335C">
                  <w:pPr>
                    <w:pStyle w:val="48"/>
                    <w:spacing w:line="240" w:lineRule="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托泥沟</w:t>
                  </w:r>
                </w:p>
              </w:tc>
              <w:tc>
                <w:tcPr>
                  <w:tcW w:w="855" w:type="dxa"/>
                  <w:shd w:val="clear" w:color="auto" w:fill="auto"/>
                  <w:noWrap w:val="0"/>
                  <w:vAlign w:val="center"/>
                </w:tcPr>
                <w:p w14:paraId="2DD1BD65">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785" w:type="dxa"/>
                  <w:shd w:val="clear" w:color="auto" w:fill="auto"/>
                  <w:noWrap w:val="0"/>
                  <w:vAlign w:val="center"/>
                </w:tcPr>
                <w:p w14:paraId="7C13BA46">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917" w:type="dxa"/>
                  <w:shd w:val="clear" w:color="auto" w:fill="auto"/>
                  <w:noWrap w:val="0"/>
                  <w:vAlign w:val="center"/>
                </w:tcPr>
                <w:p w14:paraId="7DE2D742">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地表水</w:t>
                  </w:r>
                </w:p>
              </w:tc>
              <w:tc>
                <w:tcPr>
                  <w:tcW w:w="1087" w:type="dxa"/>
                  <w:shd w:val="clear" w:color="auto" w:fill="auto"/>
                  <w:noWrap w:val="0"/>
                  <w:vAlign w:val="center"/>
                </w:tcPr>
                <w:p w14:paraId="4080FC42">
                  <w:pPr>
                    <w:pStyle w:val="48"/>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小</w:t>
                  </w:r>
                  <w:r>
                    <w:rPr>
                      <w:rFonts w:hint="default" w:ascii="Times New Roman" w:hAnsi="Times New Roman" w:eastAsia="宋体" w:cs="Times New Roman"/>
                      <w:color w:val="auto"/>
                      <w:sz w:val="21"/>
                      <w:szCs w:val="21"/>
                      <w:highlight w:val="none"/>
                      <w:lang w:val="en-US" w:eastAsia="zh-CN"/>
                    </w:rPr>
                    <w:t>型河流</w:t>
                  </w:r>
                </w:p>
              </w:tc>
              <w:tc>
                <w:tcPr>
                  <w:tcW w:w="1838" w:type="dxa"/>
                  <w:shd w:val="clear" w:color="auto" w:fill="auto"/>
                  <w:noWrap w:val="0"/>
                  <w:vAlign w:val="center"/>
                </w:tcPr>
                <w:p w14:paraId="0305C02D">
                  <w:pPr>
                    <w:pStyle w:val="48"/>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（GB3838-2002）Ⅳ类标准</w:t>
                  </w:r>
                </w:p>
              </w:tc>
              <w:tc>
                <w:tcPr>
                  <w:tcW w:w="888" w:type="dxa"/>
                  <w:noWrap w:val="0"/>
                  <w:vAlign w:val="center"/>
                </w:tcPr>
                <w:p w14:paraId="7A22F6BE">
                  <w:pPr>
                    <w:pStyle w:val="48"/>
                    <w:spacing w:line="240" w:lineRule="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w:t>
                  </w:r>
                </w:p>
              </w:tc>
              <w:tc>
                <w:tcPr>
                  <w:tcW w:w="1023" w:type="dxa"/>
                  <w:noWrap w:val="0"/>
                  <w:vAlign w:val="center"/>
                </w:tcPr>
                <w:p w14:paraId="289A18CB">
                  <w:pPr>
                    <w:pStyle w:val="48"/>
                    <w:spacing w:line="240" w:lineRule="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352</w:t>
                  </w:r>
                </w:p>
              </w:tc>
            </w:tr>
            <w:tr w14:paraId="537A4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11" w:type="dxa"/>
                  <w:vMerge w:val="continue"/>
                  <w:noWrap w:val="0"/>
                  <w:vAlign w:val="center"/>
                </w:tcPr>
                <w:p w14:paraId="0ADFA870">
                  <w:pPr>
                    <w:pStyle w:val="48"/>
                    <w:spacing w:line="240" w:lineRule="auto"/>
                    <w:rPr>
                      <w:rFonts w:hint="default" w:ascii="Times New Roman" w:hAnsi="Times New Roman" w:eastAsia="宋体" w:cs="Times New Roman"/>
                      <w:color w:val="auto"/>
                      <w:sz w:val="21"/>
                      <w:szCs w:val="21"/>
                      <w:lang w:val="en-US" w:eastAsia="zh-CN"/>
                    </w:rPr>
                  </w:pPr>
                </w:p>
              </w:tc>
              <w:tc>
                <w:tcPr>
                  <w:tcW w:w="1050" w:type="dxa"/>
                  <w:shd w:val="clear" w:color="auto" w:fill="auto"/>
                  <w:noWrap w:val="0"/>
                  <w:vAlign w:val="center"/>
                </w:tcPr>
                <w:p w14:paraId="1B34755B">
                  <w:pPr>
                    <w:pStyle w:val="48"/>
                    <w:spacing w:line="240" w:lineRule="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清水沟</w:t>
                  </w:r>
                </w:p>
              </w:tc>
              <w:tc>
                <w:tcPr>
                  <w:tcW w:w="855" w:type="dxa"/>
                  <w:shd w:val="clear" w:color="auto" w:fill="auto"/>
                  <w:noWrap w:val="0"/>
                  <w:vAlign w:val="center"/>
                </w:tcPr>
                <w:p w14:paraId="6B60AF63">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785" w:type="dxa"/>
                  <w:shd w:val="clear" w:color="auto" w:fill="auto"/>
                  <w:noWrap w:val="0"/>
                  <w:vAlign w:val="center"/>
                </w:tcPr>
                <w:p w14:paraId="02DA1149">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917" w:type="dxa"/>
                  <w:shd w:val="clear" w:color="auto" w:fill="auto"/>
                  <w:noWrap w:val="0"/>
                  <w:vAlign w:val="center"/>
                </w:tcPr>
                <w:p w14:paraId="0032B112">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地表水</w:t>
                  </w:r>
                </w:p>
              </w:tc>
              <w:tc>
                <w:tcPr>
                  <w:tcW w:w="1087" w:type="dxa"/>
                  <w:shd w:val="clear" w:color="auto" w:fill="auto"/>
                  <w:noWrap w:val="0"/>
                  <w:vAlign w:val="center"/>
                </w:tcPr>
                <w:p w14:paraId="2A812988">
                  <w:pPr>
                    <w:pStyle w:val="48"/>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小</w:t>
                  </w:r>
                  <w:r>
                    <w:rPr>
                      <w:rFonts w:hint="default" w:ascii="Times New Roman" w:hAnsi="Times New Roman" w:eastAsia="宋体" w:cs="Times New Roman"/>
                      <w:color w:val="auto"/>
                      <w:sz w:val="21"/>
                      <w:szCs w:val="21"/>
                      <w:highlight w:val="none"/>
                      <w:lang w:val="en-US" w:eastAsia="zh-CN"/>
                    </w:rPr>
                    <w:t>型河流</w:t>
                  </w:r>
                </w:p>
              </w:tc>
              <w:tc>
                <w:tcPr>
                  <w:tcW w:w="1838" w:type="dxa"/>
                  <w:shd w:val="clear" w:color="auto" w:fill="auto"/>
                  <w:noWrap w:val="0"/>
                  <w:vAlign w:val="center"/>
                </w:tcPr>
                <w:p w14:paraId="5E2EAAB7">
                  <w:pPr>
                    <w:pStyle w:val="48"/>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（GB3838-2002）Ⅳ类标准</w:t>
                  </w:r>
                </w:p>
              </w:tc>
              <w:tc>
                <w:tcPr>
                  <w:tcW w:w="888" w:type="dxa"/>
                  <w:shd w:val="clear" w:color="auto" w:fill="auto"/>
                  <w:noWrap w:val="0"/>
                  <w:vAlign w:val="center"/>
                </w:tcPr>
                <w:p w14:paraId="0B9D407F">
                  <w:pPr>
                    <w:pStyle w:val="48"/>
                    <w:spacing w:line="240" w:lineRule="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S</w:t>
                  </w:r>
                </w:p>
              </w:tc>
              <w:tc>
                <w:tcPr>
                  <w:tcW w:w="1023" w:type="dxa"/>
                  <w:shd w:val="clear" w:color="auto" w:fill="auto"/>
                  <w:noWrap w:val="0"/>
                  <w:vAlign w:val="center"/>
                </w:tcPr>
                <w:p w14:paraId="075DB975">
                  <w:pPr>
                    <w:pStyle w:val="48"/>
                    <w:spacing w:line="240" w:lineRule="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502</w:t>
                  </w:r>
                </w:p>
              </w:tc>
            </w:tr>
            <w:tr w14:paraId="65EFA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11" w:type="dxa"/>
                  <w:vMerge w:val="continue"/>
                  <w:noWrap w:val="0"/>
                  <w:vAlign w:val="center"/>
                </w:tcPr>
                <w:p w14:paraId="06F2FDB2">
                  <w:pPr>
                    <w:pStyle w:val="48"/>
                    <w:spacing w:line="240" w:lineRule="auto"/>
                    <w:rPr>
                      <w:rFonts w:hint="default" w:ascii="Times New Roman" w:hAnsi="Times New Roman" w:eastAsia="宋体" w:cs="Times New Roman"/>
                      <w:color w:val="auto"/>
                      <w:sz w:val="21"/>
                      <w:szCs w:val="21"/>
                      <w:lang w:val="en-US" w:eastAsia="zh-CN"/>
                    </w:rPr>
                  </w:pPr>
                </w:p>
              </w:tc>
              <w:tc>
                <w:tcPr>
                  <w:tcW w:w="1050" w:type="dxa"/>
                  <w:shd w:val="clear" w:color="auto" w:fill="auto"/>
                  <w:noWrap w:val="0"/>
                  <w:vAlign w:val="center"/>
                </w:tcPr>
                <w:p w14:paraId="1793022A">
                  <w:pPr>
                    <w:pStyle w:val="48"/>
                    <w:spacing w:line="240" w:lineRule="auto"/>
                    <w:rPr>
                      <w:rFonts w:hint="default" w:cs="Times New Roman"/>
                      <w:color w:val="auto"/>
                      <w:sz w:val="21"/>
                      <w:szCs w:val="21"/>
                      <w:lang w:val="en-US" w:eastAsia="zh-CN"/>
                    </w:rPr>
                  </w:pPr>
                  <w:r>
                    <w:rPr>
                      <w:rFonts w:hint="eastAsia" w:cs="Times New Roman"/>
                      <w:color w:val="auto"/>
                      <w:sz w:val="21"/>
                      <w:szCs w:val="21"/>
                      <w:lang w:val="en-US" w:eastAsia="zh-CN"/>
                    </w:rPr>
                    <w:t>石梁河</w:t>
                  </w:r>
                </w:p>
              </w:tc>
              <w:tc>
                <w:tcPr>
                  <w:tcW w:w="855" w:type="dxa"/>
                  <w:shd w:val="clear" w:color="auto" w:fill="auto"/>
                  <w:noWrap w:val="0"/>
                  <w:vAlign w:val="center"/>
                </w:tcPr>
                <w:p w14:paraId="065F5A13">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785" w:type="dxa"/>
                  <w:shd w:val="clear" w:color="auto" w:fill="auto"/>
                  <w:noWrap w:val="0"/>
                  <w:vAlign w:val="center"/>
                </w:tcPr>
                <w:p w14:paraId="3558AF07">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917" w:type="dxa"/>
                  <w:shd w:val="clear" w:color="auto" w:fill="auto"/>
                  <w:noWrap w:val="0"/>
                  <w:vAlign w:val="center"/>
                </w:tcPr>
                <w:p w14:paraId="7DEFFC09">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地表水</w:t>
                  </w:r>
                </w:p>
              </w:tc>
              <w:tc>
                <w:tcPr>
                  <w:tcW w:w="1087" w:type="dxa"/>
                  <w:shd w:val="clear" w:color="auto" w:fill="auto"/>
                  <w:noWrap w:val="0"/>
                  <w:vAlign w:val="center"/>
                </w:tcPr>
                <w:p w14:paraId="63D6DFBA">
                  <w:pPr>
                    <w:pStyle w:val="48"/>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小</w:t>
                  </w:r>
                  <w:r>
                    <w:rPr>
                      <w:rFonts w:hint="default" w:ascii="Times New Roman" w:hAnsi="Times New Roman" w:eastAsia="宋体" w:cs="Times New Roman"/>
                      <w:color w:val="auto"/>
                      <w:sz w:val="21"/>
                      <w:szCs w:val="21"/>
                      <w:highlight w:val="none"/>
                      <w:lang w:val="en-US" w:eastAsia="zh-CN"/>
                    </w:rPr>
                    <w:t>型河流</w:t>
                  </w:r>
                </w:p>
              </w:tc>
              <w:tc>
                <w:tcPr>
                  <w:tcW w:w="1838" w:type="dxa"/>
                  <w:shd w:val="clear" w:color="auto" w:fill="auto"/>
                  <w:noWrap w:val="0"/>
                  <w:vAlign w:val="center"/>
                </w:tcPr>
                <w:p w14:paraId="689D1F57">
                  <w:pPr>
                    <w:pStyle w:val="48"/>
                    <w:spacing w:line="240" w:lineRule="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（GB3838-2002）Ⅳ类标准</w:t>
                  </w:r>
                </w:p>
              </w:tc>
              <w:tc>
                <w:tcPr>
                  <w:tcW w:w="888" w:type="dxa"/>
                  <w:shd w:val="clear" w:color="auto" w:fill="auto"/>
                  <w:noWrap w:val="0"/>
                  <w:vAlign w:val="center"/>
                </w:tcPr>
                <w:p w14:paraId="02E8750D">
                  <w:pPr>
                    <w:pStyle w:val="48"/>
                    <w:spacing w:line="240" w:lineRule="auto"/>
                    <w:rPr>
                      <w:rFonts w:hint="default" w:cs="Times New Roman"/>
                      <w:color w:val="auto"/>
                      <w:sz w:val="21"/>
                      <w:szCs w:val="21"/>
                      <w:lang w:val="en-US" w:eastAsia="zh-CN"/>
                    </w:rPr>
                  </w:pPr>
                  <w:r>
                    <w:rPr>
                      <w:rFonts w:hint="eastAsia" w:cs="Times New Roman"/>
                      <w:color w:val="auto"/>
                      <w:sz w:val="21"/>
                      <w:szCs w:val="21"/>
                      <w:lang w:val="en-US" w:eastAsia="zh-CN"/>
                    </w:rPr>
                    <w:t>SW</w:t>
                  </w:r>
                </w:p>
              </w:tc>
              <w:tc>
                <w:tcPr>
                  <w:tcW w:w="1023" w:type="dxa"/>
                  <w:shd w:val="clear" w:color="auto" w:fill="auto"/>
                  <w:noWrap w:val="0"/>
                  <w:vAlign w:val="center"/>
                </w:tcPr>
                <w:p w14:paraId="7021F6D6">
                  <w:pPr>
                    <w:pStyle w:val="48"/>
                    <w:spacing w:line="240" w:lineRule="auto"/>
                    <w:rPr>
                      <w:rFonts w:hint="default" w:cs="Times New Roman"/>
                      <w:color w:val="auto"/>
                      <w:sz w:val="21"/>
                      <w:szCs w:val="21"/>
                      <w:lang w:val="en-US" w:eastAsia="zh-CN"/>
                    </w:rPr>
                  </w:pPr>
                  <w:r>
                    <w:rPr>
                      <w:rFonts w:hint="eastAsia" w:cs="Times New Roman"/>
                      <w:color w:val="auto"/>
                      <w:sz w:val="21"/>
                      <w:szCs w:val="21"/>
                      <w:lang w:val="en-US" w:eastAsia="zh-CN"/>
                    </w:rPr>
                    <w:t>800</w:t>
                  </w:r>
                </w:p>
              </w:tc>
            </w:tr>
            <w:tr w14:paraId="39175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11" w:type="dxa"/>
                  <w:vMerge w:val="continue"/>
                  <w:noWrap w:val="0"/>
                  <w:vAlign w:val="center"/>
                </w:tcPr>
                <w:p w14:paraId="1F3951F9">
                  <w:pPr>
                    <w:pStyle w:val="48"/>
                    <w:spacing w:line="240" w:lineRule="auto"/>
                    <w:rPr>
                      <w:rFonts w:hint="default" w:ascii="Times New Roman" w:hAnsi="Times New Roman" w:eastAsia="宋体" w:cs="Times New Roman"/>
                      <w:color w:val="auto"/>
                      <w:sz w:val="21"/>
                      <w:szCs w:val="21"/>
                      <w:lang w:val="en-US" w:eastAsia="zh-CN"/>
                    </w:rPr>
                  </w:pPr>
                </w:p>
              </w:tc>
              <w:tc>
                <w:tcPr>
                  <w:tcW w:w="1050" w:type="dxa"/>
                  <w:noWrap w:val="0"/>
                  <w:vAlign w:val="center"/>
                </w:tcPr>
                <w:p w14:paraId="238F4883">
                  <w:pPr>
                    <w:pStyle w:val="48"/>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新汴河</w:t>
                  </w:r>
                </w:p>
              </w:tc>
              <w:tc>
                <w:tcPr>
                  <w:tcW w:w="855" w:type="dxa"/>
                  <w:noWrap w:val="0"/>
                  <w:vAlign w:val="center"/>
                </w:tcPr>
                <w:p w14:paraId="350DB881">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785" w:type="dxa"/>
                  <w:noWrap w:val="0"/>
                  <w:vAlign w:val="center"/>
                </w:tcPr>
                <w:p w14:paraId="545AC807">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917" w:type="dxa"/>
                  <w:noWrap w:val="0"/>
                  <w:vAlign w:val="center"/>
                </w:tcPr>
                <w:p w14:paraId="11FFFEDD">
                  <w:pPr>
                    <w:pStyle w:val="48"/>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地表水</w:t>
                  </w:r>
                </w:p>
              </w:tc>
              <w:tc>
                <w:tcPr>
                  <w:tcW w:w="1087" w:type="dxa"/>
                  <w:noWrap w:val="0"/>
                  <w:vAlign w:val="center"/>
                </w:tcPr>
                <w:p w14:paraId="2D025BF6">
                  <w:pPr>
                    <w:pStyle w:val="48"/>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小</w:t>
                  </w:r>
                  <w:r>
                    <w:rPr>
                      <w:rFonts w:hint="default" w:ascii="Times New Roman" w:hAnsi="Times New Roman" w:eastAsia="宋体" w:cs="Times New Roman"/>
                      <w:color w:val="auto"/>
                      <w:sz w:val="21"/>
                      <w:szCs w:val="21"/>
                      <w:highlight w:val="none"/>
                      <w:lang w:val="en-US" w:eastAsia="zh-CN"/>
                    </w:rPr>
                    <w:t>型河流</w:t>
                  </w:r>
                </w:p>
              </w:tc>
              <w:tc>
                <w:tcPr>
                  <w:tcW w:w="1838" w:type="dxa"/>
                  <w:noWrap w:val="0"/>
                  <w:vAlign w:val="center"/>
                </w:tcPr>
                <w:p w14:paraId="5FBCCD2B">
                  <w:pPr>
                    <w:pStyle w:val="48"/>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（GB3838-2002）Ⅳ类标准</w:t>
                  </w:r>
                </w:p>
              </w:tc>
              <w:tc>
                <w:tcPr>
                  <w:tcW w:w="888" w:type="dxa"/>
                  <w:noWrap w:val="0"/>
                  <w:vAlign w:val="center"/>
                </w:tcPr>
                <w:p w14:paraId="0A27E7D3">
                  <w:pPr>
                    <w:pStyle w:val="48"/>
                    <w:spacing w:line="240" w:lineRule="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S</w:t>
                  </w:r>
                </w:p>
              </w:tc>
              <w:tc>
                <w:tcPr>
                  <w:tcW w:w="1023" w:type="dxa"/>
                  <w:noWrap w:val="0"/>
                  <w:vAlign w:val="center"/>
                </w:tcPr>
                <w:p w14:paraId="74288B38">
                  <w:pPr>
                    <w:pStyle w:val="48"/>
                    <w:spacing w:line="240" w:lineRule="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960</w:t>
                  </w:r>
                </w:p>
              </w:tc>
            </w:tr>
          </w:tbl>
          <w:p w14:paraId="77882C60">
            <w:pPr>
              <w:pStyle w:val="46"/>
              <w:spacing w:line="360" w:lineRule="auto"/>
              <w:ind w:firstLine="482"/>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rPr>
              <w:t>、生态环境</w:t>
            </w:r>
          </w:p>
          <w:p w14:paraId="0AB4866A">
            <w:pPr>
              <w:pStyle w:val="45"/>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本项目建设地点位于</w:t>
            </w:r>
            <w:r>
              <w:rPr>
                <w:rFonts w:hint="eastAsia" w:ascii="Times New Roman" w:hAnsi="Times New Roman" w:cs="Times New Roman"/>
                <w:bCs/>
                <w:color w:val="auto"/>
                <w:sz w:val="24"/>
                <w:szCs w:val="24"/>
                <w:lang w:val="en-US" w:eastAsia="zh-CN"/>
              </w:rPr>
              <w:t>安徽省宿州市泗县泗水街道唐河路与赤山路交汇处东150米绿朗光电智慧产业园6栋2号</w:t>
            </w:r>
            <w:r>
              <w:rPr>
                <w:rFonts w:hint="default" w:ascii="Times New Roman" w:hAnsi="Times New Roman" w:cs="Times New Roman"/>
                <w:color w:val="auto"/>
                <w:sz w:val="24"/>
                <w:szCs w:val="24"/>
              </w:rPr>
              <w:t>，不属于《建设项目环境影响报告表编制技术指南（污染影响类）》：“产业园区外建设项目新增用地且用地范围内含有生态环境保护目标时，应进行生态现状调查。”因此，本项目可不进行生态现状调查</w:t>
            </w:r>
            <w:r>
              <w:rPr>
                <w:rFonts w:hint="default" w:ascii="Times New Roman" w:hAnsi="Times New Roman" w:cs="Times New Roman"/>
                <w:color w:val="auto"/>
                <w:sz w:val="24"/>
                <w:szCs w:val="24"/>
                <w:lang w:eastAsia="zh-CN"/>
              </w:rPr>
              <w:t>。</w:t>
            </w:r>
          </w:p>
          <w:p w14:paraId="4B20F7F1">
            <w:pPr>
              <w:pStyle w:val="45"/>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sz w:val="24"/>
                <w:szCs w:val="24"/>
                <w:lang w:eastAsia="zh-CN"/>
              </w:rPr>
            </w:pPr>
          </w:p>
          <w:p w14:paraId="0A958EC4">
            <w:pPr>
              <w:pStyle w:val="45"/>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sz w:val="24"/>
                <w:szCs w:val="24"/>
                <w:lang w:eastAsia="zh-CN"/>
              </w:rPr>
            </w:pPr>
          </w:p>
          <w:p w14:paraId="7502477E">
            <w:pPr>
              <w:pStyle w:val="45"/>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sz w:val="24"/>
                <w:szCs w:val="24"/>
                <w:lang w:eastAsia="zh-CN"/>
              </w:rPr>
            </w:pPr>
          </w:p>
          <w:p w14:paraId="09BD3504">
            <w:pPr>
              <w:pStyle w:val="45"/>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sz w:val="24"/>
                <w:szCs w:val="24"/>
                <w:lang w:eastAsia="zh-CN"/>
              </w:rPr>
            </w:pPr>
          </w:p>
          <w:p w14:paraId="5E37CE2E">
            <w:pPr>
              <w:pStyle w:val="45"/>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sz w:val="24"/>
                <w:szCs w:val="24"/>
                <w:lang w:eastAsia="zh-CN"/>
              </w:rPr>
            </w:pPr>
          </w:p>
          <w:p w14:paraId="788F457F">
            <w:pPr>
              <w:pStyle w:val="45"/>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sz w:val="24"/>
                <w:szCs w:val="24"/>
                <w:lang w:eastAsia="zh-CN"/>
              </w:rPr>
            </w:pPr>
          </w:p>
        </w:tc>
      </w:tr>
      <w:tr w14:paraId="233D11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77" w:hRule="atLeast"/>
          <w:jc w:val="center"/>
        </w:trPr>
        <w:tc>
          <w:tcPr>
            <w:tcW w:w="717" w:type="dxa"/>
            <w:vAlign w:val="center"/>
          </w:tcPr>
          <w:p w14:paraId="252AA65F">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污染物排放控制标准</w:t>
            </w:r>
          </w:p>
        </w:tc>
        <w:tc>
          <w:tcPr>
            <w:tcW w:w="8637" w:type="dxa"/>
            <w:vAlign w:val="center"/>
          </w:tcPr>
          <w:p w14:paraId="4877B75D">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1、废水排放标准</w:t>
            </w:r>
          </w:p>
          <w:p w14:paraId="77D2C885">
            <w:pPr>
              <w:spacing w:line="360" w:lineRule="auto"/>
              <w:ind w:firstLine="480" w:firstLineChars="200"/>
              <w:rPr>
                <w:rFonts w:hint="eastAsia" w:ascii="Times New Roman" w:hAnsi="Times New Roman" w:cs="Times New Roman" w:eastAsiaTheme="minorEastAsia"/>
                <w:color w:val="auto"/>
                <w:sz w:val="24"/>
                <w:szCs w:val="24"/>
                <w:highlight w:val="none"/>
                <w:lang w:eastAsia="zh-CN"/>
              </w:rPr>
            </w:pPr>
            <w:r>
              <w:rPr>
                <w:rFonts w:hint="default" w:ascii="Times New Roman" w:hAnsi="Times New Roman" w:cs="Times New Roman"/>
                <w:color w:val="auto"/>
                <w:sz w:val="24"/>
                <w:szCs w:val="24"/>
                <w:highlight w:val="none"/>
              </w:rPr>
              <w:t>项目排水实行雨污分流制，</w:t>
            </w:r>
            <w:r>
              <w:rPr>
                <w:rFonts w:hint="eastAsia" w:ascii="Times New Roman" w:hAnsi="Times New Roman" w:cs="Times New Roman"/>
                <w:color w:val="auto"/>
                <w:sz w:val="24"/>
                <w:szCs w:val="24"/>
                <w:highlight w:val="none"/>
                <w:lang w:eastAsia="zh-CN"/>
              </w:rPr>
              <w:t>雨水依托园区雨水管网进入市政雨水管网</w:t>
            </w:r>
            <w:r>
              <w:rPr>
                <w:rFonts w:hint="default" w:ascii="Times New Roman" w:hAnsi="Times New Roman" w:cs="Times New Roman"/>
                <w:color w:val="auto"/>
                <w:sz w:val="24"/>
                <w:szCs w:val="24"/>
                <w:highlight w:val="none"/>
              </w:rPr>
              <w:t>。项目运营期无生产性废水产生及排放，</w:t>
            </w:r>
            <w:r>
              <w:rPr>
                <w:rFonts w:hint="eastAsia" w:ascii="Times New Roman" w:hAnsi="Times New Roman" w:cs="Times New Roman"/>
                <w:color w:val="auto"/>
                <w:sz w:val="24"/>
                <w:szCs w:val="24"/>
                <w:highlight w:val="none"/>
                <w:lang w:eastAsia="zh-CN"/>
              </w:rPr>
              <w:t>职工生活污水依托园区现有“化粪池”处理后达到《污水综合排放标准》（GB8978-1996）表4中三级标准限值及泗县工业污水处理厂接管限值后排入泗县工业污水处理厂处理达《城镇污水处理厂污染物排放标准》（GB18918-2002）表1中一级标准A标准后排入石梁河。相关</w:t>
            </w:r>
            <w:r>
              <w:rPr>
                <w:rFonts w:hint="default" w:ascii="Times New Roman" w:hAnsi="Times New Roman" w:cs="Times New Roman"/>
                <w:color w:val="auto"/>
                <w:sz w:val="24"/>
                <w:szCs w:val="24"/>
                <w:highlight w:val="none"/>
              </w:rPr>
              <w:t>标准限值见表</w:t>
            </w:r>
            <w:r>
              <w:rPr>
                <w:rFonts w:hint="default" w:ascii="Times New Roman" w:hAnsi="Times New Roman"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p>
          <w:p w14:paraId="6B70EC0F">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3.</w:t>
            </w:r>
            <w:r>
              <w:rPr>
                <w:rFonts w:hint="eastAsia" w:ascii="Times New Roman" w:hAnsi="Times New Roman"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 xml:space="preserve">  </w:t>
            </w:r>
            <w:r>
              <w:rPr>
                <w:rFonts w:hint="eastAsia" w:ascii="Times New Roman" w:hAnsi="Times New Roman" w:cs="Times New Roman"/>
                <w:b/>
                <w:bCs/>
                <w:color w:val="auto"/>
                <w:sz w:val="21"/>
                <w:szCs w:val="21"/>
                <w:highlight w:val="none"/>
                <w:lang w:eastAsia="zh-CN"/>
              </w:rPr>
              <w:t>废水污染物</w:t>
            </w:r>
            <w:r>
              <w:rPr>
                <w:rFonts w:hint="eastAsia" w:ascii="Times New Roman" w:hAnsi="Times New Roman" w:cs="Times New Roman"/>
                <w:b/>
                <w:bCs/>
                <w:color w:val="auto"/>
                <w:sz w:val="21"/>
                <w:szCs w:val="21"/>
                <w:highlight w:val="none"/>
                <w:lang w:val="en-US" w:eastAsia="zh-CN"/>
              </w:rPr>
              <w:t xml:space="preserve">排放标准一览表  </w:t>
            </w:r>
            <w:r>
              <w:rPr>
                <w:rFonts w:hint="default" w:ascii="Times New Roman" w:hAnsi="Times New Roman" w:cs="Times New Roman"/>
                <w:b/>
                <w:bCs/>
                <w:color w:val="auto"/>
                <w:sz w:val="21"/>
                <w:szCs w:val="21"/>
                <w:highlight w:val="none"/>
              </w:rPr>
              <w:t>单位：mg/L，pH无量纲</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5"/>
              <w:gridCol w:w="1244"/>
              <w:gridCol w:w="1246"/>
              <w:gridCol w:w="1147"/>
              <w:gridCol w:w="1285"/>
              <w:gridCol w:w="1171"/>
            </w:tblGrid>
            <w:tr w14:paraId="6E8F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1" w:type="pct"/>
                  <w:noWrap w:val="0"/>
                  <w:vAlign w:val="center"/>
                </w:tcPr>
                <w:p w14:paraId="6361EC9C">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执行标准</w:t>
                  </w:r>
                </w:p>
              </w:tc>
              <w:tc>
                <w:tcPr>
                  <w:tcW w:w="665" w:type="pct"/>
                  <w:noWrap w:val="0"/>
                  <w:vAlign w:val="center"/>
                </w:tcPr>
                <w:p w14:paraId="4ACB17B8">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w:t>
                  </w:r>
                </w:p>
              </w:tc>
              <w:tc>
                <w:tcPr>
                  <w:tcW w:w="666" w:type="pct"/>
                  <w:noWrap w:val="0"/>
                  <w:vAlign w:val="center"/>
                </w:tcPr>
                <w:p w14:paraId="22D31468">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p>
              </w:tc>
              <w:tc>
                <w:tcPr>
                  <w:tcW w:w="613" w:type="pct"/>
                  <w:noWrap w:val="0"/>
                  <w:vAlign w:val="center"/>
                </w:tcPr>
                <w:p w14:paraId="16502868">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687" w:type="pct"/>
                  <w:noWrap w:val="0"/>
                  <w:vAlign w:val="center"/>
                </w:tcPr>
                <w:p w14:paraId="3C698A8A">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626" w:type="pct"/>
                  <w:noWrap w:val="0"/>
                  <w:vAlign w:val="center"/>
                </w:tcPr>
                <w:p w14:paraId="2353E167">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p>
              </w:tc>
            </w:tr>
            <w:tr w14:paraId="5738C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1" w:type="pct"/>
                  <w:noWrap w:val="0"/>
                  <w:vAlign w:val="center"/>
                </w:tcPr>
                <w:p w14:paraId="5DACFC9F">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（GB8978-1996）表4中三级标准</w:t>
                  </w:r>
                </w:p>
              </w:tc>
              <w:tc>
                <w:tcPr>
                  <w:tcW w:w="665" w:type="pct"/>
                  <w:noWrap w:val="0"/>
                  <w:vAlign w:val="center"/>
                </w:tcPr>
                <w:p w14:paraId="2E92B306">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6～9</w:t>
                  </w:r>
                </w:p>
              </w:tc>
              <w:tc>
                <w:tcPr>
                  <w:tcW w:w="1246" w:type="dxa"/>
                  <w:noWrap w:val="0"/>
                  <w:vAlign w:val="center"/>
                </w:tcPr>
                <w:p w14:paraId="04A26CB1">
                  <w:pPr>
                    <w:jc w:val="center"/>
                    <w:rPr>
                      <w:rFonts w:hint="default" w:ascii="Times New Roman" w:hAnsi="Times New Roman" w:cs="Times New Roman"/>
                      <w:color w:val="auto"/>
                      <w:sz w:val="21"/>
                      <w:szCs w:val="21"/>
                      <w:highlight w:val="none"/>
                    </w:rPr>
                  </w:pPr>
                  <w:r>
                    <w:rPr>
                      <w:rFonts w:hint="default" w:ascii="Times New Roman" w:hAnsi="Times New Roman" w:cs="Times New Roman"/>
                      <w:sz w:val="21"/>
                      <w:szCs w:val="21"/>
                      <w:highlight w:val="none"/>
                    </w:rPr>
                    <w:t>500</w:t>
                  </w:r>
                </w:p>
              </w:tc>
              <w:tc>
                <w:tcPr>
                  <w:tcW w:w="1147" w:type="dxa"/>
                  <w:noWrap w:val="0"/>
                  <w:vAlign w:val="center"/>
                </w:tcPr>
                <w:p w14:paraId="76859D08">
                  <w:pPr>
                    <w:jc w:val="center"/>
                    <w:rPr>
                      <w:rFonts w:hint="default" w:ascii="Times New Roman" w:hAnsi="Times New Roman" w:cs="Times New Roman"/>
                      <w:color w:val="auto"/>
                      <w:sz w:val="21"/>
                      <w:szCs w:val="21"/>
                      <w:highlight w:val="none"/>
                    </w:rPr>
                  </w:pPr>
                  <w:r>
                    <w:rPr>
                      <w:rFonts w:hint="default" w:ascii="Times New Roman" w:hAnsi="Times New Roman" w:cs="Times New Roman"/>
                      <w:sz w:val="21"/>
                      <w:szCs w:val="21"/>
                      <w:highlight w:val="none"/>
                    </w:rPr>
                    <w:t>300</w:t>
                  </w:r>
                </w:p>
              </w:tc>
              <w:tc>
                <w:tcPr>
                  <w:tcW w:w="1285" w:type="dxa"/>
                  <w:noWrap w:val="0"/>
                  <w:vAlign w:val="center"/>
                </w:tcPr>
                <w:p w14:paraId="000532AD">
                  <w:pPr>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sz w:val="21"/>
                      <w:szCs w:val="21"/>
                      <w:highlight w:val="none"/>
                    </w:rPr>
                    <w:t>400</w:t>
                  </w:r>
                </w:p>
              </w:tc>
              <w:tc>
                <w:tcPr>
                  <w:tcW w:w="1171" w:type="dxa"/>
                  <w:noWrap w:val="0"/>
                  <w:vAlign w:val="center"/>
                </w:tcPr>
                <w:p w14:paraId="01C254E7">
                  <w:pPr>
                    <w:jc w:val="center"/>
                    <w:rPr>
                      <w:rFonts w:hint="default" w:ascii="Times New Roman" w:hAnsi="Times New Roman" w:cs="Times New Roman"/>
                      <w:color w:val="auto"/>
                      <w:sz w:val="21"/>
                      <w:szCs w:val="21"/>
                      <w:highlight w:val="none"/>
                    </w:rPr>
                  </w:pPr>
                  <w:r>
                    <w:rPr>
                      <w:rFonts w:hint="default" w:ascii="Times New Roman" w:hAnsi="Times New Roman" w:cs="Times New Roman"/>
                      <w:sz w:val="21"/>
                      <w:szCs w:val="21"/>
                      <w:highlight w:val="none"/>
                    </w:rPr>
                    <w:t>/</w:t>
                  </w:r>
                </w:p>
              </w:tc>
            </w:tr>
            <w:tr w14:paraId="5CBD7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1" w:type="pct"/>
                  <w:noWrap w:val="0"/>
                  <w:vAlign w:val="center"/>
                </w:tcPr>
                <w:p w14:paraId="7F0C5B7C">
                  <w:pPr>
                    <w:spacing w:line="240" w:lineRule="auto"/>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泗县工业污水处理厂</w:t>
                  </w:r>
                  <w:r>
                    <w:rPr>
                      <w:rFonts w:hint="default" w:ascii="Times New Roman" w:hAnsi="Times New Roman" w:cs="Times New Roman"/>
                      <w:color w:val="auto"/>
                      <w:sz w:val="21"/>
                      <w:szCs w:val="21"/>
                      <w:highlight w:val="none"/>
                      <w:lang w:eastAsia="zh-CN"/>
                    </w:rPr>
                    <w:t>接管限值</w:t>
                  </w:r>
                </w:p>
              </w:tc>
              <w:tc>
                <w:tcPr>
                  <w:tcW w:w="665" w:type="pct"/>
                  <w:noWrap w:val="0"/>
                  <w:vAlign w:val="center"/>
                </w:tcPr>
                <w:p w14:paraId="11B1D442">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6～9</w:t>
                  </w:r>
                </w:p>
              </w:tc>
              <w:tc>
                <w:tcPr>
                  <w:tcW w:w="666" w:type="pct"/>
                  <w:shd w:val="clear" w:color="auto" w:fill="auto"/>
                  <w:noWrap w:val="0"/>
                  <w:vAlign w:val="center"/>
                </w:tcPr>
                <w:p w14:paraId="584D75B7">
                  <w:pPr>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400</w:t>
                  </w:r>
                </w:p>
              </w:tc>
              <w:tc>
                <w:tcPr>
                  <w:tcW w:w="613" w:type="pct"/>
                  <w:shd w:val="clear" w:color="auto" w:fill="auto"/>
                  <w:noWrap w:val="0"/>
                  <w:vAlign w:val="center"/>
                </w:tcPr>
                <w:p w14:paraId="7C2E323E">
                  <w:pPr>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180</w:t>
                  </w:r>
                </w:p>
              </w:tc>
              <w:tc>
                <w:tcPr>
                  <w:tcW w:w="687" w:type="pct"/>
                  <w:shd w:val="clear" w:color="auto" w:fill="auto"/>
                  <w:noWrap w:val="0"/>
                  <w:vAlign w:val="center"/>
                </w:tcPr>
                <w:p w14:paraId="54D31BA9">
                  <w:pPr>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200</w:t>
                  </w:r>
                </w:p>
              </w:tc>
              <w:tc>
                <w:tcPr>
                  <w:tcW w:w="626" w:type="pct"/>
                  <w:shd w:val="clear" w:color="auto" w:fill="auto"/>
                  <w:noWrap w:val="0"/>
                  <w:vAlign w:val="center"/>
                </w:tcPr>
                <w:p w14:paraId="67BC2B65">
                  <w:pPr>
                    <w:jc w:val="center"/>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sz w:val="21"/>
                      <w:szCs w:val="21"/>
                      <w:highlight w:val="none"/>
                    </w:rPr>
                    <w:t>25</w:t>
                  </w:r>
                </w:p>
              </w:tc>
            </w:tr>
            <w:tr w14:paraId="1383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41" w:type="pct"/>
                  <w:noWrap w:val="0"/>
                  <w:vAlign w:val="center"/>
                </w:tcPr>
                <w:p w14:paraId="2502FDAE">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（GB18918-2002）表1中一级A标准</w:t>
                  </w:r>
                </w:p>
              </w:tc>
              <w:tc>
                <w:tcPr>
                  <w:tcW w:w="665" w:type="pct"/>
                  <w:noWrap w:val="0"/>
                  <w:vAlign w:val="center"/>
                </w:tcPr>
                <w:p w14:paraId="3C150B5C">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666" w:type="pct"/>
                  <w:noWrap w:val="0"/>
                  <w:vAlign w:val="center"/>
                </w:tcPr>
                <w:p w14:paraId="57F0918D">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613" w:type="pct"/>
                  <w:noWrap w:val="0"/>
                  <w:vAlign w:val="center"/>
                </w:tcPr>
                <w:p w14:paraId="29F24DCF">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687" w:type="pct"/>
                  <w:noWrap w:val="0"/>
                  <w:vAlign w:val="center"/>
                </w:tcPr>
                <w:p w14:paraId="7E44BA21">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626" w:type="pct"/>
                  <w:noWrap w:val="0"/>
                  <w:vAlign w:val="center"/>
                </w:tcPr>
                <w:p w14:paraId="39CC997C">
                  <w:pPr>
                    <w:spacing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5</w:t>
                  </w:r>
                </w:p>
              </w:tc>
            </w:tr>
            <w:tr w14:paraId="753A6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1" w:type="pct"/>
                  <w:shd w:val="clear" w:color="auto" w:fill="D7D7D7" w:themeFill="background1" w:themeFillShade="D8"/>
                  <w:noWrap w:val="0"/>
                  <w:vAlign w:val="center"/>
                </w:tcPr>
                <w:p w14:paraId="78F78ADB">
                  <w:pPr>
                    <w:spacing w:line="24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本项目执行限值</w:t>
                  </w:r>
                </w:p>
              </w:tc>
              <w:tc>
                <w:tcPr>
                  <w:tcW w:w="665" w:type="pct"/>
                  <w:shd w:val="clear" w:color="auto" w:fill="D7D7D7" w:themeFill="background1" w:themeFillShade="D8"/>
                  <w:noWrap w:val="0"/>
                  <w:vAlign w:val="center"/>
                </w:tcPr>
                <w:p w14:paraId="0804BD7B">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1246" w:type="dxa"/>
                  <w:shd w:val="clear" w:color="auto" w:fill="D7D7D7" w:themeFill="background1" w:themeFillShade="D8"/>
                  <w:noWrap w:val="0"/>
                  <w:vAlign w:val="center"/>
                </w:tcPr>
                <w:p w14:paraId="254531C2">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sz w:val="21"/>
                      <w:szCs w:val="21"/>
                    </w:rPr>
                    <w:t>400</w:t>
                  </w:r>
                </w:p>
              </w:tc>
              <w:tc>
                <w:tcPr>
                  <w:tcW w:w="1147" w:type="dxa"/>
                  <w:shd w:val="clear" w:color="auto" w:fill="D7D7D7" w:themeFill="background1" w:themeFillShade="D8"/>
                  <w:noWrap w:val="0"/>
                  <w:vAlign w:val="center"/>
                </w:tcPr>
                <w:p w14:paraId="260DB84D">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sz w:val="21"/>
                      <w:szCs w:val="21"/>
                    </w:rPr>
                    <w:t>180</w:t>
                  </w:r>
                </w:p>
              </w:tc>
              <w:tc>
                <w:tcPr>
                  <w:tcW w:w="1285" w:type="dxa"/>
                  <w:shd w:val="clear" w:color="auto" w:fill="D7D7D7" w:themeFill="background1" w:themeFillShade="D8"/>
                  <w:noWrap w:val="0"/>
                  <w:vAlign w:val="center"/>
                </w:tcPr>
                <w:p w14:paraId="193A026D">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sz w:val="21"/>
                      <w:szCs w:val="21"/>
                    </w:rPr>
                    <w:t>200</w:t>
                  </w:r>
                </w:p>
              </w:tc>
              <w:tc>
                <w:tcPr>
                  <w:tcW w:w="1171" w:type="dxa"/>
                  <w:shd w:val="clear" w:color="auto" w:fill="D7D7D7" w:themeFill="background1" w:themeFillShade="D8"/>
                  <w:noWrap w:val="0"/>
                  <w:vAlign w:val="center"/>
                </w:tcPr>
                <w:p w14:paraId="73586742">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sz w:val="21"/>
                      <w:szCs w:val="21"/>
                    </w:rPr>
                    <w:t>25</w:t>
                  </w:r>
                </w:p>
              </w:tc>
            </w:tr>
          </w:tbl>
          <w:p w14:paraId="1159645D">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2、大气污染物排放标准</w:t>
            </w:r>
          </w:p>
          <w:p w14:paraId="4CDE0703">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施工期施工场地颗粒物排放执行《施工场地颗粒物排放标准》（DB34/4811-2024）表1-监测点颗粒物排放要求。相关标准限值见表3.</w:t>
            </w: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lang w:val="en-US" w:eastAsia="zh-CN"/>
              </w:rPr>
              <w:t>。</w:t>
            </w:r>
          </w:p>
          <w:p w14:paraId="48F1B92A">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本项目属于塑料制品业，涉及有机废气排放，对比《合成树脂工业污染物排放标准》（GB31572-2015）（含2024年修改单）、《固定源挥发性有机物综合排放标准 第6部分：其他行业》（DB34/4812.6-2024），《固定源挥发性有机物综合排放标准 第6部分：其他行业》（DB34/4812.6-2024）中非甲烷总烃标准（排放浓度：40mg/m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vertAlign w:val="baseline"/>
                <w:lang w:val="en-US" w:eastAsia="zh-CN"/>
              </w:rPr>
              <w:t>，排放速率：1.6kg/h</w:t>
            </w:r>
            <w:r>
              <w:rPr>
                <w:rFonts w:hint="eastAsia" w:ascii="Times New Roman" w:hAnsi="Times New Roman" w:eastAsia="宋体" w:cs="Times New Roman"/>
                <w:color w:val="auto"/>
                <w:sz w:val="24"/>
                <w:lang w:val="en-US" w:eastAsia="zh-CN"/>
              </w:rPr>
              <w:t>）严于《合成树脂工业污染物排放标准》（GB31572-2015）（含2024年修改单）中标准要求（排放浓度：60mg/m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），标准应从严执行，故非甲烷总烃执行《固定源挥发性有机物综合排放标准 第6部分：其他行业》（DB34/4812.6-2024）中标准要求。</w:t>
            </w:r>
          </w:p>
          <w:p w14:paraId="46D8B38C">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有组织：吹灰、磨边</w:t>
            </w:r>
            <w:r>
              <w:rPr>
                <w:rFonts w:hint="default" w:ascii="Times New Roman" w:hAnsi="Times New Roman" w:eastAsia="宋体" w:cs="Times New Roman"/>
                <w:color w:val="auto"/>
                <w:sz w:val="24"/>
                <w:lang w:val="en-US" w:eastAsia="zh-CN"/>
              </w:rPr>
              <w:t>工序排放的颗粒物执行</w:t>
            </w:r>
            <w:r>
              <w:rPr>
                <w:rFonts w:hint="eastAsia" w:ascii="Times New Roman" w:hAnsi="Times New Roman" w:eastAsia="宋体" w:cs="Times New Roman"/>
                <w:color w:val="auto"/>
                <w:sz w:val="24"/>
                <w:lang w:val="en-US" w:eastAsia="zh-CN"/>
              </w:rPr>
              <w:t>《合成树脂工业污染物排放标准》（GB31572-2015）（含2024年修改单）表5中标准要求；烤料、热压成型工序排放的非甲烷总烃执行《固定源挥发性有机物综合排放标准 第6部分：其他行业》（DB34/4812.6-2024）表1中标准限值，甲醛执行《合成树脂工业污染物排放标准》（GB31572-2015）（含2024年修改单）表5中标准要求。</w:t>
            </w:r>
          </w:p>
          <w:p w14:paraId="26146ECE">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厂界：吹灰、磨边</w:t>
            </w:r>
            <w:r>
              <w:rPr>
                <w:rFonts w:hint="default" w:ascii="Times New Roman" w:hAnsi="Times New Roman" w:eastAsia="宋体" w:cs="Times New Roman"/>
                <w:color w:val="auto"/>
                <w:sz w:val="24"/>
                <w:lang w:val="en-US" w:eastAsia="zh-CN"/>
              </w:rPr>
              <w:t>工序排放的颗粒物</w:t>
            </w:r>
            <w:r>
              <w:rPr>
                <w:rFonts w:hint="eastAsia" w:ascii="Times New Roman" w:hAnsi="Times New Roman" w:eastAsia="宋体" w:cs="Times New Roman"/>
                <w:color w:val="auto"/>
                <w:sz w:val="24"/>
                <w:lang w:val="en-US" w:eastAsia="zh-CN"/>
              </w:rPr>
              <w:t>厂界排放执行《合成树脂工业污染物排放标准》（GB31572-2015）（含2024年修改单）表9中标准要求；烤料、热压成型工序排放的非甲烷总烃厂界排放执行《合成树脂工业污染物排放标准》（GB31572-2015）（含2024年修改单）表9中标准要求，甲醛执行《固定源挥发性有机物综合排放标准 第6部分：其他行业》（DB34/4812.6-2024）表5中标准限值，</w:t>
            </w:r>
            <w:r>
              <w:rPr>
                <w:rFonts w:hint="default" w:ascii="Times New Roman" w:hAnsi="Times New Roman" w:eastAsia="宋体" w:cs="Times New Roman"/>
                <w:color w:val="auto"/>
                <w:sz w:val="24"/>
                <w:lang w:val="en-US" w:eastAsia="zh-CN"/>
              </w:rPr>
              <w:t>相关标准限值见表3.</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lang w:val="en-US" w:eastAsia="zh-CN"/>
              </w:rPr>
              <w:t>。</w:t>
            </w:r>
          </w:p>
          <w:p w14:paraId="553FF72A">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运营期</w:t>
            </w:r>
            <w:r>
              <w:rPr>
                <w:rFonts w:ascii="Times New Roman" w:hAnsi="Times New Roman" w:eastAsia="宋体" w:cs="Times New Roman"/>
                <w:color w:val="auto"/>
                <w:sz w:val="24"/>
              </w:rPr>
              <w:t>厂区内挥发性有机物无组织排放执行</w:t>
            </w:r>
            <w:r>
              <w:rPr>
                <w:rFonts w:hint="eastAsia" w:ascii="Times New Roman" w:hAnsi="Times New Roman" w:cs="Times New Roman"/>
                <w:color w:val="auto"/>
                <w:sz w:val="24"/>
                <w:szCs w:val="24"/>
                <w:lang w:val="en-US" w:eastAsia="zh-CN"/>
              </w:rPr>
              <w:t>《固定源挥发性有机物综合排放标准-第6部分：其他行业》（DB34/4812.6-2024）表4厂区内VOCs无组织排放限值</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szCs w:val="24"/>
                <w:lang w:val="en-US" w:eastAsia="zh-CN"/>
              </w:rPr>
              <w:t>相关标准限值见表3.7。</w:t>
            </w:r>
          </w:p>
          <w:p w14:paraId="6CA18656">
            <w:pPr>
              <w:pStyle w:val="49"/>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大气污染物排放标准一览表</w:t>
            </w:r>
          </w:p>
          <w:tbl>
            <w:tblPr>
              <w:tblStyle w:val="32"/>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78"/>
              <w:gridCol w:w="1001"/>
              <w:gridCol w:w="1325"/>
              <w:gridCol w:w="893"/>
              <w:gridCol w:w="3314"/>
              <w:gridCol w:w="1339"/>
            </w:tblGrid>
            <w:tr w14:paraId="67A8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40E29D3F">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序号</w:t>
                  </w:r>
                </w:p>
              </w:tc>
              <w:tc>
                <w:tcPr>
                  <w:tcW w:w="788" w:type="dxa"/>
                  <w:vAlign w:val="center"/>
                </w:tcPr>
                <w:p w14:paraId="68FE3A5B">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时期</w:t>
                  </w:r>
                </w:p>
              </w:tc>
              <w:tc>
                <w:tcPr>
                  <w:tcW w:w="1005" w:type="dxa"/>
                  <w:vAlign w:val="center"/>
                </w:tcPr>
                <w:p w14:paraId="21347307">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污染物</w:t>
                  </w:r>
                </w:p>
              </w:tc>
              <w:tc>
                <w:tcPr>
                  <w:tcW w:w="1337" w:type="dxa"/>
                  <w:vAlign w:val="center"/>
                </w:tcPr>
                <w:p w14:paraId="2A2173B9">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排放浓度</w:t>
                  </w:r>
                </w:p>
                <w:p w14:paraId="74832718">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mg/m</w:t>
                  </w:r>
                  <w:r>
                    <w:rPr>
                      <w:rFonts w:hint="default" w:ascii="Times New Roman" w:hAnsi="Times New Roman" w:cs="Times New Roman"/>
                      <w:color w:val="auto"/>
                      <w:sz w:val="21"/>
                      <w:szCs w:val="21"/>
                      <w:vertAlign w:val="superscript"/>
                      <w:lang w:val="en-US" w:eastAsia="zh-CN"/>
                    </w:rPr>
                    <w:t>3</w:t>
                  </w:r>
                </w:p>
              </w:tc>
              <w:tc>
                <w:tcPr>
                  <w:tcW w:w="899" w:type="dxa"/>
                  <w:vAlign w:val="center"/>
                </w:tcPr>
                <w:p w14:paraId="57BDB676">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排放速率kg/h</w:t>
                  </w:r>
                </w:p>
              </w:tc>
              <w:tc>
                <w:tcPr>
                  <w:tcW w:w="3335" w:type="dxa"/>
                  <w:vAlign w:val="center"/>
                </w:tcPr>
                <w:p w14:paraId="55CBA3CF">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执行标准</w:t>
                  </w:r>
                </w:p>
              </w:tc>
              <w:tc>
                <w:tcPr>
                  <w:tcW w:w="1277" w:type="dxa"/>
                  <w:vAlign w:val="center"/>
                </w:tcPr>
                <w:p w14:paraId="1C28112C">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污染物排放监控位置</w:t>
                  </w:r>
                </w:p>
              </w:tc>
            </w:tr>
            <w:tr w14:paraId="43767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Merge w:val="restart"/>
                  <w:vAlign w:val="center"/>
                </w:tcPr>
                <w:p w14:paraId="794D847B">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788" w:type="dxa"/>
                  <w:vMerge w:val="restart"/>
                  <w:vAlign w:val="center"/>
                </w:tcPr>
                <w:p w14:paraId="5CC63892">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施工期</w:t>
                  </w:r>
                </w:p>
              </w:tc>
              <w:tc>
                <w:tcPr>
                  <w:tcW w:w="1005" w:type="dxa"/>
                  <w:vMerge w:val="restart"/>
                  <w:vAlign w:val="center"/>
                </w:tcPr>
                <w:p w14:paraId="4163B8DE">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TSP</w:t>
                  </w:r>
                </w:p>
              </w:tc>
              <w:tc>
                <w:tcPr>
                  <w:tcW w:w="1337" w:type="dxa"/>
                  <w:vAlign w:val="center"/>
                </w:tcPr>
                <w:p w14:paraId="6D6B58CC">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1（超标次数≤1次/日）</w:t>
                  </w:r>
                </w:p>
              </w:tc>
              <w:tc>
                <w:tcPr>
                  <w:tcW w:w="899" w:type="dxa"/>
                  <w:vMerge w:val="restart"/>
                  <w:vAlign w:val="center"/>
                </w:tcPr>
                <w:p w14:paraId="7E81FA73">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3335" w:type="dxa"/>
                  <w:vMerge w:val="restart"/>
                  <w:vAlign w:val="center"/>
                </w:tcPr>
                <w:p w14:paraId="357BB3DA">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《施工场地颗粒物排放标准》（DB34/4811-2024）</w:t>
                  </w:r>
                </w:p>
              </w:tc>
              <w:tc>
                <w:tcPr>
                  <w:tcW w:w="1277" w:type="dxa"/>
                  <w:vMerge w:val="restart"/>
                  <w:vAlign w:val="center"/>
                </w:tcPr>
                <w:p w14:paraId="105419A4">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施工场地</w:t>
                  </w:r>
                </w:p>
              </w:tc>
            </w:tr>
            <w:tr w14:paraId="4E717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Merge w:val="continue"/>
                  <w:vAlign w:val="center"/>
                </w:tcPr>
                <w:p w14:paraId="0A215061">
                  <w:pPr>
                    <w:spacing w:line="240" w:lineRule="auto"/>
                    <w:jc w:val="center"/>
                    <w:rPr>
                      <w:rFonts w:hint="default" w:ascii="Times New Roman" w:hAnsi="Times New Roman" w:cs="Times New Roman"/>
                      <w:color w:val="auto"/>
                      <w:sz w:val="21"/>
                      <w:szCs w:val="21"/>
                      <w:vertAlign w:val="baseline"/>
                      <w:lang w:val="en-US" w:eastAsia="zh-CN"/>
                    </w:rPr>
                  </w:pPr>
                </w:p>
              </w:tc>
              <w:tc>
                <w:tcPr>
                  <w:tcW w:w="788" w:type="dxa"/>
                  <w:vMerge w:val="continue"/>
                  <w:vAlign w:val="center"/>
                </w:tcPr>
                <w:p w14:paraId="043870B1">
                  <w:pPr>
                    <w:spacing w:line="240" w:lineRule="auto"/>
                    <w:jc w:val="center"/>
                    <w:rPr>
                      <w:rFonts w:hint="default" w:ascii="Times New Roman" w:hAnsi="Times New Roman" w:cs="Times New Roman"/>
                      <w:color w:val="auto"/>
                      <w:sz w:val="21"/>
                      <w:szCs w:val="21"/>
                      <w:vertAlign w:val="baseline"/>
                      <w:lang w:val="en-US" w:eastAsia="zh-CN"/>
                    </w:rPr>
                  </w:pPr>
                </w:p>
              </w:tc>
              <w:tc>
                <w:tcPr>
                  <w:tcW w:w="1005" w:type="dxa"/>
                  <w:vMerge w:val="continue"/>
                  <w:vAlign w:val="center"/>
                </w:tcPr>
                <w:p w14:paraId="4AC7EE3D">
                  <w:pPr>
                    <w:spacing w:line="240" w:lineRule="auto"/>
                    <w:jc w:val="center"/>
                    <w:rPr>
                      <w:rFonts w:hint="default" w:ascii="Times New Roman" w:hAnsi="Times New Roman" w:cs="Times New Roman"/>
                      <w:color w:val="auto"/>
                      <w:sz w:val="21"/>
                      <w:szCs w:val="21"/>
                      <w:vertAlign w:val="baseline"/>
                      <w:lang w:val="en-US" w:eastAsia="zh-CN"/>
                    </w:rPr>
                  </w:pPr>
                </w:p>
              </w:tc>
              <w:tc>
                <w:tcPr>
                  <w:tcW w:w="1337" w:type="dxa"/>
                  <w:vAlign w:val="center"/>
                </w:tcPr>
                <w:p w14:paraId="775C196C">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0.5（超标次数≤6次/日）</w:t>
                  </w:r>
                </w:p>
              </w:tc>
              <w:tc>
                <w:tcPr>
                  <w:tcW w:w="899" w:type="dxa"/>
                  <w:vMerge w:val="continue"/>
                  <w:vAlign w:val="center"/>
                </w:tcPr>
                <w:p w14:paraId="70BF4527">
                  <w:pPr>
                    <w:spacing w:line="240" w:lineRule="auto"/>
                    <w:jc w:val="center"/>
                    <w:rPr>
                      <w:rFonts w:hint="default" w:ascii="Times New Roman" w:hAnsi="Times New Roman" w:cs="Times New Roman"/>
                      <w:color w:val="auto"/>
                      <w:sz w:val="21"/>
                      <w:szCs w:val="21"/>
                      <w:vertAlign w:val="baseline"/>
                      <w:lang w:val="en-US" w:eastAsia="zh-CN"/>
                    </w:rPr>
                  </w:pPr>
                </w:p>
              </w:tc>
              <w:tc>
                <w:tcPr>
                  <w:tcW w:w="3335" w:type="dxa"/>
                  <w:vMerge w:val="continue"/>
                  <w:vAlign w:val="center"/>
                </w:tcPr>
                <w:p w14:paraId="5FEE7204">
                  <w:pPr>
                    <w:spacing w:line="240" w:lineRule="auto"/>
                    <w:jc w:val="center"/>
                    <w:rPr>
                      <w:rFonts w:hint="default" w:ascii="Times New Roman" w:hAnsi="Times New Roman" w:cs="Times New Roman"/>
                      <w:color w:val="auto"/>
                      <w:sz w:val="21"/>
                      <w:szCs w:val="21"/>
                      <w:vertAlign w:val="baseline"/>
                      <w:lang w:val="en-US" w:eastAsia="zh-CN"/>
                    </w:rPr>
                  </w:pPr>
                </w:p>
              </w:tc>
              <w:tc>
                <w:tcPr>
                  <w:tcW w:w="1277" w:type="dxa"/>
                  <w:vMerge w:val="continue"/>
                  <w:vAlign w:val="center"/>
                </w:tcPr>
                <w:p w14:paraId="7C590BF3">
                  <w:pPr>
                    <w:spacing w:line="240" w:lineRule="auto"/>
                    <w:jc w:val="center"/>
                    <w:rPr>
                      <w:rFonts w:hint="default" w:ascii="Times New Roman" w:hAnsi="Times New Roman" w:cs="Times New Roman"/>
                      <w:color w:val="auto"/>
                      <w:sz w:val="21"/>
                      <w:szCs w:val="21"/>
                      <w:vertAlign w:val="baseline"/>
                      <w:lang w:val="en-US" w:eastAsia="zh-CN"/>
                    </w:rPr>
                  </w:pPr>
                </w:p>
              </w:tc>
            </w:tr>
            <w:tr w14:paraId="6E75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3" w:type="dxa"/>
                  <w:vAlign w:val="center"/>
                </w:tcPr>
                <w:p w14:paraId="6F11723E">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788" w:type="dxa"/>
                  <w:vMerge w:val="restart"/>
                  <w:vAlign w:val="center"/>
                </w:tcPr>
                <w:p w14:paraId="2D42DF71">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运营期</w:t>
                  </w:r>
                </w:p>
              </w:tc>
              <w:tc>
                <w:tcPr>
                  <w:tcW w:w="1005" w:type="dxa"/>
                  <w:vAlign w:val="center"/>
                </w:tcPr>
                <w:p w14:paraId="78B48639">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颗粒物</w:t>
                  </w:r>
                </w:p>
              </w:tc>
              <w:tc>
                <w:tcPr>
                  <w:tcW w:w="1337" w:type="dxa"/>
                  <w:vAlign w:val="center"/>
                </w:tcPr>
                <w:p w14:paraId="5B3DE599">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20</w:t>
                  </w:r>
                </w:p>
              </w:tc>
              <w:tc>
                <w:tcPr>
                  <w:tcW w:w="899" w:type="dxa"/>
                  <w:vAlign w:val="center"/>
                </w:tcPr>
                <w:p w14:paraId="382C5A1D">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3335" w:type="dxa"/>
                  <w:vAlign w:val="center"/>
                </w:tcPr>
                <w:p w14:paraId="5A5D787F">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《合成树脂工业污染物排放标准》（GB31572-2015）（含2024年修改单）表5中标准要求</w:t>
                  </w:r>
                </w:p>
              </w:tc>
              <w:tc>
                <w:tcPr>
                  <w:tcW w:w="1277" w:type="dxa"/>
                  <w:vAlign w:val="center"/>
                </w:tcPr>
                <w:p w14:paraId="76059AFE">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吹灰-颗粒物</w:t>
                  </w:r>
                  <w:r>
                    <w:rPr>
                      <w:rFonts w:hint="default" w:ascii="Times New Roman" w:hAnsi="Times New Roman" w:cs="Times New Roman"/>
                      <w:color w:val="auto"/>
                      <w:sz w:val="21"/>
                      <w:szCs w:val="21"/>
                      <w:vertAlign w:val="baseline"/>
                      <w:lang w:val="en-US" w:eastAsia="zh-CN"/>
                    </w:rPr>
                    <w:t>排气筒</w:t>
                  </w:r>
                  <w:r>
                    <w:rPr>
                      <w:rFonts w:hint="eastAsia" w:ascii="Times New Roman" w:hAnsi="Times New Roman" w:cs="Times New Roman"/>
                      <w:color w:val="auto"/>
                      <w:sz w:val="21"/>
                      <w:szCs w:val="21"/>
                      <w:vertAlign w:val="baseline"/>
                      <w:lang w:val="en-US" w:eastAsia="zh-CN"/>
                    </w:rPr>
                    <w:t>（DA001）</w:t>
                  </w:r>
                </w:p>
              </w:tc>
            </w:tr>
            <w:tr w14:paraId="0D95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4663BA89">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w:t>
                  </w:r>
                </w:p>
              </w:tc>
              <w:tc>
                <w:tcPr>
                  <w:tcW w:w="788" w:type="dxa"/>
                  <w:vMerge w:val="continue"/>
                  <w:vAlign w:val="center"/>
                </w:tcPr>
                <w:p w14:paraId="0C315087">
                  <w:pPr>
                    <w:spacing w:line="240" w:lineRule="auto"/>
                    <w:jc w:val="center"/>
                    <w:rPr>
                      <w:rFonts w:hint="default" w:ascii="Times New Roman" w:hAnsi="Times New Roman" w:cs="Times New Roman"/>
                      <w:color w:val="auto"/>
                      <w:sz w:val="21"/>
                      <w:szCs w:val="21"/>
                      <w:vertAlign w:val="baseline"/>
                      <w:lang w:val="en-US" w:eastAsia="zh-CN"/>
                    </w:rPr>
                  </w:pPr>
                </w:p>
              </w:tc>
              <w:tc>
                <w:tcPr>
                  <w:tcW w:w="1005" w:type="dxa"/>
                  <w:vAlign w:val="center"/>
                </w:tcPr>
                <w:p w14:paraId="18C9F782">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NMHC（非甲烷总烃）</w:t>
                  </w:r>
                </w:p>
              </w:tc>
              <w:tc>
                <w:tcPr>
                  <w:tcW w:w="1337" w:type="dxa"/>
                  <w:vAlign w:val="center"/>
                </w:tcPr>
                <w:p w14:paraId="00F79C9E">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40</w:t>
                  </w:r>
                </w:p>
              </w:tc>
              <w:tc>
                <w:tcPr>
                  <w:tcW w:w="899" w:type="dxa"/>
                  <w:vAlign w:val="center"/>
                </w:tcPr>
                <w:p w14:paraId="53C6CE1D">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1.6</w:t>
                  </w:r>
                </w:p>
              </w:tc>
              <w:tc>
                <w:tcPr>
                  <w:tcW w:w="3335" w:type="dxa"/>
                  <w:vAlign w:val="center"/>
                </w:tcPr>
                <w:p w14:paraId="7F6EC7C0">
                  <w:pPr>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《固定源挥发性有机物综合排放标准 第6部分：其他行业》（DB34/4812.6-2024）表1中标准限值</w:t>
                  </w:r>
                </w:p>
              </w:tc>
              <w:tc>
                <w:tcPr>
                  <w:tcW w:w="1277" w:type="dxa"/>
                  <w:vMerge w:val="restart"/>
                  <w:vAlign w:val="center"/>
                </w:tcPr>
                <w:p w14:paraId="34F27743">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烤料、热压成型</w:t>
                  </w:r>
                  <w:r>
                    <w:rPr>
                      <w:rFonts w:hint="default" w:ascii="Times New Roman" w:hAnsi="Times New Roman" w:cs="Times New Roman"/>
                      <w:color w:val="auto"/>
                      <w:sz w:val="21"/>
                      <w:szCs w:val="21"/>
                      <w:vertAlign w:val="baseline"/>
                      <w:lang w:val="en-US" w:eastAsia="zh-CN"/>
                    </w:rPr>
                    <w:t>排气筒</w:t>
                  </w:r>
                  <w:r>
                    <w:rPr>
                      <w:rFonts w:hint="eastAsia" w:ascii="Times New Roman" w:hAnsi="Times New Roman" w:cs="Times New Roman"/>
                      <w:color w:val="auto"/>
                      <w:sz w:val="21"/>
                      <w:szCs w:val="21"/>
                      <w:vertAlign w:val="baseline"/>
                      <w:lang w:val="en-US" w:eastAsia="zh-CN"/>
                    </w:rPr>
                    <w:t>（DA001）</w:t>
                  </w:r>
                </w:p>
              </w:tc>
            </w:tr>
            <w:tr w14:paraId="4A3DC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5C471899">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w:t>
                  </w:r>
                </w:p>
              </w:tc>
              <w:tc>
                <w:tcPr>
                  <w:tcW w:w="788" w:type="dxa"/>
                  <w:vMerge w:val="continue"/>
                  <w:vAlign w:val="center"/>
                </w:tcPr>
                <w:p w14:paraId="69B58FE7">
                  <w:pPr>
                    <w:spacing w:line="240" w:lineRule="auto"/>
                    <w:jc w:val="center"/>
                    <w:rPr>
                      <w:rFonts w:hint="default" w:ascii="Times New Roman" w:hAnsi="Times New Roman" w:cs="Times New Roman"/>
                      <w:color w:val="auto"/>
                      <w:sz w:val="21"/>
                      <w:szCs w:val="21"/>
                      <w:vertAlign w:val="baseline"/>
                      <w:lang w:val="en-US" w:eastAsia="zh-CN"/>
                    </w:rPr>
                  </w:pPr>
                </w:p>
              </w:tc>
              <w:tc>
                <w:tcPr>
                  <w:tcW w:w="1005" w:type="dxa"/>
                  <w:shd w:val="clear" w:color="auto" w:fill="auto"/>
                  <w:vAlign w:val="center"/>
                </w:tcPr>
                <w:p w14:paraId="0EC82380">
                  <w:pPr>
                    <w:spacing w:line="240" w:lineRule="auto"/>
                    <w:jc w:val="center"/>
                    <w:rPr>
                      <w:rFonts w:hint="eastAsia"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甲醛</w:t>
                  </w:r>
                </w:p>
              </w:tc>
              <w:tc>
                <w:tcPr>
                  <w:tcW w:w="1337" w:type="dxa"/>
                  <w:shd w:val="clear" w:color="auto" w:fill="auto"/>
                  <w:vAlign w:val="center"/>
                </w:tcPr>
                <w:p w14:paraId="0A70AFC0">
                  <w:pPr>
                    <w:spacing w:line="240" w:lineRule="auto"/>
                    <w:jc w:val="center"/>
                    <w:rPr>
                      <w:rFonts w:hint="eastAsia"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5</w:t>
                  </w:r>
                </w:p>
              </w:tc>
              <w:tc>
                <w:tcPr>
                  <w:tcW w:w="899" w:type="dxa"/>
                  <w:shd w:val="clear" w:color="auto" w:fill="auto"/>
                  <w:vAlign w:val="center"/>
                </w:tcPr>
                <w:p w14:paraId="60B6537A">
                  <w:pPr>
                    <w:spacing w:line="240" w:lineRule="auto"/>
                    <w:jc w:val="center"/>
                    <w:rPr>
                      <w:rFonts w:hint="eastAsia"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w:t>
                  </w:r>
                </w:p>
              </w:tc>
              <w:tc>
                <w:tcPr>
                  <w:tcW w:w="3335" w:type="dxa"/>
                  <w:vAlign w:val="center"/>
                </w:tcPr>
                <w:p w14:paraId="434C8599">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vertAlign w:val="baseline"/>
                      <w:lang w:val="en-US" w:eastAsia="zh-CN"/>
                    </w:rPr>
                    <w:t>《合成树脂工业污染物排放标准》（GB31572-2015）（含2024年修改单）表5中标准要求</w:t>
                  </w:r>
                </w:p>
              </w:tc>
              <w:tc>
                <w:tcPr>
                  <w:tcW w:w="1277" w:type="dxa"/>
                  <w:vMerge w:val="continue"/>
                  <w:vAlign w:val="center"/>
                </w:tcPr>
                <w:p w14:paraId="0AE6E9D4">
                  <w:pPr>
                    <w:spacing w:line="240" w:lineRule="auto"/>
                    <w:jc w:val="center"/>
                    <w:rPr>
                      <w:rFonts w:hint="eastAsia" w:ascii="Times New Roman" w:hAnsi="Times New Roman" w:cs="Times New Roman"/>
                      <w:color w:val="auto"/>
                      <w:sz w:val="21"/>
                      <w:szCs w:val="21"/>
                      <w:vertAlign w:val="baseline"/>
                      <w:lang w:val="en-US" w:eastAsia="zh-CN"/>
                    </w:rPr>
                  </w:pPr>
                </w:p>
              </w:tc>
            </w:tr>
            <w:tr w14:paraId="2D64D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565BD1F1">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w:t>
                  </w:r>
                </w:p>
              </w:tc>
              <w:tc>
                <w:tcPr>
                  <w:tcW w:w="788" w:type="dxa"/>
                  <w:vMerge w:val="continue"/>
                  <w:vAlign w:val="center"/>
                </w:tcPr>
                <w:p w14:paraId="1F0AC2B6">
                  <w:pPr>
                    <w:spacing w:line="240" w:lineRule="auto"/>
                    <w:jc w:val="center"/>
                    <w:rPr>
                      <w:rFonts w:hint="default" w:ascii="Times New Roman" w:hAnsi="Times New Roman" w:cs="Times New Roman"/>
                      <w:color w:val="auto"/>
                      <w:sz w:val="21"/>
                      <w:szCs w:val="21"/>
                      <w:vertAlign w:val="baseline"/>
                      <w:lang w:val="en-US" w:eastAsia="zh-CN"/>
                    </w:rPr>
                  </w:pPr>
                </w:p>
              </w:tc>
              <w:tc>
                <w:tcPr>
                  <w:tcW w:w="1005" w:type="dxa"/>
                  <w:shd w:val="clear" w:color="auto" w:fill="auto"/>
                  <w:vAlign w:val="center"/>
                </w:tcPr>
                <w:p w14:paraId="52FB7A33">
                  <w:pPr>
                    <w:spacing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颗粒物</w:t>
                  </w:r>
                </w:p>
              </w:tc>
              <w:tc>
                <w:tcPr>
                  <w:tcW w:w="1337" w:type="dxa"/>
                  <w:shd w:val="clear" w:color="auto" w:fill="auto"/>
                  <w:vAlign w:val="center"/>
                </w:tcPr>
                <w:p w14:paraId="65D4813D">
                  <w:pPr>
                    <w:spacing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20</w:t>
                  </w:r>
                </w:p>
              </w:tc>
              <w:tc>
                <w:tcPr>
                  <w:tcW w:w="899" w:type="dxa"/>
                  <w:shd w:val="clear" w:color="auto" w:fill="auto"/>
                  <w:vAlign w:val="center"/>
                </w:tcPr>
                <w:p w14:paraId="4FB4FA3E">
                  <w:pPr>
                    <w:spacing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w:t>
                  </w:r>
                </w:p>
              </w:tc>
              <w:tc>
                <w:tcPr>
                  <w:tcW w:w="3335" w:type="dxa"/>
                  <w:shd w:val="clear" w:color="auto" w:fill="auto"/>
                  <w:vAlign w:val="center"/>
                </w:tcPr>
                <w:p w14:paraId="36E1E69B">
                  <w:pPr>
                    <w:spacing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《合成树脂工业污染物排放标准》（GB31572-2015）（含2024年修改单）表5中标准要求</w:t>
                  </w:r>
                </w:p>
              </w:tc>
              <w:tc>
                <w:tcPr>
                  <w:tcW w:w="1277" w:type="dxa"/>
                  <w:vAlign w:val="center"/>
                </w:tcPr>
                <w:p w14:paraId="7FF7F102">
                  <w:pPr>
                    <w:spacing w:line="240" w:lineRule="auto"/>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磨边-颗粒物</w:t>
                  </w:r>
                  <w:r>
                    <w:rPr>
                      <w:rFonts w:hint="default" w:ascii="Times New Roman" w:hAnsi="Times New Roman" w:cs="Times New Roman"/>
                      <w:color w:val="auto"/>
                      <w:sz w:val="21"/>
                      <w:szCs w:val="21"/>
                      <w:vertAlign w:val="baseline"/>
                      <w:lang w:val="en-US" w:eastAsia="zh-CN"/>
                    </w:rPr>
                    <w:t>排气筒</w:t>
                  </w:r>
                  <w:r>
                    <w:rPr>
                      <w:rFonts w:hint="eastAsia" w:ascii="Times New Roman" w:hAnsi="Times New Roman" w:cs="Times New Roman"/>
                      <w:color w:val="auto"/>
                      <w:sz w:val="21"/>
                      <w:szCs w:val="21"/>
                      <w:vertAlign w:val="baseline"/>
                      <w:lang w:val="en-US" w:eastAsia="zh-CN"/>
                    </w:rPr>
                    <w:t>（DA002）</w:t>
                  </w:r>
                </w:p>
              </w:tc>
            </w:tr>
            <w:tr w14:paraId="6042F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3" w:type="dxa"/>
                  <w:vAlign w:val="center"/>
                </w:tcPr>
                <w:p w14:paraId="038CE7C8">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6</w:t>
                  </w:r>
                </w:p>
              </w:tc>
              <w:tc>
                <w:tcPr>
                  <w:tcW w:w="788" w:type="dxa"/>
                  <w:vMerge w:val="continue"/>
                  <w:vAlign w:val="center"/>
                </w:tcPr>
                <w:p w14:paraId="27DE202E">
                  <w:pPr>
                    <w:spacing w:line="240" w:lineRule="auto"/>
                    <w:jc w:val="center"/>
                    <w:rPr>
                      <w:rFonts w:hint="default" w:ascii="Times New Roman" w:hAnsi="Times New Roman" w:cs="Times New Roman"/>
                      <w:color w:val="auto"/>
                      <w:sz w:val="21"/>
                      <w:szCs w:val="21"/>
                      <w:vertAlign w:val="baseline"/>
                      <w:lang w:val="en-US" w:eastAsia="zh-CN"/>
                    </w:rPr>
                  </w:pPr>
                </w:p>
              </w:tc>
              <w:tc>
                <w:tcPr>
                  <w:tcW w:w="1005" w:type="dxa"/>
                  <w:vAlign w:val="center"/>
                </w:tcPr>
                <w:p w14:paraId="6D3D8301">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颗粒物</w:t>
                  </w:r>
                </w:p>
              </w:tc>
              <w:tc>
                <w:tcPr>
                  <w:tcW w:w="1337" w:type="dxa"/>
                  <w:vAlign w:val="center"/>
                </w:tcPr>
                <w:p w14:paraId="15D22BDB">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1.0</w:t>
                  </w:r>
                </w:p>
              </w:tc>
              <w:tc>
                <w:tcPr>
                  <w:tcW w:w="899" w:type="dxa"/>
                  <w:vAlign w:val="center"/>
                </w:tcPr>
                <w:p w14:paraId="3277A2D1">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3335" w:type="dxa"/>
                  <w:vMerge w:val="restart"/>
                  <w:vAlign w:val="center"/>
                </w:tcPr>
                <w:p w14:paraId="55DD023B">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vertAlign w:val="baseline"/>
                      <w:lang w:val="en-US" w:eastAsia="zh-CN"/>
                    </w:rPr>
                    <w:t>《合成树脂工业污染物排放标准》（GB31572-2015）（含2024年修改单）表</w:t>
                  </w:r>
                  <w:r>
                    <w:rPr>
                      <w:rFonts w:hint="eastAsia" w:ascii="Times New Roman" w:hAnsi="Times New Roman" w:cs="Times New Roman"/>
                      <w:color w:val="auto"/>
                      <w:sz w:val="21"/>
                      <w:szCs w:val="21"/>
                      <w:vertAlign w:val="baseline"/>
                      <w:lang w:val="en-US" w:eastAsia="zh-CN"/>
                    </w:rPr>
                    <w:t>9</w:t>
                  </w:r>
                  <w:r>
                    <w:rPr>
                      <w:rFonts w:hint="default" w:ascii="Times New Roman" w:hAnsi="Times New Roman" w:cs="Times New Roman"/>
                      <w:color w:val="auto"/>
                      <w:sz w:val="21"/>
                      <w:szCs w:val="21"/>
                      <w:vertAlign w:val="baseline"/>
                      <w:lang w:val="en-US" w:eastAsia="zh-CN"/>
                    </w:rPr>
                    <w:t>中标准要求</w:t>
                  </w:r>
                </w:p>
              </w:tc>
              <w:tc>
                <w:tcPr>
                  <w:tcW w:w="1277" w:type="dxa"/>
                  <w:vMerge w:val="restart"/>
                  <w:vAlign w:val="center"/>
                </w:tcPr>
                <w:p w14:paraId="25ED9A9C">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厂区边界</w:t>
                  </w:r>
                </w:p>
              </w:tc>
            </w:tr>
            <w:tr w14:paraId="646CA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2D45CBA1">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7</w:t>
                  </w:r>
                </w:p>
              </w:tc>
              <w:tc>
                <w:tcPr>
                  <w:tcW w:w="788" w:type="dxa"/>
                  <w:vMerge w:val="continue"/>
                  <w:vAlign w:val="center"/>
                </w:tcPr>
                <w:p w14:paraId="49CED3CB">
                  <w:pPr>
                    <w:spacing w:line="240" w:lineRule="auto"/>
                    <w:jc w:val="center"/>
                    <w:rPr>
                      <w:rFonts w:hint="default" w:ascii="Times New Roman" w:hAnsi="Times New Roman" w:cs="Times New Roman"/>
                      <w:color w:val="auto"/>
                      <w:sz w:val="21"/>
                      <w:szCs w:val="21"/>
                      <w:vertAlign w:val="baseline"/>
                      <w:lang w:val="en-US" w:eastAsia="zh-CN"/>
                    </w:rPr>
                  </w:pPr>
                </w:p>
              </w:tc>
              <w:tc>
                <w:tcPr>
                  <w:tcW w:w="1005" w:type="dxa"/>
                  <w:shd w:val="clear" w:color="auto" w:fill="auto"/>
                  <w:vAlign w:val="center"/>
                </w:tcPr>
                <w:p w14:paraId="4C1C46FD">
                  <w:pPr>
                    <w:spacing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非甲烷总烃</w:t>
                  </w:r>
                </w:p>
              </w:tc>
              <w:tc>
                <w:tcPr>
                  <w:tcW w:w="1337" w:type="dxa"/>
                  <w:shd w:val="clear" w:color="auto" w:fill="auto"/>
                  <w:vAlign w:val="center"/>
                </w:tcPr>
                <w:p w14:paraId="4FEC11C6">
                  <w:pPr>
                    <w:spacing w:line="240" w:lineRule="auto"/>
                    <w:jc w:val="center"/>
                    <w:rPr>
                      <w:rFonts w:hint="default" w:ascii="Times New Roman" w:hAnsi="Times New Roman" w:cs="Times New Roman" w:eastAsiaTheme="minorEastAsia"/>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4.0</w:t>
                  </w:r>
                </w:p>
              </w:tc>
              <w:tc>
                <w:tcPr>
                  <w:tcW w:w="899" w:type="dxa"/>
                  <w:vAlign w:val="center"/>
                </w:tcPr>
                <w:p w14:paraId="1BCA8F6B">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3335" w:type="dxa"/>
                  <w:vMerge w:val="continue"/>
                  <w:vAlign w:val="center"/>
                </w:tcPr>
                <w:p w14:paraId="3E7C14AD">
                  <w:pPr>
                    <w:spacing w:line="240" w:lineRule="auto"/>
                    <w:jc w:val="center"/>
                    <w:rPr>
                      <w:rFonts w:hint="default" w:ascii="Times New Roman" w:hAnsi="Times New Roman" w:eastAsia="宋体" w:cs="Times New Roman"/>
                      <w:color w:val="auto"/>
                      <w:sz w:val="21"/>
                      <w:szCs w:val="21"/>
                    </w:rPr>
                  </w:pPr>
                </w:p>
              </w:tc>
              <w:tc>
                <w:tcPr>
                  <w:tcW w:w="1277" w:type="dxa"/>
                  <w:vMerge w:val="continue"/>
                  <w:vAlign w:val="center"/>
                </w:tcPr>
                <w:p w14:paraId="334F02D2">
                  <w:pPr>
                    <w:spacing w:line="240" w:lineRule="auto"/>
                    <w:jc w:val="center"/>
                    <w:rPr>
                      <w:rFonts w:hint="default" w:ascii="Times New Roman" w:hAnsi="Times New Roman" w:cs="Times New Roman"/>
                      <w:color w:val="auto"/>
                      <w:sz w:val="21"/>
                      <w:szCs w:val="21"/>
                      <w:vertAlign w:val="baseline"/>
                      <w:lang w:val="en-US" w:eastAsia="zh-CN"/>
                    </w:rPr>
                  </w:pPr>
                </w:p>
              </w:tc>
            </w:tr>
            <w:tr w14:paraId="590D7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19782579">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8</w:t>
                  </w:r>
                </w:p>
              </w:tc>
              <w:tc>
                <w:tcPr>
                  <w:tcW w:w="788" w:type="dxa"/>
                  <w:vMerge w:val="continue"/>
                  <w:vAlign w:val="center"/>
                </w:tcPr>
                <w:p w14:paraId="5460D55B">
                  <w:pPr>
                    <w:spacing w:line="240" w:lineRule="auto"/>
                    <w:jc w:val="center"/>
                    <w:rPr>
                      <w:rFonts w:hint="default" w:ascii="Times New Roman" w:hAnsi="Times New Roman" w:cs="Times New Roman"/>
                      <w:color w:val="auto"/>
                      <w:sz w:val="21"/>
                      <w:szCs w:val="21"/>
                      <w:vertAlign w:val="baseline"/>
                      <w:lang w:val="en-US" w:eastAsia="zh-CN"/>
                    </w:rPr>
                  </w:pPr>
                </w:p>
              </w:tc>
              <w:tc>
                <w:tcPr>
                  <w:tcW w:w="1005" w:type="dxa"/>
                  <w:vAlign w:val="center"/>
                </w:tcPr>
                <w:p w14:paraId="6C2EB254">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甲醛</w:t>
                  </w:r>
                </w:p>
              </w:tc>
              <w:tc>
                <w:tcPr>
                  <w:tcW w:w="1337" w:type="dxa"/>
                  <w:vAlign w:val="center"/>
                </w:tcPr>
                <w:p w14:paraId="22CB79FA">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0.20</w:t>
                  </w:r>
                </w:p>
              </w:tc>
              <w:tc>
                <w:tcPr>
                  <w:tcW w:w="899" w:type="dxa"/>
                  <w:vAlign w:val="center"/>
                </w:tcPr>
                <w:p w14:paraId="01246E5C">
                  <w:pPr>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3335" w:type="dxa"/>
                  <w:vAlign w:val="center"/>
                </w:tcPr>
                <w:p w14:paraId="7E8ADE4B">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《固定源挥发性有机物综合排放标准 第6部分：其他行业》（DB34/4812.6-2024）表</w:t>
                  </w:r>
                  <w:r>
                    <w:rPr>
                      <w:rFonts w:hint="eastAsia" w:ascii="Times New Roman" w:hAnsi="Times New Roman" w:eastAsia="宋体" w:cs="Times New Roman"/>
                      <w:color w:val="auto"/>
                      <w:sz w:val="21"/>
                      <w:szCs w:val="21"/>
                      <w:lang w:val="en-US" w:eastAsia="zh-CN"/>
                    </w:rPr>
                    <w:t>5中标准</w:t>
                  </w:r>
                  <w:r>
                    <w:rPr>
                      <w:rFonts w:hint="default" w:ascii="Times New Roman" w:hAnsi="Times New Roman" w:eastAsia="宋体" w:cs="Times New Roman"/>
                      <w:color w:val="auto"/>
                      <w:sz w:val="21"/>
                      <w:szCs w:val="21"/>
                    </w:rPr>
                    <w:t>限值</w:t>
                  </w:r>
                </w:p>
              </w:tc>
              <w:tc>
                <w:tcPr>
                  <w:tcW w:w="1277" w:type="dxa"/>
                  <w:vAlign w:val="center"/>
                </w:tcPr>
                <w:p w14:paraId="7F3B1D75">
                  <w:pPr>
                    <w:spacing w:line="240" w:lineRule="auto"/>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厂区边界</w:t>
                  </w:r>
                </w:p>
              </w:tc>
            </w:tr>
          </w:tbl>
          <w:p w14:paraId="714AA929">
            <w:pPr>
              <w:pStyle w:val="49"/>
              <w:spacing w:line="240" w:lineRule="auto"/>
              <w:rPr>
                <w:rFonts w:eastAsia="宋体" w:cs="Times New Roman"/>
                <w:b/>
                <w:bCs/>
                <w:color w:val="auto"/>
                <w:sz w:val="21"/>
                <w:szCs w:val="21"/>
              </w:rPr>
            </w:pPr>
            <w:r>
              <w:rPr>
                <w:rFonts w:eastAsia="宋体" w:cs="Times New Roman"/>
                <w:b/>
                <w:bCs/>
                <w:color w:val="auto"/>
                <w:sz w:val="21"/>
                <w:szCs w:val="21"/>
              </w:rPr>
              <w:t>表3.</w:t>
            </w:r>
            <w:r>
              <w:rPr>
                <w:rFonts w:hint="eastAsia" w:eastAsia="宋体" w:cs="Times New Roman"/>
                <w:b/>
                <w:bCs/>
                <w:color w:val="auto"/>
                <w:sz w:val="21"/>
                <w:szCs w:val="21"/>
                <w:lang w:val="en-US" w:eastAsia="zh-CN"/>
              </w:rPr>
              <w:t>7</w:t>
            </w:r>
            <w:r>
              <w:rPr>
                <w:rFonts w:eastAsia="宋体" w:cs="Times New Roman"/>
                <w:b/>
                <w:bCs/>
                <w:color w:val="auto"/>
                <w:sz w:val="21"/>
                <w:szCs w:val="21"/>
              </w:rPr>
              <w:t xml:space="preserve">  厂区内VOCs无组织排放限值</w:t>
            </w:r>
            <w:r>
              <w:rPr>
                <w:rFonts w:hint="eastAsia" w:eastAsia="宋体" w:cs="Times New Roman"/>
                <w:b/>
                <w:bCs/>
                <w:color w:val="auto"/>
                <w:sz w:val="21"/>
                <w:szCs w:val="21"/>
                <w:lang w:val="en-US" w:eastAsia="zh-CN"/>
              </w:rPr>
              <w:t xml:space="preserve">  </w:t>
            </w:r>
            <w:r>
              <w:rPr>
                <w:rFonts w:eastAsia="宋体" w:cs="Times New Roman"/>
                <w:b/>
                <w:bCs/>
                <w:color w:val="auto"/>
                <w:sz w:val="21"/>
                <w:szCs w:val="21"/>
              </w:rPr>
              <w:t>单位：mg/m</w:t>
            </w:r>
            <w:r>
              <w:rPr>
                <w:rFonts w:eastAsia="宋体" w:cs="Times New Roman"/>
                <w:b/>
                <w:bCs/>
                <w:color w:val="auto"/>
                <w:sz w:val="21"/>
                <w:szCs w:val="21"/>
                <w:vertAlign w:val="superscript"/>
              </w:rPr>
              <w:t>3</w:t>
            </w:r>
          </w:p>
          <w:tbl>
            <w:tblPr>
              <w:tblStyle w:val="32"/>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3"/>
              <w:gridCol w:w="1443"/>
              <w:gridCol w:w="3487"/>
              <w:gridCol w:w="2661"/>
            </w:tblGrid>
            <w:tr w14:paraId="6611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3" w:type="dxa"/>
                  <w:shd w:val="clear" w:color="auto" w:fill="auto"/>
                  <w:vAlign w:val="center"/>
                </w:tcPr>
                <w:p w14:paraId="1A109F8B">
                  <w:pPr>
                    <w:pStyle w:val="48"/>
                    <w:spacing w:line="240" w:lineRule="auto"/>
                    <w:rPr>
                      <w:rFonts w:cs="Times New Roman"/>
                      <w:color w:val="auto"/>
                      <w:sz w:val="21"/>
                      <w:szCs w:val="21"/>
                    </w:rPr>
                  </w:pPr>
                  <w:r>
                    <w:rPr>
                      <w:rFonts w:cs="Times New Roman"/>
                      <w:color w:val="auto"/>
                      <w:sz w:val="21"/>
                      <w:szCs w:val="21"/>
                    </w:rPr>
                    <w:t>污染物项目</w:t>
                  </w:r>
                </w:p>
              </w:tc>
              <w:tc>
                <w:tcPr>
                  <w:tcW w:w="1443" w:type="dxa"/>
                  <w:shd w:val="clear" w:color="auto" w:fill="auto"/>
                  <w:vAlign w:val="center"/>
                </w:tcPr>
                <w:p w14:paraId="6E489105">
                  <w:pPr>
                    <w:pStyle w:val="48"/>
                    <w:spacing w:line="240" w:lineRule="auto"/>
                    <w:rPr>
                      <w:rFonts w:cs="Times New Roman"/>
                      <w:color w:val="auto"/>
                      <w:sz w:val="21"/>
                      <w:szCs w:val="21"/>
                    </w:rPr>
                  </w:pPr>
                  <w:r>
                    <w:rPr>
                      <w:rFonts w:cs="Times New Roman"/>
                      <w:color w:val="auto"/>
                      <w:sz w:val="21"/>
                      <w:szCs w:val="21"/>
                    </w:rPr>
                    <w:t>排放限值</w:t>
                  </w:r>
                </w:p>
              </w:tc>
              <w:tc>
                <w:tcPr>
                  <w:tcW w:w="3487" w:type="dxa"/>
                  <w:vAlign w:val="center"/>
                </w:tcPr>
                <w:p w14:paraId="302D47F6">
                  <w:pPr>
                    <w:pStyle w:val="48"/>
                    <w:spacing w:line="240" w:lineRule="auto"/>
                    <w:rPr>
                      <w:rFonts w:cs="Times New Roman"/>
                      <w:color w:val="auto"/>
                      <w:sz w:val="21"/>
                      <w:szCs w:val="21"/>
                    </w:rPr>
                  </w:pPr>
                  <w:r>
                    <w:rPr>
                      <w:rFonts w:cs="Times New Roman"/>
                      <w:color w:val="auto"/>
                      <w:sz w:val="21"/>
                      <w:szCs w:val="21"/>
                    </w:rPr>
                    <w:t>限值含义</w:t>
                  </w:r>
                </w:p>
              </w:tc>
              <w:tc>
                <w:tcPr>
                  <w:tcW w:w="2661" w:type="dxa"/>
                  <w:vAlign w:val="center"/>
                </w:tcPr>
                <w:p w14:paraId="2F870ACC">
                  <w:pPr>
                    <w:pStyle w:val="48"/>
                    <w:spacing w:line="240" w:lineRule="auto"/>
                    <w:rPr>
                      <w:rFonts w:cs="Times New Roman"/>
                      <w:color w:val="auto"/>
                      <w:sz w:val="21"/>
                      <w:szCs w:val="21"/>
                    </w:rPr>
                  </w:pPr>
                  <w:r>
                    <w:rPr>
                      <w:rFonts w:cs="Times New Roman"/>
                      <w:color w:val="auto"/>
                      <w:sz w:val="21"/>
                      <w:szCs w:val="21"/>
                    </w:rPr>
                    <w:t>无组织排放监控位置</w:t>
                  </w:r>
                </w:p>
              </w:tc>
            </w:tr>
            <w:tr w14:paraId="7698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3" w:type="dxa"/>
                  <w:vMerge w:val="restart"/>
                  <w:shd w:val="clear" w:color="auto" w:fill="auto"/>
                  <w:vAlign w:val="center"/>
                </w:tcPr>
                <w:p w14:paraId="25A453ED">
                  <w:pPr>
                    <w:pStyle w:val="48"/>
                    <w:spacing w:line="240" w:lineRule="auto"/>
                    <w:rPr>
                      <w:rFonts w:hint="eastAsia" w:eastAsia="宋体" w:cs="Times New Roman"/>
                      <w:color w:val="auto"/>
                      <w:sz w:val="21"/>
                      <w:szCs w:val="21"/>
                      <w:lang w:eastAsia="zh-CN"/>
                    </w:rPr>
                  </w:pPr>
                  <w:r>
                    <w:rPr>
                      <w:rFonts w:cs="Times New Roman"/>
                      <w:color w:val="auto"/>
                      <w:sz w:val="21"/>
                      <w:szCs w:val="21"/>
                    </w:rPr>
                    <w:t>NMHC</w:t>
                  </w:r>
                  <w:r>
                    <w:rPr>
                      <w:rFonts w:hint="eastAsia" w:cs="Times New Roman"/>
                      <w:color w:val="auto"/>
                      <w:sz w:val="21"/>
                      <w:szCs w:val="21"/>
                      <w:lang w:eastAsia="zh-CN"/>
                    </w:rPr>
                    <w:t>（</w:t>
                  </w:r>
                  <w:r>
                    <w:rPr>
                      <w:rFonts w:hint="eastAsia" w:ascii="Times New Roman" w:hAnsi="Times New Roman" w:cs="Times New Roman"/>
                      <w:color w:val="auto"/>
                      <w:sz w:val="21"/>
                      <w:szCs w:val="21"/>
                      <w:vertAlign w:val="baseline"/>
                      <w:lang w:val="en-US" w:eastAsia="zh-CN"/>
                    </w:rPr>
                    <w:t>非甲烷总烃</w:t>
                  </w:r>
                  <w:r>
                    <w:rPr>
                      <w:rFonts w:hint="eastAsia" w:cs="Times New Roman"/>
                      <w:color w:val="auto"/>
                      <w:sz w:val="21"/>
                      <w:szCs w:val="21"/>
                      <w:lang w:eastAsia="zh-CN"/>
                    </w:rPr>
                    <w:t>）</w:t>
                  </w:r>
                </w:p>
              </w:tc>
              <w:tc>
                <w:tcPr>
                  <w:tcW w:w="1443" w:type="dxa"/>
                  <w:shd w:val="clear" w:color="auto" w:fill="auto"/>
                  <w:vAlign w:val="center"/>
                </w:tcPr>
                <w:p w14:paraId="4E9C1016">
                  <w:pPr>
                    <w:pStyle w:val="48"/>
                    <w:spacing w:line="240" w:lineRule="auto"/>
                    <w:rPr>
                      <w:rFonts w:hint="eastAsia" w:eastAsia="宋体" w:cs="Times New Roman"/>
                      <w:color w:val="auto"/>
                      <w:sz w:val="21"/>
                      <w:szCs w:val="21"/>
                      <w:lang w:eastAsia="zh-CN"/>
                    </w:rPr>
                  </w:pPr>
                  <w:r>
                    <w:rPr>
                      <w:rFonts w:hint="eastAsia" w:cs="Times New Roman"/>
                      <w:color w:val="auto"/>
                      <w:sz w:val="21"/>
                      <w:szCs w:val="21"/>
                      <w:lang w:val="en-US" w:eastAsia="zh-CN"/>
                    </w:rPr>
                    <w:t>6</w:t>
                  </w:r>
                </w:p>
              </w:tc>
              <w:tc>
                <w:tcPr>
                  <w:tcW w:w="3487" w:type="dxa"/>
                  <w:vAlign w:val="center"/>
                </w:tcPr>
                <w:p w14:paraId="1A4F520F">
                  <w:pPr>
                    <w:pStyle w:val="48"/>
                    <w:spacing w:line="240" w:lineRule="auto"/>
                    <w:rPr>
                      <w:rFonts w:cs="Times New Roman"/>
                      <w:color w:val="auto"/>
                      <w:sz w:val="21"/>
                      <w:szCs w:val="21"/>
                    </w:rPr>
                  </w:pPr>
                  <w:r>
                    <w:rPr>
                      <w:rFonts w:cs="Times New Roman"/>
                      <w:color w:val="auto"/>
                      <w:sz w:val="21"/>
                      <w:szCs w:val="21"/>
                    </w:rPr>
                    <w:t>监控点处1h平均浓度值</w:t>
                  </w:r>
                </w:p>
              </w:tc>
              <w:tc>
                <w:tcPr>
                  <w:tcW w:w="2661" w:type="dxa"/>
                  <w:vMerge w:val="restart"/>
                  <w:vAlign w:val="center"/>
                </w:tcPr>
                <w:p w14:paraId="7B194E04">
                  <w:pPr>
                    <w:pStyle w:val="48"/>
                    <w:spacing w:line="240" w:lineRule="auto"/>
                    <w:rPr>
                      <w:rFonts w:cs="Times New Roman"/>
                      <w:color w:val="auto"/>
                      <w:sz w:val="21"/>
                      <w:szCs w:val="21"/>
                    </w:rPr>
                  </w:pPr>
                  <w:r>
                    <w:rPr>
                      <w:rFonts w:cs="Times New Roman"/>
                      <w:color w:val="auto"/>
                      <w:sz w:val="21"/>
                      <w:szCs w:val="21"/>
                    </w:rPr>
                    <w:t>在厂房外设置监控点</w:t>
                  </w:r>
                </w:p>
              </w:tc>
            </w:tr>
            <w:tr w14:paraId="61CB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3" w:type="dxa"/>
                  <w:vMerge w:val="continue"/>
                  <w:shd w:val="clear" w:color="auto" w:fill="auto"/>
                  <w:vAlign w:val="center"/>
                </w:tcPr>
                <w:p w14:paraId="4E782F8F">
                  <w:pPr>
                    <w:pStyle w:val="48"/>
                    <w:spacing w:line="240" w:lineRule="auto"/>
                    <w:rPr>
                      <w:rFonts w:cs="Times New Roman"/>
                      <w:color w:val="auto"/>
                      <w:sz w:val="21"/>
                      <w:szCs w:val="21"/>
                    </w:rPr>
                  </w:pPr>
                </w:p>
              </w:tc>
              <w:tc>
                <w:tcPr>
                  <w:tcW w:w="1443" w:type="dxa"/>
                  <w:shd w:val="clear" w:color="auto" w:fill="auto"/>
                  <w:vAlign w:val="center"/>
                </w:tcPr>
                <w:p w14:paraId="7A2DAC5E">
                  <w:pPr>
                    <w:pStyle w:val="48"/>
                    <w:spacing w:line="240" w:lineRule="auto"/>
                    <w:rPr>
                      <w:rFonts w:hint="default" w:eastAsia="宋体" w:cs="Times New Roman"/>
                      <w:color w:val="auto"/>
                      <w:sz w:val="21"/>
                      <w:szCs w:val="21"/>
                      <w:lang w:val="en-US" w:eastAsia="zh-CN"/>
                    </w:rPr>
                  </w:pPr>
                  <w:r>
                    <w:rPr>
                      <w:rFonts w:hint="eastAsia" w:cs="Times New Roman"/>
                      <w:color w:val="auto"/>
                      <w:sz w:val="21"/>
                      <w:szCs w:val="21"/>
                      <w:lang w:val="en-US" w:eastAsia="zh-CN"/>
                    </w:rPr>
                    <w:t>20</w:t>
                  </w:r>
                </w:p>
              </w:tc>
              <w:tc>
                <w:tcPr>
                  <w:tcW w:w="3487" w:type="dxa"/>
                  <w:vAlign w:val="center"/>
                </w:tcPr>
                <w:p w14:paraId="1A7AC60B">
                  <w:pPr>
                    <w:pStyle w:val="48"/>
                    <w:spacing w:line="240" w:lineRule="auto"/>
                    <w:rPr>
                      <w:rFonts w:cs="Times New Roman"/>
                      <w:color w:val="auto"/>
                      <w:sz w:val="21"/>
                      <w:szCs w:val="21"/>
                    </w:rPr>
                  </w:pPr>
                  <w:r>
                    <w:rPr>
                      <w:rFonts w:cs="Times New Roman"/>
                      <w:color w:val="auto"/>
                      <w:sz w:val="21"/>
                      <w:szCs w:val="21"/>
                    </w:rPr>
                    <w:t>监控点处任意一次浓度值</w:t>
                  </w:r>
                </w:p>
              </w:tc>
              <w:tc>
                <w:tcPr>
                  <w:tcW w:w="2661" w:type="dxa"/>
                  <w:vMerge w:val="continue"/>
                  <w:vAlign w:val="center"/>
                </w:tcPr>
                <w:p w14:paraId="027C096C">
                  <w:pPr>
                    <w:pStyle w:val="48"/>
                    <w:spacing w:line="240" w:lineRule="auto"/>
                    <w:rPr>
                      <w:rFonts w:cs="Times New Roman"/>
                      <w:color w:val="auto"/>
                      <w:sz w:val="21"/>
                      <w:szCs w:val="21"/>
                    </w:rPr>
                  </w:pPr>
                </w:p>
              </w:tc>
            </w:tr>
          </w:tbl>
          <w:p w14:paraId="1AA1D52C">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3、噪声排放标准</w:t>
            </w:r>
          </w:p>
          <w:p w14:paraId="626CB724">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rPr>
              <w:t>项目施工期噪声执行《建筑施工噪声排放标准》（GB12523-2</w:t>
            </w:r>
            <w:r>
              <w:rPr>
                <w:rFonts w:hint="default" w:ascii="Times New Roman" w:hAnsi="Times New Roman" w:eastAsia="宋体" w:cs="Times New Roman"/>
                <w:color w:val="auto"/>
                <w:sz w:val="24"/>
                <w:lang w:val="en-US" w:eastAsia="zh-CN"/>
              </w:rPr>
              <w:t>025</w:t>
            </w:r>
            <w:r>
              <w:rPr>
                <w:rFonts w:hint="default" w:ascii="Times New Roman" w:hAnsi="Times New Roman" w:eastAsia="宋体" w:cs="Times New Roman"/>
                <w:color w:val="auto"/>
                <w:sz w:val="24"/>
              </w:rPr>
              <w:t>）中标准限值要求，相关标准限值见表</w:t>
            </w:r>
            <w:r>
              <w:rPr>
                <w:rFonts w:hint="default" w:ascii="Times New Roman" w:hAnsi="Times New Roman" w:eastAsia="宋体" w:cs="Times New Roman"/>
                <w:color w:val="auto"/>
                <w:sz w:val="24"/>
                <w:highlight w:val="none"/>
              </w:rPr>
              <w:t>3.</w:t>
            </w:r>
            <w:r>
              <w:rPr>
                <w:rFonts w:hint="eastAsia"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；项目运营期东、南、</w:t>
            </w:r>
            <w:r>
              <w:rPr>
                <w:rFonts w:hint="default" w:ascii="Times New Roman" w:hAnsi="Times New Roman" w:eastAsia="宋体" w:cs="Times New Roman"/>
                <w:color w:val="auto"/>
                <w:sz w:val="24"/>
                <w:highlight w:val="none"/>
                <w:lang w:val="en-US" w:eastAsia="zh-CN"/>
              </w:rPr>
              <w:t>西、</w:t>
            </w:r>
            <w:r>
              <w:rPr>
                <w:rFonts w:hint="default" w:ascii="Times New Roman" w:hAnsi="Times New Roman" w:eastAsia="宋体" w:cs="Times New Roman"/>
                <w:color w:val="auto"/>
                <w:sz w:val="24"/>
                <w:highlight w:val="none"/>
              </w:rPr>
              <w:t>北侧厂界噪声执行《工业企业厂界环境噪声排放标准》（GB12348-2008）中</w:t>
            </w:r>
            <w:r>
              <w:rPr>
                <w:rFonts w:hint="eastAsia"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类标准，相关标准限值见表3.</w:t>
            </w:r>
            <w:r>
              <w:rPr>
                <w:rFonts w:hint="eastAsia"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rPr>
              <w:t>。</w:t>
            </w:r>
          </w:p>
          <w:p w14:paraId="73135B58">
            <w:pPr>
              <w:spacing w:line="240" w:lineRule="auto"/>
              <w:ind w:left="94" w:leftChars="45" w:firstLine="422" w:firstLineChars="20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w:t>
            </w:r>
            <w:r>
              <w:rPr>
                <w:rFonts w:hint="eastAsia" w:ascii="Times New Roman" w:hAnsi="Times New Roman" w:eastAsia="宋体"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rPr>
              <w:t xml:space="preserve">  《建筑施工噪声排放标准》（GB12523-2025）  单位：dB（A）</w:t>
            </w:r>
          </w:p>
          <w:tbl>
            <w:tblPr>
              <w:tblStyle w:val="31"/>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6"/>
              <w:gridCol w:w="4678"/>
            </w:tblGrid>
            <w:tr w14:paraId="04E99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4" w:type="dxa"/>
                  <w:vAlign w:val="center"/>
                </w:tcPr>
                <w:p w14:paraId="48F8A2A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4395" w:type="dxa"/>
                  <w:vAlign w:val="center"/>
                </w:tcPr>
                <w:p w14:paraId="5AE82B0F">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r>
            <w:tr w14:paraId="3EA1D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4" w:type="dxa"/>
                  <w:vAlign w:val="center"/>
                </w:tcPr>
                <w:p w14:paraId="4816624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4395" w:type="dxa"/>
                  <w:vAlign w:val="center"/>
                </w:tcPr>
                <w:p w14:paraId="0B5E1095">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r>
          </w:tbl>
          <w:p w14:paraId="39709796">
            <w:pPr>
              <w:spacing w:line="240" w:lineRule="auto"/>
              <w:ind w:left="94" w:leftChars="45" w:firstLine="422" w:firstLineChars="20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表3.</w:t>
            </w:r>
            <w:r>
              <w:rPr>
                <w:rFonts w:hint="eastAsia" w:ascii="Times New Roman" w:hAnsi="Times New Roman" w:eastAsia="宋体"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rPr>
              <w:t xml:space="preserve">  工业企业厂界环境噪声排放限值（GB12348-2008）  单位：dB（A）</w:t>
            </w:r>
          </w:p>
          <w:tbl>
            <w:tblPr>
              <w:tblStyle w:val="31"/>
              <w:tblW w:w="935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4262"/>
              <w:gridCol w:w="2792"/>
              <w:gridCol w:w="2300"/>
            </w:tblGrid>
            <w:tr w14:paraId="3C320D7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7" w:hRule="exact"/>
                <w:jc w:val="center"/>
              </w:trPr>
              <w:tc>
                <w:tcPr>
                  <w:tcW w:w="4262" w:type="dxa"/>
                  <w:tcBorders>
                    <w:top w:val="single" w:color="auto" w:sz="8" w:space="0"/>
                    <w:left w:val="single" w:color="auto" w:sz="8" w:space="0"/>
                    <w:bottom w:val="single" w:color="auto" w:sz="8" w:space="0"/>
                  </w:tcBorders>
                  <w:vAlign w:val="center"/>
                </w:tcPr>
                <w:p w14:paraId="7D7374E1">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声环境功能区类别</w:t>
                  </w:r>
                </w:p>
              </w:tc>
              <w:tc>
                <w:tcPr>
                  <w:tcW w:w="2792" w:type="dxa"/>
                  <w:tcBorders>
                    <w:top w:val="single" w:color="auto" w:sz="8" w:space="0"/>
                    <w:bottom w:val="single" w:color="auto" w:sz="8" w:space="0"/>
                  </w:tcBorders>
                  <w:vAlign w:val="center"/>
                </w:tcPr>
                <w:p w14:paraId="6CFCD2A7">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昼间</w:t>
                  </w:r>
                </w:p>
              </w:tc>
              <w:tc>
                <w:tcPr>
                  <w:tcW w:w="2300" w:type="dxa"/>
                  <w:tcBorders>
                    <w:top w:val="single" w:color="auto" w:sz="8" w:space="0"/>
                    <w:bottom w:val="single" w:color="auto" w:sz="8" w:space="0"/>
                    <w:right w:val="single" w:color="auto" w:sz="8" w:space="0"/>
                  </w:tcBorders>
                  <w:vAlign w:val="center"/>
                </w:tcPr>
                <w:p w14:paraId="35F2252B">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夜间</w:t>
                  </w:r>
                </w:p>
              </w:tc>
            </w:tr>
            <w:tr w14:paraId="3964985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98" w:hRule="exact"/>
                <w:jc w:val="center"/>
              </w:trPr>
              <w:tc>
                <w:tcPr>
                  <w:tcW w:w="4262" w:type="dxa"/>
                  <w:tcBorders>
                    <w:top w:val="single" w:color="auto" w:sz="8" w:space="0"/>
                    <w:left w:val="single" w:color="auto" w:sz="8" w:space="0"/>
                    <w:bottom w:val="single" w:color="auto" w:sz="8" w:space="0"/>
                  </w:tcBorders>
                  <w:vAlign w:val="center"/>
                </w:tcPr>
                <w:p w14:paraId="7B785A65">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类</w:t>
                  </w:r>
                </w:p>
              </w:tc>
              <w:tc>
                <w:tcPr>
                  <w:tcW w:w="2792" w:type="dxa"/>
                  <w:tcBorders>
                    <w:top w:val="single" w:color="auto" w:sz="8" w:space="0"/>
                    <w:bottom w:val="single" w:color="auto" w:sz="8" w:space="0"/>
                  </w:tcBorders>
                  <w:vAlign w:val="center"/>
                </w:tcPr>
                <w:p w14:paraId="204E58AD">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65</w:t>
                  </w:r>
                </w:p>
              </w:tc>
              <w:tc>
                <w:tcPr>
                  <w:tcW w:w="2300" w:type="dxa"/>
                  <w:tcBorders>
                    <w:top w:val="single" w:color="auto" w:sz="8" w:space="0"/>
                    <w:bottom w:val="single" w:color="auto" w:sz="8" w:space="0"/>
                    <w:right w:val="single" w:color="auto" w:sz="8" w:space="0"/>
                  </w:tcBorders>
                  <w:vAlign w:val="center"/>
                </w:tcPr>
                <w:p w14:paraId="27E3FB49">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w:t>
                  </w:r>
                </w:p>
              </w:tc>
            </w:tr>
          </w:tbl>
          <w:p w14:paraId="58038AE9">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4、固废控制标准</w:t>
            </w:r>
          </w:p>
          <w:p w14:paraId="074FEAD6">
            <w:pPr>
              <w:spacing w:line="360" w:lineRule="auto"/>
              <w:ind w:firstLine="480" w:firstLineChars="200"/>
              <w:rPr>
                <w:rFonts w:hint="default"/>
              </w:rPr>
            </w:pPr>
            <w:r>
              <w:rPr>
                <w:rFonts w:hint="default" w:ascii="Times New Roman" w:hAnsi="Times New Roman" w:cs="Times New Roman"/>
                <w:color w:val="auto"/>
                <w:sz w:val="24"/>
                <w:szCs w:val="24"/>
              </w:rPr>
              <w:t>一般工业固体废物</w:t>
            </w:r>
            <w:r>
              <w:rPr>
                <w:rFonts w:hint="default" w:ascii="Times New Roman" w:hAnsi="Times New Roman" w:cs="Times New Roman"/>
                <w:color w:val="auto"/>
                <w:sz w:val="24"/>
                <w:szCs w:val="24"/>
                <w:lang w:eastAsia="zh-CN"/>
              </w:rPr>
              <w:t>贮存</w:t>
            </w:r>
            <w:r>
              <w:rPr>
                <w:rFonts w:hint="default" w:ascii="Times New Roman" w:hAnsi="Times New Roman" w:cs="Times New Roman"/>
                <w:b/>
                <w:bCs/>
                <w:color w:val="auto"/>
                <w:sz w:val="24"/>
                <w:szCs w:val="24"/>
              </w:rPr>
              <w:t>参照</w:t>
            </w:r>
            <w:r>
              <w:rPr>
                <w:rFonts w:hint="default" w:ascii="Times New Roman" w:hAnsi="Times New Roman" w:cs="Times New Roman"/>
                <w:color w:val="auto"/>
                <w:sz w:val="24"/>
                <w:szCs w:val="24"/>
              </w:rPr>
              <w:t>执行《一般工业固体废物贮存</w:t>
            </w:r>
            <w:r>
              <w:rPr>
                <w:rFonts w:hint="default" w:ascii="Times New Roman" w:hAnsi="Times New Roman" w:cs="Times New Roman"/>
                <w:color w:val="auto"/>
                <w:sz w:val="24"/>
                <w:szCs w:val="24"/>
                <w:lang w:val="en-US" w:eastAsia="zh-CN"/>
              </w:rPr>
              <w:t>和填埋</w:t>
            </w:r>
            <w:r>
              <w:rPr>
                <w:rFonts w:hint="default" w:ascii="Times New Roman" w:hAnsi="Times New Roman" w:cs="Times New Roman"/>
                <w:color w:val="auto"/>
                <w:sz w:val="24"/>
                <w:szCs w:val="24"/>
              </w:rPr>
              <w:t>污染控制标准》（GB18599-20</w:t>
            </w:r>
            <w:r>
              <w:rPr>
                <w:rFonts w:hint="default"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，贮存过程应满足相应防渗漏、防雨淋、防扬尘等环境保护要求</w:t>
            </w:r>
            <w:r>
              <w:rPr>
                <w:rFonts w:hint="default" w:ascii="Times New Roman" w:hAnsi="Times New Roman" w:cs="Times New Roman"/>
                <w:color w:val="auto"/>
                <w:sz w:val="24"/>
                <w:szCs w:val="24"/>
              </w:rPr>
              <w:t>。危险废物按《危险废物贮存污染控制标准》（GB18597-20</w:t>
            </w:r>
            <w:r>
              <w:rPr>
                <w:rFonts w:hint="default" w:ascii="Times New Roman" w:hAnsi="Times New Roman" w:cs="Times New Roman"/>
                <w:color w:val="auto"/>
                <w:sz w:val="24"/>
                <w:szCs w:val="24"/>
                <w:lang w:val="en-US" w:eastAsia="zh-CN"/>
              </w:rPr>
              <w:t>23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中相关规定</w:t>
            </w:r>
            <w:r>
              <w:rPr>
                <w:rFonts w:hint="default" w:ascii="Times New Roman" w:hAnsi="Times New Roman" w:cs="Times New Roman"/>
                <w:color w:val="auto"/>
                <w:sz w:val="24"/>
                <w:szCs w:val="24"/>
              </w:rPr>
              <w:t>执行。</w:t>
            </w:r>
          </w:p>
          <w:p w14:paraId="3B843358">
            <w:pPr>
              <w:spacing w:line="360" w:lineRule="auto"/>
              <w:rPr>
                <w:rFonts w:hint="default" w:ascii="Times New Roman" w:hAnsi="Times New Roman" w:cs="Times New Roman"/>
                <w:color w:val="auto"/>
                <w:sz w:val="24"/>
                <w:szCs w:val="24"/>
              </w:rPr>
            </w:pPr>
          </w:p>
        </w:tc>
      </w:tr>
      <w:tr w14:paraId="75F49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29" w:hRule="atLeast"/>
          <w:jc w:val="center"/>
        </w:trPr>
        <w:tc>
          <w:tcPr>
            <w:tcW w:w="717" w:type="dxa"/>
            <w:vAlign w:val="center"/>
          </w:tcPr>
          <w:p w14:paraId="6CEA246C">
            <w:pPr>
              <w:jc w:val="center"/>
              <w:rPr>
                <w:rFonts w:hint="default" w:ascii="Times New Roman" w:hAnsi="Times New Roman" w:cs="Times New Roman"/>
                <w:color w:val="auto"/>
                <w:szCs w:val="21"/>
              </w:rPr>
            </w:pPr>
            <w:r>
              <w:rPr>
                <w:rFonts w:hint="default" w:ascii="Times New Roman" w:hAnsi="Times New Roman" w:cs="Times New Roman"/>
                <w:color w:val="auto"/>
                <w:szCs w:val="21"/>
              </w:rPr>
              <w:t>总量控制指标</w:t>
            </w:r>
          </w:p>
        </w:tc>
        <w:tc>
          <w:tcPr>
            <w:tcW w:w="8637" w:type="dxa"/>
            <w:vAlign w:val="center"/>
          </w:tcPr>
          <w:p w14:paraId="7FCA9AEC">
            <w:pPr>
              <w:spacing w:line="360" w:lineRule="auto"/>
              <w:ind w:firstLine="360" w:firstLineChars="150"/>
              <w:rPr>
                <w:rFonts w:hint="default" w:ascii="Times New Roman" w:hAnsi="Times New Roman" w:cs="Times New Roman"/>
                <w:color w:val="auto"/>
                <w:sz w:val="24"/>
              </w:rPr>
            </w:pPr>
            <w:r>
              <w:rPr>
                <w:rFonts w:hint="default" w:ascii="Times New Roman" w:hAnsi="Times New Roman" w:cs="Times New Roman"/>
                <w:color w:val="auto"/>
                <w:sz w:val="24"/>
              </w:rPr>
              <w:t>（1）废气</w:t>
            </w:r>
          </w:p>
          <w:p w14:paraId="02C518D1">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《关于</w:t>
            </w:r>
            <w:r>
              <w:rPr>
                <w:rFonts w:hint="default" w:ascii="Times New Roman" w:hAnsi="Times New Roman" w:cs="Times New Roman"/>
                <w:color w:val="auto"/>
                <w:sz w:val="24"/>
                <w:szCs w:val="24"/>
                <w:lang w:val="en-US" w:eastAsia="zh-CN"/>
              </w:rPr>
              <w:t>&lt;</w:t>
            </w:r>
            <w:r>
              <w:rPr>
                <w:rFonts w:hint="default" w:ascii="Times New Roman" w:hAnsi="Times New Roman" w:cs="Times New Roman"/>
                <w:color w:val="auto"/>
                <w:sz w:val="24"/>
                <w:szCs w:val="24"/>
              </w:rPr>
              <w:t>进一步加强建设项目新增大气主要污染物总量指标管理工作</w:t>
            </w:r>
            <w:r>
              <w:rPr>
                <w:rFonts w:hint="default" w:ascii="Times New Roman" w:hAnsi="Times New Roman" w:cs="Times New Roman"/>
                <w:color w:val="auto"/>
                <w:sz w:val="24"/>
                <w:szCs w:val="24"/>
                <w:lang w:val="en-US" w:eastAsia="zh-CN"/>
              </w:rPr>
              <w:t>&gt;</w:t>
            </w:r>
            <w:r>
              <w:rPr>
                <w:rFonts w:hint="default" w:ascii="Times New Roman" w:hAnsi="Times New Roman" w:cs="Times New Roman"/>
                <w:color w:val="auto"/>
                <w:sz w:val="24"/>
                <w:szCs w:val="24"/>
              </w:rPr>
              <w:t>的通知》</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皖环发</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2017</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19号</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安徽省环境保护厅</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017年</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3月28日</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为进一步加强大气主要污染物源头管控，有效落实《大气污染防治行动计划》、《建设项目主要污染物排放总量指标审核及管理暂行办法》等，确保大气环境质量改善目标任务顺利完成，现就加强建设项目新增大气主要污染物总量指标管理工作通知如下：</w:t>
            </w:r>
          </w:p>
          <w:p w14:paraId="3AB2DA4E">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一、</w:t>
            </w:r>
            <w:r>
              <w:rPr>
                <w:rFonts w:hint="default" w:ascii="Times New Roman" w:hAnsi="Times New Roman" w:cs="Times New Roman"/>
                <w:color w:val="auto"/>
                <w:sz w:val="24"/>
                <w:szCs w:val="24"/>
              </w:rPr>
              <w:t>自2017年04月起，新增大气主要污染物排放的建设项目环境影响评价文件审批前必须取得的总量指标从两项增加为四项。在氮氧化物（NO</w:t>
            </w:r>
            <w:r>
              <w:rPr>
                <w:rFonts w:hint="default" w:ascii="Times New Roman" w:hAnsi="Times New Roman" w:cs="Times New Roman"/>
                <w:color w:val="auto"/>
                <w:sz w:val="24"/>
                <w:szCs w:val="24"/>
                <w:vertAlign w:val="subscript"/>
              </w:rPr>
              <w:t>x</w:t>
            </w:r>
            <w:r>
              <w:rPr>
                <w:rFonts w:hint="default" w:ascii="Times New Roman" w:hAnsi="Times New Roman" w:cs="Times New Roman"/>
                <w:color w:val="auto"/>
                <w:sz w:val="24"/>
                <w:szCs w:val="24"/>
              </w:rPr>
              <w:t>）、二氧化硫（SO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）的基础上增加烟（粉）尘、挥发性有机物（VOCs）两项</w:t>
            </w:r>
            <w:r>
              <w:rPr>
                <w:rFonts w:hint="default" w:ascii="Times New Roman" w:hAnsi="Times New Roman" w:eastAsia="宋体" w:cs="Times New Roman"/>
                <w:color w:val="auto"/>
                <w:sz w:val="24"/>
                <w:szCs w:val="24"/>
              </w:rPr>
              <w:t>指标。</w:t>
            </w:r>
          </w:p>
          <w:p w14:paraId="4A689C05">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lang w:eastAsia="zh-CN"/>
              </w:rPr>
              <w:t>二、大气主要污染物总量指标实行区域内等量或倍量削减替代。上年度空气质量不达标的城市，相应污染物指标应执行“倍量替代”。其中，上年度</w:t>
            </w:r>
            <w:r>
              <w:rPr>
                <w:rFonts w:hint="default" w:ascii="Times New Roman" w:hAnsi="Times New Roman" w:eastAsia="宋体" w:cs="Times New Roman"/>
                <w:color w:val="auto"/>
                <w:sz w:val="24"/>
                <w:szCs w:val="24"/>
                <w:lang w:val="en-US" w:eastAsia="zh-CN"/>
              </w:rPr>
              <w:t>PM</w:t>
            </w:r>
            <w:r>
              <w:rPr>
                <w:rFonts w:hint="default" w:ascii="Times New Roman" w:hAnsi="Times New Roman" w:eastAsia="宋体" w:cs="Times New Roman"/>
                <w:color w:val="auto"/>
                <w:sz w:val="24"/>
                <w:szCs w:val="24"/>
                <w:vertAlign w:val="subscript"/>
                <w:lang w:val="en-US" w:eastAsia="zh-CN"/>
              </w:rPr>
              <w:t>2.5</w:t>
            </w:r>
            <w:r>
              <w:rPr>
                <w:rFonts w:hint="default" w:ascii="Times New Roman" w:hAnsi="Times New Roman" w:eastAsia="宋体" w:cs="Times New Roman"/>
                <w:color w:val="auto"/>
                <w:sz w:val="24"/>
                <w:szCs w:val="24"/>
                <w:lang w:val="en-US" w:eastAsia="zh-CN"/>
              </w:rPr>
              <w:t>不达标的城市，新增SO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val="en-US" w:eastAsia="zh-CN"/>
              </w:rPr>
              <w:t>和VOCs指标均要执</w:t>
            </w:r>
            <w:r>
              <w:rPr>
                <w:rFonts w:hint="default" w:ascii="Times New Roman" w:hAnsi="Times New Roman" w:eastAsia="宋体" w:cs="Times New Roman"/>
                <w:color w:val="auto"/>
                <w:sz w:val="24"/>
                <w:szCs w:val="24"/>
                <w:highlight w:val="none"/>
                <w:lang w:val="en-US" w:eastAsia="zh-CN"/>
              </w:rPr>
              <w:t>行</w:t>
            </w:r>
            <w:r>
              <w:rPr>
                <w:rFonts w:hint="default" w:ascii="Times New Roman" w:hAnsi="Times New Roman" w:cs="Times New Roman" w:eastAsiaTheme="majorEastAsia"/>
                <w:color w:val="auto"/>
                <w:sz w:val="24"/>
                <w:szCs w:val="24"/>
                <w:highlight w:val="none"/>
                <w:lang w:val="en-US" w:eastAsia="zh-CN"/>
              </w:rPr>
              <w:t>“倍量替代”。</w:t>
            </w:r>
            <w:r>
              <w:rPr>
                <w:rFonts w:hint="default" w:ascii="Times New Roman" w:hAnsi="Times New Roman" w:eastAsia="宋体" w:cs="Times New Roman"/>
                <w:color w:val="auto"/>
                <w:sz w:val="24"/>
                <w:szCs w:val="24"/>
                <w:highlight w:val="none"/>
                <w:lang w:val="en-US" w:eastAsia="zh-CN"/>
              </w:rPr>
              <w:t>上年度PM</w:t>
            </w:r>
            <w:r>
              <w:rPr>
                <w:rFonts w:hint="default" w:ascii="Times New Roman" w:hAnsi="Times New Roman" w:eastAsia="宋体" w:cs="Times New Roman"/>
                <w:color w:val="auto"/>
                <w:sz w:val="24"/>
                <w:szCs w:val="24"/>
                <w:highlight w:val="none"/>
                <w:vertAlign w:val="subscript"/>
                <w:lang w:val="en-US" w:eastAsia="zh-CN"/>
              </w:rPr>
              <w:t>10</w:t>
            </w:r>
            <w:r>
              <w:rPr>
                <w:rFonts w:hint="default" w:ascii="Times New Roman" w:hAnsi="Times New Roman" w:eastAsia="宋体" w:cs="Times New Roman"/>
                <w:color w:val="auto"/>
                <w:sz w:val="24"/>
                <w:szCs w:val="24"/>
                <w:highlight w:val="none"/>
                <w:lang w:val="en-US" w:eastAsia="zh-CN"/>
              </w:rPr>
              <w:t>不达标的城市，新增烟（粉）尘指标要执行“倍量替代</w:t>
            </w:r>
            <w:r>
              <w:rPr>
                <w:rFonts w:hint="default" w:ascii="Times New Roman" w:hAnsi="Times New Roman" w:eastAsia="宋体" w:cs="Times New Roman"/>
                <w:color w:val="auto"/>
                <w:sz w:val="24"/>
                <w:szCs w:val="24"/>
                <w:highlight w:val="none"/>
                <w:lang w:eastAsia="zh-CN"/>
              </w:rPr>
              <w:t>”。达到超低排放标准的新建火电项目无需执行“倍量替代”。</w:t>
            </w:r>
          </w:p>
          <w:p w14:paraId="0788D109">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宿州市生态环境局于202</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年0</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lang w:val="en-US" w:eastAsia="zh-CN"/>
              </w:rPr>
              <w:t>日下达了《</w:t>
            </w:r>
            <w:r>
              <w:rPr>
                <w:rFonts w:hint="eastAsia" w:ascii="Times New Roman" w:hAnsi="Times New Roman" w:eastAsia="宋体" w:cs="Times New Roman"/>
                <w:color w:val="auto"/>
                <w:sz w:val="24"/>
                <w:highlight w:val="none"/>
                <w:lang w:val="en-US" w:eastAsia="zh-CN"/>
              </w:rPr>
              <w:t>安徽省建设项目</w:t>
            </w:r>
            <w:r>
              <w:rPr>
                <w:rFonts w:hint="default" w:ascii="Times New Roman" w:hAnsi="Times New Roman" w:eastAsia="宋体" w:cs="Times New Roman"/>
                <w:color w:val="auto"/>
                <w:sz w:val="24"/>
                <w:highlight w:val="none"/>
                <w:lang w:val="en-US" w:eastAsia="zh-CN"/>
              </w:rPr>
              <w:t>主要污染物</w:t>
            </w:r>
            <w:r>
              <w:rPr>
                <w:rFonts w:hint="eastAsia" w:ascii="Times New Roman" w:hAnsi="Times New Roman" w:eastAsia="宋体" w:cs="Times New Roman"/>
                <w:color w:val="auto"/>
                <w:sz w:val="24"/>
                <w:highlight w:val="none"/>
                <w:lang w:val="en-US" w:eastAsia="zh-CN"/>
              </w:rPr>
              <w:t>新增排放容量</w:t>
            </w:r>
            <w:r>
              <w:rPr>
                <w:rFonts w:hint="default" w:ascii="Times New Roman" w:hAnsi="Times New Roman" w:eastAsia="宋体" w:cs="Times New Roman"/>
                <w:color w:val="auto"/>
                <w:sz w:val="24"/>
                <w:highlight w:val="none"/>
                <w:lang w:val="en-US" w:eastAsia="zh-CN"/>
              </w:rPr>
              <w:t>核定表</w:t>
            </w:r>
            <w:r>
              <w:rPr>
                <w:rFonts w:hint="default" w:ascii="Times New Roman" w:hAnsi="Times New Roman" w:eastAsia="宋体" w:cs="Times New Roman"/>
                <w:color w:val="auto"/>
                <w:sz w:val="24"/>
                <w:szCs w:val="24"/>
                <w:highlight w:val="none"/>
                <w:lang w:val="en-US" w:eastAsia="zh-CN"/>
              </w:rPr>
              <w:t>》：“颗粒物</w:t>
            </w:r>
            <w:r>
              <w:rPr>
                <w:rFonts w:hint="eastAsia" w:ascii="Times New Roman" w:hAnsi="Times New Roman" w:cs="Times New Roman"/>
                <w:color w:val="auto"/>
                <w:sz w:val="24"/>
                <w:szCs w:val="24"/>
                <w:highlight w:val="none"/>
                <w:lang w:val="en-US" w:eastAsia="zh-CN"/>
              </w:rPr>
              <w:t>0.113吨</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挥发性有机物（VOCs）</w:t>
            </w:r>
            <w:r>
              <w:rPr>
                <w:rFonts w:hint="eastAsia" w:ascii="Times New Roman" w:hAnsi="Times New Roman" w:cs="Times New Roman"/>
                <w:color w:val="auto"/>
                <w:sz w:val="24"/>
                <w:szCs w:val="24"/>
                <w:highlight w:val="none"/>
                <w:lang w:val="en-US" w:eastAsia="zh-CN"/>
              </w:rPr>
              <w:t>0.122</w:t>
            </w:r>
            <w:r>
              <w:rPr>
                <w:rFonts w:hint="default" w:ascii="Times New Roman" w:hAnsi="Times New Roman" w:eastAsia="宋体" w:cs="Times New Roman"/>
                <w:color w:val="auto"/>
                <w:sz w:val="24"/>
                <w:szCs w:val="24"/>
                <w:highlight w:val="none"/>
                <w:lang w:val="en-US" w:eastAsia="zh-CN"/>
              </w:rPr>
              <w:t>吨/年（最终结果以环评计算为准，但不得突破本次核定量）。”</w:t>
            </w:r>
          </w:p>
          <w:p w14:paraId="0A04F63A">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本项目运营期颗粒物最终排放量约</w:t>
            </w:r>
            <w:r>
              <w:rPr>
                <w:rFonts w:hint="eastAsia" w:ascii="Times New Roman" w:hAnsi="Times New Roman" w:cs="Times New Roman"/>
                <w:color w:val="auto"/>
                <w:sz w:val="24"/>
                <w:szCs w:val="24"/>
                <w:highlight w:val="none"/>
                <w:lang w:val="en-US" w:eastAsia="zh-CN"/>
              </w:rPr>
              <w:t>0.0215</w:t>
            </w:r>
            <w:r>
              <w:rPr>
                <w:rFonts w:hint="default" w:ascii="Times New Roman" w:hAnsi="Times New Roman" w:cs="Times New Roman"/>
                <w:color w:val="auto"/>
                <w:sz w:val="24"/>
                <w:szCs w:val="24"/>
                <w:highlight w:val="none"/>
                <w:lang w:val="en-US" w:eastAsia="zh-CN"/>
              </w:rPr>
              <w:t>t/a，挥发性有机物（VOCs）</w:t>
            </w:r>
            <w:r>
              <w:rPr>
                <w:rFonts w:hint="eastAsia" w:ascii="Times New Roman" w:hAnsi="Times New Roman" w:cs="Times New Roman"/>
                <w:color w:val="auto"/>
                <w:sz w:val="24"/>
                <w:szCs w:val="24"/>
                <w:highlight w:val="none"/>
                <w:lang w:val="en-US" w:eastAsia="zh-CN"/>
              </w:rPr>
              <w:t>最终排放量</w:t>
            </w:r>
            <w:r>
              <w:rPr>
                <w:rFonts w:hint="default" w:ascii="Times New Roman" w:hAnsi="Times New Roman" w:cs="Times New Roman"/>
                <w:color w:val="auto"/>
                <w:sz w:val="24"/>
                <w:szCs w:val="24"/>
                <w:highlight w:val="none"/>
                <w:lang w:val="en-US" w:eastAsia="zh-CN"/>
              </w:rPr>
              <w:t>约</w:t>
            </w:r>
            <w:r>
              <w:rPr>
                <w:rFonts w:hint="eastAsia" w:ascii="Times New Roman" w:hAnsi="Times New Roman" w:cs="Times New Roman"/>
                <w:color w:val="auto"/>
                <w:sz w:val="24"/>
                <w:szCs w:val="24"/>
                <w:highlight w:val="none"/>
                <w:lang w:val="en-US" w:eastAsia="zh-CN"/>
              </w:rPr>
              <w:t>0.0486</w:t>
            </w:r>
            <w:r>
              <w:rPr>
                <w:rFonts w:hint="default" w:ascii="Times New Roman" w:hAnsi="Times New Roman" w:cs="Times New Roman"/>
                <w:color w:val="auto"/>
                <w:sz w:val="24"/>
                <w:szCs w:val="24"/>
                <w:highlight w:val="none"/>
                <w:lang w:val="en-US" w:eastAsia="zh-CN"/>
              </w:rPr>
              <w:t>t/a</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满足宿州市生态环境局给与本项目主要污染物排放容量。</w:t>
            </w:r>
          </w:p>
          <w:p w14:paraId="1BB0580E">
            <w:pPr>
              <w:pStyle w:val="38"/>
              <w:spacing w:line="360" w:lineRule="auto"/>
              <w:ind w:firstLine="480" w:firstLineChars="20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（2）废水</w:t>
            </w:r>
          </w:p>
          <w:p w14:paraId="46EEB915">
            <w:pPr>
              <w:pStyle w:val="38"/>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sz w:val="24"/>
                <w:szCs w:val="24"/>
                <w:highlight w:val="none"/>
              </w:rPr>
              <w:t>本项目</w:t>
            </w:r>
            <w:r>
              <w:rPr>
                <w:rFonts w:hint="default" w:ascii="Times New Roman" w:hAnsi="Times New Roman" w:cs="Times New Roman"/>
                <w:color w:val="auto"/>
                <w:sz w:val="24"/>
                <w:szCs w:val="24"/>
                <w:highlight w:val="none"/>
                <w:lang w:eastAsia="zh-CN"/>
              </w:rPr>
              <w:t>无生产性废水产生与排放，</w:t>
            </w:r>
            <w:r>
              <w:rPr>
                <w:rFonts w:hint="eastAsia" w:cs="Times New Roman"/>
                <w:color w:val="auto"/>
                <w:sz w:val="24"/>
                <w:szCs w:val="24"/>
                <w:highlight w:val="none"/>
                <w:lang w:eastAsia="zh-CN"/>
              </w:rPr>
              <w:t>职工生活污水依托园</w:t>
            </w:r>
            <w:r>
              <w:rPr>
                <w:rFonts w:hint="eastAsia" w:cs="Times New Roman"/>
                <w:color w:val="auto"/>
                <w:sz w:val="24"/>
                <w:szCs w:val="24"/>
                <w:lang w:eastAsia="zh-CN"/>
              </w:rPr>
              <w:t>区现有“化粪池”处理后达到《污水综合排放标准》（GB8978-1996）表4中三级标准限值及泗县工业污水处理厂接管限值后排入泗县工业污水处理厂处理达《城镇污水处理厂污染物排放标准》（GB18918-2002）表1中一级标准A标准后排入石梁河。</w:t>
            </w:r>
            <w:r>
              <w:rPr>
                <w:rFonts w:hint="default" w:ascii="Times New Roman" w:hAnsi="Times New Roman" w:cs="Times New Roman"/>
                <w:color w:val="auto"/>
                <w:sz w:val="24"/>
                <w:szCs w:val="24"/>
                <w:lang w:eastAsia="zh-CN"/>
              </w:rPr>
              <w:t>故无废水</w:t>
            </w:r>
            <w:r>
              <w:rPr>
                <w:rFonts w:hint="default" w:ascii="Times New Roman" w:hAnsi="Times New Roman" w:cs="Times New Roman"/>
                <w:color w:val="auto"/>
                <w:sz w:val="24"/>
                <w:szCs w:val="24"/>
              </w:rPr>
              <w:t>总量控制。</w:t>
            </w:r>
          </w:p>
          <w:p w14:paraId="12C4F41B">
            <w:pPr>
              <w:pStyle w:val="45"/>
              <w:ind w:firstLine="0" w:firstLineChars="0"/>
              <w:rPr>
                <w:rFonts w:hint="default" w:ascii="Times New Roman" w:hAnsi="Times New Roman" w:cs="Times New Roman"/>
                <w:color w:val="auto"/>
              </w:rPr>
            </w:pPr>
          </w:p>
          <w:p w14:paraId="48E204E0">
            <w:pPr>
              <w:pStyle w:val="45"/>
              <w:ind w:firstLine="0" w:firstLineChars="0"/>
              <w:rPr>
                <w:rFonts w:hint="default" w:ascii="Times New Roman" w:hAnsi="Times New Roman" w:cs="Times New Roman"/>
                <w:color w:val="auto"/>
              </w:rPr>
            </w:pPr>
          </w:p>
          <w:p w14:paraId="22922106">
            <w:pPr>
              <w:pStyle w:val="45"/>
              <w:ind w:firstLine="0" w:firstLineChars="0"/>
              <w:rPr>
                <w:rFonts w:hint="default" w:ascii="Times New Roman" w:hAnsi="Times New Roman" w:cs="Times New Roman"/>
                <w:color w:val="auto"/>
              </w:rPr>
            </w:pPr>
          </w:p>
          <w:p w14:paraId="1B6CDC67">
            <w:pPr>
              <w:pStyle w:val="45"/>
              <w:ind w:firstLine="0" w:firstLineChars="0"/>
              <w:rPr>
                <w:rFonts w:hint="default" w:ascii="Times New Roman" w:hAnsi="Times New Roman" w:cs="Times New Roman"/>
                <w:color w:val="auto"/>
              </w:rPr>
            </w:pPr>
          </w:p>
        </w:tc>
      </w:tr>
    </w:tbl>
    <w:p w14:paraId="24051D56">
      <w:pPr>
        <w:keepNext w:val="0"/>
        <w:keepLines w:val="0"/>
        <w:pageBreakBefore/>
        <w:widowControl w:val="0"/>
        <w:kinsoku/>
        <w:wordWrap/>
        <w:overflowPunct/>
        <w:topLinePunct w:val="0"/>
        <w:autoSpaceDE/>
        <w:autoSpaceDN/>
        <w:bidi w:val="0"/>
        <w:adjustRightInd/>
        <w:snapToGrid/>
        <w:jc w:val="left"/>
        <w:textAlignment w:val="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四、主要环境影响和保护措施</w:t>
      </w:r>
    </w:p>
    <w:tbl>
      <w:tblPr>
        <w:tblStyle w:val="32"/>
        <w:tblW w:w="102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4"/>
        <w:gridCol w:w="9771"/>
      </w:tblGrid>
      <w:tr w14:paraId="294F97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77B79234">
            <w:pPr>
              <w:jc w:val="center"/>
              <w:rPr>
                <w:rFonts w:hint="default" w:ascii="Times New Roman" w:hAnsi="Times New Roman" w:cs="Times New Roman"/>
                <w:color w:val="auto"/>
                <w:szCs w:val="21"/>
              </w:rPr>
            </w:pPr>
            <w:r>
              <w:rPr>
                <w:rFonts w:hint="default" w:ascii="Times New Roman" w:hAnsi="Times New Roman" w:cs="Times New Roman"/>
                <w:color w:val="auto"/>
                <w:szCs w:val="21"/>
              </w:rPr>
              <w:t>施工期环境保护措施</w:t>
            </w:r>
          </w:p>
        </w:tc>
        <w:tc>
          <w:tcPr>
            <w:tcW w:w="9771" w:type="dxa"/>
            <w:vAlign w:val="center"/>
          </w:tcPr>
          <w:p w14:paraId="4B5657C5">
            <w:pPr>
              <w:spacing w:line="360" w:lineRule="auto"/>
              <w:ind w:firstLine="480" w:firstLineChars="200"/>
              <w:rPr>
                <w:rFonts w:hint="default" w:ascii="Times New Roman" w:hAnsi="Times New Roman" w:eastAsia="宋体" w:cs="Times New Roman"/>
                <w:color w:val="auto"/>
                <w:sz w:val="24"/>
                <w:szCs w:val="24"/>
                <w:highlight w:val="yellow"/>
                <w:lang w:eastAsia="zh-CN"/>
              </w:rPr>
            </w:pPr>
          </w:p>
          <w:p w14:paraId="48EE3A01">
            <w:pPr>
              <w:spacing w:line="360" w:lineRule="auto"/>
              <w:ind w:firstLine="480" w:firstLineChars="200"/>
              <w:rPr>
                <w:rFonts w:hint="default" w:ascii="Times New Roman" w:hAnsi="Times New Roman" w:eastAsia="宋体" w:cs="Times New Roman"/>
                <w:color w:val="auto"/>
                <w:sz w:val="24"/>
                <w:szCs w:val="24"/>
                <w:highlight w:val="yellow"/>
                <w:lang w:eastAsia="zh-CN"/>
              </w:rPr>
            </w:pPr>
          </w:p>
          <w:p w14:paraId="4681CF52">
            <w:pPr>
              <w:spacing w:line="360" w:lineRule="auto"/>
              <w:ind w:firstLine="480" w:firstLineChars="200"/>
              <w:rPr>
                <w:rFonts w:hint="default" w:ascii="Times New Roman" w:hAnsi="Times New Roman" w:eastAsia="宋体" w:cs="Times New Roman"/>
                <w:color w:val="auto"/>
                <w:sz w:val="24"/>
                <w:szCs w:val="24"/>
                <w:highlight w:val="yellow"/>
                <w:lang w:eastAsia="zh-CN"/>
              </w:rPr>
            </w:pPr>
          </w:p>
          <w:p w14:paraId="42455BA2">
            <w:pPr>
              <w:spacing w:line="360" w:lineRule="auto"/>
              <w:ind w:firstLine="480" w:firstLineChars="200"/>
              <w:rPr>
                <w:rFonts w:hint="default" w:ascii="Times New Roman" w:hAnsi="Times New Roman" w:eastAsia="宋体" w:cs="Times New Roman"/>
                <w:color w:val="auto"/>
                <w:sz w:val="24"/>
                <w:szCs w:val="24"/>
                <w:highlight w:val="yellow"/>
                <w:lang w:eastAsia="zh-CN"/>
              </w:rPr>
            </w:pPr>
          </w:p>
          <w:p w14:paraId="36020702">
            <w:pPr>
              <w:spacing w:line="360" w:lineRule="auto"/>
              <w:ind w:firstLine="480" w:firstLineChars="200"/>
              <w:rPr>
                <w:rFonts w:hint="default" w:ascii="Times New Roman" w:hAnsi="Times New Roman" w:eastAsia="宋体" w:cs="Times New Roman"/>
                <w:color w:val="auto"/>
                <w:sz w:val="24"/>
                <w:szCs w:val="24"/>
                <w:highlight w:val="yellow"/>
                <w:lang w:eastAsia="zh-CN"/>
              </w:rPr>
            </w:pPr>
          </w:p>
          <w:p w14:paraId="5BA52F17">
            <w:pPr>
              <w:spacing w:line="360" w:lineRule="auto"/>
              <w:ind w:firstLine="480" w:firstLineChars="200"/>
              <w:rPr>
                <w:rFonts w:hint="default" w:ascii="Times New Roman" w:hAnsi="Times New Roman" w:eastAsia="宋体" w:cs="Times New Roman"/>
                <w:color w:val="auto"/>
                <w:sz w:val="24"/>
                <w:szCs w:val="24"/>
                <w:highlight w:val="yellow"/>
                <w:lang w:eastAsia="zh-CN"/>
              </w:rPr>
            </w:pPr>
          </w:p>
          <w:p w14:paraId="457C2D9E">
            <w:pPr>
              <w:spacing w:line="360" w:lineRule="auto"/>
              <w:ind w:firstLine="480" w:firstLineChars="200"/>
              <w:rPr>
                <w:rFonts w:hint="default" w:ascii="Times New Roman" w:hAnsi="Times New Roman" w:eastAsia="宋体" w:cs="Times New Roman"/>
                <w:color w:val="auto"/>
                <w:sz w:val="24"/>
                <w:szCs w:val="24"/>
                <w:highlight w:val="yellow"/>
                <w:lang w:eastAsia="zh-CN"/>
              </w:rPr>
            </w:pPr>
          </w:p>
          <w:p w14:paraId="0FA0398F">
            <w:pPr>
              <w:spacing w:line="360" w:lineRule="auto"/>
              <w:ind w:firstLine="480" w:firstLineChars="200"/>
              <w:rPr>
                <w:rFonts w:hint="default" w:ascii="Times New Roman" w:hAnsi="Times New Roman" w:eastAsia="宋体" w:cs="Times New Roman"/>
                <w:color w:val="auto"/>
                <w:sz w:val="24"/>
                <w:szCs w:val="24"/>
                <w:highlight w:val="yellow"/>
                <w:lang w:eastAsia="zh-CN"/>
              </w:rPr>
            </w:pPr>
          </w:p>
          <w:p w14:paraId="264499C8">
            <w:pPr>
              <w:spacing w:line="360" w:lineRule="auto"/>
              <w:ind w:firstLine="480" w:firstLineChars="200"/>
              <w:rPr>
                <w:rFonts w:hint="default" w:ascii="Times New Roman" w:hAnsi="Times New Roman" w:eastAsia="宋体" w:cs="Times New Roman"/>
                <w:color w:val="auto"/>
                <w:sz w:val="24"/>
                <w:szCs w:val="24"/>
                <w:highlight w:val="yellow"/>
                <w:lang w:eastAsia="zh-CN"/>
              </w:rPr>
            </w:pPr>
          </w:p>
          <w:p w14:paraId="0288179F">
            <w:pPr>
              <w:spacing w:line="360" w:lineRule="auto"/>
              <w:ind w:firstLine="480" w:firstLineChars="200"/>
              <w:rPr>
                <w:rFonts w:hint="default" w:ascii="Times New Roman" w:hAnsi="Times New Roman" w:eastAsia="宋体" w:cs="Times New Roman"/>
                <w:color w:val="auto"/>
                <w:sz w:val="24"/>
                <w:szCs w:val="24"/>
                <w:highlight w:val="none"/>
                <w:lang w:eastAsia="zh-CN"/>
              </w:rPr>
            </w:pPr>
          </w:p>
          <w:p w14:paraId="0233EC19">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本</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利用</w:t>
            </w:r>
            <w:r>
              <w:rPr>
                <w:rFonts w:hint="eastAsia" w:ascii="Times New Roman" w:hAnsi="Times New Roman" w:eastAsia="宋体" w:cs="Times New Roman"/>
                <w:color w:val="auto"/>
                <w:sz w:val="24"/>
                <w:szCs w:val="24"/>
                <w:highlight w:val="none"/>
                <w:lang w:val="en-US" w:eastAsia="zh-CN"/>
              </w:rPr>
              <w:t>已建</w:t>
            </w:r>
            <w:r>
              <w:rPr>
                <w:rFonts w:hint="default" w:ascii="Times New Roman" w:hAnsi="Times New Roman" w:eastAsia="宋体" w:cs="Times New Roman"/>
                <w:color w:val="auto"/>
                <w:sz w:val="24"/>
                <w:szCs w:val="24"/>
                <w:highlight w:val="none"/>
                <w:lang w:eastAsia="zh-CN"/>
              </w:rPr>
              <w:t>厂房进行生产，</w:t>
            </w:r>
            <w:r>
              <w:rPr>
                <w:rFonts w:hint="default" w:ascii="Times New Roman" w:hAnsi="Times New Roman" w:eastAsia="宋体" w:cs="Times New Roman"/>
                <w:color w:val="auto"/>
                <w:sz w:val="24"/>
                <w:szCs w:val="24"/>
                <w:highlight w:val="none"/>
              </w:rPr>
              <w:t>建设内容主要为</w:t>
            </w:r>
            <w:r>
              <w:rPr>
                <w:rFonts w:hint="default" w:ascii="Times New Roman" w:hAnsi="Times New Roman" w:eastAsia="宋体" w:cs="Times New Roman"/>
                <w:color w:val="auto"/>
                <w:sz w:val="24"/>
                <w:szCs w:val="24"/>
                <w:highlight w:val="none"/>
                <w:lang w:eastAsia="zh-CN"/>
              </w:rPr>
              <w:t>设备安装、厂房装修，不涉及土建工程。</w:t>
            </w:r>
            <w:r>
              <w:rPr>
                <w:rFonts w:hint="default" w:ascii="Times New Roman" w:hAnsi="Times New Roman" w:eastAsia="宋体" w:cs="Times New Roman"/>
                <w:color w:val="auto"/>
                <w:sz w:val="24"/>
                <w:szCs w:val="24"/>
                <w:highlight w:val="none"/>
              </w:rPr>
              <w:t>项目施工期应做好防护工作，将对环境的影响降到最低程度。</w:t>
            </w:r>
          </w:p>
          <w:p w14:paraId="7686479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eastAsia="zh-CN"/>
              </w:rPr>
              <w:t>本项目施工期</w:t>
            </w:r>
            <w:r>
              <w:rPr>
                <w:rFonts w:hint="default" w:ascii="Times New Roman" w:hAnsi="Times New Roman" w:eastAsia="宋体" w:cs="Times New Roman"/>
                <w:color w:val="auto"/>
                <w:sz w:val="24"/>
                <w:szCs w:val="24"/>
                <w:highlight w:val="none"/>
              </w:rPr>
              <w:t>此过程中产生少量的生活垃圾交由环卫部门统一清运处置；生产设备安装过程中会产生噪声，但此过程是短暂</w:t>
            </w:r>
            <w:r>
              <w:rPr>
                <w:rFonts w:hint="default" w:ascii="Times New Roman" w:hAnsi="Times New Roman" w:eastAsia="宋体" w:cs="Times New Roman"/>
                <w:color w:val="auto"/>
                <w:sz w:val="24"/>
                <w:szCs w:val="24"/>
              </w:rPr>
              <w:t>的，对周边环境影响不大；生产设备安装会产生少量的工人生活污水，</w:t>
            </w:r>
            <w:r>
              <w:rPr>
                <w:rFonts w:hint="eastAsia" w:ascii="Times New Roman" w:hAnsi="Times New Roman" w:cs="Times New Roman"/>
                <w:color w:val="auto"/>
                <w:sz w:val="24"/>
                <w:szCs w:val="24"/>
                <w:lang w:eastAsia="zh-CN"/>
              </w:rPr>
              <w:t>职工生活污水依托园区现有“化粪池”处理后达到《污水综合排放标准》（GB8978-1996）表4中三级标准限值及泗县工业污水处理厂接管限值后排入泗县工业污水处理厂处理达《城镇污水处理厂污染物排放标准》（GB18918-2002）表1中一级标准A标准后排入石梁河</w:t>
            </w:r>
            <w:r>
              <w:rPr>
                <w:rFonts w:hint="default" w:ascii="Times New Roman" w:hAnsi="Times New Roman" w:eastAsia="宋体" w:cs="Times New Roman"/>
                <w:color w:val="auto"/>
                <w:sz w:val="24"/>
                <w:szCs w:val="24"/>
              </w:rPr>
              <w:t>。总体来说，项目施工期短暂，对外环境的影响较小。</w:t>
            </w:r>
          </w:p>
          <w:p w14:paraId="499465B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rPr>
            </w:pPr>
          </w:p>
          <w:p w14:paraId="0E63E5B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rPr>
            </w:pPr>
          </w:p>
          <w:p w14:paraId="06CF2C0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rPr>
            </w:pPr>
          </w:p>
          <w:p w14:paraId="6AF1575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rPr>
            </w:pPr>
          </w:p>
          <w:p w14:paraId="1B1FB72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rPr>
            </w:pPr>
          </w:p>
          <w:p w14:paraId="5D8420A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rPr>
            </w:pPr>
          </w:p>
          <w:p w14:paraId="6E28896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rPr>
            </w:pPr>
          </w:p>
          <w:p w14:paraId="6D0BCD3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rPr>
            </w:pPr>
          </w:p>
          <w:p w14:paraId="0E04D3D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rPr>
            </w:pPr>
          </w:p>
          <w:p w14:paraId="215CD80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rPr>
            </w:pPr>
          </w:p>
        </w:tc>
      </w:tr>
    </w:tbl>
    <w:p w14:paraId="5512E044">
      <w:pPr>
        <w:jc w:val="center"/>
        <w:rPr>
          <w:rFonts w:hint="default" w:ascii="Times New Roman" w:hAnsi="Times New Roman" w:cs="Times New Roman"/>
          <w:color w:val="auto"/>
          <w:szCs w:val="21"/>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6952A19">
      <w:pPr>
        <w:pStyle w:val="54"/>
        <w:spacing w:line="360" w:lineRule="auto"/>
        <w:ind w:firstLine="48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1、大气</w:t>
      </w:r>
    </w:p>
    <w:p w14:paraId="4C979302">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本</w:t>
      </w:r>
      <w:r>
        <w:rPr>
          <w:rFonts w:hint="default" w:ascii="Times New Roman" w:hAnsi="Times New Roman" w:cs="Times New Roman"/>
          <w:color w:val="auto"/>
          <w:sz w:val="24"/>
        </w:rPr>
        <w:t>项目</w:t>
      </w:r>
      <w:r>
        <w:rPr>
          <w:rFonts w:hint="default" w:ascii="Times New Roman" w:hAnsi="Times New Roman" w:cs="Times New Roman"/>
          <w:color w:val="auto"/>
          <w:sz w:val="24"/>
          <w:szCs w:val="24"/>
          <w:lang w:eastAsia="zh-CN"/>
        </w:rPr>
        <w:t>废气污染源源强核算结果及相关参数一览表</w:t>
      </w:r>
      <w:r>
        <w:rPr>
          <w:rFonts w:hint="default" w:ascii="Times New Roman" w:hAnsi="Times New Roman" w:cs="Times New Roman"/>
          <w:color w:val="auto"/>
          <w:sz w:val="24"/>
        </w:rPr>
        <w:t>见表4.</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w:t>
      </w:r>
    </w:p>
    <w:p w14:paraId="29FD5D3A">
      <w:pPr>
        <w:spacing w:line="240" w:lineRule="auto"/>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表4.</w:t>
      </w:r>
      <w:r>
        <w:rPr>
          <w:rFonts w:hint="default" w:ascii="Times New Roman" w:hAnsi="Times New Roman" w:cs="Times New Roman"/>
          <w:b/>
          <w:bCs/>
          <w:color w:val="auto"/>
          <w:szCs w:val="21"/>
          <w:lang w:val="en-US" w:eastAsia="zh-CN"/>
        </w:rPr>
        <w:t>1</w:t>
      </w:r>
      <w:r>
        <w:rPr>
          <w:rFonts w:hint="default" w:ascii="Times New Roman" w:hAnsi="Times New Roman" w:cs="Times New Roman"/>
          <w:b/>
          <w:bCs/>
          <w:color w:val="auto"/>
          <w:szCs w:val="21"/>
        </w:rPr>
        <w:t xml:space="preserve">  本项目废气污染源源强核算结果及相关参数一览表</w:t>
      </w:r>
    </w:p>
    <w:tbl>
      <w:tblPr>
        <w:tblStyle w:val="32"/>
        <w:tblW w:w="158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1"/>
        <w:gridCol w:w="1095"/>
        <w:gridCol w:w="1073"/>
        <w:gridCol w:w="797"/>
        <w:gridCol w:w="797"/>
        <w:gridCol w:w="843"/>
        <w:gridCol w:w="843"/>
        <w:gridCol w:w="731"/>
        <w:gridCol w:w="1186"/>
        <w:gridCol w:w="613"/>
        <w:gridCol w:w="606"/>
        <w:gridCol w:w="881"/>
        <w:gridCol w:w="736"/>
        <w:gridCol w:w="721"/>
        <w:gridCol w:w="797"/>
        <w:gridCol w:w="797"/>
        <w:gridCol w:w="415"/>
        <w:gridCol w:w="445"/>
        <w:gridCol w:w="507"/>
        <w:gridCol w:w="676"/>
        <w:gridCol w:w="824"/>
      </w:tblGrid>
      <w:tr w14:paraId="494DB0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1" w:type="dxa"/>
            <w:vMerge w:val="restart"/>
            <w:vAlign w:val="center"/>
          </w:tcPr>
          <w:p w14:paraId="4D4DDF9E">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产污环节</w:t>
            </w:r>
          </w:p>
        </w:tc>
        <w:tc>
          <w:tcPr>
            <w:tcW w:w="1095" w:type="dxa"/>
            <w:vMerge w:val="restart"/>
            <w:vAlign w:val="center"/>
          </w:tcPr>
          <w:p w14:paraId="1377C3F5">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污染物种类</w:t>
            </w:r>
          </w:p>
        </w:tc>
        <w:tc>
          <w:tcPr>
            <w:tcW w:w="1073" w:type="dxa"/>
            <w:vMerge w:val="restart"/>
            <w:vAlign w:val="center"/>
          </w:tcPr>
          <w:p w14:paraId="48CC8EDE">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核算方法</w:t>
            </w:r>
          </w:p>
        </w:tc>
        <w:tc>
          <w:tcPr>
            <w:tcW w:w="2437" w:type="dxa"/>
            <w:gridSpan w:val="3"/>
            <w:vAlign w:val="center"/>
          </w:tcPr>
          <w:p w14:paraId="009A644E">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污染物产生</w:t>
            </w:r>
          </w:p>
        </w:tc>
        <w:tc>
          <w:tcPr>
            <w:tcW w:w="843" w:type="dxa"/>
            <w:vMerge w:val="restart"/>
            <w:vAlign w:val="center"/>
          </w:tcPr>
          <w:p w14:paraId="1C79CE06">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排放方式</w:t>
            </w:r>
          </w:p>
        </w:tc>
        <w:tc>
          <w:tcPr>
            <w:tcW w:w="4017" w:type="dxa"/>
            <w:gridSpan w:val="5"/>
            <w:vAlign w:val="center"/>
          </w:tcPr>
          <w:p w14:paraId="6675E453">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治理</w:t>
            </w:r>
            <w:r>
              <w:rPr>
                <w:rFonts w:hint="default" w:ascii="Times New Roman" w:hAnsi="Times New Roman" w:eastAsia="宋体" w:cs="Times New Roman"/>
                <w:b w:val="0"/>
                <w:bCs w:val="0"/>
                <w:color w:val="auto"/>
                <w:sz w:val="21"/>
                <w:szCs w:val="21"/>
                <w:lang w:eastAsia="zh-CN"/>
              </w:rPr>
              <w:t>措施</w:t>
            </w:r>
          </w:p>
        </w:tc>
        <w:tc>
          <w:tcPr>
            <w:tcW w:w="2254" w:type="dxa"/>
            <w:gridSpan w:val="3"/>
            <w:vAlign w:val="center"/>
          </w:tcPr>
          <w:p w14:paraId="6EA5BD42">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污染物排放</w:t>
            </w:r>
          </w:p>
        </w:tc>
        <w:tc>
          <w:tcPr>
            <w:tcW w:w="797" w:type="dxa"/>
            <w:vMerge w:val="restart"/>
            <w:vAlign w:val="center"/>
          </w:tcPr>
          <w:p w14:paraId="0A7EDBD4">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排污口编号</w:t>
            </w:r>
          </w:p>
        </w:tc>
        <w:tc>
          <w:tcPr>
            <w:tcW w:w="2043" w:type="dxa"/>
            <w:gridSpan w:val="4"/>
            <w:vAlign w:val="center"/>
          </w:tcPr>
          <w:p w14:paraId="6F5B0CB2">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排放源参数</w:t>
            </w:r>
          </w:p>
        </w:tc>
        <w:tc>
          <w:tcPr>
            <w:tcW w:w="824" w:type="dxa"/>
            <w:vMerge w:val="restart"/>
            <w:vAlign w:val="center"/>
          </w:tcPr>
          <w:p w14:paraId="1E3469B7">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排放口类型</w:t>
            </w:r>
          </w:p>
        </w:tc>
      </w:tr>
      <w:tr w14:paraId="72A991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1" w:type="dxa"/>
            <w:vMerge w:val="continue"/>
            <w:vAlign w:val="center"/>
          </w:tcPr>
          <w:p w14:paraId="612AA915">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p>
        </w:tc>
        <w:tc>
          <w:tcPr>
            <w:tcW w:w="1095" w:type="dxa"/>
            <w:vMerge w:val="continue"/>
            <w:vAlign w:val="center"/>
          </w:tcPr>
          <w:p w14:paraId="675EE29A">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p>
        </w:tc>
        <w:tc>
          <w:tcPr>
            <w:tcW w:w="1073" w:type="dxa"/>
            <w:vMerge w:val="continue"/>
            <w:vAlign w:val="center"/>
          </w:tcPr>
          <w:p w14:paraId="62B53072">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p>
        </w:tc>
        <w:tc>
          <w:tcPr>
            <w:tcW w:w="797" w:type="dxa"/>
            <w:vAlign w:val="center"/>
          </w:tcPr>
          <w:p w14:paraId="675046A8">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产生量t/a</w:t>
            </w:r>
          </w:p>
        </w:tc>
        <w:tc>
          <w:tcPr>
            <w:tcW w:w="797" w:type="dxa"/>
            <w:vAlign w:val="center"/>
          </w:tcPr>
          <w:p w14:paraId="51878777">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产生速kg/h</w:t>
            </w:r>
          </w:p>
        </w:tc>
        <w:tc>
          <w:tcPr>
            <w:tcW w:w="843" w:type="dxa"/>
            <w:vAlign w:val="center"/>
          </w:tcPr>
          <w:p w14:paraId="37B4B828">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vertAlign w:val="superscript"/>
              </w:rPr>
            </w:pPr>
            <w:r>
              <w:rPr>
                <w:rFonts w:hint="default" w:ascii="Times New Roman" w:hAnsi="Times New Roman" w:eastAsia="宋体" w:cs="Times New Roman"/>
                <w:b w:val="0"/>
                <w:bCs w:val="0"/>
                <w:color w:val="auto"/>
                <w:sz w:val="21"/>
                <w:szCs w:val="21"/>
              </w:rPr>
              <w:t>产生浓度mg/m</w:t>
            </w:r>
            <w:r>
              <w:rPr>
                <w:rFonts w:hint="default" w:ascii="Times New Roman" w:hAnsi="Times New Roman" w:eastAsia="宋体" w:cs="Times New Roman"/>
                <w:b w:val="0"/>
                <w:bCs w:val="0"/>
                <w:color w:val="auto"/>
                <w:sz w:val="21"/>
                <w:szCs w:val="21"/>
                <w:vertAlign w:val="superscript"/>
              </w:rPr>
              <w:t>3</w:t>
            </w:r>
          </w:p>
        </w:tc>
        <w:tc>
          <w:tcPr>
            <w:tcW w:w="843" w:type="dxa"/>
            <w:vMerge w:val="continue"/>
            <w:vAlign w:val="center"/>
          </w:tcPr>
          <w:p w14:paraId="073B41A4">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p>
        </w:tc>
        <w:tc>
          <w:tcPr>
            <w:tcW w:w="731" w:type="dxa"/>
            <w:vAlign w:val="center"/>
          </w:tcPr>
          <w:p w14:paraId="3D278CC3">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风量m</w:t>
            </w:r>
            <w:r>
              <w:rPr>
                <w:rFonts w:hint="default" w:ascii="Times New Roman" w:hAnsi="Times New Roman" w:eastAsia="宋体" w:cs="Times New Roman"/>
                <w:b w:val="0"/>
                <w:bCs w:val="0"/>
                <w:color w:val="auto"/>
                <w:sz w:val="21"/>
                <w:szCs w:val="21"/>
                <w:vertAlign w:val="superscript"/>
              </w:rPr>
              <w:t>3</w:t>
            </w:r>
            <w:r>
              <w:rPr>
                <w:rFonts w:hint="default" w:ascii="Times New Roman" w:hAnsi="Times New Roman" w:eastAsia="宋体" w:cs="Times New Roman"/>
                <w:b w:val="0"/>
                <w:bCs w:val="0"/>
                <w:color w:val="auto"/>
                <w:sz w:val="21"/>
                <w:szCs w:val="21"/>
              </w:rPr>
              <w:t>/h</w:t>
            </w:r>
          </w:p>
        </w:tc>
        <w:tc>
          <w:tcPr>
            <w:tcW w:w="1186" w:type="dxa"/>
            <w:vAlign w:val="center"/>
          </w:tcPr>
          <w:p w14:paraId="3D535396">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治理措施</w:t>
            </w:r>
          </w:p>
        </w:tc>
        <w:tc>
          <w:tcPr>
            <w:tcW w:w="613" w:type="dxa"/>
            <w:vAlign w:val="center"/>
          </w:tcPr>
          <w:p w14:paraId="04F325D7">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收集效率%</w:t>
            </w:r>
          </w:p>
        </w:tc>
        <w:tc>
          <w:tcPr>
            <w:tcW w:w="606" w:type="dxa"/>
            <w:vAlign w:val="center"/>
          </w:tcPr>
          <w:p w14:paraId="178A3150">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处理效率%</w:t>
            </w:r>
          </w:p>
        </w:tc>
        <w:tc>
          <w:tcPr>
            <w:tcW w:w="881" w:type="dxa"/>
            <w:vAlign w:val="center"/>
          </w:tcPr>
          <w:p w14:paraId="705109C5">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是否为可行技术</w:t>
            </w:r>
          </w:p>
        </w:tc>
        <w:tc>
          <w:tcPr>
            <w:tcW w:w="736" w:type="dxa"/>
            <w:vAlign w:val="center"/>
          </w:tcPr>
          <w:p w14:paraId="50BEB8CC">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排放量t/a</w:t>
            </w:r>
          </w:p>
        </w:tc>
        <w:tc>
          <w:tcPr>
            <w:tcW w:w="721" w:type="dxa"/>
            <w:vAlign w:val="center"/>
          </w:tcPr>
          <w:p w14:paraId="1DB43F6D">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排放速率kg/h</w:t>
            </w:r>
          </w:p>
        </w:tc>
        <w:tc>
          <w:tcPr>
            <w:tcW w:w="797" w:type="dxa"/>
            <w:vAlign w:val="center"/>
          </w:tcPr>
          <w:p w14:paraId="120B4474">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vertAlign w:val="superscript"/>
              </w:rPr>
            </w:pPr>
            <w:r>
              <w:rPr>
                <w:rFonts w:hint="default" w:ascii="Times New Roman" w:hAnsi="Times New Roman" w:eastAsia="宋体" w:cs="Times New Roman"/>
                <w:b w:val="0"/>
                <w:bCs w:val="0"/>
                <w:color w:val="auto"/>
                <w:sz w:val="21"/>
                <w:szCs w:val="21"/>
              </w:rPr>
              <w:t>浓度mg/m</w:t>
            </w:r>
            <w:r>
              <w:rPr>
                <w:rFonts w:hint="default" w:ascii="Times New Roman" w:hAnsi="Times New Roman" w:eastAsia="宋体" w:cs="Times New Roman"/>
                <w:b w:val="0"/>
                <w:bCs w:val="0"/>
                <w:color w:val="auto"/>
                <w:sz w:val="21"/>
                <w:szCs w:val="21"/>
                <w:vertAlign w:val="superscript"/>
              </w:rPr>
              <w:t>3</w:t>
            </w:r>
          </w:p>
        </w:tc>
        <w:tc>
          <w:tcPr>
            <w:tcW w:w="797" w:type="dxa"/>
            <w:vMerge w:val="continue"/>
            <w:vAlign w:val="center"/>
          </w:tcPr>
          <w:p w14:paraId="3D764909">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p>
        </w:tc>
        <w:tc>
          <w:tcPr>
            <w:tcW w:w="415" w:type="dxa"/>
            <w:vAlign w:val="center"/>
          </w:tcPr>
          <w:p w14:paraId="2B95446E">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高度m</w:t>
            </w:r>
          </w:p>
        </w:tc>
        <w:tc>
          <w:tcPr>
            <w:tcW w:w="445" w:type="dxa"/>
            <w:vAlign w:val="center"/>
          </w:tcPr>
          <w:p w14:paraId="58223FA7">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内径m</w:t>
            </w:r>
          </w:p>
        </w:tc>
        <w:tc>
          <w:tcPr>
            <w:tcW w:w="507" w:type="dxa"/>
            <w:vAlign w:val="center"/>
          </w:tcPr>
          <w:p w14:paraId="2AA6F997">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温度℃</w:t>
            </w:r>
          </w:p>
        </w:tc>
        <w:tc>
          <w:tcPr>
            <w:tcW w:w="676" w:type="dxa"/>
            <w:vAlign w:val="center"/>
          </w:tcPr>
          <w:p w14:paraId="1FF72E6C">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排放时间h</w:t>
            </w:r>
          </w:p>
        </w:tc>
        <w:tc>
          <w:tcPr>
            <w:tcW w:w="824" w:type="dxa"/>
            <w:vMerge w:val="continue"/>
            <w:vAlign w:val="center"/>
          </w:tcPr>
          <w:p w14:paraId="78F050C1">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rPr>
            </w:pPr>
          </w:p>
        </w:tc>
      </w:tr>
      <w:tr w14:paraId="29CE5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91" w:type="dxa"/>
            <w:vMerge w:val="restart"/>
            <w:vAlign w:val="center"/>
          </w:tcPr>
          <w:p w14:paraId="5B2ACBD2">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烤料、热压成型</w:t>
            </w:r>
          </w:p>
        </w:tc>
        <w:tc>
          <w:tcPr>
            <w:tcW w:w="1095" w:type="dxa"/>
            <w:shd w:val="clear" w:color="auto" w:fill="auto"/>
            <w:vAlign w:val="center"/>
          </w:tcPr>
          <w:p w14:paraId="2CBFAF88">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非甲烷总烃</w:t>
            </w:r>
          </w:p>
        </w:tc>
        <w:tc>
          <w:tcPr>
            <w:tcW w:w="1073" w:type="dxa"/>
            <w:shd w:val="clear" w:color="auto" w:fill="auto"/>
            <w:vAlign w:val="center"/>
          </w:tcPr>
          <w:p w14:paraId="4077CD38">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产污系数法</w:t>
            </w:r>
          </w:p>
        </w:tc>
        <w:tc>
          <w:tcPr>
            <w:tcW w:w="797" w:type="dxa"/>
            <w:shd w:val="clear" w:color="auto" w:fill="auto"/>
            <w:vAlign w:val="center"/>
          </w:tcPr>
          <w:p w14:paraId="1162D10D">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0.4860 </w:t>
            </w:r>
          </w:p>
        </w:tc>
        <w:tc>
          <w:tcPr>
            <w:tcW w:w="797" w:type="dxa"/>
            <w:shd w:val="clear" w:color="auto" w:fill="auto"/>
            <w:vAlign w:val="center"/>
          </w:tcPr>
          <w:p w14:paraId="5604A805">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0.1080 </w:t>
            </w:r>
          </w:p>
        </w:tc>
        <w:tc>
          <w:tcPr>
            <w:tcW w:w="843" w:type="dxa"/>
            <w:shd w:val="clear" w:color="auto" w:fill="auto"/>
            <w:vAlign w:val="center"/>
          </w:tcPr>
          <w:p w14:paraId="4D7F53E1">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3.60 </w:t>
            </w:r>
          </w:p>
        </w:tc>
        <w:tc>
          <w:tcPr>
            <w:tcW w:w="843" w:type="dxa"/>
            <w:shd w:val="clear" w:color="auto" w:fill="auto"/>
            <w:vAlign w:val="center"/>
          </w:tcPr>
          <w:p w14:paraId="07B15444">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有组织</w:t>
            </w:r>
          </w:p>
        </w:tc>
        <w:tc>
          <w:tcPr>
            <w:tcW w:w="731" w:type="dxa"/>
            <w:vMerge w:val="restart"/>
            <w:shd w:val="clear" w:color="auto" w:fill="auto"/>
            <w:vAlign w:val="center"/>
          </w:tcPr>
          <w:p w14:paraId="1ADEF4FE">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30000</w:t>
            </w:r>
          </w:p>
        </w:tc>
        <w:tc>
          <w:tcPr>
            <w:tcW w:w="1186" w:type="dxa"/>
            <w:vMerge w:val="restart"/>
            <w:shd w:val="clear" w:color="auto" w:fill="auto"/>
            <w:vAlign w:val="center"/>
          </w:tcPr>
          <w:p w14:paraId="349B897C">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color w:val="auto"/>
                <w:sz w:val="21"/>
                <w:szCs w:val="21"/>
                <w:lang w:val="en-US" w:eastAsia="zh-CN"/>
              </w:rPr>
              <w:t>两级活性炭吸附箱</w:t>
            </w:r>
          </w:p>
        </w:tc>
        <w:tc>
          <w:tcPr>
            <w:tcW w:w="613" w:type="dxa"/>
            <w:vMerge w:val="restart"/>
            <w:shd w:val="clear" w:color="auto" w:fill="auto"/>
            <w:vAlign w:val="center"/>
          </w:tcPr>
          <w:p w14:paraId="547339B0">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90</w:t>
            </w:r>
          </w:p>
        </w:tc>
        <w:tc>
          <w:tcPr>
            <w:tcW w:w="606" w:type="dxa"/>
            <w:vMerge w:val="restart"/>
            <w:shd w:val="clear" w:color="auto" w:fill="auto"/>
            <w:vAlign w:val="center"/>
          </w:tcPr>
          <w:p w14:paraId="27012E3F">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90</w:t>
            </w:r>
          </w:p>
        </w:tc>
        <w:tc>
          <w:tcPr>
            <w:tcW w:w="881" w:type="dxa"/>
            <w:vMerge w:val="restart"/>
            <w:shd w:val="clear" w:color="auto" w:fill="auto"/>
            <w:vAlign w:val="center"/>
          </w:tcPr>
          <w:p w14:paraId="62B14D18">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是</w:t>
            </w:r>
          </w:p>
        </w:tc>
        <w:tc>
          <w:tcPr>
            <w:tcW w:w="736" w:type="dxa"/>
            <w:shd w:val="clear" w:color="auto" w:fill="auto"/>
            <w:vAlign w:val="center"/>
          </w:tcPr>
          <w:p w14:paraId="2605C7B9">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0.0486</w:t>
            </w:r>
          </w:p>
        </w:tc>
        <w:tc>
          <w:tcPr>
            <w:tcW w:w="721" w:type="dxa"/>
            <w:shd w:val="clear" w:color="auto" w:fill="auto"/>
            <w:vAlign w:val="center"/>
          </w:tcPr>
          <w:p w14:paraId="5199536E">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0.0108</w:t>
            </w:r>
          </w:p>
        </w:tc>
        <w:tc>
          <w:tcPr>
            <w:tcW w:w="797" w:type="dxa"/>
            <w:shd w:val="clear" w:color="auto" w:fill="auto"/>
            <w:vAlign w:val="center"/>
          </w:tcPr>
          <w:p w14:paraId="399A6C2E">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0.36</w:t>
            </w:r>
          </w:p>
        </w:tc>
        <w:tc>
          <w:tcPr>
            <w:tcW w:w="797" w:type="dxa"/>
            <w:vMerge w:val="restart"/>
            <w:shd w:val="clear" w:color="auto" w:fill="auto"/>
            <w:vAlign w:val="center"/>
          </w:tcPr>
          <w:p w14:paraId="26990F43">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DA001</w:t>
            </w:r>
          </w:p>
        </w:tc>
        <w:tc>
          <w:tcPr>
            <w:tcW w:w="415" w:type="dxa"/>
            <w:vMerge w:val="restart"/>
            <w:shd w:val="clear" w:color="auto" w:fill="auto"/>
            <w:vAlign w:val="center"/>
          </w:tcPr>
          <w:p w14:paraId="675AB725">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15</w:t>
            </w:r>
          </w:p>
        </w:tc>
        <w:tc>
          <w:tcPr>
            <w:tcW w:w="445" w:type="dxa"/>
            <w:vMerge w:val="restart"/>
            <w:shd w:val="clear" w:color="auto" w:fill="auto"/>
            <w:vAlign w:val="center"/>
          </w:tcPr>
          <w:p w14:paraId="7655EF2A">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1.0</w:t>
            </w:r>
          </w:p>
        </w:tc>
        <w:tc>
          <w:tcPr>
            <w:tcW w:w="507" w:type="dxa"/>
            <w:vMerge w:val="restart"/>
            <w:shd w:val="clear" w:color="auto" w:fill="auto"/>
            <w:vAlign w:val="center"/>
          </w:tcPr>
          <w:p w14:paraId="5034011A">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25</w:t>
            </w:r>
          </w:p>
        </w:tc>
        <w:tc>
          <w:tcPr>
            <w:tcW w:w="676" w:type="dxa"/>
            <w:vMerge w:val="restart"/>
            <w:shd w:val="clear" w:color="auto" w:fill="auto"/>
            <w:vAlign w:val="center"/>
          </w:tcPr>
          <w:p w14:paraId="314FDA80">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4500</w:t>
            </w:r>
          </w:p>
        </w:tc>
        <w:tc>
          <w:tcPr>
            <w:tcW w:w="824" w:type="dxa"/>
            <w:vMerge w:val="restart"/>
            <w:shd w:val="clear" w:color="auto" w:fill="auto"/>
            <w:vAlign w:val="center"/>
          </w:tcPr>
          <w:p w14:paraId="54F1D4EC">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一般排放口</w:t>
            </w:r>
          </w:p>
        </w:tc>
      </w:tr>
      <w:tr w14:paraId="7A7F16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1" w:type="dxa"/>
            <w:vMerge w:val="continue"/>
            <w:vAlign w:val="center"/>
          </w:tcPr>
          <w:p w14:paraId="1C74E6E1">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p>
        </w:tc>
        <w:tc>
          <w:tcPr>
            <w:tcW w:w="1095" w:type="dxa"/>
            <w:shd w:val="clear" w:color="auto" w:fill="auto"/>
            <w:vAlign w:val="center"/>
          </w:tcPr>
          <w:p w14:paraId="13904FB3">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甲醛</w:t>
            </w:r>
          </w:p>
        </w:tc>
        <w:tc>
          <w:tcPr>
            <w:tcW w:w="1073" w:type="dxa"/>
            <w:shd w:val="clear" w:color="auto" w:fill="auto"/>
            <w:vAlign w:val="center"/>
          </w:tcPr>
          <w:p w14:paraId="1B394962">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产污系数法</w:t>
            </w:r>
          </w:p>
        </w:tc>
        <w:tc>
          <w:tcPr>
            <w:tcW w:w="797" w:type="dxa"/>
            <w:shd w:val="clear" w:color="auto" w:fill="auto"/>
            <w:vAlign w:val="center"/>
          </w:tcPr>
          <w:p w14:paraId="3E7C78AF">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0.0028 </w:t>
            </w:r>
          </w:p>
        </w:tc>
        <w:tc>
          <w:tcPr>
            <w:tcW w:w="797" w:type="dxa"/>
            <w:shd w:val="clear" w:color="auto" w:fill="auto"/>
            <w:vAlign w:val="center"/>
          </w:tcPr>
          <w:p w14:paraId="5B15CF52">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0.0006 </w:t>
            </w:r>
          </w:p>
        </w:tc>
        <w:tc>
          <w:tcPr>
            <w:tcW w:w="843" w:type="dxa"/>
            <w:shd w:val="clear" w:color="auto" w:fill="auto"/>
            <w:vAlign w:val="center"/>
          </w:tcPr>
          <w:p w14:paraId="66A57062">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0.02 </w:t>
            </w:r>
          </w:p>
        </w:tc>
        <w:tc>
          <w:tcPr>
            <w:tcW w:w="843" w:type="dxa"/>
            <w:shd w:val="clear" w:color="auto" w:fill="auto"/>
            <w:vAlign w:val="center"/>
          </w:tcPr>
          <w:p w14:paraId="469779B9">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有组织</w:t>
            </w:r>
          </w:p>
        </w:tc>
        <w:tc>
          <w:tcPr>
            <w:tcW w:w="731" w:type="dxa"/>
            <w:vMerge w:val="continue"/>
            <w:shd w:val="clear" w:color="auto" w:fill="auto"/>
            <w:vAlign w:val="center"/>
          </w:tcPr>
          <w:p w14:paraId="146305BB">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eastAsia" w:ascii="Times New Roman" w:hAnsi="Times New Roman" w:eastAsia="宋体" w:cs="Times New Roman"/>
                <w:b w:val="0"/>
                <w:bCs w:val="0"/>
                <w:color w:val="auto"/>
                <w:kern w:val="2"/>
                <w:sz w:val="21"/>
                <w:szCs w:val="21"/>
                <w:lang w:val="en-US" w:eastAsia="zh-CN" w:bidi="ar-SA"/>
              </w:rPr>
            </w:pPr>
          </w:p>
        </w:tc>
        <w:tc>
          <w:tcPr>
            <w:tcW w:w="1186" w:type="dxa"/>
            <w:vMerge w:val="continue"/>
            <w:shd w:val="clear" w:color="auto" w:fill="auto"/>
            <w:vAlign w:val="center"/>
          </w:tcPr>
          <w:p w14:paraId="2BC8555B">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cs="Times New Roman"/>
                <w:color w:val="auto"/>
                <w:sz w:val="21"/>
                <w:szCs w:val="21"/>
                <w:lang w:val="en-US" w:eastAsia="zh-CN"/>
              </w:rPr>
            </w:pPr>
          </w:p>
        </w:tc>
        <w:tc>
          <w:tcPr>
            <w:tcW w:w="613" w:type="dxa"/>
            <w:vMerge w:val="continue"/>
            <w:shd w:val="clear" w:color="auto" w:fill="auto"/>
            <w:vAlign w:val="center"/>
          </w:tcPr>
          <w:p w14:paraId="0810AE40">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p>
        </w:tc>
        <w:tc>
          <w:tcPr>
            <w:tcW w:w="606" w:type="dxa"/>
            <w:vMerge w:val="continue"/>
            <w:shd w:val="clear" w:color="auto" w:fill="auto"/>
            <w:vAlign w:val="center"/>
          </w:tcPr>
          <w:p w14:paraId="02EDB8D9">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p>
        </w:tc>
        <w:tc>
          <w:tcPr>
            <w:tcW w:w="881" w:type="dxa"/>
            <w:vMerge w:val="continue"/>
            <w:shd w:val="clear" w:color="auto" w:fill="auto"/>
            <w:vAlign w:val="center"/>
          </w:tcPr>
          <w:p w14:paraId="63515478">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p>
        </w:tc>
        <w:tc>
          <w:tcPr>
            <w:tcW w:w="736" w:type="dxa"/>
            <w:shd w:val="clear" w:color="auto" w:fill="auto"/>
            <w:vAlign w:val="center"/>
          </w:tcPr>
          <w:p w14:paraId="497D642A">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0.0003 </w:t>
            </w:r>
          </w:p>
        </w:tc>
        <w:tc>
          <w:tcPr>
            <w:tcW w:w="721" w:type="dxa"/>
            <w:shd w:val="clear" w:color="auto" w:fill="auto"/>
            <w:vAlign w:val="center"/>
          </w:tcPr>
          <w:p w14:paraId="56CF8EE1">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0.00006 </w:t>
            </w:r>
          </w:p>
        </w:tc>
        <w:tc>
          <w:tcPr>
            <w:tcW w:w="797" w:type="dxa"/>
            <w:shd w:val="clear" w:color="auto" w:fill="auto"/>
            <w:vAlign w:val="center"/>
          </w:tcPr>
          <w:p w14:paraId="4C28E8D0">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0.002 </w:t>
            </w:r>
          </w:p>
        </w:tc>
        <w:tc>
          <w:tcPr>
            <w:tcW w:w="797" w:type="dxa"/>
            <w:vMerge w:val="continue"/>
            <w:shd w:val="clear" w:color="auto" w:fill="auto"/>
            <w:vAlign w:val="center"/>
          </w:tcPr>
          <w:p w14:paraId="367BDC86">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bCs/>
                <w:color w:val="auto"/>
                <w:sz w:val="21"/>
                <w:szCs w:val="21"/>
                <w:lang w:val="en-US" w:eastAsia="zh-CN"/>
              </w:rPr>
            </w:pPr>
          </w:p>
        </w:tc>
        <w:tc>
          <w:tcPr>
            <w:tcW w:w="415" w:type="dxa"/>
            <w:vMerge w:val="continue"/>
            <w:shd w:val="clear" w:color="auto" w:fill="auto"/>
            <w:vAlign w:val="center"/>
          </w:tcPr>
          <w:p w14:paraId="57AFF095">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p>
        </w:tc>
        <w:tc>
          <w:tcPr>
            <w:tcW w:w="445" w:type="dxa"/>
            <w:vMerge w:val="continue"/>
            <w:shd w:val="clear" w:color="auto" w:fill="auto"/>
            <w:vAlign w:val="center"/>
          </w:tcPr>
          <w:p w14:paraId="573F7DD0">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p>
        </w:tc>
        <w:tc>
          <w:tcPr>
            <w:tcW w:w="507" w:type="dxa"/>
            <w:vMerge w:val="continue"/>
            <w:shd w:val="clear" w:color="auto" w:fill="auto"/>
            <w:vAlign w:val="center"/>
          </w:tcPr>
          <w:p w14:paraId="2A5E047E">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p>
        </w:tc>
        <w:tc>
          <w:tcPr>
            <w:tcW w:w="676" w:type="dxa"/>
            <w:vMerge w:val="continue"/>
            <w:shd w:val="clear" w:color="auto" w:fill="auto"/>
            <w:vAlign w:val="center"/>
          </w:tcPr>
          <w:p w14:paraId="32AEC898">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eastAsia" w:ascii="Times New Roman" w:hAnsi="Times New Roman" w:eastAsia="宋体" w:cs="Times New Roman"/>
                <w:b w:val="0"/>
                <w:bCs w:val="0"/>
                <w:color w:val="auto"/>
                <w:sz w:val="21"/>
                <w:szCs w:val="21"/>
                <w:lang w:val="en-US" w:eastAsia="zh-CN"/>
              </w:rPr>
            </w:pPr>
          </w:p>
        </w:tc>
        <w:tc>
          <w:tcPr>
            <w:tcW w:w="824" w:type="dxa"/>
            <w:vMerge w:val="continue"/>
            <w:shd w:val="clear" w:color="auto" w:fill="auto"/>
            <w:vAlign w:val="center"/>
          </w:tcPr>
          <w:p w14:paraId="4AE02F59">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p>
        </w:tc>
      </w:tr>
      <w:tr w14:paraId="5EF36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1" w:type="dxa"/>
            <w:vMerge w:val="continue"/>
            <w:vAlign w:val="center"/>
          </w:tcPr>
          <w:p w14:paraId="069D72AE">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p>
        </w:tc>
        <w:tc>
          <w:tcPr>
            <w:tcW w:w="1095" w:type="dxa"/>
            <w:shd w:val="clear" w:color="auto" w:fill="auto"/>
            <w:vAlign w:val="center"/>
          </w:tcPr>
          <w:p w14:paraId="42922D7F">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非甲烷总烃</w:t>
            </w:r>
          </w:p>
        </w:tc>
        <w:tc>
          <w:tcPr>
            <w:tcW w:w="1073" w:type="dxa"/>
            <w:shd w:val="clear" w:color="auto" w:fill="auto"/>
            <w:vAlign w:val="center"/>
          </w:tcPr>
          <w:p w14:paraId="54FED0DC">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产污系数法</w:t>
            </w:r>
          </w:p>
        </w:tc>
        <w:tc>
          <w:tcPr>
            <w:tcW w:w="797" w:type="dxa"/>
            <w:shd w:val="clear" w:color="auto" w:fill="auto"/>
            <w:vAlign w:val="center"/>
          </w:tcPr>
          <w:p w14:paraId="54998504">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0.0540 </w:t>
            </w:r>
          </w:p>
        </w:tc>
        <w:tc>
          <w:tcPr>
            <w:tcW w:w="797" w:type="dxa"/>
            <w:shd w:val="clear" w:color="auto" w:fill="auto"/>
            <w:vAlign w:val="center"/>
          </w:tcPr>
          <w:p w14:paraId="5CEA24EB">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0.0120 </w:t>
            </w:r>
          </w:p>
        </w:tc>
        <w:tc>
          <w:tcPr>
            <w:tcW w:w="843" w:type="dxa"/>
            <w:shd w:val="clear" w:color="auto" w:fill="auto"/>
            <w:vAlign w:val="center"/>
          </w:tcPr>
          <w:p w14:paraId="737BBA73">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843" w:type="dxa"/>
            <w:shd w:val="clear" w:color="auto" w:fill="auto"/>
            <w:vAlign w:val="center"/>
          </w:tcPr>
          <w:p w14:paraId="5B7E62E6">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无组织</w:t>
            </w:r>
          </w:p>
        </w:tc>
        <w:tc>
          <w:tcPr>
            <w:tcW w:w="731" w:type="dxa"/>
            <w:shd w:val="clear" w:color="auto" w:fill="auto"/>
            <w:vAlign w:val="center"/>
          </w:tcPr>
          <w:p w14:paraId="0FCE52EB">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1186" w:type="dxa"/>
            <w:shd w:val="clear" w:color="auto" w:fill="auto"/>
            <w:vAlign w:val="center"/>
          </w:tcPr>
          <w:p w14:paraId="279D4BD6">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613" w:type="dxa"/>
            <w:shd w:val="clear" w:color="auto" w:fill="auto"/>
            <w:vAlign w:val="center"/>
          </w:tcPr>
          <w:p w14:paraId="750AABE3">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606" w:type="dxa"/>
            <w:shd w:val="clear" w:color="auto" w:fill="auto"/>
            <w:vAlign w:val="center"/>
          </w:tcPr>
          <w:p w14:paraId="4843A65D">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881" w:type="dxa"/>
            <w:shd w:val="clear" w:color="auto" w:fill="auto"/>
            <w:vAlign w:val="center"/>
          </w:tcPr>
          <w:p w14:paraId="56531236">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736" w:type="dxa"/>
            <w:shd w:val="clear" w:color="auto" w:fill="auto"/>
            <w:vAlign w:val="center"/>
          </w:tcPr>
          <w:p w14:paraId="68E52B5B">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0.0540 </w:t>
            </w:r>
          </w:p>
        </w:tc>
        <w:tc>
          <w:tcPr>
            <w:tcW w:w="721" w:type="dxa"/>
            <w:shd w:val="clear" w:color="auto" w:fill="auto"/>
            <w:vAlign w:val="center"/>
          </w:tcPr>
          <w:p w14:paraId="3704896D">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0.0120 </w:t>
            </w:r>
          </w:p>
        </w:tc>
        <w:tc>
          <w:tcPr>
            <w:tcW w:w="797" w:type="dxa"/>
            <w:shd w:val="clear" w:color="auto" w:fill="auto"/>
            <w:vAlign w:val="center"/>
          </w:tcPr>
          <w:p w14:paraId="6ABAA9DE">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797" w:type="dxa"/>
            <w:shd w:val="clear" w:color="auto" w:fill="auto"/>
            <w:vAlign w:val="center"/>
          </w:tcPr>
          <w:p w14:paraId="789CE711">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415" w:type="dxa"/>
            <w:shd w:val="clear" w:color="auto" w:fill="auto"/>
            <w:vAlign w:val="center"/>
          </w:tcPr>
          <w:p w14:paraId="67D3CEF8">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445" w:type="dxa"/>
            <w:shd w:val="clear" w:color="auto" w:fill="auto"/>
            <w:vAlign w:val="center"/>
          </w:tcPr>
          <w:p w14:paraId="256535CF">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507" w:type="dxa"/>
            <w:shd w:val="clear" w:color="auto" w:fill="auto"/>
            <w:vAlign w:val="center"/>
          </w:tcPr>
          <w:p w14:paraId="4F0B884D">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676" w:type="dxa"/>
            <w:vMerge w:val="continue"/>
            <w:shd w:val="clear" w:color="auto" w:fill="auto"/>
            <w:vAlign w:val="center"/>
          </w:tcPr>
          <w:p w14:paraId="3043870B">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p>
        </w:tc>
        <w:tc>
          <w:tcPr>
            <w:tcW w:w="824" w:type="dxa"/>
            <w:vMerge w:val="restart"/>
            <w:shd w:val="clear" w:color="auto" w:fill="auto"/>
            <w:vAlign w:val="center"/>
          </w:tcPr>
          <w:p w14:paraId="785293A0">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r>
      <w:tr w14:paraId="1D4ABB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1" w:type="dxa"/>
            <w:vMerge w:val="continue"/>
            <w:vAlign w:val="center"/>
          </w:tcPr>
          <w:p w14:paraId="27809131">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p>
        </w:tc>
        <w:tc>
          <w:tcPr>
            <w:tcW w:w="1095" w:type="dxa"/>
            <w:shd w:val="clear" w:color="auto" w:fill="auto"/>
            <w:vAlign w:val="center"/>
          </w:tcPr>
          <w:p w14:paraId="6554B8A1">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甲醛</w:t>
            </w:r>
          </w:p>
        </w:tc>
        <w:tc>
          <w:tcPr>
            <w:tcW w:w="1073" w:type="dxa"/>
            <w:shd w:val="clear" w:color="auto" w:fill="auto"/>
            <w:vAlign w:val="center"/>
          </w:tcPr>
          <w:p w14:paraId="4505D75C">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产污系数法</w:t>
            </w:r>
          </w:p>
        </w:tc>
        <w:tc>
          <w:tcPr>
            <w:tcW w:w="797" w:type="dxa"/>
            <w:shd w:val="clear" w:color="auto" w:fill="auto"/>
            <w:vAlign w:val="center"/>
          </w:tcPr>
          <w:p w14:paraId="3D97F531">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0.0003 </w:t>
            </w:r>
          </w:p>
        </w:tc>
        <w:tc>
          <w:tcPr>
            <w:tcW w:w="797" w:type="dxa"/>
            <w:shd w:val="clear" w:color="auto" w:fill="auto"/>
            <w:vAlign w:val="center"/>
          </w:tcPr>
          <w:p w14:paraId="66C42F15">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0.00007 </w:t>
            </w:r>
          </w:p>
        </w:tc>
        <w:tc>
          <w:tcPr>
            <w:tcW w:w="843" w:type="dxa"/>
            <w:shd w:val="clear" w:color="auto" w:fill="auto"/>
            <w:vAlign w:val="center"/>
          </w:tcPr>
          <w:p w14:paraId="4821BCA4">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c>
          <w:tcPr>
            <w:tcW w:w="843" w:type="dxa"/>
            <w:shd w:val="clear" w:color="auto" w:fill="auto"/>
            <w:vAlign w:val="center"/>
          </w:tcPr>
          <w:p w14:paraId="1B7BB556">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无组织</w:t>
            </w:r>
          </w:p>
        </w:tc>
        <w:tc>
          <w:tcPr>
            <w:tcW w:w="731" w:type="dxa"/>
            <w:shd w:val="clear" w:color="auto" w:fill="auto"/>
            <w:vAlign w:val="center"/>
          </w:tcPr>
          <w:p w14:paraId="6CE88D6D">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1186" w:type="dxa"/>
            <w:shd w:val="clear" w:color="auto" w:fill="auto"/>
            <w:vAlign w:val="center"/>
          </w:tcPr>
          <w:p w14:paraId="3C4D9082">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613" w:type="dxa"/>
            <w:shd w:val="clear" w:color="auto" w:fill="auto"/>
            <w:vAlign w:val="center"/>
          </w:tcPr>
          <w:p w14:paraId="480B1CE2">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606" w:type="dxa"/>
            <w:shd w:val="clear" w:color="auto" w:fill="auto"/>
            <w:vAlign w:val="center"/>
          </w:tcPr>
          <w:p w14:paraId="2E7FEC9D">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881" w:type="dxa"/>
            <w:shd w:val="clear" w:color="auto" w:fill="auto"/>
            <w:vAlign w:val="center"/>
          </w:tcPr>
          <w:p w14:paraId="149B4F2F">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736" w:type="dxa"/>
            <w:shd w:val="clear" w:color="auto" w:fill="auto"/>
            <w:vAlign w:val="center"/>
          </w:tcPr>
          <w:p w14:paraId="6802BDEE">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0.0003 </w:t>
            </w:r>
          </w:p>
        </w:tc>
        <w:tc>
          <w:tcPr>
            <w:tcW w:w="721" w:type="dxa"/>
            <w:shd w:val="clear" w:color="auto" w:fill="auto"/>
            <w:vAlign w:val="center"/>
          </w:tcPr>
          <w:p w14:paraId="610BE9E1">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0.00007 </w:t>
            </w:r>
          </w:p>
        </w:tc>
        <w:tc>
          <w:tcPr>
            <w:tcW w:w="797" w:type="dxa"/>
            <w:shd w:val="clear" w:color="auto" w:fill="auto"/>
            <w:vAlign w:val="center"/>
          </w:tcPr>
          <w:p w14:paraId="5C24FE34">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797" w:type="dxa"/>
            <w:shd w:val="clear" w:color="auto" w:fill="auto"/>
            <w:vAlign w:val="center"/>
          </w:tcPr>
          <w:p w14:paraId="2481E1D2">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415" w:type="dxa"/>
            <w:shd w:val="clear" w:color="auto" w:fill="auto"/>
            <w:vAlign w:val="center"/>
          </w:tcPr>
          <w:p w14:paraId="0DCE0B34">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445" w:type="dxa"/>
            <w:shd w:val="clear" w:color="auto" w:fill="auto"/>
            <w:vAlign w:val="center"/>
          </w:tcPr>
          <w:p w14:paraId="2CCDBF3F">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507" w:type="dxa"/>
            <w:shd w:val="clear" w:color="auto" w:fill="auto"/>
            <w:vAlign w:val="center"/>
          </w:tcPr>
          <w:p w14:paraId="38485633">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676" w:type="dxa"/>
            <w:vMerge w:val="continue"/>
            <w:shd w:val="clear" w:color="auto" w:fill="auto"/>
            <w:vAlign w:val="center"/>
          </w:tcPr>
          <w:p w14:paraId="145F6B49">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p>
        </w:tc>
        <w:tc>
          <w:tcPr>
            <w:tcW w:w="824" w:type="dxa"/>
            <w:vMerge w:val="continue"/>
            <w:shd w:val="clear" w:color="auto" w:fill="auto"/>
            <w:vAlign w:val="center"/>
          </w:tcPr>
          <w:p w14:paraId="60A393D9">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p>
        </w:tc>
      </w:tr>
      <w:tr w14:paraId="27D85F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1" w:type="dxa"/>
            <w:vMerge w:val="restart"/>
            <w:vAlign w:val="center"/>
          </w:tcPr>
          <w:p w14:paraId="6833C75F">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吹灰</w:t>
            </w:r>
          </w:p>
        </w:tc>
        <w:tc>
          <w:tcPr>
            <w:tcW w:w="1095" w:type="dxa"/>
            <w:shd w:val="clear" w:color="auto" w:fill="auto"/>
            <w:vAlign w:val="center"/>
          </w:tcPr>
          <w:p w14:paraId="4A2C5483">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颗粒物</w:t>
            </w:r>
          </w:p>
        </w:tc>
        <w:tc>
          <w:tcPr>
            <w:tcW w:w="1073" w:type="dxa"/>
            <w:shd w:val="clear" w:color="auto" w:fill="auto"/>
            <w:vAlign w:val="center"/>
          </w:tcPr>
          <w:p w14:paraId="337E5BE6">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产污系数法</w:t>
            </w:r>
          </w:p>
        </w:tc>
        <w:tc>
          <w:tcPr>
            <w:tcW w:w="797" w:type="dxa"/>
            <w:shd w:val="clear" w:color="auto" w:fill="auto"/>
            <w:vAlign w:val="center"/>
          </w:tcPr>
          <w:p w14:paraId="61AA23CC">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0.1845 </w:t>
            </w:r>
          </w:p>
        </w:tc>
        <w:tc>
          <w:tcPr>
            <w:tcW w:w="797" w:type="dxa"/>
            <w:shd w:val="clear" w:color="auto" w:fill="auto"/>
            <w:vAlign w:val="center"/>
          </w:tcPr>
          <w:p w14:paraId="5B35D91C">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0.1845 </w:t>
            </w:r>
          </w:p>
        </w:tc>
        <w:tc>
          <w:tcPr>
            <w:tcW w:w="843" w:type="dxa"/>
            <w:shd w:val="clear" w:color="auto" w:fill="auto"/>
            <w:vAlign w:val="center"/>
          </w:tcPr>
          <w:p w14:paraId="06BFB2D3">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6.15 </w:t>
            </w:r>
          </w:p>
        </w:tc>
        <w:tc>
          <w:tcPr>
            <w:tcW w:w="843" w:type="dxa"/>
            <w:shd w:val="clear" w:color="auto" w:fill="auto"/>
            <w:vAlign w:val="center"/>
          </w:tcPr>
          <w:p w14:paraId="3401E186">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有组织</w:t>
            </w:r>
          </w:p>
        </w:tc>
        <w:tc>
          <w:tcPr>
            <w:tcW w:w="731" w:type="dxa"/>
            <w:shd w:val="clear" w:color="auto" w:fill="auto"/>
            <w:vAlign w:val="center"/>
          </w:tcPr>
          <w:p w14:paraId="6D4F5D20">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30000</w:t>
            </w:r>
          </w:p>
        </w:tc>
        <w:tc>
          <w:tcPr>
            <w:tcW w:w="1186" w:type="dxa"/>
            <w:shd w:val="clear" w:color="auto" w:fill="auto"/>
            <w:vAlign w:val="center"/>
          </w:tcPr>
          <w:p w14:paraId="490C0537">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袋式除尘装置</w:t>
            </w:r>
          </w:p>
        </w:tc>
        <w:tc>
          <w:tcPr>
            <w:tcW w:w="613" w:type="dxa"/>
            <w:shd w:val="clear" w:color="auto" w:fill="auto"/>
            <w:vAlign w:val="center"/>
          </w:tcPr>
          <w:p w14:paraId="6EAEE198">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90</w:t>
            </w:r>
          </w:p>
        </w:tc>
        <w:tc>
          <w:tcPr>
            <w:tcW w:w="606" w:type="dxa"/>
            <w:shd w:val="clear" w:color="auto" w:fill="auto"/>
            <w:vAlign w:val="center"/>
          </w:tcPr>
          <w:p w14:paraId="53FF6587">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99</w:t>
            </w:r>
          </w:p>
        </w:tc>
        <w:tc>
          <w:tcPr>
            <w:tcW w:w="881" w:type="dxa"/>
            <w:shd w:val="clear" w:color="auto" w:fill="auto"/>
            <w:vAlign w:val="center"/>
          </w:tcPr>
          <w:p w14:paraId="036A0032">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是</w:t>
            </w:r>
          </w:p>
        </w:tc>
        <w:tc>
          <w:tcPr>
            <w:tcW w:w="736" w:type="dxa"/>
            <w:shd w:val="clear" w:color="auto" w:fill="auto"/>
            <w:vAlign w:val="center"/>
          </w:tcPr>
          <w:p w14:paraId="602782D2">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w:t>
            </w:r>
            <w:r>
              <w:rPr>
                <w:rFonts w:hint="eastAsia" w:ascii="Times New Roman" w:hAnsi="Times New Roman" w:eastAsia="宋体" w:cs="Times New Roman"/>
                <w:i w:val="0"/>
                <w:iCs w:val="0"/>
                <w:color w:val="000000"/>
                <w:kern w:val="0"/>
                <w:sz w:val="21"/>
                <w:szCs w:val="21"/>
                <w:u w:val="none"/>
                <w:lang w:val="en-US" w:eastAsia="zh-CN" w:bidi="ar"/>
              </w:rPr>
              <w:t>9</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721" w:type="dxa"/>
            <w:shd w:val="clear" w:color="auto" w:fill="auto"/>
            <w:vAlign w:val="center"/>
          </w:tcPr>
          <w:p w14:paraId="56E754A1">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0.0018 </w:t>
            </w:r>
          </w:p>
        </w:tc>
        <w:tc>
          <w:tcPr>
            <w:tcW w:w="797" w:type="dxa"/>
            <w:shd w:val="clear" w:color="auto" w:fill="auto"/>
            <w:vAlign w:val="center"/>
          </w:tcPr>
          <w:p w14:paraId="1AA43A28">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0.06 </w:t>
            </w:r>
          </w:p>
        </w:tc>
        <w:tc>
          <w:tcPr>
            <w:tcW w:w="797" w:type="dxa"/>
            <w:shd w:val="clear" w:color="auto" w:fill="auto"/>
            <w:vAlign w:val="center"/>
          </w:tcPr>
          <w:p w14:paraId="44832D2C">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DA001</w:t>
            </w:r>
          </w:p>
        </w:tc>
        <w:tc>
          <w:tcPr>
            <w:tcW w:w="415" w:type="dxa"/>
            <w:shd w:val="clear" w:color="auto" w:fill="auto"/>
            <w:vAlign w:val="center"/>
          </w:tcPr>
          <w:p w14:paraId="26EC13BA">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15</w:t>
            </w:r>
          </w:p>
        </w:tc>
        <w:tc>
          <w:tcPr>
            <w:tcW w:w="445" w:type="dxa"/>
            <w:shd w:val="clear" w:color="auto" w:fill="auto"/>
            <w:vAlign w:val="center"/>
          </w:tcPr>
          <w:p w14:paraId="4483922B">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w:t>
            </w:r>
          </w:p>
        </w:tc>
        <w:tc>
          <w:tcPr>
            <w:tcW w:w="507" w:type="dxa"/>
            <w:shd w:val="clear" w:color="auto" w:fill="auto"/>
            <w:vAlign w:val="center"/>
          </w:tcPr>
          <w:p w14:paraId="0E7594EF">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25</w:t>
            </w:r>
          </w:p>
        </w:tc>
        <w:tc>
          <w:tcPr>
            <w:tcW w:w="676" w:type="dxa"/>
            <w:vMerge w:val="restart"/>
            <w:shd w:val="clear" w:color="auto" w:fill="auto"/>
            <w:vAlign w:val="center"/>
          </w:tcPr>
          <w:p w14:paraId="586744EF">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1000</w:t>
            </w:r>
          </w:p>
        </w:tc>
        <w:tc>
          <w:tcPr>
            <w:tcW w:w="824" w:type="dxa"/>
            <w:shd w:val="clear" w:color="auto" w:fill="auto"/>
            <w:vAlign w:val="center"/>
          </w:tcPr>
          <w:p w14:paraId="7C00A6B5">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一般排放口</w:t>
            </w:r>
          </w:p>
        </w:tc>
      </w:tr>
      <w:tr w14:paraId="71C44C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1" w:type="dxa"/>
            <w:vMerge w:val="continue"/>
            <w:vAlign w:val="center"/>
          </w:tcPr>
          <w:p w14:paraId="751014BA">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p>
        </w:tc>
        <w:tc>
          <w:tcPr>
            <w:tcW w:w="1095" w:type="dxa"/>
            <w:shd w:val="clear" w:color="auto" w:fill="auto"/>
            <w:vAlign w:val="center"/>
          </w:tcPr>
          <w:p w14:paraId="50C47B3F">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颗粒物</w:t>
            </w:r>
          </w:p>
        </w:tc>
        <w:tc>
          <w:tcPr>
            <w:tcW w:w="1073" w:type="dxa"/>
            <w:shd w:val="clear" w:color="auto" w:fill="auto"/>
            <w:vAlign w:val="center"/>
          </w:tcPr>
          <w:p w14:paraId="7EEF4B1E">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产污系数法</w:t>
            </w:r>
          </w:p>
        </w:tc>
        <w:tc>
          <w:tcPr>
            <w:tcW w:w="797" w:type="dxa"/>
            <w:shd w:val="clear" w:color="auto" w:fill="auto"/>
            <w:vAlign w:val="center"/>
          </w:tcPr>
          <w:p w14:paraId="43C60615">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0.0205 </w:t>
            </w:r>
          </w:p>
        </w:tc>
        <w:tc>
          <w:tcPr>
            <w:tcW w:w="797" w:type="dxa"/>
            <w:shd w:val="clear" w:color="auto" w:fill="auto"/>
            <w:vAlign w:val="center"/>
          </w:tcPr>
          <w:p w14:paraId="7116F699">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0.0205 </w:t>
            </w:r>
          </w:p>
        </w:tc>
        <w:tc>
          <w:tcPr>
            <w:tcW w:w="843" w:type="dxa"/>
            <w:shd w:val="clear" w:color="auto" w:fill="auto"/>
            <w:vAlign w:val="center"/>
          </w:tcPr>
          <w:p w14:paraId="2BAA397C">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843" w:type="dxa"/>
            <w:shd w:val="clear" w:color="auto" w:fill="auto"/>
            <w:vAlign w:val="center"/>
          </w:tcPr>
          <w:p w14:paraId="525F9833">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无组织</w:t>
            </w:r>
          </w:p>
        </w:tc>
        <w:tc>
          <w:tcPr>
            <w:tcW w:w="731" w:type="dxa"/>
            <w:shd w:val="clear" w:color="auto" w:fill="auto"/>
            <w:vAlign w:val="center"/>
          </w:tcPr>
          <w:p w14:paraId="23F19615">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1186" w:type="dxa"/>
            <w:shd w:val="clear" w:color="auto" w:fill="auto"/>
            <w:vAlign w:val="center"/>
          </w:tcPr>
          <w:p w14:paraId="3B459C82">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613" w:type="dxa"/>
            <w:shd w:val="clear" w:color="auto" w:fill="auto"/>
            <w:vAlign w:val="center"/>
          </w:tcPr>
          <w:p w14:paraId="209B8402">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606" w:type="dxa"/>
            <w:shd w:val="clear" w:color="auto" w:fill="auto"/>
            <w:vAlign w:val="center"/>
          </w:tcPr>
          <w:p w14:paraId="09BD436F">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881" w:type="dxa"/>
            <w:shd w:val="clear" w:color="auto" w:fill="auto"/>
            <w:vAlign w:val="center"/>
          </w:tcPr>
          <w:p w14:paraId="2258D980">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736" w:type="dxa"/>
            <w:shd w:val="clear" w:color="auto" w:fill="auto"/>
            <w:vAlign w:val="center"/>
          </w:tcPr>
          <w:p w14:paraId="5F2A757F">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0.0205 </w:t>
            </w:r>
          </w:p>
        </w:tc>
        <w:tc>
          <w:tcPr>
            <w:tcW w:w="721" w:type="dxa"/>
            <w:shd w:val="clear" w:color="auto" w:fill="auto"/>
            <w:vAlign w:val="center"/>
          </w:tcPr>
          <w:p w14:paraId="00923D1E">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0.0205 </w:t>
            </w:r>
          </w:p>
        </w:tc>
        <w:tc>
          <w:tcPr>
            <w:tcW w:w="797" w:type="dxa"/>
            <w:shd w:val="clear" w:color="auto" w:fill="auto"/>
            <w:vAlign w:val="center"/>
          </w:tcPr>
          <w:p w14:paraId="459AADE0">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797" w:type="dxa"/>
            <w:shd w:val="clear" w:color="auto" w:fill="auto"/>
            <w:vAlign w:val="center"/>
          </w:tcPr>
          <w:p w14:paraId="131EA13F">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415" w:type="dxa"/>
            <w:shd w:val="clear" w:color="auto" w:fill="auto"/>
            <w:vAlign w:val="center"/>
          </w:tcPr>
          <w:p w14:paraId="4ABF2F1C">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445" w:type="dxa"/>
            <w:shd w:val="clear" w:color="auto" w:fill="auto"/>
            <w:vAlign w:val="center"/>
          </w:tcPr>
          <w:p w14:paraId="5D4D8FF6">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507" w:type="dxa"/>
            <w:shd w:val="clear" w:color="auto" w:fill="auto"/>
            <w:vAlign w:val="center"/>
          </w:tcPr>
          <w:p w14:paraId="7A751F08">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676" w:type="dxa"/>
            <w:vMerge w:val="continue"/>
            <w:shd w:val="clear" w:color="auto" w:fill="auto"/>
            <w:vAlign w:val="center"/>
          </w:tcPr>
          <w:p w14:paraId="186F3FF2">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p>
        </w:tc>
        <w:tc>
          <w:tcPr>
            <w:tcW w:w="824" w:type="dxa"/>
            <w:shd w:val="clear" w:color="auto" w:fill="auto"/>
            <w:vAlign w:val="center"/>
          </w:tcPr>
          <w:p w14:paraId="6F2DACDE">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w:t>
            </w:r>
          </w:p>
        </w:tc>
      </w:tr>
      <w:tr w14:paraId="04AA33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1" w:type="dxa"/>
            <w:vMerge w:val="restart"/>
            <w:vAlign w:val="center"/>
          </w:tcPr>
          <w:p w14:paraId="67D17BA2">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磨边</w:t>
            </w:r>
          </w:p>
        </w:tc>
        <w:tc>
          <w:tcPr>
            <w:tcW w:w="1095" w:type="dxa"/>
            <w:shd w:val="clear" w:color="auto" w:fill="auto"/>
            <w:vAlign w:val="center"/>
          </w:tcPr>
          <w:p w14:paraId="50C2F01B">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颗粒物</w:t>
            </w:r>
          </w:p>
        </w:tc>
        <w:tc>
          <w:tcPr>
            <w:tcW w:w="1073" w:type="dxa"/>
            <w:shd w:val="clear" w:color="auto" w:fill="auto"/>
            <w:vAlign w:val="center"/>
          </w:tcPr>
          <w:p w14:paraId="0811AB69">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产污系数法</w:t>
            </w:r>
          </w:p>
        </w:tc>
        <w:tc>
          <w:tcPr>
            <w:tcW w:w="797" w:type="dxa"/>
            <w:shd w:val="clear" w:color="auto" w:fill="auto"/>
            <w:vAlign w:val="center"/>
          </w:tcPr>
          <w:p w14:paraId="0A8696EC">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1.9620 </w:t>
            </w:r>
          </w:p>
        </w:tc>
        <w:tc>
          <w:tcPr>
            <w:tcW w:w="797" w:type="dxa"/>
            <w:shd w:val="clear" w:color="auto" w:fill="auto"/>
            <w:vAlign w:val="center"/>
          </w:tcPr>
          <w:p w14:paraId="0EF43E88">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0.4360 </w:t>
            </w:r>
          </w:p>
        </w:tc>
        <w:tc>
          <w:tcPr>
            <w:tcW w:w="843" w:type="dxa"/>
            <w:shd w:val="clear" w:color="auto" w:fill="auto"/>
            <w:vAlign w:val="center"/>
          </w:tcPr>
          <w:p w14:paraId="3A34F276">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43.60 </w:t>
            </w:r>
          </w:p>
        </w:tc>
        <w:tc>
          <w:tcPr>
            <w:tcW w:w="843" w:type="dxa"/>
            <w:shd w:val="clear" w:color="auto" w:fill="auto"/>
            <w:vAlign w:val="center"/>
          </w:tcPr>
          <w:p w14:paraId="46A4302C">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有组织</w:t>
            </w:r>
          </w:p>
        </w:tc>
        <w:tc>
          <w:tcPr>
            <w:tcW w:w="731" w:type="dxa"/>
            <w:shd w:val="clear" w:color="auto" w:fill="auto"/>
            <w:vAlign w:val="center"/>
          </w:tcPr>
          <w:p w14:paraId="1105AE60">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10000</w:t>
            </w:r>
          </w:p>
        </w:tc>
        <w:tc>
          <w:tcPr>
            <w:tcW w:w="1186" w:type="dxa"/>
            <w:shd w:val="clear" w:color="auto" w:fill="auto"/>
            <w:vAlign w:val="center"/>
          </w:tcPr>
          <w:p w14:paraId="5C96C436">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袋式除尘装置</w:t>
            </w:r>
          </w:p>
        </w:tc>
        <w:tc>
          <w:tcPr>
            <w:tcW w:w="613" w:type="dxa"/>
            <w:shd w:val="clear" w:color="auto" w:fill="auto"/>
            <w:vAlign w:val="center"/>
          </w:tcPr>
          <w:p w14:paraId="77BA3A44">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90</w:t>
            </w:r>
          </w:p>
        </w:tc>
        <w:tc>
          <w:tcPr>
            <w:tcW w:w="606" w:type="dxa"/>
            <w:shd w:val="clear" w:color="auto" w:fill="auto"/>
            <w:vAlign w:val="center"/>
          </w:tcPr>
          <w:p w14:paraId="30BFC6E8">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99</w:t>
            </w:r>
          </w:p>
        </w:tc>
        <w:tc>
          <w:tcPr>
            <w:tcW w:w="881" w:type="dxa"/>
            <w:shd w:val="clear" w:color="auto" w:fill="auto"/>
            <w:vAlign w:val="center"/>
          </w:tcPr>
          <w:p w14:paraId="427F3A85">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是</w:t>
            </w:r>
          </w:p>
        </w:tc>
        <w:tc>
          <w:tcPr>
            <w:tcW w:w="736" w:type="dxa"/>
            <w:shd w:val="clear" w:color="auto" w:fill="auto"/>
            <w:vAlign w:val="center"/>
          </w:tcPr>
          <w:p w14:paraId="545D47F7">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0.0196 </w:t>
            </w:r>
          </w:p>
        </w:tc>
        <w:tc>
          <w:tcPr>
            <w:tcW w:w="721" w:type="dxa"/>
            <w:shd w:val="clear" w:color="auto" w:fill="auto"/>
            <w:vAlign w:val="center"/>
          </w:tcPr>
          <w:p w14:paraId="445982FD">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0.0044 </w:t>
            </w:r>
          </w:p>
        </w:tc>
        <w:tc>
          <w:tcPr>
            <w:tcW w:w="797" w:type="dxa"/>
            <w:shd w:val="clear" w:color="auto" w:fill="auto"/>
            <w:vAlign w:val="center"/>
          </w:tcPr>
          <w:p w14:paraId="7D5FF5BC">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0.44 </w:t>
            </w:r>
          </w:p>
        </w:tc>
        <w:tc>
          <w:tcPr>
            <w:tcW w:w="797" w:type="dxa"/>
            <w:shd w:val="clear" w:color="auto" w:fill="auto"/>
            <w:vAlign w:val="center"/>
          </w:tcPr>
          <w:p w14:paraId="52CA43B4">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bCs/>
                <w:color w:val="auto"/>
                <w:sz w:val="21"/>
                <w:szCs w:val="21"/>
                <w:lang w:val="en-US" w:eastAsia="zh-CN"/>
              </w:rPr>
              <w:t>DA002</w:t>
            </w:r>
          </w:p>
        </w:tc>
        <w:tc>
          <w:tcPr>
            <w:tcW w:w="415" w:type="dxa"/>
            <w:shd w:val="clear" w:color="auto" w:fill="auto"/>
            <w:vAlign w:val="center"/>
          </w:tcPr>
          <w:p w14:paraId="6212F838">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15</w:t>
            </w:r>
          </w:p>
        </w:tc>
        <w:tc>
          <w:tcPr>
            <w:tcW w:w="445" w:type="dxa"/>
            <w:shd w:val="clear" w:color="auto" w:fill="auto"/>
            <w:vAlign w:val="center"/>
          </w:tcPr>
          <w:p w14:paraId="07655F73">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0.6</w:t>
            </w:r>
          </w:p>
        </w:tc>
        <w:tc>
          <w:tcPr>
            <w:tcW w:w="507" w:type="dxa"/>
            <w:shd w:val="clear" w:color="auto" w:fill="auto"/>
            <w:vAlign w:val="center"/>
          </w:tcPr>
          <w:p w14:paraId="7D15580B">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sz w:val="21"/>
                <w:szCs w:val="21"/>
                <w:lang w:val="en-US" w:eastAsia="zh-CN"/>
              </w:rPr>
              <w:t>25</w:t>
            </w:r>
          </w:p>
        </w:tc>
        <w:tc>
          <w:tcPr>
            <w:tcW w:w="676" w:type="dxa"/>
            <w:vMerge w:val="restart"/>
            <w:shd w:val="clear" w:color="auto" w:fill="auto"/>
            <w:vAlign w:val="center"/>
          </w:tcPr>
          <w:p w14:paraId="7A3BB41F">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4500</w:t>
            </w:r>
          </w:p>
        </w:tc>
        <w:tc>
          <w:tcPr>
            <w:tcW w:w="824" w:type="dxa"/>
            <w:shd w:val="clear" w:color="auto" w:fill="auto"/>
            <w:vAlign w:val="center"/>
          </w:tcPr>
          <w:p w14:paraId="09B44193">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一般排放口</w:t>
            </w:r>
          </w:p>
        </w:tc>
      </w:tr>
      <w:tr w14:paraId="28997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1" w:type="dxa"/>
            <w:vMerge w:val="continue"/>
            <w:vAlign w:val="center"/>
          </w:tcPr>
          <w:p w14:paraId="0A8849AA">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p>
        </w:tc>
        <w:tc>
          <w:tcPr>
            <w:tcW w:w="1095" w:type="dxa"/>
            <w:vAlign w:val="center"/>
          </w:tcPr>
          <w:p w14:paraId="40281339">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颗粒物</w:t>
            </w:r>
          </w:p>
        </w:tc>
        <w:tc>
          <w:tcPr>
            <w:tcW w:w="1073" w:type="dxa"/>
            <w:vAlign w:val="center"/>
          </w:tcPr>
          <w:p w14:paraId="4D7D1B22">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产污系数法</w:t>
            </w:r>
          </w:p>
        </w:tc>
        <w:tc>
          <w:tcPr>
            <w:tcW w:w="797" w:type="dxa"/>
            <w:vAlign w:val="center"/>
          </w:tcPr>
          <w:p w14:paraId="20528DE2">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0.2180 </w:t>
            </w:r>
          </w:p>
        </w:tc>
        <w:tc>
          <w:tcPr>
            <w:tcW w:w="797" w:type="dxa"/>
            <w:vAlign w:val="center"/>
          </w:tcPr>
          <w:p w14:paraId="0BB7EFB6">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0.0484 </w:t>
            </w:r>
          </w:p>
        </w:tc>
        <w:tc>
          <w:tcPr>
            <w:tcW w:w="843" w:type="dxa"/>
            <w:shd w:val="clear" w:color="auto" w:fill="auto"/>
            <w:vAlign w:val="center"/>
          </w:tcPr>
          <w:p w14:paraId="2386C88C">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843" w:type="dxa"/>
            <w:shd w:val="clear" w:color="auto" w:fill="auto"/>
            <w:vAlign w:val="center"/>
          </w:tcPr>
          <w:p w14:paraId="3E30271C">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无组织</w:t>
            </w:r>
          </w:p>
        </w:tc>
        <w:tc>
          <w:tcPr>
            <w:tcW w:w="731" w:type="dxa"/>
            <w:shd w:val="clear" w:color="auto" w:fill="auto"/>
            <w:vAlign w:val="center"/>
          </w:tcPr>
          <w:p w14:paraId="25843372">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1186" w:type="dxa"/>
            <w:shd w:val="clear" w:color="auto" w:fill="auto"/>
            <w:vAlign w:val="center"/>
          </w:tcPr>
          <w:p w14:paraId="04745B7D">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613" w:type="dxa"/>
            <w:shd w:val="clear" w:color="auto" w:fill="auto"/>
            <w:vAlign w:val="center"/>
          </w:tcPr>
          <w:p w14:paraId="27EA03B6">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606" w:type="dxa"/>
            <w:shd w:val="clear" w:color="auto" w:fill="auto"/>
            <w:vAlign w:val="center"/>
          </w:tcPr>
          <w:p w14:paraId="3CA69398">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881" w:type="dxa"/>
            <w:shd w:val="clear" w:color="auto" w:fill="auto"/>
            <w:vAlign w:val="center"/>
          </w:tcPr>
          <w:p w14:paraId="1AB5015E">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736" w:type="dxa"/>
            <w:shd w:val="clear" w:color="auto" w:fill="auto"/>
            <w:vAlign w:val="center"/>
          </w:tcPr>
          <w:p w14:paraId="0BEA6553">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0.2180 </w:t>
            </w:r>
          </w:p>
        </w:tc>
        <w:tc>
          <w:tcPr>
            <w:tcW w:w="721" w:type="dxa"/>
            <w:shd w:val="clear" w:color="auto" w:fill="auto"/>
            <w:vAlign w:val="center"/>
          </w:tcPr>
          <w:p w14:paraId="769D3661">
            <w:pPr>
              <w:keepNext w:val="0"/>
              <w:keepLines w:val="0"/>
              <w:pageBreakBefore w:val="0"/>
              <w:widowControl/>
              <w:suppressLineNumbers w:val="0"/>
              <w:kinsoku/>
              <w:wordWrap/>
              <w:overflowPunct/>
              <w:topLinePunct w:val="0"/>
              <w:autoSpaceDE/>
              <w:autoSpaceDN/>
              <w:bidi w:val="0"/>
              <w:adjustRightInd/>
              <w:ind w:left="-105" w:leftChars="-50" w:right="-105" w:rightChars="-5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0.0484 </w:t>
            </w:r>
          </w:p>
        </w:tc>
        <w:tc>
          <w:tcPr>
            <w:tcW w:w="797" w:type="dxa"/>
            <w:shd w:val="clear" w:color="auto" w:fill="auto"/>
            <w:vAlign w:val="center"/>
          </w:tcPr>
          <w:p w14:paraId="18B07B84">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797" w:type="dxa"/>
            <w:shd w:val="clear" w:color="auto" w:fill="auto"/>
            <w:vAlign w:val="center"/>
          </w:tcPr>
          <w:p w14:paraId="538A555A">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415" w:type="dxa"/>
            <w:shd w:val="clear" w:color="auto" w:fill="auto"/>
            <w:vAlign w:val="center"/>
          </w:tcPr>
          <w:p w14:paraId="5255933D">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445" w:type="dxa"/>
            <w:shd w:val="clear" w:color="auto" w:fill="auto"/>
            <w:vAlign w:val="center"/>
          </w:tcPr>
          <w:p w14:paraId="7E577EFB">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507" w:type="dxa"/>
            <w:shd w:val="clear" w:color="auto" w:fill="auto"/>
            <w:vAlign w:val="center"/>
          </w:tcPr>
          <w:p w14:paraId="09DF0AC4">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c>
          <w:tcPr>
            <w:tcW w:w="676" w:type="dxa"/>
            <w:vMerge w:val="continue"/>
            <w:vAlign w:val="center"/>
          </w:tcPr>
          <w:p w14:paraId="2F0A2207">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sz w:val="21"/>
                <w:szCs w:val="21"/>
                <w:lang w:val="en-US" w:eastAsia="zh-CN"/>
              </w:rPr>
            </w:pPr>
          </w:p>
        </w:tc>
        <w:tc>
          <w:tcPr>
            <w:tcW w:w="824" w:type="dxa"/>
            <w:shd w:val="clear" w:color="auto" w:fill="auto"/>
            <w:vAlign w:val="center"/>
          </w:tcPr>
          <w:p w14:paraId="03BBA8D1">
            <w:pPr>
              <w:keepNext w:val="0"/>
              <w:keepLines w:val="0"/>
              <w:pageBreakBefore w:val="0"/>
              <w:kinsoku/>
              <w:wordWrap/>
              <w:overflowPunct/>
              <w:topLinePunct w:val="0"/>
              <w:autoSpaceDE/>
              <w:autoSpaceDN/>
              <w:bidi w:val="0"/>
              <w:adjustRightInd/>
              <w:snapToGrid w:val="0"/>
              <w:spacing w:line="240" w:lineRule="auto"/>
              <w:ind w:left="-105" w:leftChars="-50" w:right="-105" w:rightChars="-50"/>
              <w:jc w:val="center"/>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w:t>
            </w:r>
          </w:p>
        </w:tc>
      </w:tr>
      <w:tr w14:paraId="28680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874" w:type="dxa"/>
            <w:gridSpan w:val="21"/>
            <w:vAlign w:val="center"/>
          </w:tcPr>
          <w:p w14:paraId="06ACA48F">
            <w:pPr>
              <w:keepNext w:val="0"/>
              <w:keepLines w:val="0"/>
              <w:pageBreakBefore w:val="0"/>
              <w:widowControl w:val="0"/>
              <w:kinsoku/>
              <w:wordWrap/>
              <w:overflowPunct/>
              <w:topLinePunct w:val="0"/>
              <w:autoSpaceDE/>
              <w:autoSpaceDN/>
              <w:bidi w:val="0"/>
              <w:adjustRightInd/>
              <w:snapToGrid w:val="0"/>
              <w:ind w:left="-105" w:leftChars="-50" w:right="-105" w:rightChars="-50" w:firstLine="422" w:firstLineChars="200"/>
              <w:textAlignment w:val="auto"/>
              <w:rPr>
                <w:rFonts w:hint="default"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注：</w:t>
            </w:r>
            <w:r>
              <w:rPr>
                <w:rFonts w:ascii="Times New Roman" w:hAnsi="Times New Roman" w:eastAsia="宋体" w:cs="Times New Roman"/>
                <w:b w:val="0"/>
                <w:bCs w:val="0"/>
                <w:color w:val="auto"/>
                <w:sz w:val="21"/>
                <w:szCs w:val="21"/>
                <w:highlight w:val="none"/>
              </w:rPr>
              <w:t>①《吸附法工业有机废气治理工程技术规范》（HJ2026-2013）：</w:t>
            </w:r>
            <w:r>
              <w:rPr>
                <w:rFonts w:hint="eastAsia"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6.3.2.4当废气温度较高时，采用换热或稀释等方式调节满足4.4的要求</w:t>
            </w:r>
            <w:r>
              <w:rPr>
                <w:rFonts w:hint="eastAsia" w:ascii="Times New Roman" w:hAnsi="Times New Roman" w:eastAsia="宋体" w:cs="Times New Roman"/>
                <w:b w:val="0"/>
                <w:bCs w:val="0"/>
                <w:color w:val="auto"/>
                <w:sz w:val="21"/>
                <w:szCs w:val="21"/>
                <w:highlight w:val="none"/>
                <w:lang w:eastAsia="zh-CN"/>
              </w:rPr>
              <w:t>。</w:t>
            </w:r>
            <w:r>
              <w:rPr>
                <w:rFonts w:hint="eastAsia" w:ascii="Times New Roman" w:hAnsi="Times New Roman" w:eastAsia="宋体" w:cs="Times New Roman"/>
                <w:b w:val="0"/>
                <w:bCs w:val="0"/>
                <w:color w:val="auto"/>
                <w:sz w:val="21"/>
                <w:szCs w:val="21"/>
                <w:highlight w:val="none"/>
              </w:rPr>
              <w:t>”</w:t>
            </w:r>
            <w:r>
              <w:rPr>
                <w:rFonts w:ascii="Times New Roman" w:hAnsi="Times New Roman" w:eastAsia="宋体" w:cs="Times New Roman"/>
                <w:b w:val="0"/>
                <w:bCs w:val="0"/>
                <w:color w:val="auto"/>
                <w:sz w:val="21"/>
                <w:szCs w:val="21"/>
                <w:highlight w:val="none"/>
              </w:rPr>
              <w:t>本项目</w:t>
            </w:r>
            <w:r>
              <w:rPr>
                <w:rFonts w:hint="eastAsia" w:ascii="Times New Roman" w:hAnsi="Times New Roman" w:eastAsia="宋体" w:cs="Times New Roman"/>
                <w:b w:val="0"/>
                <w:bCs w:val="0"/>
                <w:color w:val="auto"/>
                <w:sz w:val="21"/>
                <w:szCs w:val="21"/>
                <w:highlight w:val="none"/>
                <w:lang w:val="en-US" w:eastAsia="zh-CN"/>
              </w:rPr>
              <w:t>烤料、热压成型工序处理装置</w:t>
            </w:r>
            <w:r>
              <w:rPr>
                <w:rFonts w:hint="eastAsia" w:ascii="Times New Roman" w:hAnsi="Times New Roman" w:eastAsia="宋体" w:cs="Times New Roman"/>
                <w:b w:val="0"/>
                <w:bCs w:val="0"/>
                <w:color w:val="auto"/>
                <w:sz w:val="21"/>
                <w:szCs w:val="21"/>
                <w:highlight w:val="none"/>
                <w:lang w:eastAsia="zh-CN"/>
              </w:rPr>
              <w:t>“</w:t>
            </w:r>
            <w:r>
              <w:rPr>
                <w:rFonts w:hint="eastAsia" w:ascii="Times New Roman" w:hAnsi="Times New Roman" w:eastAsia="宋体" w:cs="Times New Roman"/>
                <w:b w:val="0"/>
                <w:bCs w:val="0"/>
                <w:color w:val="auto"/>
                <w:sz w:val="21"/>
                <w:szCs w:val="21"/>
                <w:highlight w:val="none"/>
                <w:lang w:val="en-US" w:eastAsia="zh-CN"/>
              </w:rPr>
              <w:t>两级活性炭吸附</w:t>
            </w:r>
            <w:r>
              <w:rPr>
                <w:rFonts w:hint="eastAsia" w:ascii="Times New Roman" w:hAnsi="Times New Roman" w:eastAsia="宋体" w:cs="Times New Roman"/>
                <w:b w:val="0"/>
                <w:bCs w:val="0"/>
                <w:color w:val="auto"/>
                <w:sz w:val="21"/>
                <w:szCs w:val="21"/>
                <w:highlight w:val="none"/>
                <w:lang w:eastAsia="zh-CN"/>
              </w:rPr>
              <w:t>”</w:t>
            </w:r>
            <w:r>
              <w:rPr>
                <w:rFonts w:hint="eastAsia" w:ascii="Times New Roman" w:hAnsi="Times New Roman" w:eastAsia="宋体" w:cs="Times New Roman"/>
                <w:b w:val="0"/>
                <w:bCs w:val="0"/>
                <w:color w:val="auto"/>
                <w:sz w:val="21"/>
                <w:szCs w:val="21"/>
                <w:highlight w:val="none"/>
                <w:lang w:val="en-US" w:eastAsia="zh-CN"/>
              </w:rPr>
              <w:t>前设置“换热器”对废气进行降温</w:t>
            </w:r>
            <w:r>
              <w:rPr>
                <w:rFonts w:ascii="Times New Roman" w:hAnsi="Times New Roman" w:eastAsia="宋体" w:cs="Times New Roman"/>
                <w:b w:val="0"/>
                <w:bCs w:val="0"/>
                <w:color w:val="auto"/>
                <w:sz w:val="21"/>
                <w:szCs w:val="21"/>
                <w:highlight w:val="none"/>
              </w:rPr>
              <w:t>。</w:t>
            </w:r>
          </w:p>
          <w:p w14:paraId="4772EC95">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840" w:firstLineChars="400"/>
              <w:textAlignment w:val="auto"/>
              <w:rPr>
                <w:rFonts w:ascii="Times New Roman" w:hAnsi="Times New Roman" w:eastAsia="宋体" w:cs="Times New Roman"/>
                <w:b w:val="0"/>
                <w:bCs w:val="0"/>
                <w:color w:val="auto"/>
                <w:sz w:val="21"/>
                <w:szCs w:val="21"/>
                <w:highlight w:val="none"/>
              </w:rPr>
            </w:pPr>
            <w:r>
              <w:rPr>
                <w:rFonts w:hint="eastAsia" w:ascii="Times New Roman" w:hAnsi="Times New Roman" w:eastAsia="宋体" w:cs="Times New Roman"/>
                <w:b w:val="0"/>
                <w:bCs w:val="0"/>
                <w:color w:val="auto"/>
                <w:sz w:val="21"/>
                <w:szCs w:val="21"/>
                <w:highlight w:val="none"/>
              </w:rPr>
              <w:t>②</w:t>
            </w:r>
            <w:r>
              <w:rPr>
                <w:rFonts w:ascii="Times New Roman" w:hAnsi="Times New Roman" w:eastAsia="宋体" w:cs="Times New Roman"/>
                <w:b w:val="0"/>
                <w:bCs w:val="0"/>
                <w:color w:val="auto"/>
                <w:sz w:val="21"/>
                <w:szCs w:val="21"/>
                <w:highlight w:val="none"/>
              </w:rPr>
              <w:t>《吸附法工业有机废气治理工程技术规范》（HJ2026-2013）：</w:t>
            </w:r>
            <w:r>
              <w:rPr>
                <w:rFonts w:hint="eastAsia" w:ascii="宋体" w:hAnsi="宋体" w:eastAsia="宋体" w:cs="宋体"/>
                <w:b w:val="0"/>
                <w:bCs w:val="0"/>
                <w:color w:val="auto"/>
                <w:sz w:val="21"/>
                <w:szCs w:val="21"/>
                <w:highlight w:val="none"/>
              </w:rPr>
              <w:t>“</w:t>
            </w:r>
            <w:r>
              <w:rPr>
                <w:rFonts w:ascii="Times New Roman" w:hAnsi="Times New Roman" w:eastAsia="宋体" w:cs="Times New Roman"/>
                <w:b w:val="0"/>
                <w:bCs w:val="0"/>
                <w:color w:val="auto"/>
                <w:sz w:val="21"/>
                <w:szCs w:val="21"/>
                <w:highlight w:val="none"/>
              </w:rPr>
              <w:t>6.1.3吸附装置的净化效率不得低于90%</w:t>
            </w:r>
            <w:r>
              <w:rPr>
                <w:rFonts w:hint="eastAsia" w:ascii="Times New Roman" w:hAnsi="Times New Roman" w:eastAsia="宋体" w:cs="Times New Roman"/>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w:t>
            </w:r>
            <w:r>
              <w:rPr>
                <w:rFonts w:ascii="Times New Roman" w:hAnsi="Times New Roman" w:eastAsia="宋体" w:cs="Times New Roman"/>
                <w:b w:val="0"/>
                <w:bCs w:val="0"/>
                <w:color w:val="auto"/>
                <w:sz w:val="21"/>
                <w:szCs w:val="21"/>
                <w:highlight w:val="none"/>
              </w:rPr>
              <w:t>本项目</w:t>
            </w:r>
            <w:r>
              <w:rPr>
                <w:rFonts w:hint="eastAsia" w:ascii="Times New Roman" w:hAnsi="Times New Roman" w:eastAsia="宋体" w:cs="Times New Roman"/>
                <w:b w:val="0"/>
                <w:bCs w:val="0"/>
                <w:color w:val="auto"/>
                <w:sz w:val="21"/>
                <w:szCs w:val="21"/>
                <w:highlight w:val="none"/>
                <w:lang w:eastAsia="zh-CN"/>
              </w:rPr>
              <w:t>“</w:t>
            </w:r>
            <w:r>
              <w:rPr>
                <w:rFonts w:hint="eastAsia" w:ascii="Times New Roman" w:hAnsi="Times New Roman" w:eastAsia="宋体" w:cs="Times New Roman"/>
                <w:b w:val="0"/>
                <w:bCs w:val="0"/>
                <w:color w:val="auto"/>
                <w:sz w:val="21"/>
                <w:szCs w:val="21"/>
                <w:highlight w:val="none"/>
                <w:lang w:val="en-US" w:eastAsia="zh-CN"/>
              </w:rPr>
              <w:t>两级活性炭吸附箱</w:t>
            </w:r>
            <w:r>
              <w:rPr>
                <w:rFonts w:hint="eastAsia" w:ascii="Times New Roman" w:hAnsi="Times New Roman" w:eastAsia="宋体" w:cs="Times New Roman"/>
                <w:b w:val="0"/>
                <w:bCs w:val="0"/>
                <w:color w:val="auto"/>
                <w:sz w:val="21"/>
                <w:szCs w:val="21"/>
                <w:highlight w:val="none"/>
                <w:lang w:eastAsia="zh-CN"/>
              </w:rPr>
              <w:t>”</w:t>
            </w:r>
            <w:r>
              <w:rPr>
                <w:rFonts w:hint="eastAsia" w:ascii="Times New Roman" w:hAnsi="Times New Roman" w:eastAsia="宋体" w:cs="Times New Roman"/>
                <w:b w:val="0"/>
                <w:bCs w:val="0"/>
                <w:color w:val="auto"/>
                <w:sz w:val="21"/>
                <w:szCs w:val="21"/>
                <w:highlight w:val="none"/>
                <w:lang w:val="en-US" w:eastAsia="zh-CN"/>
              </w:rPr>
              <w:t>对挥发性有机物（VOCs）的</w:t>
            </w:r>
            <w:r>
              <w:rPr>
                <w:rFonts w:ascii="Times New Roman" w:hAnsi="Times New Roman" w:eastAsia="宋体" w:cs="Times New Roman"/>
                <w:b w:val="0"/>
                <w:bCs w:val="0"/>
                <w:color w:val="auto"/>
                <w:sz w:val="21"/>
                <w:szCs w:val="21"/>
                <w:highlight w:val="none"/>
              </w:rPr>
              <w:t>净化效率</w:t>
            </w:r>
            <w:r>
              <w:rPr>
                <w:rFonts w:hint="eastAsia" w:ascii="Times New Roman" w:hAnsi="Times New Roman" w:eastAsia="宋体" w:cs="Times New Roman"/>
                <w:b w:val="0"/>
                <w:bCs w:val="0"/>
                <w:color w:val="auto"/>
                <w:sz w:val="21"/>
                <w:szCs w:val="21"/>
                <w:highlight w:val="none"/>
                <w:lang w:val="en-US" w:eastAsia="zh-CN"/>
              </w:rPr>
              <w:t>设计</w:t>
            </w:r>
            <w:r>
              <w:rPr>
                <w:rFonts w:ascii="Times New Roman" w:hAnsi="Times New Roman" w:eastAsia="宋体" w:cs="Times New Roman"/>
                <w:b w:val="0"/>
                <w:bCs w:val="0"/>
                <w:color w:val="auto"/>
                <w:sz w:val="21"/>
                <w:szCs w:val="21"/>
                <w:highlight w:val="none"/>
              </w:rPr>
              <w:t>为90%。</w:t>
            </w:r>
          </w:p>
          <w:p w14:paraId="1BF9E8C2">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840" w:firstLineChars="400"/>
              <w:textAlignment w:val="auto"/>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rPr>
              <w:t>③</w:t>
            </w:r>
            <w:r>
              <w:rPr>
                <w:rFonts w:ascii="Times New Roman" w:hAnsi="Times New Roman" w:eastAsia="宋体" w:cs="Times New Roman"/>
                <w:b w:val="0"/>
                <w:bCs w:val="0"/>
                <w:color w:val="auto"/>
                <w:sz w:val="21"/>
                <w:szCs w:val="21"/>
                <w:highlight w:val="none"/>
              </w:rPr>
              <w:t>《吸附法工业有机废气治理工程技术规范》（HJ2026-2013）：</w:t>
            </w:r>
            <w:r>
              <w:rPr>
                <w:rFonts w:hint="eastAsia" w:ascii="Times New Roman" w:hAnsi="Times New Roman" w:eastAsia="宋体" w:cs="Times New Roman"/>
                <w:b w:val="0"/>
                <w:bCs w:val="0"/>
                <w:color w:val="auto"/>
                <w:sz w:val="21"/>
                <w:szCs w:val="21"/>
                <w:highlight w:val="none"/>
                <w:lang w:eastAsia="zh-CN"/>
              </w:rPr>
              <w:t>“6.3.3.1吸附剂的选择应符合下列规定：d）蜂窝活性炭和蜂窝分子筛的横向强度应不低于0.3MPa，纵向强度应不低于0.8MPa，蜂窝活性炭的BET比表面积应不低于750m</w:t>
            </w:r>
            <w:r>
              <w:rPr>
                <w:rFonts w:hint="eastAsia" w:ascii="Times New Roman" w:hAnsi="Times New Roman" w:eastAsia="宋体" w:cs="Times New Roman"/>
                <w:b w:val="0"/>
                <w:bCs w:val="0"/>
                <w:color w:val="auto"/>
                <w:sz w:val="21"/>
                <w:szCs w:val="21"/>
                <w:highlight w:val="none"/>
                <w:vertAlign w:val="superscript"/>
                <w:lang w:eastAsia="zh-CN"/>
              </w:rPr>
              <w:t>2</w:t>
            </w:r>
            <w:r>
              <w:rPr>
                <w:rFonts w:hint="eastAsia" w:ascii="Times New Roman" w:hAnsi="Times New Roman" w:eastAsia="宋体" w:cs="Times New Roman"/>
                <w:b w:val="0"/>
                <w:bCs w:val="0"/>
                <w:color w:val="auto"/>
                <w:sz w:val="21"/>
                <w:szCs w:val="21"/>
                <w:highlight w:val="none"/>
                <w:lang w:eastAsia="zh-CN"/>
              </w:rPr>
              <w:t>/g，蜂窝分子筛的BET比表面积应不低于350m</w:t>
            </w:r>
            <w:r>
              <w:rPr>
                <w:rFonts w:hint="eastAsia" w:ascii="Times New Roman" w:hAnsi="Times New Roman" w:eastAsia="宋体" w:cs="Times New Roman"/>
                <w:b w:val="0"/>
                <w:bCs w:val="0"/>
                <w:color w:val="auto"/>
                <w:sz w:val="21"/>
                <w:szCs w:val="21"/>
                <w:highlight w:val="none"/>
                <w:vertAlign w:val="superscript"/>
                <w:lang w:eastAsia="zh-CN"/>
              </w:rPr>
              <w:t>2</w:t>
            </w:r>
            <w:r>
              <w:rPr>
                <w:rFonts w:hint="eastAsia" w:ascii="Times New Roman" w:hAnsi="Times New Roman" w:eastAsia="宋体" w:cs="Times New Roman"/>
                <w:b w:val="0"/>
                <w:bCs w:val="0"/>
                <w:color w:val="auto"/>
                <w:sz w:val="21"/>
                <w:szCs w:val="21"/>
                <w:highlight w:val="none"/>
                <w:lang w:eastAsia="zh-CN"/>
              </w:rPr>
              <w:t>/g。”</w:t>
            </w:r>
          </w:p>
          <w:p w14:paraId="114D5202">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840" w:firstLineChars="400"/>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rPr>
              <w:t>④</w:t>
            </w:r>
            <w:r>
              <w:rPr>
                <w:rFonts w:ascii="Times New Roman" w:hAnsi="Times New Roman" w:eastAsia="宋体" w:cs="Times New Roman"/>
                <w:b w:val="0"/>
                <w:bCs w:val="0"/>
                <w:color w:val="auto"/>
                <w:sz w:val="21"/>
                <w:szCs w:val="21"/>
                <w:highlight w:val="none"/>
              </w:rPr>
              <w:t>《吸附法工业有机废气治理工程技术规范》（HJ2026-2013）：</w:t>
            </w:r>
            <w:r>
              <w:rPr>
                <w:rFonts w:hint="eastAsia" w:ascii="Times New Roman" w:hAnsi="Times New Roman" w:eastAsia="宋体" w:cs="Times New Roman"/>
                <w:b w:val="0"/>
                <w:bCs w:val="0"/>
                <w:color w:val="auto"/>
                <w:sz w:val="21"/>
                <w:szCs w:val="21"/>
                <w:highlight w:val="none"/>
              </w:rPr>
              <w:t>“</w:t>
            </w:r>
            <w:r>
              <w:rPr>
                <w:rFonts w:hint="eastAsia" w:ascii="Times New Roman" w:hAnsi="Times New Roman" w:eastAsia="宋体" w:cs="Times New Roman"/>
                <w:b w:val="0"/>
                <w:bCs w:val="0"/>
                <w:color w:val="auto"/>
                <w:sz w:val="21"/>
                <w:szCs w:val="21"/>
                <w:highlight w:val="none"/>
                <w:lang w:val="en-US" w:eastAsia="zh-CN"/>
              </w:rPr>
              <w:t>6.3.3.3固定床吸附装置吸附层的气体流速应根据吸附剂的形态确定。采用颗粒状吸附剂时，气体流速宜低于0.60m/s；采用纤维状吸附剂(活性炭纤维毡)时，气体流速宜低于0.15m/s；采用蜂窝状吸附剂时，气体流速宜低于1.20m/s。</w:t>
            </w:r>
          </w:p>
          <w:p w14:paraId="4CFA1345">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840" w:firstLineChars="400"/>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highlight w:val="none"/>
              </w:rPr>
              <w:t>⑤</w:t>
            </w:r>
            <w:r>
              <w:rPr>
                <w:rFonts w:hint="eastAsia" w:ascii="Times New Roman" w:hAnsi="Times New Roman" w:eastAsia="宋体" w:cs="Times New Roman"/>
                <w:b w:val="0"/>
                <w:bCs w:val="0"/>
                <w:color w:val="auto"/>
                <w:sz w:val="21"/>
                <w:szCs w:val="21"/>
                <w:highlight w:val="none"/>
                <w:lang w:val="en-US" w:eastAsia="zh-CN"/>
              </w:rPr>
              <w:t>《大气污染治理工程技术导则</w:t>
            </w:r>
            <w:r>
              <w:rPr>
                <w:rFonts w:hint="default" w:ascii="Times New Roman" w:hAnsi="Times New Roman" w:eastAsia="宋体" w:cs="Times New Roman"/>
                <w:b w:val="0"/>
                <w:bCs w:val="0"/>
                <w:color w:val="auto"/>
                <w:sz w:val="21"/>
                <w:szCs w:val="21"/>
                <w:highlight w:val="none"/>
                <w:lang w:val="en-US" w:eastAsia="zh-CN"/>
              </w:rPr>
              <w:t>》（HJ2000-2010）</w:t>
            </w:r>
            <w:r>
              <w:rPr>
                <w:rFonts w:hint="eastAsia" w:ascii="Times New Roman" w:hAnsi="Times New Roman" w:eastAsia="宋体" w:cs="Times New Roman"/>
                <w:b w:val="0"/>
                <w:bCs w:val="0"/>
                <w:color w:val="auto"/>
                <w:sz w:val="21"/>
                <w:szCs w:val="21"/>
                <w:highlight w:val="none"/>
                <w:lang w:val="en-US" w:eastAsia="zh-CN"/>
              </w:rPr>
              <w:t>：“5.3.5排气筒的出口直径应根据出口流速确定，流速宜取15m/s左右。当采用钢管烟囱且高度较高时或烟气量较大时，可适当提高出口流速至20m/s～25m/s。”因此，本项目排气筒出口流速经核算介于12m/s～15m/s之间，满足要求。</w:t>
            </w:r>
          </w:p>
        </w:tc>
      </w:tr>
    </w:tbl>
    <w:p w14:paraId="634BE71C">
      <w:pPr>
        <w:jc w:val="both"/>
        <w:rPr>
          <w:rFonts w:hint="default" w:ascii="Times New Roman" w:hAnsi="Times New Roman" w:cs="Times New Roman"/>
          <w:color w:val="auto"/>
          <w:szCs w:val="21"/>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32"/>
        <w:tblW w:w="102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9977"/>
      </w:tblGrid>
      <w:tr w14:paraId="7CF32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38" w:hRule="atLeast"/>
          <w:jc w:val="center"/>
        </w:trPr>
        <w:tc>
          <w:tcPr>
            <w:tcW w:w="311" w:type="dxa"/>
            <w:vAlign w:val="center"/>
          </w:tcPr>
          <w:p w14:paraId="61990E22">
            <w:pPr>
              <w:jc w:val="center"/>
              <w:rPr>
                <w:rFonts w:hint="default" w:ascii="Times New Roman" w:hAnsi="Times New Roman" w:cs="Times New Roman"/>
                <w:color w:val="auto"/>
                <w:szCs w:val="21"/>
              </w:rPr>
            </w:pPr>
            <w:r>
              <w:rPr>
                <w:rFonts w:hint="default" w:ascii="Times New Roman" w:hAnsi="Times New Roman" w:cs="Times New Roman"/>
                <w:color w:val="auto"/>
                <w:sz w:val="18"/>
                <w:szCs w:val="18"/>
              </w:rPr>
              <w:t>运营期环境影响和保护措施</w:t>
            </w:r>
          </w:p>
        </w:tc>
        <w:tc>
          <w:tcPr>
            <w:tcW w:w="9894" w:type="dxa"/>
            <w:vAlign w:val="center"/>
          </w:tcPr>
          <w:p w14:paraId="59DCB851">
            <w:pPr>
              <w:pStyle w:val="54"/>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1.1源强核算</w:t>
            </w:r>
          </w:p>
          <w:p w14:paraId="53EF939C">
            <w:pPr>
              <w:pStyle w:val="54"/>
              <w:spacing w:line="360" w:lineRule="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rPr>
              <w:t>1.1.1</w:t>
            </w:r>
            <w:r>
              <w:rPr>
                <w:rFonts w:hint="default" w:ascii="Times New Roman" w:hAnsi="Times New Roman" w:eastAsia="宋体" w:cs="Times New Roman"/>
                <w:color w:val="auto"/>
                <w:sz w:val="24"/>
                <w:szCs w:val="24"/>
                <w:lang w:val="zh-CN"/>
              </w:rPr>
              <w:t>正常工况下废气排放情况</w:t>
            </w:r>
          </w:p>
          <w:p w14:paraId="74B87A22">
            <w:pPr>
              <w:autoSpaceDE w:val="0"/>
              <w:autoSpaceDN w:val="0"/>
              <w:adjustRightInd w:val="0"/>
              <w:spacing w:line="360" w:lineRule="auto"/>
              <w:ind w:firstLine="480" w:firstLineChars="200"/>
              <w:rPr>
                <w:rFonts w:hint="default" w:ascii="Times New Roman" w:hAnsi="Times New Roman" w:eastAsia="宋体" w:cs="Times New Roman"/>
                <w:b w:val="0"/>
                <w:bCs w:val="0"/>
                <w:color w:val="auto"/>
                <w:sz w:val="24"/>
                <w:szCs w:val="24"/>
                <w:lang w:val="zh-CN"/>
              </w:rPr>
            </w:pPr>
            <w:r>
              <w:rPr>
                <w:rFonts w:hint="default" w:ascii="Times New Roman" w:hAnsi="Times New Roman" w:eastAsia="宋体" w:cs="Times New Roman"/>
                <w:b w:val="0"/>
                <w:bCs w:val="0"/>
                <w:color w:val="auto"/>
                <w:sz w:val="24"/>
                <w:szCs w:val="24"/>
                <w:lang w:val="zh-CN"/>
              </w:rPr>
              <w:t>（</w:t>
            </w:r>
            <w:r>
              <w:rPr>
                <w:rFonts w:hint="default"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zh-CN"/>
              </w:rPr>
              <w:t>）</w:t>
            </w:r>
            <w:r>
              <w:rPr>
                <w:rFonts w:hint="eastAsia" w:ascii="Times New Roman" w:hAnsi="Times New Roman" w:eastAsia="宋体" w:cs="Times New Roman"/>
                <w:b w:val="0"/>
                <w:bCs w:val="0"/>
                <w:color w:val="auto"/>
                <w:sz w:val="24"/>
                <w:szCs w:val="24"/>
                <w:lang w:val="en-US" w:eastAsia="zh-CN"/>
              </w:rPr>
              <w:t>烤料、热压成型-非甲烷总烃、甲醛</w:t>
            </w:r>
            <w:r>
              <w:rPr>
                <w:rFonts w:hint="default" w:ascii="Times New Roman" w:hAnsi="Times New Roman" w:eastAsia="宋体" w:cs="Times New Roman"/>
                <w:b w:val="0"/>
                <w:bCs w:val="0"/>
                <w:color w:val="auto"/>
                <w:sz w:val="24"/>
                <w:szCs w:val="24"/>
                <w:lang w:val="en-US" w:eastAsia="zh-CN"/>
              </w:rPr>
              <w:t>（G</w:t>
            </w:r>
            <w:r>
              <w:rPr>
                <w:rFonts w:hint="default" w:ascii="Times New Roman" w:hAnsi="Times New Roman" w:eastAsia="宋体" w:cs="Times New Roman"/>
                <w:b w:val="0"/>
                <w:bCs w:val="0"/>
                <w:color w:val="auto"/>
                <w:sz w:val="24"/>
                <w:szCs w:val="24"/>
                <w:vertAlign w:val="subscript"/>
                <w:lang w:val="en-US" w:eastAsia="zh-CN"/>
              </w:rPr>
              <w:t>1</w:t>
            </w:r>
            <w:r>
              <w:rPr>
                <w:rFonts w:hint="default" w:ascii="Times New Roman" w:hAnsi="Times New Roman" w:eastAsia="宋体" w:cs="Times New Roman"/>
                <w:b w:val="0"/>
                <w:bCs w:val="0"/>
                <w:color w:val="auto"/>
                <w:sz w:val="24"/>
                <w:szCs w:val="24"/>
                <w:lang w:val="en-US" w:eastAsia="zh-CN"/>
              </w:rPr>
              <w:t>）</w:t>
            </w:r>
          </w:p>
          <w:p w14:paraId="433333F5">
            <w:pPr>
              <w:pStyle w:val="54"/>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zh-CN"/>
              </w:rPr>
              <w:t>本项目</w:t>
            </w:r>
            <w:r>
              <w:rPr>
                <w:rFonts w:hint="eastAsia" w:ascii="Times New Roman" w:hAnsi="Times New Roman" w:eastAsia="宋体" w:cs="Times New Roman"/>
                <w:b w:val="0"/>
                <w:bCs w:val="0"/>
                <w:color w:val="auto"/>
                <w:sz w:val="24"/>
                <w:szCs w:val="24"/>
                <w:lang w:val="en-US" w:eastAsia="zh-CN"/>
              </w:rPr>
              <w:t>烤料、热压成型</w:t>
            </w:r>
            <w:r>
              <w:rPr>
                <w:rFonts w:hint="default" w:ascii="Times New Roman" w:hAnsi="Times New Roman" w:eastAsia="宋体" w:cs="Times New Roman"/>
                <w:color w:val="auto"/>
                <w:lang w:val="en-US" w:eastAsia="zh-CN"/>
              </w:rPr>
              <w:t>工序</w:t>
            </w:r>
            <w:r>
              <w:rPr>
                <w:rFonts w:hint="eastAsia" w:ascii="Times New Roman" w:hAnsi="Times New Roman" w:eastAsia="宋体" w:cs="Times New Roman"/>
                <w:color w:val="auto"/>
                <w:lang w:val="en-US" w:eastAsia="zh-CN"/>
              </w:rPr>
              <w:t>会产生有机废气，以非甲烷总烃表征，同时，使用密胺粉及罩光粉中含有甲醛，故</w:t>
            </w:r>
            <w:r>
              <w:rPr>
                <w:rFonts w:hint="eastAsia" w:ascii="Times New Roman" w:hAnsi="Times New Roman" w:eastAsia="宋体" w:cs="Times New Roman"/>
                <w:b w:val="0"/>
                <w:bCs w:val="0"/>
                <w:color w:val="auto"/>
                <w:sz w:val="24"/>
                <w:szCs w:val="24"/>
                <w:lang w:val="en-US" w:eastAsia="zh-CN"/>
              </w:rPr>
              <w:t>烤料、热压成型产生的废气以</w:t>
            </w:r>
            <w:r>
              <w:rPr>
                <w:rFonts w:hint="eastAsia" w:ascii="Times New Roman" w:hAnsi="Times New Roman" w:eastAsia="宋体" w:cs="Times New Roman"/>
                <w:color w:val="auto"/>
                <w:lang w:val="en-US" w:eastAsia="zh-CN"/>
              </w:rPr>
              <w:t>非甲烷总烃、甲醛计。非甲烷总烃</w:t>
            </w:r>
            <w:r>
              <w:rPr>
                <w:rFonts w:hint="default" w:ascii="Times New Roman" w:hAnsi="Times New Roman" w:eastAsia="宋体" w:cs="Times New Roman"/>
                <w:color w:val="auto"/>
                <w:lang w:val="zh-CN"/>
              </w:rPr>
              <w:t>产排系数参考《排放源统计调查产排污核算方法和系数手册》中“2927日用塑料制品制造行业系数表”，见</w:t>
            </w:r>
            <w:r>
              <w:rPr>
                <w:rFonts w:hint="eastAsia" w:ascii="Times New Roman" w:hAnsi="Times New Roman" w:eastAsia="宋体" w:cs="Times New Roman"/>
                <w:color w:val="auto"/>
                <w:lang w:val="en-US" w:eastAsia="zh-CN"/>
              </w:rPr>
              <w:t>下</w:t>
            </w:r>
            <w:r>
              <w:rPr>
                <w:rFonts w:hint="default" w:ascii="Times New Roman" w:hAnsi="Times New Roman" w:eastAsia="宋体" w:cs="Times New Roman"/>
                <w:color w:val="auto"/>
                <w:lang w:val="zh-CN"/>
              </w:rPr>
              <w:t>表</w:t>
            </w:r>
            <w:r>
              <w:rPr>
                <w:rFonts w:hint="default" w:ascii="Times New Roman" w:hAnsi="Times New Roman" w:eastAsia="宋体" w:cs="Times New Roman"/>
                <w:color w:val="auto"/>
                <w:lang w:val="en-US" w:eastAsia="zh-CN"/>
              </w:rPr>
              <w:t>4.</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zh-CN"/>
              </w:rPr>
              <w:t>。</w:t>
            </w:r>
          </w:p>
          <w:p w14:paraId="2A9F650C">
            <w:pPr>
              <w:pStyle w:val="54"/>
              <w:spacing w:line="240" w:lineRule="auto"/>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b/>
                <w:bCs/>
                <w:color w:val="auto"/>
                <w:sz w:val="21"/>
                <w:szCs w:val="21"/>
                <w:lang w:val="zh-CN"/>
              </w:rPr>
              <w:t>表</w:t>
            </w:r>
            <w:r>
              <w:rPr>
                <w:rFonts w:hint="default" w:ascii="Times New Roman" w:hAnsi="Times New Roman" w:eastAsia="宋体"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2927日用塑料制品制造行业系数表</w:t>
            </w:r>
          </w:p>
          <w:tbl>
            <w:tblPr>
              <w:tblStyle w:val="32"/>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989"/>
              <w:gridCol w:w="776"/>
              <w:gridCol w:w="1245"/>
              <w:gridCol w:w="894"/>
              <w:gridCol w:w="479"/>
              <w:gridCol w:w="1529"/>
              <w:gridCol w:w="1850"/>
              <w:gridCol w:w="1150"/>
            </w:tblGrid>
            <w:tr w14:paraId="2A295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Align w:val="center"/>
                </w:tcPr>
                <w:p w14:paraId="56764470">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工段名称</w:t>
                  </w:r>
                </w:p>
              </w:tc>
              <w:tc>
                <w:tcPr>
                  <w:tcW w:w="1005" w:type="dxa"/>
                  <w:vAlign w:val="center"/>
                </w:tcPr>
                <w:p w14:paraId="60A3692E">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产品名称</w:t>
                  </w:r>
                </w:p>
              </w:tc>
              <w:tc>
                <w:tcPr>
                  <w:tcW w:w="780" w:type="dxa"/>
                  <w:vAlign w:val="center"/>
                </w:tcPr>
                <w:p w14:paraId="2A95FEE7">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原料名称</w:t>
                  </w:r>
                </w:p>
              </w:tc>
              <w:tc>
                <w:tcPr>
                  <w:tcW w:w="1268" w:type="dxa"/>
                  <w:vAlign w:val="center"/>
                </w:tcPr>
                <w:p w14:paraId="151A6CA5">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工艺名称</w:t>
                  </w:r>
                </w:p>
              </w:tc>
              <w:tc>
                <w:tcPr>
                  <w:tcW w:w="907" w:type="dxa"/>
                  <w:vAlign w:val="center"/>
                </w:tcPr>
                <w:p w14:paraId="1454926E">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规模等级</w:t>
                  </w:r>
                </w:p>
              </w:tc>
              <w:tc>
                <w:tcPr>
                  <w:tcW w:w="2040" w:type="dxa"/>
                  <w:gridSpan w:val="2"/>
                  <w:vAlign w:val="center"/>
                </w:tcPr>
                <w:p w14:paraId="45618E81">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污染物指标</w:t>
                  </w:r>
                </w:p>
              </w:tc>
              <w:tc>
                <w:tcPr>
                  <w:tcW w:w="1890" w:type="dxa"/>
                  <w:vAlign w:val="center"/>
                </w:tcPr>
                <w:p w14:paraId="03E6EC84">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单位</w:t>
                  </w:r>
                </w:p>
              </w:tc>
              <w:tc>
                <w:tcPr>
                  <w:tcW w:w="1010" w:type="dxa"/>
                  <w:vAlign w:val="center"/>
                </w:tcPr>
                <w:p w14:paraId="63713078">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产污系数</w:t>
                  </w:r>
                </w:p>
              </w:tc>
            </w:tr>
            <w:tr w14:paraId="0A3A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restart"/>
                  <w:vAlign w:val="center"/>
                </w:tcPr>
                <w:p w14:paraId="63DE6616">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005" w:type="dxa"/>
                  <w:vMerge w:val="restart"/>
                  <w:vAlign w:val="center"/>
                </w:tcPr>
                <w:p w14:paraId="7A10D944">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日用塑料制品</w:t>
                  </w:r>
                </w:p>
              </w:tc>
              <w:tc>
                <w:tcPr>
                  <w:tcW w:w="780" w:type="dxa"/>
                  <w:vMerge w:val="restart"/>
                  <w:vAlign w:val="center"/>
                </w:tcPr>
                <w:p w14:paraId="5370457D">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树脂、助剂</w:t>
                  </w:r>
                </w:p>
              </w:tc>
              <w:tc>
                <w:tcPr>
                  <w:tcW w:w="1268" w:type="dxa"/>
                  <w:vMerge w:val="restart"/>
                  <w:vAlign w:val="center"/>
                </w:tcPr>
                <w:p w14:paraId="3EA88114">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配料-混合-挤出/注塑</w:t>
                  </w:r>
                </w:p>
              </w:tc>
              <w:tc>
                <w:tcPr>
                  <w:tcW w:w="907" w:type="dxa"/>
                  <w:vMerge w:val="restart"/>
                  <w:vAlign w:val="center"/>
                </w:tcPr>
                <w:p w14:paraId="49376331">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所有规模</w:t>
                  </w:r>
                </w:p>
              </w:tc>
              <w:tc>
                <w:tcPr>
                  <w:tcW w:w="480" w:type="dxa"/>
                  <w:vMerge w:val="restart"/>
                  <w:vAlign w:val="center"/>
                </w:tcPr>
                <w:p w14:paraId="3FD193D7">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w:t>
                  </w:r>
                </w:p>
              </w:tc>
              <w:tc>
                <w:tcPr>
                  <w:tcW w:w="1560" w:type="dxa"/>
                  <w:shd w:val="clear" w:color="auto" w:fill="auto"/>
                  <w:vAlign w:val="center"/>
                </w:tcPr>
                <w:p w14:paraId="0E28CBF9">
                  <w:pPr>
                    <w:autoSpaceDE w:val="0"/>
                    <w:autoSpaceDN w:val="0"/>
                    <w:adjustRightInd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工业废气量</w:t>
                  </w:r>
                </w:p>
              </w:tc>
              <w:tc>
                <w:tcPr>
                  <w:tcW w:w="1890" w:type="dxa"/>
                  <w:shd w:val="clear" w:color="auto" w:fill="auto"/>
                  <w:vAlign w:val="center"/>
                </w:tcPr>
                <w:p w14:paraId="0F15683D">
                  <w:pPr>
                    <w:autoSpaceDE w:val="0"/>
                    <w:autoSpaceDN w:val="0"/>
                    <w:adjustRightInd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标立方米/吨-产品</w:t>
                  </w:r>
                </w:p>
              </w:tc>
              <w:tc>
                <w:tcPr>
                  <w:tcW w:w="1010" w:type="dxa"/>
                  <w:shd w:val="clear" w:color="auto" w:fill="auto"/>
                  <w:vAlign w:val="center"/>
                </w:tcPr>
                <w:p w14:paraId="4C4CE53A">
                  <w:pPr>
                    <w:autoSpaceDE w:val="0"/>
                    <w:autoSpaceDN w:val="0"/>
                    <w:adjustRightInd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1.20*10</w:t>
                  </w:r>
                  <w:r>
                    <w:rPr>
                      <w:rFonts w:hint="eastAsia" w:ascii="Times New Roman" w:hAnsi="Times New Roman" w:cs="Times New Roman"/>
                      <w:color w:val="auto"/>
                      <w:sz w:val="21"/>
                      <w:szCs w:val="21"/>
                      <w:vertAlign w:val="superscript"/>
                      <w:lang w:val="en-US" w:eastAsia="zh-CN"/>
                    </w:rPr>
                    <w:t>5</w:t>
                  </w:r>
                </w:p>
              </w:tc>
            </w:tr>
            <w:tr w14:paraId="7430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 w:type="dxa"/>
                  <w:vMerge w:val="continue"/>
                  <w:vAlign w:val="center"/>
                </w:tcPr>
                <w:p w14:paraId="47942A13">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p>
              </w:tc>
              <w:tc>
                <w:tcPr>
                  <w:tcW w:w="1005" w:type="dxa"/>
                  <w:vMerge w:val="continue"/>
                  <w:vAlign w:val="center"/>
                </w:tcPr>
                <w:p w14:paraId="6BE9B3E4">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p>
              </w:tc>
              <w:tc>
                <w:tcPr>
                  <w:tcW w:w="780" w:type="dxa"/>
                  <w:vMerge w:val="continue"/>
                  <w:vAlign w:val="center"/>
                </w:tcPr>
                <w:p w14:paraId="31C74139">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p>
              </w:tc>
              <w:tc>
                <w:tcPr>
                  <w:tcW w:w="1268" w:type="dxa"/>
                  <w:vMerge w:val="continue"/>
                  <w:vAlign w:val="center"/>
                </w:tcPr>
                <w:p w14:paraId="362B84E0">
                  <w:pPr>
                    <w:autoSpaceDE w:val="0"/>
                    <w:autoSpaceDN w:val="0"/>
                    <w:adjustRightInd w:val="0"/>
                    <w:spacing w:line="240" w:lineRule="auto"/>
                    <w:jc w:val="both"/>
                    <w:rPr>
                      <w:rFonts w:hint="default" w:ascii="Times New Roman" w:hAnsi="Times New Roman" w:cs="Times New Roman"/>
                      <w:color w:val="auto"/>
                      <w:sz w:val="21"/>
                      <w:szCs w:val="21"/>
                      <w:lang w:val="en-US" w:eastAsia="zh-CN"/>
                    </w:rPr>
                  </w:pPr>
                </w:p>
              </w:tc>
              <w:tc>
                <w:tcPr>
                  <w:tcW w:w="907" w:type="dxa"/>
                  <w:vMerge w:val="continue"/>
                  <w:vAlign w:val="center"/>
                </w:tcPr>
                <w:p w14:paraId="72F53AC2">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p>
              </w:tc>
              <w:tc>
                <w:tcPr>
                  <w:tcW w:w="480" w:type="dxa"/>
                  <w:vMerge w:val="continue"/>
                  <w:vAlign w:val="center"/>
                </w:tcPr>
                <w:p w14:paraId="6A2F8E5A">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p>
              </w:tc>
              <w:tc>
                <w:tcPr>
                  <w:tcW w:w="1560" w:type="dxa"/>
                  <w:shd w:val="clear" w:color="auto" w:fill="auto"/>
                  <w:vAlign w:val="center"/>
                </w:tcPr>
                <w:p w14:paraId="0603B0A5">
                  <w:pPr>
                    <w:autoSpaceDE w:val="0"/>
                    <w:autoSpaceDN w:val="0"/>
                    <w:adjustRightInd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非甲烷总烃</w:t>
                  </w:r>
                </w:p>
              </w:tc>
              <w:tc>
                <w:tcPr>
                  <w:tcW w:w="1890" w:type="dxa"/>
                  <w:shd w:val="clear" w:color="auto" w:fill="auto"/>
                  <w:vAlign w:val="center"/>
                </w:tcPr>
                <w:p w14:paraId="51949BCE">
                  <w:pPr>
                    <w:autoSpaceDE w:val="0"/>
                    <w:autoSpaceDN w:val="0"/>
                    <w:adjustRightInd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千克/吨-产品</w:t>
                  </w:r>
                </w:p>
              </w:tc>
              <w:tc>
                <w:tcPr>
                  <w:tcW w:w="1010" w:type="dxa"/>
                  <w:shd w:val="clear" w:color="auto" w:fill="auto"/>
                  <w:vAlign w:val="center"/>
                </w:tcPr>
                <w:p w14:paraId="2BB6A1F2">
                  <w:pPr>
                    <w:autoSpaceDE w:val="0"/>
                    <w:autoSpaceDN w:val="0"/>
                    <w:adjustRightInd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2.7</w:t>
                  </w:r>
                </w:p>
              </w:tc>
            </w:tr>
          </w:tbl>
          <w:p w14:paraId="4CBD6EE3">
            <w:pPr>
              <w:autoSpaceDE w:val="0"/>
              <w:autoSpaceDN w:val="0"/>
              <w:adjustRightInd w:val="0"/>
              <w:spacing w:line="360" w:lineRule="auto"/>
              <w:ind w:firstLine="480" w:firstLineChars="200"/>
              <w:rPr>
                <w:rFonts w:hint="default" w:ascii="Times New Roman" w:hAnsi="Times New Roman" w:eastAsia="宋体" w:cs="Times New Roman"/>
                <w:b w:val="0"/>
                <w:bCs w:val="0"/>
                <w:color w:val="auto"/>
                <w:sz w:val="24"/>
                <w:szCs w:val="24"/>
                <w:lang w:val="en-US"/>
              </w:rPr>
            </w:pPr>
            <w:r>
              <w:rPr>
                <w:rFonts w:hint="default" w:ascii="Times New Roman" w:hAnsi="Times New Roman" w:eastAsia="宋体" w:cs="Times New Roman"/>
                <w:b w:val="0"/>
                <w:bCs w:val="0"/>
                <w:color w:val="auto"/>
                <w:sz w:val="24"/>
                <w:szCs w:val="24"/>
                <w:lang w:val="en-US"/>
              </w:rPr>
              <w:t>根据《食品安全国家标准 食品接触用塑料材料及制品》（GB4806.7-2023）中“表A.1 食品接触用塑料材料及制品允许使用的树脂及使用要求-第126项-三聚氰胺与甲醛的聚合物限值为15mg/kg（以甲醛计）”，按最不利情况考虑，本项目使用密胺粉及罩光粉中甲醛含量为15mg/kg。</w:t>
            </w:r>
          </w:p>
          <w:p w14:paraId="443DB96F">
            <w:pPr>
              <w:autoSpaceDE w:val="0"/>
              <w:autoSpaceDN w:val="0"/>
              <w:adjustRightInd w:val="0"/>
              <w:spacing w:line="360" w:lineRule="auto"/>
              <w:ind w:firstLine="480" w:firstLineChars="2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lang w:val="en-US" w:eastAsia="zh-CN"/>
              </w:rPr>
              <w:t>根据建设单位提供资料，本项目密胺餐具</w:t>
            </w:r>
            <w:r>
              <w:rPr>
                <w:rFonts w:hint="eastAsia" w:ascii="Times New Roman" w:hAnsi="Times New Roman" w:eastAsia="宋体" w:cs="Times New Roman"/>
                <w:b w:val="0"/>
                <w:bCs w:val="0"/>
                <w:color w:val="auto"/>
                <w:sz w:val="24"/>
                <w:szCs w:val="24"/>
                <w:highlight w:val="none"/>
                <w:lang w:val="en-US" w:eastAsia="zh-CN"/>
              </w:rPr>
              <w:t>年产量为200t/a，密胺粉、罩光粉年用量为205t/a，则非甲烷总烃产生量为0.54t/a，其中，甲醛产生量为0.0031t/a。烤料、热压成型过程年工作时间约为4500h。则烤料、热压成型产生的非甲烷总烃有组织产生量为0.486t/a，</w:t>
            </w:r>
            <w:r>
              <w:rPr>
                <w:rFonts w:hint="default" w:ascii="Times New Roman" w:hAnsi="Times New Roman" w:eastAsia="宋体" w:cs="Times New Roman"/>
                <w:color w:val="auto"/>
                <w:sz w:val="24"/>
                <w:szCs w:val="24"/>
                <w:highlight w:val="none"/>
                <w:lang w:val="zh-CN"/>
              </w:rPr>
              <w:t>产生速率为</w:t>
            </w:r>
            <w:r>
              <w:rPr>
                <w:rFonts w:hint="eastAsia" w:ascii="Times New Roman" w:hAnsi="Times New Roman" w:eastAsia="宋体" w:cs="Times New Roman"/>
                <w:color w:val="auto"/>
                <w:sz w:val="24"/>
                <w:szCs w:val="24"/>
                <w:highlight w:val="none"/>
                <w:lang w:val="en-US" w:eastAsia="zh-CN"/>
              </w:rPr>
              <w:t>0.108</w:t>
            </w:r>
            <w:r>
              <w:rPr>
                <w:rFonts w:hint="default" w:ascii="Times New Roman" w:hAnsi="Times New Roman" w:eastAsia="宋体" w:cs="Times New Roman"/>
                <w:color w:val="auto"/>
                <w:sz w:val="24"/>
                <w:szCs w:val="24"/>
                <w:highlight w:val="none"/>
                <w:lang w:val="zh-CN"/>
              </w:rPr>
              <w:t>kg/h，产生浓度为</w:t>
            </w:r>
            <w:r>
              <w:rPr>
                <w:rFonts w:hint="eastAsia" w:ascii="Times New Roman" w:hAnsi="Times New Roman" w:eastAsia="宋体" w:cs="Times New Roman"/>
                <w:color w:val="auto"/>
                <w:sz w:val="24"/>
                <w:szCs w:val="24"/>
                <w:highlight w:val="none"/>
                <w:lang w:val="en-US" w:eastAsia="zh-CN"/>
              </w:rPr>
              <w:t>3.6</w:t>
            </w:r>
            <w:r>
              <w:rPr>
                <w:rFonts w:hint="default" w:ascii="Times New Roman" w:hAnsi="Times New Roman" w:eastAsia="宋体" w:cs="Times New Roman"/>
                <w:color w:val="auto"/>
                <w:sz w:val="24"/>
                <w:szCs w:val="24"/>
                <w:highlight w:val="none"/>
                <w:lang w:val="zh-CN"/>
              </w:rPr>
              <w:t>mg/m</w:t>
            </w:r>
            <w:r>
              <w:rPr>
                <w:rFonts w:hint="default" w:ascii="Times New Roman" w:hAnsi="Times New Roman" w:eastAsia="宋体" w:cs="Times New Roman"/>
                <w:color w:val="auto"/>
                <w:sz w:val="24"/>
                <w:szCs w:val="24"/>
                <w:highlight w:val="none"/>
                <w:vertAlign w:val="superscript"/>
                <w:lang w:val="zh-CN"/>
              </w:rPr>
              <w:t>3</w:t>
            </w:r>
            <w:r>
              <w:rPr>
                <w:rFonts w:hint="default" w:ascii="Times New Roman" w:hAnsi="Times New Roman" w:eastAsia="宋体" w:cs="Times New Roman"/>
                <w:color w:val="auto"/>
                <w:sz w:val="24"/>
                <w:szCs w:val="24"/>
                <w:highlight w:val="none"/>
                <w:lang w:val="zh-CN"/>
              </w:rPr>
              <w:t>，</w:t>
            </w:r>
            <w:r>
              <w:rPr>
                <w:rFonts w:hint="eastAsia" w:ascii="Times New Roman" w:hAnsi="Times New Roman" w:eastAsia="宋体" w:cs="Times New Roman"/>
                <w:b w:val="0"/>
                <w:bCs w:val="0"/>
                <w:color w:val="auto"/>
                <w:sz w:val="24"/>
                <w:szCs w:val="24"/>
                <w:highlight w:val="none"/>
                <w:lang w:val="en-US" w:eastAsia="zh-CN"/>
              </w:rPr>
              <w:t>甲醛有组织产生量为0.0028t/a，</w:t>
            </w:r>
            <w:r>
              <w:rPr>
                <w:rFonts w:hint="default" w:ascii="Times New Roman" w:hAnsi="Times New Roman" w:eastAsia="宋体" w:cs="Times New Roman"/>
                <w:color w:val="auto"/>
                <w:sz w:val="24"/>
                <w:szCs w:val="24"/>
                <w:highlight w:val="none"/>
                <w:lang w:val="zh-CN"/>
              </w:rPr>
              <w:t>产生速率为</w:t>
            </w:r>
            <w:r>
              <w:rPr>
                <w:rFonts w:hint="eastAsia" w:ascii="Times New Roman" w:hAnsi="Times New Roman" w:eastAsia="宋体" w:cs="Times New Roman"/>
                <w:color w:val="auto"/>
                <w:sz w:val="24"/>
                <w:szCs w:val="24"/>
                <w:highlight w:val="none"/>
                <w:lang w:val="en-US" w:eastAsia="zh-CN"/>
              </w:rPr>
              <w:t>0.0006</w:t>
            </w:r>
            <w:r>
              <w:rPr>
                <w:rFonts w:hint="default" w:ascii="Times New Roman" w:hAnsi="Times New Roman" w:eastAsia="宋体" w:cs="Times New Roman"/>
                <w:color w:val="auto"/>
                <w:sz w:val="24"/>
                <w:szCs w:val="24"/>
                <w:highlight w:val="none"/>
                <w:lang w:val="zh-CN"/>
              </w:rPr>
              <w:t>kg/h，产生浓度为</w:t>
            </w:r>
            <w:r>
              <w:rPr>
                <w:rFonts w:hint="eastAsia" w:ascii="Times New Roman" w:hAnsi="Times New Roman" w:eastAsia="宋体" w:cs="Times New Roman"/>
                <w:color w:val="auto"/>
                <w:sz w:val="24"/>
                <w:szCs w:val="24"/>
                <w:highlight w:val="none"/>
                <w:lang w:val="en-US" w:eastAsia="zh-CN"/>
              </w:rPr>
              <w:t>0.02m</w:t>
            </w:r>
            <w:r>
              <w:rPr>
                <w:rFonts w:hint="default" w:ascii="Times New Roman" w:hAnsi="Times New Roman" w:eastAsia="宋体" w:cs="Times New Roman"/>
                <w:color w:val="auto"/>
                <w:sz w:val="24"/>
                <w:szCs w:val="24"/>
                <w:highlight w:val="none"/>
                <w:lang w:val="zh-CN"/>
              </w:rPr>
              <w:t>g/m</w:t>
            </w:r>
            <w:r>
              <w:rPr>
                <w:rFonts w:hint="default" w:ascii="Times New Roman" w:hAnsi="Times New Roman" w:eastAsia="宋体" w:cs="Times New Roman"/>
                <w:color w:val="auto"/>
                <w:sz w:val="24"/>
                <w:szCs w:val="24"/>
                <w:highlight w:val="none"/>
                <w:vertAlign w:val="superscript"/>
                <w:lang w:val="zh-CN"/>
              </w:rPr>
              <w:t>3</w:t>
            </w:r>
            <w:r>
              <w:rPr>
                <w:rFonts w:hint="default" w:ascii="Times New Roman" w:hAnsi="Times New Roman" w:eastAsia="宋体" w:cs="Times New Roman"/>
                <w:color w:val="auto"/>
                <w:sz w:val="24"/>
                <w:szCs w:val="24"/>
                <w:highlight w:val="none"/>
                <w:lang w:val="zh-CN"/>
              </w:rPr>
              <w:t>，</w:t>
            </w:r>
            <w:r>
              <w:rPr>
                <w:rFonts w:hint="eastAsia" w:ascii="Times New Roman" w:hAnsi="Times New Roman" w:eastAsia="宋体" w:cs="Times New Roman"/>
                <w:b w:val="0"/>
                <w:bCs w:val="0"/>
                <w:color w:val="auto"/>
                <w:sz w:val="24"/>
                <w:szCs w:val="24"/>
                <w:highlight w:val="none"/>
                <w:lang w:val="en-US" w:eastAsia="zh-CN"/>
              </w:rPr>
              <w:t>烤料、热压成型废气经集气罩收集（收集效率按90%计）后经两级活性炭吸附箱处理（处理效率按90%计）后经15m高排气筒排放（</w:t>
            </w:r>
            <w:r>
              <w:rPr>
                <w:rFonts w:hint="eastAsia" w:ascii="Times New Roman" w:hAnsi="Times New Roman" w:eastAsia="宋体" w:cs="Times New Roman"/>
                <w:b/>
                <w:bCs/>
                <w:color w:val="auto"/>
                <w:sz w:val="24"/>
                <w:szCs w:val="24"/>
                <w:highlight w:val="none"/>
                <w:lang w:val="en-US" w:eastAsia="zh-CN"/>
              </w:rPr>
              <w:t>DA001</w:t>
            </w:r>
            <w:r>
              <w:rPr>
                <w:rFonts w:hint="eastAsia"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则处理后的</w:t>
            </w:r>
            <w:r>
              <w:rPr>
                <w:rFonts w:hint="eastAsia" w:ascii="Times New Roman" w:hAnsi="Times New Roman" w:eastAsia="宋体" w:cs="Times New Roman"/>
                <w:b w:val="0"/>
                <w:bCs w:val="0"/>
                <w:color w:val="auto"/>
                <w:sz w:val="24"/>
                <w:szCs w:val="24"/>
                <w:highlight w:val="none"/>
                <w:lang w:val="en-US" w:eastAsia="zh-CN"/>
              </w:rPr>
              <w:t>非甲烷总烃</w:t>
            </w:r>
            <w:r>
              <w:rPr>
                <w:rFonts w:hint="eastAsia" w:ascii="Times New Roman" w:hAnsi="Times New Roman" w:eastAsia="宋体" w:cs="Times New Roman"/>
                <w:color w:val="auto"/>
                <w:sz w:val="24"/>
                <w:szCs w:val="24"/>
                <w:highlight w:val="none"/>
                <w:lang w:val="en-US" w:eastAsia="zh-CN"/>
              </w:rPr>
              <w:t>有组织</w:t>
            </w:r>
            <w:r>
              <w:rPr>
                <w:rFonts w:hint="default" w:ascii="Times New Roman" w:hAnsi="Times New Roman" w:eastAsia="宋体" w:cs="Times New Roman"/>
                <w:color w:val="auto"/>
                <w:sz w:val="24"/>
                <w:szCs w:val="24"/>
                <w:highlight w:val="none"/>
                <w:lang w:val="zh-CN"/>
              </w:rPr>
              <w:t>排放量约为</w:t>
            </w:r>
            <w:r>
              <w:rPr>
                <w:rFonts w:hint="eastAsia" w:ascii="Times New Roman" w:hAnsi="Times New Roman" w:eastAsia="宋体" w:cs="Times New Roman"/>
                <w:color w:val="auto"/>
                <w:sz w:val="24"/>
                <w:szCs w:val="24"/>
                <w:highlight w:val="none"/>
                <w:lang w:val="en-US" w:eastAsia="zh-CN"/>
              </w:rPr>
              <w:t>0.0486</w:t>
            </w:r>
            <w:r>
              <w:rPr>
                <w:rFonts w:hint="default" w:ascii="Times New Roman" w:hAnsi="Times New Roman" w:eastAsia="宋体" w:cs="Times New Roman"/>
                <w:color w:val="auto"/>
                <w:sz w:val="24"/>
                <w:szCs w:val="24"/>
                <w:highlight w:val="none"/>
                <w:lang w:val="zh-CN"/>
              </w:rPr>
              <w:t>t/a，排放速率为</w:t>
            </w:r>
            <w:r>
              <w:rPr>
                <w:rFonts w:hint="default" w:ascii="Times New Roman" w:hAnsi="Times New Roman" w:eastAsia="宋体" w:cs="Times New Roman"/>
                <w:color w:val="auto"/>
                <w:sz w:val="24"/>
                <w:szCs w:val="24"/>
                <w:highlight w:val="none"/>
                <w:lang w:val="en-US" w:eastAsia="zh-CN"/>
              </w:rPr>
              <w:t>0.0</w:t>
            </w:r>
            <w:r>
              <w:rPr>
                <w:rFonts w:hint="eastAsia" w:ascii="Times New Roman" w:hAnsi="Times New Roman" w:eastAsia="宋体" w:cs="Times New Roman"/>
                <w:color w:val="auto"/>
                <w:sz w:val="24"/>
                <w:szCs w:val="24"/>
                <w:highlight w:val="none"/>
                <w:lang w:val="en-US" w:eastAsia="zh-CN"/>
              </w:rPr>
              <w:t>108</w:t>
            </w:r>
            <w:r>
              <w:rPr>
                <w:rFonts w:hint="default" w:ascii="Times New Roman" w:hAnsi="Times New Roman" w:eastAsia="宋体" w:cs="Times New Roman"/>
                <w:color w:val="auto"/>
                <w:sz w:val="24"/>
                <w:szCs w:val="24"/>
                <w:highlight w:val="none"/>
                <w:lang w:val="zh-CN"/>
              </w:rPr>
              <w:t>kg/h，排放浓度为</w:t>
            </w:r>
            <w:r>
              <w:rPr>
                <w:rFonts w:hint="eastAsia" w:ascii="Times New Roman" w:hAnsi="Times New Roman" w:eastAsia="宋体" w:cs="Times New Roman"/>
                <w:color w:val="auto"/>
                <w:sz w:val="24"/>
                <w:szCs w:val="24"/>
                <w:highlight w:val="none"/>
                <w:lang w:val="en-US" w:eastAsia="zh-CN"/>
              </w:rPr>
              <w:t>0.36</w:t>
            </w:r>
            <w:r>
              <w:rPr>
                <w:rFonts w:hint="default" w:ascii="Times New Roman" w:hAnsi="Times New Roman" w:eastAsia="宋体" w:cs="Times New Roman"/>
                <w:color w:val="auto"/>
                <w:sz w:val="24"/>
                <w:szCs w:val="24"/>
                <w:highlight w:val="none"/>
                <w:lang w:val="zh-CN"/>
              </w:rPr>
              <w:t>mg/m</w:t>
            </w:r>
            <w:r>
              <w:rPr>
                <w:rFonts w:hint="default" w:ascii="Times New Roman" w:hAnsi="Times New Roman" w:eastAsia="宋体" w:cs="Times New Roman"/>
                <w:color w:val="auto"/>
                <w:sz w:val="24"/>
                <w:szCs w:val="24"/>
                <w:highlight w:val="none"/>
                <w:vertAlign w:val="superscript"/>
                <w:lang w:val="zh-CN"/>
              </w:rPr>
              <w:t>3</w:t>
            </w:r>
            <w:r>
              <w:rPr>
                <w:rFonts w:hint="eastAsia" w:ascii="Times New Roman" w:hAnsi="Times New Roman" w:eastAsia="宋体" w:cs="Times New Roman"/>
                <w:color w:val="auto"/>
                <w:sz w:val="24"/>
                <w:szCs w:val="24"/>
                <w:highlight w:val="none"/>
                <w:vertAlign w:val="baseline"/>
                <w:lang w:val="zh-CN"/>
              </w:rPr>
              <w:t>，</w:t>
            </w:r>
            <w:r>
              <w:rPr>
                <w:rFonts w:hint="eastAsia" w:ascii="Times New Roman" w:hAnsi="Times New Roman" w:eastAsia="宋体" w:cs="Times New Roman"/>
                <w:b w:val="0"/>
                <w:bCs w:val="0"/>
                <w:color w:val="auto"/>
                <w:sz w:val="24"/>
                <w:szCs w:val="24"/>
                <w:highlight w:val="none"/>
                <w:lang w:val="en-US" w:eastAsia="zh-CN"/>
              </w:rPr>
              <w:t>甲醛有组织排放量为0.0003t/a，排放</w:t>
            </w:r>
            <w:r>
              <w:rPr>
                <w:rFonts w:hint="default" w:ascii="Times New Roman" w:hAnsi="Times New Roman" w:eastAsia="宋体" w:cs="Times New Roman"/>
                <w:color w:val="auto"/>
                <w:sz w:val="24"/>
                <w:szCs w:val="24"/>
                <w:highlight w:val="none"/>
                <w:lang w:val="zh-CN"/>
              </w:rPr>
              <w:t>速率为</w:t>
            </w:r>
            <w:r>
              <w:rPr>
                <w:rFonts w:hint="eastAsia" w:ascii="Times New Roman" w:hAnsi="Times New Roman" w:eastAsia="宋体" w:cs="Times New Roman"/>
                <w:color w:val="auto"/>
                <w:sz w:val="24"/>
                <w:szCs w:val="24"/>
                <w:highlight w:val="none"/>
                <w:lang w:val="en-US" w:eastAsia="zh-CN"/>
              </w:rPr>
              <w:t>0.00006</w:t>
            </w:r>
            <w:r>
              <w:rPr>
                <w:rFonts w:hint="default" w:ascii="Times New Roman" w:hAnsi="Times New Roman" w:eastAsia="宋体" w:cs="Times New Roman"/>
                <w:color w:val="auto"/>
                <w:sz w:val="24"/>
                <w:szCs w:val="24"/>
                <w:highlight w:val="none"/>
                <w:lang w:val="zh-CN"/>
              </w:rPr>
              <w:t>kg/h，</w:t>
            </w:r>
            <w:r>
              <w:rPr>
                <w:rFonts w:hint="eastAsia" w:ascii="Times New Roman" w:hAnsi="Times New Roman" w:eastAsia="宋体" w:cs="Times New Roman"/>
                <w:b w:val="0"/>
                <w:bCs w:val="0"/>
                <w:color w:val="auto"/>
                <w:sz w:val="24"/>
                <w:szCs w:val="24"/>
                <w:highlight w:val="none"/>
                <w:lang w:val="en-US" w:eastAsia="zh-CN"/>
              </w:rPr>
              <w:t>排放</w:t>
            </w:r>
            <w:r>
              <w:rPr>
                <w:rFonts w:hint="default" w:ascii="Times New Roman" w:hAnsi="Times New Roman" w:eastAsia="宋体" w:cs="Times New Roman"/>
                <w:color w:val="auto"/>
                <w:sz w:val="24"/>
                <w:szCs w:val="24"/>
                <w:highlight w:val="none"/>
                <w:lang w:val="zh-CN"/>
              </w:rPr>
              <w:t>浓度为</w:t>
            </w:r>
            <w:r>
              <w:rPr>
                <w:rFonts w:hint="eastAsia" w:ascii="Times New Roman" w:hAnsi="Times New Roman" w:eastAsia="宋体" w:cs="Times New Roman"/>
                <w:color w:val="auto"/>
                <w:sz w:val="24"/>
                <w:szCs w:val="24"/>
                <w:highlight w:val="none"/>
                <w:lang w:val="en-US" w:eastAsia="zh-CN"/>
              </w:rPr>
              <w:t>0.002</w:t>
            </w:r>
            <w:r>
              <w:rPr>
                <w:rFonts w:hint="default" w:ascii="Times New Roman" w:hAnsi="Times New Roman" w:eastAsia="宋体" w:cs="Times New Roman"/>
                <w:color w:val="auto"/>
                <w:sz w:val="24"/>
                <w:szCs w:val="24"/>
                <w:highlight w:val="none"/>
                <w:lang w:val="zh-CN"/>
              </w:rPr>
              <w:t>mg/m</w:t>
            </w:r>
            <w:r>
              <w:rPr>
                <w:rFonts w:hint="default" w:ascii="Times New Roman" w:hAnsi="Times New Roman" w:eastAsia="宋体" w:cs="Times New Roman"/>
                <w:color w:val="auto"/>
                <w:sz w:val="24"/>
                <w:szCs w:val="24"/>
                <w:highlight w:val="none"/>
                <w:vertAlign w:val="superscript"/>
                <w:lang w:val="zh-CN"/>
              </w:rPr>
              <w:t>3</w:t>
            </w:r>
            <w:r>
              <w:rPr>
                <w:rFonts w:hint="eastAsia" w:ascii="Times New Roman" w:hAnsi="Times New Roman" w:eastAsia="宋体" w:cs="Times New Roman"/>
                <w:color w:val="auto"/>
                <w:sz w:val="24"/>
                <w:szCs w:val="24"/>
                <w:highlight w:val="none"/>
                <w:lang w:val="zh-CN"/>
              </w:rPr>
              <w:t>。</w:t>
            </w:r>
          </w:p>
          <w:p w14:paraId="05285FEE">
            <w:pPr>
              <w:autoSpaceDE w:val="0"/>
              <w:autoSpaceDN w:val="0"/>
              <w:adjustRightInd w:val="0"/>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auto"/>
                <w:sz w:val="24"/>
                <w:szCs w:val="24"/>
                <w:highlight w:val="none"/>
                <w:lang w:val="zh-CN"/>
              </w:rPr>
              <w:t>未被收集的</w:t>
            </w:r>
            <w:r>
              <w:rPr>
                <w:rFonts w:hint="eastAsia" w:ascii="Times New Roman" w:hAnsi="Times New Roman" w:eastAsia="宋体" w:cs="Times New Roman"/>
                <w:b w:val="0"/>
                <w:bCs w:val="0"/>
                <w:color w:val="auto"/>
                <w:sz w:val="24"/>
                <w:szCs w:val="24"/>
                <w:highlight w:val="none"/>
                <w:lang w:val="en-US" w:eastAsia="zh-CN"/>
              </w:rPr>
              <w:t>非甲烷总烃</w:t>
            </w:r>
            <w:r>
              <w:rPr>
                <w:rFonts w:hint="eastAsia" w:ascii="Times New Roman" w:hAnsi="Times New Roman" w:eastAsia="宋体" w:cs="Times New Roman"/>
                <w:color w:val="auto"/>
                <w:sz w:val="24"/>
                <w:szCs w:val="24"/>
                <w:highlight w:val="none"/>
                <w:lang w:val="en-US" w:eastAsia="zh-CN"/>
              </w:rPr>
              <w:t>排放</w:t>
            </w:r>
            <w:r>
              <w:rPr>
                <w:rFonts w:hint="default" w:ascii="Times New Roman" w:hAnsi="Times New Roman" w:eastAsia="宋体" w:cs="Times New Roman"/>
                <w:color w:val="auto"/>
                <w:sz w:val="24"/>
                <w:szCs w:val="24"/>
                <w:highlight w:val="none"/>
                <w:lang w:val="zh-CN"/>
              </w:rPr>
              <w:t>量为</w:t>
            </w:r>
            <w:r>
              <w:rPr>
                <w:rFonts w:hint="default" w:ascii="Times New Roman" w:hAnsi="Times New Roman" w:eastAsia="宋体" w:cs="Times New Roman"/>
                <w:color w:val="auto"/>
                <w:sz w:val="24"/>
                <w:szCs w:val="24"/>
                <w:highlight w:val="none"/>
                <w:lang w:val="en-US" w:eastAsia="zh-CN"/>
              </w:rPr>
              <w:t>0.0</w:t>
            </w:r>
            <w:r>
              <w:rPr>
                <w:rFonts w:hint="eastAsia" w:ascii="Times New Roman" w:hAnsi="Times New Roman" w:eastAsia="宋体" w:cs="Times New Roman"/>
                <w:color w:val="auto"/>
                <w:sz w:val="24"/>
                <w:szCs w:val="24"/>
                <w:highlight w:val="none"/>
                <w:lang w:val="en-US" w:eastAsia="zh-CN"/>
              </w:rPr>
              <w:t>54</w:t>
            </w:r>
            <w:r>
              <w:rPr>
                <w:rFonts w:hint="default" w:ascii="Times New Roman" w:hAnsi="Times New Roman" w:eastAsia="宋体" w:cs="Times New Roman"/>
                <w:color w:val="auto"/>
                <w:sz w:val="24"/>
                <w:szCs w:val="24"/>
                <w:highlight w:val="none"/>
                <w:lang w:val="zh-CN"/>
              </w:rPr>
              <w:t>t/a，排放速率为</w:t>
            </w:r>
            <w:r>
              <w:rPr>
                <w:rFonts w:hint="default" w:ascii="Times New Roman" w:hAnsi="Times New Roman" w:eastAsia="宋体" w:cs="Times New Roman"/>
                <w:color w:val="auto"/>
                <w:sz w:val="24"/>
                <w:szCs w:val="24"/>
                <w:highlight w:val="none"/>
                <w:lang w:val="en-US" w:eastAsia="zh-CN"/>
              </w:rPr>
              <w:t>0.0</w:t>
            </w:r>
            <w:r>
              <w:rPr>
                <w:rFonts w:hint="eastAsia"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lang w:val="zh-CN"/>
              </w:rPr>
              <w:t>kg/h</w:t>
            </w:r>
            <w:r>
              <w:rPr>
                <w:rFonts w:hint="eastAsia"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zh-CN"/>
              </w:rPr>
              <w:t>未被收集的</w:t>
            </w:r>
            <w:r>
              <w:rPr>
                <w:rFonts w:hint="eastAsia" w:ascii="Times New Roman" w:hAnsi="Times New Roman" w:eastAsia="宋体" w:cs="Times New Roman"/>
                <w:b w:val="0"/>
                <w:bCs w:val="0"/>
                <w:color w:val="auto"/>
                <w:sz w:val="24"/>
                <w:szCs w:val="24"/>
                <w:highlight w:val="none"/>
                <w:lang w:val="en-US" w:eastAsia="zh-CN"/>
              </w:rPr>
              <w:t>甲醛</w:t>
            </w:r>
            <w:r>
              <w:rPr>
                <w:rFonts w:hint="eastAsia" w:ascii="Times New Roman" w:hAnsi="Times New Roman" w:eastAsia="宋体" w:cs="Times New Roman"/>
                <w:color w:val="auto"/>
                <w:sz w:val="24"/>
                <w:szCs w:val="24"/>
                <w:lang w:val="en-US" w:eastAsia="zh-CN"/>
              </w:rPr>
              <w:t>排放</w:t>
            </w:r>
            <w:r>
              <w:rPr>
                <w:rFonts w:hint="default" w:ascii="Times New Roman" w:hAnsi="Times New Roman" w:eastAsia="宋体" w:cs="Times New Roman"/>
                <w:color w:val="auto"/>
                <w:sz w:val="24"/>
                <w:szCs w:val="24"/>
                <w:lang w:val="zh-CN"/>
              </w:rPr>
              <w:t>量为</w:t>
            </w:r>
            <w:r>
              <w:rPr>
                <w:rFonts w:hint="default" w:ascii="Times New Roman" w:hAnsi="Times New Roman" w:eastAsia="宋体" w:cs="Times New Roman"/>
                <w:color w:val="auto"/>
                <w:sz w:val="24"/>
                <w:szCs w:val="24"/>
                <w:lang w:val="en-US" w:eastAsia="zh-CN"/>
              </w:rPr>
              <w:t>0.0</w:t>
            </w:r>
            <w:r>
              <w:rPr>
                <w:rFonts w:hint="eastAsia" w:ascii="Times New Roman" w:hAnsi="Times New Roman" w:eastAsia="宋体" w:cs="Times New Roman"/>
                <w:color w:val="auto"/>
                <w:sz w:val="24"/>
                <w:szCs w:val="24"/>
                <w:lang w:val="en-US" w:eastAsia="zh-CN"/>
              </w:rPr>
              <w:t>03</w:t>
            </w:r>
            <w:r>
              <w:rPr>
                <w:rFonts w:hint="default" w:ascii="Times New Roman" w:hAnsi="Times New Roman" w:eastAsia="宋体" w:cs="Times New Roman"/>
                <w:color w:val="auto"/>
                <w:sz w:val="24"/>
                <w:szCs w:val="24"/>
                <w:lang w:val="zh-CN"/>
              </w:rPr>
              <w:t>t/a，排放速率为</w:t>
            </w:r>
            <w:r>
              <w:rPr>
                <w:rFonts w:hint="default" w:ascii="Times New Roman" w:hAnsi="Times New Roman" w:eastAsia="宋体" w:cs="Times New Roman"/>
                <w:color w:val="auto"/>
                <w:sz w:val="24"/>
                <w:szCs w:val="24"/>
                <w:lang w:val="en-US" w:eastAsia="zh-CN"/>
              </w:rPr>
              <w:t>0.0</w:t>
            </w:r>
            <w:r>
              <w:rPr>
                <w:rFonts w:hint="eastAsia" w:ascii="Times New Roman" w:hAnsi="Times New Roman" w:eastAsia="宋体" w:cs="Times New Roman"/>
                <w:color w:val="auto"/>
                <w:sz w:val="24"/>
                <w:szCs w:val="24"/>
                <w:lang w:val="en-US" w:eastAsia="zh-CN"/>
              </w:rPr>
              <w:t>0007</w:t>
            </w:r>
            <w:r>
              <w:rPr>
                <w:rFonts w:hint="default" w:ascii="Times New Roman" w:hAnsi="Times New Roman" w:eastAsia="宋体" w:cs="Times New Roman"/>
                <w:color w:val="auto"/>
                <w:sz w:val="24"/>
                <w:szCs w:val="24"/>
                <w:lang w:val="zh-CN"/>
              </w:rPr>
              <w:t>kg/h</w:t>
            </w:r>
            <w:r>
              <w:rPr>
                <w:rFonts w:hint="eastAsia" w:ascii="Times New Roman" w:hAnsi="Times New Roman" w:eastAsia="宋体" w:cs="Times New Roman"/>
                <w:color w:val="auto"/>
                <w:sz w:val="24"/>
                <w:szCs w:val="24"/>
                <w:lang w:val="zh-CN"/>
              </w:rPr>
              <w:t>。</w:t>
            </w:r>
          </w:p>
          <w:p w14:paraId="18C6DC67">
            <w:pPr>
              <w:autoSpaceDE w:val="0"/>
              <w:autoSpaceDN w:val="0"/>
              <w:adjustRightInd w:val="0"/>
              <w:spacing w:line="360" w:lineRule="auto"/>
              <w:ind w:firstLine="480" w:firstLineChars="200"/>
              <w:rPr>
                <w:rFonts w:hint="default" w:ascii="Times New Roman" w:hAnsi="Times New Roman" w:eastAsia="宋体" w:cs="Times New Roman"/>
                <w:b w:val="0"/>
                <w:bCs w:val="0"/>
                <w:color w:val="auto"/>
                <w:sz w:val="24"/>
                <w:szCs w:val="24"/>
                <w:lang w:val="zh-CN"/>
              </w:rPr>
            </w:pPr>
            <w:r>
              <w:rPr>
                <w:rFonts w:hint="default" w:ascii="Times New Roman" w:hAnsi="Times New Roman" w:eastAsia="宋体" w:cs="Times New Roman"/>
                <w:b w:val="0"/>
                <w:bCs w:val="0"/>
                <w:color w:val="auto"/>
                <w:sz w:val="24"/>
                <w:szCs w:val="24"/>
                <w:lang w:val="zh-CN"/>
              </w:rPr>
              <w:t>（</w:t>
            </w:r>
            <w:r>
              <w:rPr>
                <w:rFonts w:hint="default" w:ascii="Times New Roman" w:hAnsi="Times New Roman" w:eastAsia="宋体" w:cs="Times New Roman"/>
                <w:b w:val="0"/>
                <w:bCs w:val="0"/>
                <w:color w:val="auto"/>
                <w:sz w:val="24"/>
                <w:szCs w:val="24"/>
                <w:lang w:val="en-US" w:eastAsia="zh-CN"/>
              </w:rPr>
              <w:t>2</w:t>
            </w:r>
            <w:r>
              <w:rPr>
                <w:rFonts w:hint="default" w:ascii="Times New Roman" w:hAnsi="Times New Roman" w:eastAsia="宋体" w:cs="Times New Roman"/>
                <w:b w:val="0"/>
                <w:bCs w:val="0"/>
                <w:color w:val="auto"/>
                <w:sz w:val="24"/>
                <w:szCs w:val="24"/>
                <w:lang w:val="zh-CN"/>
              </w:rPr>
              <w:t>）</w:t>
            </w:r>
            <w:r>
              <w:rPr>
                <w:rFonts w:hint="eastAsia" w:ascii="Times New Roman" w:hAnsi="Times New Roman" w:eastAsia="宋体" w:cs="Times New Roman"/>
                <w:b w:val="0"/>
                <w:bCs w:val="0"/>
                <w:color w:val="auto"/>
                <w:sz w:val="24"/>
                <w:szCs w:val="24"/>
                <w:lang w:val="en-US" w:eastAsia="zh-CN"/>
              </w:rPr>
              <w:t>吹灰</w:t>
            </w:r>
            <w:r>
              <w:rPr>
                <w:rFonts w:hint="default" w:ascii="Times New Roman" w:hAnsi="Times New Roman" w:eastAsia="宋体" w:cs="Times New Roman"/>
                <w:b w:val="0"/>
                <w:bCs w:val="0"/>
                <w:color w:val="auto"/>
                <w:sz w:val="24"/>
                <w:szCs w:val="24"/>
                <w:lang w:val="en-US" w:eastAsia="zh-CN"/>
              </w:rPr>
              <w:t>-颗粒物（G</w:t>
            </w:r>
            <w:r>
              <w:rPr>
                <w:rFonts w:hint="eastAsia" w:ascii="Times New Roman" w:hAnsi="Times New Roman" w:eastAsia="宋体" w:cs="Times New Roman"/>
                <w:b w:val="0"/>
                <w:bCs w:val="0"/>
                <w:color w:val="auto"/>
                <w:sz w:val="24"/>
                <w:szCs w:val="24"/>
                <w:vertAlign w:val="subscript"/>
                <w:lang w:val="en-US" w:eastAsia="zh-CN"/>
              </w:rPr>
              <w:t>2</w:t>
            </w:r>
            <w:r>
              <w:rPr>
                <w:rFonts w:hint="default" w:ascii="Times New Roman" w:hAnsi="Times New Roman" w:eastAsia="宋体" w:cs="Times New Roman"/>
                <w:b w:val="0"/>
                <w:bCs w:val="0"/>
                <w:color w:val="auto"/>
                <w:sz w:val="24"/>
                <w:szCs w:val="24"/>
                <w:lang w:val="en-US" w:eastAsia="zh-CN"/>
              </w:rPr>
              <w:t>）</w:t>
            </w:r>
          </w:p>
          <w:p w14:paraId="1EE1F71F">
            <w:pPr>
              <w:pStyle w:val="54"/>
              <w:spacing w:line="360" w:lineRule="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b w:val="0"/>
                <w:bCs w:val="0"/>
                <w:color w:val="auto"/>
                <w:kern w:val="2"/>
                <w:sz w:val="24"/>
                <w:szCs w:val="24"/>
                <w:lang w:val="en-US" w:eastAsia="zh-CN" w:bidi="ar-SA"/>
              </w:rPr>
              <w:t>为保证产品质量及保持现场整洁，用毛刷将</w:t>
            </w:r>
            <w:r>
              <w:rPr>
                <w:rFonts w:hint="eastAsia" w:ascii="Times New Roman" w:hAnsi="Times New Roman" w:eastAsia="宋体" w:cs="Times New Roman"/>
                <w:b w:val="0"/>
                <w:bCs w:val="0"/>
                <w:color w:val="auto"/>
                <w:kern w:val="2"/>
                <w:sz w:val="24"/>
                <w:szCs w:val="24"/>
                <w:lang w:val="en-US" w:eastAsia="zh-CN" w:bidi="ar-SA"/>
              </w:rPr>
              <w:t>高周波内</w:t>
            </w:r>
            <w:r>
              <w:rPr>
                <w:rFonts w:hint="default" w:ascii="Times New Roman" w:hAnsi="Times New Roman" w:eastAsia="宋体" w:cs="Times New Roman"/>
                <w:b w:val="0"/>
                <w:bCs w:val="0"/>
                <w:color w:val="auto"/>
                <w:kern w:val="2"/>
                <w:sz w:val="24"/>
                <w:szCs w:val="24"/>
                <w:lang w:val="en-US" w:eastAsia="zh-CN" w:bidi="ar-SA"/>
              </w:rPr>
              <w:t>烘料平板清理干净，使用风枪清理热压成型机中模具内的杂质，</w:t>
            </w:r>
            <w:r>
              <w:rPr>
                <w:rFonts w:hint="eastAsia" w:ascii="Times New Roman" w:hAnsi="Times New Roman" w:eastAsia="宋体" w:cs="Times New Roman"/>
                <w:b w:val="0"/>
                <w:bCs w:val="0"/>
                <w:color w:val="auto"/>
                <w:kern w:val="2"/>
                <w:sz w:val="24"/>
                <w:szCs w:val="24"/>
                <w:lang w:val="en-US" w:eastAsia="zh-CN" w:bidi="ar-SA"/>
              </w:rPr>
              <w:t>吹灰粉尘可能来源于部分原料逸出、未完全烤料及热压成型剩余原料。</w:t>
            </w:r>
            <w:r>
              <w:rPr>
                <w:rFonts w:hint="default" w:ascii="Times New Roman" w:hAnsi="Times New Roman" w:eastAsia="宋体" w:cs="Times New Roman"/>
                <w:b w:val="0"/>
                <w:bCs w:val="0"/>
                <w:color w:val="auto"/>
                <w:kern w:val="2"/>
                <w:sz w:val="24"/>
                <w:szCs w:val="24"/>
                <w:lang w:val="en-US" w:eastAsia="zh-CN" w:bidi="ar-SA"/>
              </w:rPr>
              <w:t>参照《逸散性工业粉尘控制技术》(中国环境出版社，1989年)</w:t>
            </w:r>
            <w:r>
              <w:rPr>
                <w:rFonts w:hint="eastAsia" w:ascii="Times New Roman" w:hAnsi="Times New Roman" w:eastAsia="宋体" w:cs="Times New Roman"/>
                <w:b w:val="0"/>
                <w:bCs w:val="0"/>
                <w:color w:val="auto"/>
                <w:kern w:val="2"/>
                <w:sz w:val="24"/>
                <w:szCs w:val="24"/>
                <w:lang w:val="en-US" w:eastAsia="zh-CN" w:bidi="ar-SA"/>
              </w:rPr>
              <w:t>，按最不利情况考虑，</w:t>
            </w:r>
            <w:r>
              <w:rPr>
                <w:rFonts w:hint="default" w:ascii="Times New Roman" w:hAnsi="Times New Roman" w:eastAsia="宋体" w:cs="Times New Roman"/>
                <w:b w:val="0"/>
                <w:bCs w:val="0"/>
                <w:color w:val="auto"/>
                <w:kern w:val="2"/>
                <w:sz w:val="24"/>
                <w:szCs w:val="24"/>
                <w:lang w:val="en-US" w:eastAsia="zh-CN" w:bidi="ar-SA"/>
              </w:rPr>
              <w:t>排放因子</w:t>
            </w:r>
            <w:r>
              <w:rPr>
                <w:rFonts w:hint="eastAsia" w:ascii="Times New Roman" w:hAnsi="Times New Roman" w:eastAsia="宋体" w:cs="Times New Roman"/>
                <w:b w:val="0"/>
                <w:bCs w:val="0"/>
                <w:color w:val="auto"/>
                <w:kern w:val="2"/>
                <w:sz w:val="24"/>
                <w:szCs w:val="24"/>
                <w:lang w:val="en-US" w:eastAsia="zh-CN" w:bidi="ar-SA"/>
              </w:rPr>
              <w:t>按1</w:t>
            </w:r>
            <w:r>
              <w:rPr>
                <w:rFonts w:hint="default" w:ascii="Times New Roman" w:hAnsi="Times New Roman" w:eastAsia="宋体" w:cs="Times New Roman"/>
                <w:b w:val="0"/>
                <w:bCs w:val="0"/>
                <w:color w:val="auto"/>
                <w:kern w:val="2"/>
                <w:sz w:val="24"/>
                <w:szCs w:val="24"/>
                <w:lang w:val="en-US" w:eastAsia="zh-CN" w:bidi="ar-SA"/>
              </w:rPr>
              <w:t>kg/t</w:t>
            </w:r>
            <w:r>
              <w:rPr>
                <w:rFonts w:hint="eastAsia" w:ascii="Times New Roman" w:hAnsi="Times New Roman" w:eastAsia="宋体" w:cs="Times New Roman"/>
                <w:b w:val="0"/>
                <w:bCs w:val="0"/>
                <w:color w:val="auto"/>
                <w:kern w:val="2"/>
                <w:sz w:val="24"/>
                <w:szCs w:val="24"/>
                <w:lang w:val="en-US" w:eastAsia="zh-CN" w:bidi="ar-SA"/>
              </w:rPr>
              <w:t>计</w:t>
            </w:r>
            <w:r>
              <w:rPr>
                <w:rFonts w:hint="default" w:ascii="Times New Roman" w:hAnsi="Times New Roman" w:eastAsia="宋体" w:cs="Times New Roman"/>
                <w:b w:val="0"/>
                <w:bCs w:val="0"/>
                <w:color w:val="auto"/>
                <w:kern w:val="2"/>
                <w:sz w:val="24"/>
                <w:szCs w:val="24"/>
                <w:lang w:val="en-US" w:eastAsia="zh-CN" w:bidi="ar-SA"/>
              </w:rPr>
              <w:t>，本项目</w:t>
            </w:r>
            <w:r>
              <w:rPr>
                <w:rFonts w:hint="eastAsia" w:ascii="Times New Roman" w:hAnsi="Times New Roman" w:eastAsia="宋体" w:cs="Times New Roman"/>
                <w:b w:val="0"/>
                <w:bCs w:val="0"/>
                <w:color w:val="auto"/>
                <w:sz w:val="24"/>
                <w:szCs w:val="24"/>
                <w:lang w:val="en-US" w:eastAsia="zh-CN"/>
              </w:rPr>
              <w:t>密胺粉、罩光粉年用量为205t/a</w:t>
            </w:r>
            <w:r>
              <w:rPr>
                <w:rFonts w:hint="default" w:ascii="Times New Roman" w:hAnsi="Times New Roman" w:eastAsia="宋体" w:cs="Times New Roman"/>
                <w:b w:val="0"/>
                <w:bCs w:val="0"/>
                <w:color w:val="auto"/>
                <w:kern w:val="2"/>
                <w:sz w:val="24"/>
                <w:szCs w:val="24"/>
                <w:lang w:val="en-US" w:eastAsia="zh-CN" w:bidi="ar-SA"/>
              </w:rPr>
              <w:t>，则</w:t>
            </w:r>
            <w:r>
              <w:rPr>
                <w:rFonts w:hint="eastAsia" w:ascii="Times New Roman" w:hAnsi="Times New Roman" w:eastAsia="宋体" w:cs="Times New Roman"/>
                <w:b w:val="0"/>
                <w:bCs w:val="0"/>
                <w:color w:val="auto"/>
                <w:kern w:val="2"/>
                <w:sz w:val="24"/>
                <w:szCs w:val="24"/>
                <w:lang w:val="en-US" w:eastAsia="zh-CN" w:bidi="ar-SA"/>
              </w:rPr>
              <w:t>吹灰</w:t>
            </w:r>
            <w:r>
              <w:rPr>
                <w:rFonts w:hint="default" w:ascii="Times New Roman" w:hAnsi="Times New Roman" w:eastAsia="宋体" w:cs="Times New Roman"/>
                <w:b w:val="0"/>
                <w:bCs w:val="0"/>
                <w:color w:val="auto"/>
                <w:kern w:val="2"/>
                <w:sz w:val="24"/>
                <w:szCs w:val="24"/>
                <w:lang w:val="en-US" w:eastAsia="zh-CN" w:bidi="ar-SA"/>
              </w:rPr>
              <w:t>粉尘产生量为</w:t>
            </w:r>
            <w:r>
              <w:rPr>
                <w:rFonts w:hint="eastAsia" w:ascii="Times New Roman" w:hAnsi="Times New Roman" w:eastAsia="宋体" w:cs="Times New Roman"/>
                <w:b w:val="0"/>
                <w:bCs w:val="0"/>
                <w:color w:val="auto"/>
                <w:kern w:val="2"/>
                <w:sz w:val="24"/>
                <w:szCs w:val="24"/>
                <w:lang w:val="en-US" w:eastAsia="zh-CN" w:bidi="ar-SA"/>
              </w:rPr>
              <w:t>0.205</w:t>
            </w:r>
            <w:r>
              <w:rPr>
                <w:rFonts w:hint="default" w:ascii="Times New Roman" w:hAnsi="Times New Roman" w:eastAsia="宋体" w:cs="Times New Roman"/>
                <w:b w:val="0"/>
                <w:bCs w:val="0"/>
                <w:color w:val="auto"/>
                <w:kern w:val="2"/>
                <w:sz w:val="24"/>
                <w:szCs w:val="24"/>
                <w:lang w:val="en-US" w:eastAsia="zh-CN" w:bidi="ar-SA"/>
              </w:rPr>
              <w:t>t/a，</w:t>
            </w:r>
            <w:r>
              <w:rPr>
                <w:rFonts w:hint="eastAsia" w:ascii="Times New Roman" w:hAnsi="Times New Roman" w:eastAsia="宋体" w:cs="Times New Roman"/>
                <w:b w:val="0"/>
                <w:bCs w:val="0"/>
                <w:color w:val="auto"/>
                <w:kern w:val="2"/>
                <w:sz w:val="24"/>
                <w:szCs w:val="24"/>
                <w:lang w:val="en-US" w:eastAsia="zh-CN" w:bidi="ar-SA"/>
              </w:rPr>
              <w:t>吹灰</w:t>
            </w:r>
            <w:r>
              <w:rPr>
                <w:rFonts w:hint="default" w:ascii="Times New Roman" w:hAnsi="Times New Roman" w:eastAsia="宋体" w:cs="Times New Roman"/>
                <w:b w:val="0"/>
                <w:bCs w:val="0"/>
                <w:color w:val="auto"/>
                <w:kern w:val="2"/>
                <w:sz w:val="24"/>
                <w:szCs w:val="24"/>
                <w:lang w:val="en-US" w:eastAsia="zh-CN" w:bidi="ar-SA"/>
              </w:rPr>
              <w:t>时间为</w:t>
            </w:r>
            <w:r>
              <w:rPr>
                <w:rFonts w:hint="eastAsia" w:ascii="Times New Roman" w:hAnsi="Times New Roman" w:eastAsia="宋体" w:cs="Times New Roman"/>
                <w:b w:val="0"/>
                <w:bCs w:val="0"/>
                <w:color w:val="auto"/>
                <w:kern w:val="2"/>
                <w:sz w:val="24"/>
                <w:szCs w:val="24"/>
                <w:lang w:val="en-US" w:eastAsia="zh-CN" w:bidi="ar-SA"/>
              </w:rPr>
              <w:t>1</w:t>
            </w:r>
            <w:r>
              <w:rPr>
                <w:rFonts w:hint="default" w:ascii="Times New Roman" w:hAnsi="Times New Roman" w:eastAsia="宋体" w:cs="Times New Roman"/>
                <w:b w:val="0"/>
                <w:bCs w:val="0"/>
                <w:color w:val="auto"/>
                <w:kern w:val="2"/>
                <w:sz w:val="24"/>
                <w:szCs w:val="24"/>
                <w:lang w:val="en-US" w:eastAsia="zh-CN" w:bidi="ar-SA"/>
              </w:rPr>
              <w:t>000h。本项目</w:t>
            </w:r>
            <w:r>
              <w:rPr>
                <w:rFonts w:hint="eastAsia" w:ascii="Times New Roman" w:hAnsi="Times New Roman" w:eastAsia="宋体" w:cs="Times New Roman"/>
                <w:b w:val="0"/>
                <w:bCs w:val="0"/>
                <w:color w:val="auto"/>
                <w:sz w:val="24"/>
                <w:szCs w:val="24"/>
                <w:lang w:val="en-US" w:eastAsia="zh-CN"/>
              </w:rPr>
              <w:t>吹灰</w:t>
            </w:r>
            <w:r>
              <w:rPr>
                <w:rFonts w:hint="default" w:ascii="Times New Roman" w:hAnsi="Times New Roman" w:eastAsia="宋体" w:cs="Times New Roman"/>
                <w:b w:val="0"/>
                <w:bCs w:val="0"/>
                <w:color w:val="auto"/>
                <w:kern w:val="2"/>
                <w:sz w:val="24"/>
                <w:szCs w:val="24"/>
                <w:lang w:val="en-US" w:eastAsia="zh-CN" w:bidi="ar-SA"/>
              </w:rPr>
              <w:t>过程使用集气罩收集颗粒物，收集效率按90%计，</w:t>
            </w:r>
            <w:r>
              <w:rPr>
                <w:rFonts w:hint="default" w:ascii="Times New Roman" w:hAnsi="Times New Roman" w:eastAsia="宋体" w:cs="Times New Roman"/>
                <w:color w:val="auto"/>
                <w:sz w:val="24"/>
                <w:szCs w:val="24"/>
                <w:lang w:val="zh-CN"/>
              </w:rPr>
              <w:t>则颗粒物有组织产生量为</w:t>
            </w:r>
            <w:r>
              <w:rPr>
                <w:rFonts w:hint="eastAsia" w:ascii="Times New Roman" w:hAnsi="Times New Roman" w:eastAsia="宋体" w:cs="Times New Roman"/>
                <w:color w:val="auto"/>
                <w:sz w:val="24"/>
                <w:szCs w:val="24"/>
                <w:lang w:val="en-US" w:eastAsia="zh-CN"/>
              </w:rPr>
              <w:t>0.1845</w:t>
            </w:r>
            <w:r>
              <w:rPr>
                <w:rFonts w:hint="default" w:ascii="Times New Roman" w:hAnsi="Times New Roman" w:eastAsia="宋体" w:cs="Times New Roman"/>
                <w:color w:val="auto"/>
                <w:sz w:val="24"/>
                <w:szCs w:val="24"/>
                <w:lang w:val="zh-CN"/>
              </w:rPr>
              <w:t>t/a，产生速率为</w:t>
            </w:r>
            <w:r>
              <w:rPr>
                <w:rFonts w:hint="eastAsia" w:ascii="Times New Roman" w:hAnsi="Times New Roman" w:eastAsia="宋体" w:cs="Times New Roman"/>
                <w:color w:val="auto"/>
                <w:sz w:val="24"/>
                <w:szCs w:val="24"/>
                <w:lang w:val="en-US" w:eastAsia="zh-CN"/>
              </w:rPr>
              <w:t>0.1845</w:t>
            </w:r>
            <w:r>
              <w:rPr>
                <w:rFonts w:hint="default" w:ascii="Times New Roman" w:hAnsi="Times New Roman" w:eastAsia="宋体" w:cs="Times New Roman"/>
                <w:color w:val="auto"/>
                <w:sz w:val="24"/>
                <w:szCs w:val="24"/>
                <w:highlight w:val="none"/>
                <w:lang w:val="zh-CN"/>
              </w:rPr>
              <w:t>kg/h，产生浓度为</w:t>
            </w:r>
            <w:r>
              <w:rPr>
                <w:rFonts w:hint="eastAsia" w:ascii="Times New Roman" w:hAnsi="Times New Roman" w:eastAsia="宋体" w:cs="Times New Roman"/>
                <w:color w:val="auto"/>
                <w:sz w:val="24"/>
                <w:szCs w:val="24"/>
                <w:highlight w:val="none"/>
                <w:lang w:val="en-US" w:eastAsia="zh-CN"/>
              </w:rPr>
              <w:t>6.15</w:t>
            </w:r>
            <w:r>
              <w:rPr>
                <w:rFonts w:hint="default" w:ascii="Times New Roman" w:hAnsi="Times New Roman" w:eastAsia="宋体" w:cs="Times New Roman"/>
                <w:color w:val="auto"/>
                <w:sz w:val="24"/>
                <w:szCs w:val="24"/>
                <w:highlight w:val="none"/>
                <w:lang w:val="zh-CN"/>
              </w:rPr>
              <w:t>mg/m</w:t>
            </w:r>
            <w:r>
              <w:rPr>
                <w:rFonts w:hint="default" w:ascii="Times New Roman" w:hAnsi="Times New Roman" w:eastAsia="宋体" w:cs="Times New Roman"/>
                <w:color w:val="auto"/>
                <w:sz w:val="24"/>
                <w:szCs w:val="24"/>
                <w:highlight w:val="none"/>
                <w:vertAlign w:val="superscript"/>
                <w:lang w:val="zh-CN"/>
              </w:rPr>
              <w:t>3</w:t>
            </w:r>
            <w:r>
              <w:rPr>
                <w:rFonts w:hint="default" w:ascii="Times New Roman" w:hAnsi="Times New Roman" w:eastAsia="宋体" w:cs="Times New Roman"/>
                <w:color w:val="auto"/>
                <w:sz w:val="24"/>
                <w:szCs w:val="24"/>
                <w:highlight w:val="none"/>
                <w:lang w:val="zh-CN"/>
              </w:rPr>
              <w:t>，经“袋式除尘器”处理（处理效率按</w:t>
            </w:r>
            <w:r>
              <w:rPr>
                <w:rFonts w:hint="default" w:ascii="Times New Roman" w:hAnsi="Times New Roman" w:eastAsia="宋体" w:cs="Times New Roman"/>
                <w:color w:val="auto"/>
                <w:sz w:val="24"/>
                <w:szCs w:val="24"/>
                <w:highlight w:val="none"/>
                <w:lang w:val="en-US" w:eastAsia="zh-CN"/>
              </w:rPr>
              <w:t>99%计</w:t>
            </w:r>
            <w:r>
              <w:rPr>
                <w:rFonts w:hint="default" w:ascii="Times New Roman" w:hAnsi="Times New Roman" w:eastAsia="宋体" w:cs="Times New Roman"/>
                <w:color w:val="auto"/>
                <w:sz w:val="24"/>
                <w:szCs w:val="24"/>
                <w:highlight w:val="none"/>
                <w:lang w:val="zh-CN"/>
              </w:rPr>
              <w:t>），</w:t>
            </w:r>
            <w:r>
              <w:rPr>
                <w:rFonts w:hint="eastAsia" w:ascii="Times New Roman" w:hAnsi="Times New Roman" w:eastAsia="宋体" w:cs="Times New Roman"/>
                <w:color w:val="auto"/>
                <w:sz w:val="24"/>
                <w:szCs w:val="24"/>
                <w:highlight w:val="none"/>
                <w:lang w:val="en-US" w:eastAsia="zh-CN"/>
              </w:rPr>
              <w:t>则处理后的</w:t>
            </w:r>
            <w:r>
              <w:rPr>
                <w:rFonts w:hint="default" w:ascii="Times New Roman" w:hAnsi="Times New Roman" w:eastAsia="宋体" w:cs="Times New Roman"/>
                <w:color w:val="auto"/>
                <w:sz w:val="24"/>
                <w:szCs w:val="24"/>
                <w:highlight w:val="none"/>
                <w:lang w:val="zh-CN"/>
              </w:rPr>
              <w:t>颗粒物</w:t>
            </w:r>
            <w:r>
              <w:rPr>
                <w:rFonts w:hint="eastAsia" w:ascii="Times New Roman" w:hAnsi="Times New Roman" w:eastAsia="宋体" w:cs="Times New Roman"/>
                <w:color w:val="auto"/>
                <w:sz w:val="24"/>
                <w:szCs w:val="24"/>
                <w:highlight w:val="none"/>
                <w:lang w:val="en-US" w:eastAsia="zh-CN"/>
              </w:rPr>
              <w:t>有组织</w:t>
            </w:r>
            <w:r>
              <w:rPr>
                <w:rFonts w:hint="default" w:ascii="Times New Roman" w:hAnsi="Times New Roman" w:eastAsia="宋体" w:cs="Times New Roman"/>
                <w:color w:val="auto"/>
                <w:sz w:val="24"/>
                <w:szCs w:val="24"/>
                <w:highlight w:val="none"/>
                <w:lang w:val="zh-CN"/>
              </w:rPr>
              <w:t>排放量约为</w:t>
            </w:r>
            <w:r>
              <w:rPr>
                <w:rFonts w:hint="default" w:ascii="Times New Roman" w:hAnsi="Times New Roman" w:eastAsia="宋体" w:cs="Times New Roman"/>
                <w:color w:val="auto"/>
                <w:sz w:val="24"/>
                <w:szCs w:val="24"/>
                <w:highlight w:val="none"/>
                <w:lang w:val="en-US" w:eastAsia="zh-CN"/>
              </w:rPr>
              <w:t>0.00</w:t>
            </w:r>
            <w:r>
              <w:rPr>
                <w:rFonts w:hint="eastAsia" w:ascii="Times New Roman" w:hAnsi="Times New Roman"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val="zh-CN"/>
              </w:rPr>
              <w:t>t/a，排放速率为</w:t>
            </w:r>
            <w:r>
              <w:rPr>
                <w:rFonts w:hint="default" w:ascii="Times New Roman" w:hAnsi="Times New Roman" w:eastAsia="宋体" w:cs="Times New Roman"/>
                <w:color w:val="auto"/>
                <w:sz w:val="24"/>
                <w:szCs w:val="24"/>
                <w:highlight w:val="none"/>
                <w:lang w:val="en-US" w:eastAsia="zh-CN"/>
              </w:rPr>
              <w:t>0.00</w:t>
            </w:r>
            <w:r>
              <w:rPr>
                <w:rFonts w:hint="eastAsia" w:ascii="Times New Roman" w:hAnsi="Times New Roman" w:eastAsia="宋体" w:cs="Times New Roman"/>
                <w:color w:val="auto"/>
                <w:sz w:val="24"/>
                <w:szCs w:val="24"/>
                <w:highlight w:val="none"/>
                <w:lang w:val="en-US" w:eastAsia="zh-CN"/>
              </w:rPr>
              <w:t>18</w:t>
            </w:r>
            <w:r>
              <w:rPr>
                <w:rFonts w:hint="default" w:ascii="Times New Roman" w:hAnsi="Times New Roman" w:eastAsia="宋体" w:cs="Times New Roman"/>
                <w:color w:val="auto"/>
                <w:sz w:val="24"/>
                <w:szCs w:val="24"/>
                <w:highlight w:val="none"/>
                <w:lang w:val="zh-CN"/>
              </w:rPr>
              <w:t>kg/h，排放浓度为</w:t>
            </w:r>
            <w:r>
              <w:rPr>
                <w:rFonts w:hint="eastAsia" w:ascii="Times New Roman" w:hAnsi="Times New Roman" w:eastAsia="宋体" w:cs="Times New Roman"/>
                <w:color w:val="auto"/>
                <w:sz w:val="24"/>
                <w:szCs w:val="24"/>
                <w:highlight w:val="none"/>
                <w:lang w:val="en-US" w:eastAsia="zh-CN"/>
              </w:rPr>
              <w:t>0.06</w:t>
            </w:r>
            <w:r>
              <w:rPr>
                <w:rFonts w:hint="default" w:ascii="Times New Roman" w:hAnsi="Times New Roman" w:eastAsia="宋体" w:cs="Times New Roman"/>
                <w:color w:val="auto"/>
                <w:sz w:val="24"/>
                <w:szCs w:val="24"/>
                <w:highlight w:val="none"/>
                <w:lang w:val="zh-CN"/>
              </w:rPr>
              <w:t>mg/m</w:t>
            </w:r>
            <w:r>
              <w:rPr>
                <w:rFonts w:hint="default" w:ascii="Times New Roman" w:hAnsi="Times New Roman" w:eastAsia="宋体" w:cs="Times New Roman"/>
                <w:color w:val="auto"/>
                <w:sz w:val="24"/>
                <w:szCs w:val="24"/>
                <w:highlight w:val="none"/>
                <w:vertAlign w:val="superscript"/>
                <w:lang w:val="zh-CN"/>
              </w:rPr>
              <w:t>3</w:t>
            </w:r>
            <w:r>
              <w:rPr>
                <w:rFonts w:hint="default" w:ascii="Times New Roman" w:hAnsi="Times New Roman" w:eastAsia="宋体" w:cs="Times New Roman"/>
                <w:color w:val="auto"/>
                <w:sz w:val="24"/>
                <w:szCs w:val="24"/>
                <w:highlight w:val="none"/>
                <w:lang w:val="zh-CN"/>
              </w:rPr>
              <w:t>。</w:t>
            </w:r>
            <w:r>
              <w:rPr>
                <w:rFonts w:hint="eastAsia" w:ascii="Times New Roman" w:hAnsi="Times New Roman" w:eastAsia="宋体" w:cs="Times New Roman"/>
                <w:b w:val="0"/>
                <w:bCs w:val="0"/>
                <w:color w:val="auto"/>
                <w:sz w:val="24"/>
                <w:szCs w:val="24"/>
                <w:highlight w:val="none"/>
                <w:lang w:val="en-US" w:eastAsia="zh-CN"/>
              </w:rPr>
              <w:t>吹灰</w:t>
            </w:r>
            <w:r>
              <w:rPr>
                <w:rFonts w:hint="default" w:ascii="Times New Roman" w:hAnsi="Times New Roman" w:eastAsia="宋体" w:cs="Times New Roman"/>
                <w:color w:val="auto"/>
                <w:sz w:val="24"/>
                <w:szCs w:val="24"/>
                <w:highlight w:val="none"/>
                <w:lang w:val="zh-CN"/>
              </w:rPr>
              <w:t>产生的颗粒物经“袋式除尘器”处理后经1根</w:t>
            </w:r>
            <w:r>
              <w:rPr>
                <w:rFonts w:hint="default"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val="zh-CN"/>
              </w:rPr>
              <w:t>m高排气筒（</w:t>
            </w:r>
            <w:r>
              <w:rPr>
                <w:rFonts w:hint="default" w:ascii="Times New Roman" w:hAnsi="Times New Roman" w:eastAsia="宋体" w:cs="Times New Roman"/>
                <w:b/>
                <w:bCs/>
                <w:color w:val="auto"/>
                <w:sz w:val="24"/>
                <w:szCs w:val="24"/>
                <w:highlight w:val="none"/>
                <w:lang w:val="zh-CN"/>
              </w:rPr>
              <w:t>DA001</w:t>
            </w:r>
            <w:r>
              <w:rPr>
                <w:rFonts w:hint="default" w:ascii="Times New Roman" w:hAnsi="Times New Roman" w:eastAsia="宋体" w:cs="Times New Roman"/>
                <w:color w:val="auto"/>
                <w:sz w:val="24"/>
                <w:szCs w:val="24"/>
                <w:highlight w:val="none"/>
                <w:lang w:val="zh-CN"/>
              </w:rPr>
              <w:t>）排放。</w:t>
            </w:r>
          </w:p>
          <w:p w14:paraId="26D4EF81">
            <w:pPr>
              <w:pStyle w:val="54"/>
              <w:spacing w:line="360" w:lineRule="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lang w:val="zh-CN"/>
              </w:rPr>
              <w:t>未被收集的</w:t>
            </w:r>
            <w:r>
              <w:rPr>
                <w:rFonts w:hint="eastAsia" w:ascii="Times New Roman" w:hAnsi="Times New Roman" w:eastAsia="宋体" w:cs="Times New Roman"/>
                <w:color w:val="auto"/>
                <w:lang w:val="en-US" w:eastAsia="zh-CN"/>
              </w:rPr>
              <w:t>颗粒物排放</w:t>
            </w:r>
            <w:r>
              <w:rPr>
                <w:rFonts w:hint="default" w:ascii="Times New Roman" w:hAnsi="Times New Roman" w:eastAsia="宋体" w:cs="Times New Roman"/>
                <w:color w:val="auto"/>
                <w:lang w:val="zh-CN"/>
              </w:rPr>
              <w:t>量为</w:t>
            </w:r>
            <w:r>
              <w:rPr>
                <w:rFonts w:hint="default" w:ascii="Times New Roman" w:hAnsi="Times New Roman" w:eastAsia="宋体" w:cs="Times New Roman"/>
                <w:color w:val="auto"/>
                <w:lang w:val="en-US" w:eastAsia="zh-CN"/>
              </w:rPr>
              <w:t>0.0</w:t>
            </w:r>
            <w:r>
              <w:rPr>
                <w:rFonts w:hint="eastAsia" w:ascii="Times New Roman" w:hAnsi="Times New Roman" w:eastAsia="宋体" w:cs="Times New Roman"/>
                <w:color w:val="auto"/>
                <w:lang w:val="en-US" w:eastAsia="zh-CN"/>
              </w:rPr>
              <w:t>205</w:t>
            </w:r>
            <w:r>
              <w:rPr>
                <w:rFonts w:hint="default" w:ascii="Times New Roman" w:hAnsi="Times New Roman" w:eastAsia="宋体" w:cs="Times New Roman"/>
                <w:color w:val="auto"/>
                <w:lang w:val="zh-CN"/>
              </w:rPr>
              <w:t>t/a，排放速率为</w:t>
            </w:r>
            <w:r>
              <w:rPr>
                <w:rFonts w:hint="default" w:ascii="Times New Roman" w:hAnsi="Times New Roman" w:eastAsia="宋体" w:cs="Times New Roman"/>
                <w:color w:val="auto"/>
                <w:lang w:val="en-US" w:eastAsia="zh-CN"/>
              </w:rPr>
              <w:t>0.0</w:t>
            </w:r>
            <w:r>
              <w:rPr>
                <w:rFonts w:hint="eastAsia" w:ascii="Times New Roman" w:hAnsi="Times New Roman" w:eastAsia="宋体" w:cs="Times New Roman"/>
                <w:color w:val="auto"/>
                <w:lang w:val="en-US" w:eastAsia="zh-CN"/>
              </w:rPr>
              <w:t>205</w:t>
            </w:r>
            <w:r>
              <w:rPr>
                <w:rFonts w:hint="default" w:ascii="Times New Roman" w:hAnsi="Times New Roman" w:eastAsia="宋体" w:cs="Times New Roman"/>
                <w:color w:val="auto"/>
                <w:lang w:val="zh-CN"/>
              </w:rPr>
              <w:t>kg/h。</w:t>
            </w:r>
          </w:p>
          <w:p w14:paraId="2FF2C8F4">
            <w:pPr>
              <w:autoSpaceDE w:val="0"/>
              <w:autoSpaceDN w:val="0"/>
              <w:adjustRightIn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高周波、热压成型机</w:t>
            </w:r>
            <w:r>
              <w:rPr>
                <w:rFonts w:hint="default" w:ascii="Times New Roman" w:hAnsi="Times New Roman" w:eastAsia="宋体" w:cs="Times New Roman"/>
                <w:color w:val="auto"/>
                <w:sz w:val="24"/>
                <w:szCs w:val="24"/>
                <w:highlight w:val="none"/>
                <w:lang w:val="en-US" w:eastAsia="zh-CN"/>
              </w:rPr>
              <w:t>上方均采取集气罩收集，</w:t>
            </w:r>
            <w:r>
              <w:rPr>
                <w:rFonts w:hint="default" w:ascii="Times New Roman" w:hAnsi="Times New Roman" w:cs="Times New Roman"/>
                <w:color w:val="auto"/>
                <w:sz w:val="24"/>
                <w:szCs w:val="24"/>
                <w:highlight w:val="none"/>
              </w:rPr>
              <w:t>采取的矩形集气罩为外部集气罩，根据《大气污染控制工程</w:t>
            </w:r>
            <w:r>
              <w:rPr>
                <w:rFonts w:hint="default" w:ascii="Times New Roman" w:hAnsi="Times New Roman" w:cs="Times New Roman"/>
                <w:color w:val="auto"/>
                <w:sz w:val="24"/>
                <w:szCs w:val="24"/>
              </w:rPr>
              <w:t>》的控制风速法计算：</w:t>
            </w:r>
          </w:p>
          <w:p w14:paraId="42E9006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inorEastAsia"/>
                <w:color w:val="auto"/>
                <w:sz w:val="24"/>
                <w:szCs w:val="24"/>
                <w:vertAlign w:val="subscript"/>
                <w:lang w:val="en-US" w:eastAsia="zh-CN"/>
              </w:rPr>
            </w:pPr>
            <w:r>
              <w:rPr>
                <w:rFonts w:hint="default" w:ascii="Times New Roman" w:hAnsi="Times New Roman" w:cs="Times New Roman"/>
                <w:color w:val="auto"/>
                <w:sz w:val="24"/>
                <w:szCs w:val="24"/>
              </w:rPr>
              <w:t>Q=</w:t>
            </w:r>
            <w:r>
              <w:rPr>
                <w:rFonts w:hint="default" w:ascii="Times New Roman" w:hAnsi="Times New Roman" w:cs="Times New Roman"/>
                <w:color w:val="auto"/>
                <w:sz w:val="24"/>
                <w:szCs w:val="24"/>
                <w:lang w:val="en-US" w:eastAsia="zh-CN"/>
              </w:rPr>
              <w:t>K·P·H·</w:t>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lang w:val="en-US" w:eastAsia="zh-CN"/>
              </w:rPr>
              <w:t>x</w:t>
            </w:r>
          </w:p>
          <w:p w14:paraId="3F48F987">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其中：Q</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风量，m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s</w:t>
            </w:r>
            <w:r>
              <w:rPr>
                <w:rFonts w:hint="default" w:ascii="Times New Roman" w:hAnsi="Times New Roman" w:cs="Times New Roman"/>
                <w:color w:val="auto"/>
                <w:sz w:val="24"/>
                <w:szCs w:val="24"/>
                <w:lang w:eastAsia="zh-CN"/>
              </w:rPr>
              <w:t>。</w:t>
            </w:r>
          </w:p>
          <w:p w14:paraId="56A27F4A">
            <w:pPr>
              <w:spacing w:line="360" w:lineRule="auto"/>
              <w:ind w:firstLine="1200" w:firstLineChars="5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K</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考虑沿高度速度不均匀的安全系数，通常取1.4</w:t>
            </w:r>
            <w:r>
              <w:rPr>
                <w:rFonts w:hint="default" w:ascii="Times New Roman" w:hAnsi="Times New Roman" w:cs="Times New Roman"/>
                <w:color w:val="auto"/>
                <w:sz w:val="24"/>
                <w:szCs w:val="24"/>
                <w:lang w:eastAsia="zh-CN"/>
              </w:rPr>
              <w:t>。</w:t>
            </w:r>
          </w:p>
          <w:p w14:paraId="1A11D131">
            <w:pPr>
              <w:spacing w:line="360" w:lineRule="auto"/>
              <w:ind w:firstLine="1200" w:firstLineChars="5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P</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罩口周长，m</w:t>
            </w:r>
            <w:r>
              <w:rPr>
                <w:rFonts w:hint="default" w:ascii="Times New Roman" w:hAnsi="Times New Roman" w:cs="Times New Roman"/>
                <w:color w:val="auto"/>
                <w:sz w:val="24"/>
                <w:szCs w:val="24"/>
                <w:lang w:eastAsia="zh-CN"/>
              </w:rPr>
              <w:t>。</w:t>
            </w:r>
          </w:p>
          <w:p w14:paraId="569863C9">
            <w:pPr>
              <w:spacing w:line="360" w:lineRule="auto"/>
              <w:ind w:firstLine="1200" w:firstLineChars="5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H</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罩口至污染源的距离</w:t>
            </w:r>
            <w:r>
              <w:rPr>
                <w:rFonts w:hint="default" w:ascii="Times New Roman" w:hAnsi="Times New Roman" w:cs="Times New Roman"/>
                <w:color w:val="auto"/>
                <w:sz w:val="24"/>
                <w:szCs w:val="24"/>
                <w:lang w:eastAsia="zh-CN"/>
              </w:rPr>
              <w:t>。</w:t>
            </w:r>
          </w:p>
          <w:p w14:paraId="450EC705">
            <w:pPr>
              <w:spacing w:line="360" w:lineRule="auto"/>
              <w:ind w:firstLine="1200" w:firstLineChars="5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lang w:val="en-US" w:eastAsia="zh-CN"/>
              </w:rPr>
              <w:t>x</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污染源控制速度，m/s</w:t>
            </w:r>
            <w:r>
              <w:rPr>
                <w:rFonts w:hint="default" w:ascii="Times New Roman" w:hAnsi="Times New Roman" w:cs="Times New Roman"/>
                <w:color w:val="auto"/>
                <w:sz w:val="24"/>
                <w:szCs w:val="24"/>
                <w:lang w:val="en-US" w:eastAsia="zh-CN"/>
              </w:rPr>
              <w:t>。</w:t>
            </w:r>
          </w:p>
          <w:p w14:paraId="47B18CF8">
            <w:pPr>
              <w:autoSpaceDE w:val="0"/>
              <w:autoSpaceDN w:val="0"/>
              <w:adjustRightInd w:val="0"/>
              <w:spacing w:line="360" w:lineRule="auto"/>
              <w:ind w:firstLine="480" w:firstLineChars="200"/>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根据《大气污染控制工程（第二版）》</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郝吉明 马广大 主编，高等教育出版社</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表13-2 污染源的控制速度</w:t>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lang w:val="en-US" w:eastAsia="zh-CN"/>
              </w:rPr>
              <w:t>x</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当污染源从轻微速度发散到相对平静的空气中</w:t>
            </w:r>
            <w:r>
              <w:rPr>
                <w:rFonts w:hint="default" w:ascii="Times New Roman" w:hAnsi="Times New Roman" w:cs="Times New Roman"/>
                <w:color w:val="auto"/>
                <w:sz w:val="24"/>
                <w:szCs w:val="24"/>
                <w:lang w:val="en-US" w:eastAsia="zh-CN"/>
              </w:rPr>
              <w:t>-控制速度为0.25</w:t>
            </w:r>
            <w:r>
              <w:rPr>
                <w:rFonts w:hint="default" w:ascii="Times New Roman" w:hAnsi="Times New Roman" w:cs="Times New Roman"/>
                <w:color w:val="auto"/>
                <w:sz w:val="24"/>
                <w:szCs w:val="24"/>
              </w:rPr>
              <w:t>m/s～</w:t>
            </w:r>
            <w:r>
              <w:rPr>
                <w:rFonts w:hint="default" w:ascii="Times New Roman" w:hAnsi="Times New Roman" w:cs="Times New Roman"/>
                <w:color w:val="auto"/>
                <w:sz w:val="24"/>
                <w:szCs w:val="24"/>
                <w:lang w:val="en-US" w:eastAsia="zh-CN"/>
              </w:rPr>
              <w:t>0.5</w:t>
            </w:r>
            <w:r>
              <w:rPr>
                <w:rFonts w:hint="default" w:ascii="Times New Roman" w:hAnsi="Times New Roman" w:cs="Times New Roman"/>
                <w:color w:val="auto"/>
                <w:sz w:val="24"/>
                <w:szCs w:val="24"/>
              </w:rPr>
              <w:t>m/s</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本次取0.</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m/s，即V</w:t>
            </w:r>
            <w:r>
              <w:rPr>
                <w:rFonts w:hint="default" w:ascii="Times New Roman" w:hAnsi="Times New Roman" w:cs="Times New Roman"/>
                <w:color w:val="auto"/>
                <w:sz w:val="24"/>
                <w:szCs w:val="24"/>
                <w:vertAlign w:val="subscript"/>
                <w:lang w:val="en-US" w:eastAsia="zh-CN"/>
              </w:rPr>
              <w:t>x</w:t>
            </w:r>
            <w:r>
              <w:rPr>
                <w:rFonts w:hint="default" w:ascii="Times New Roman" w:hAnsi="Times New Roman" w:cs="Times New Roman"/>
                <w:color w:val="auto"/>
                <w:sz w:val="24"/>
                <w:szCs w:val="24"/>
              </w:rPr>
              <w:t>=0.</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m/s</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K取1.4，罩口至污染源距离取0.2m，高周波上方设置的单个集气罩尺寸为0.4m*0.3m，单个集气罩罩口周长为1.4m，则单个集气罩风机风量为705.6m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/h，企业拟在高周波上方共设置15个集气罩，则风机风量核算为10584m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/h；</w:t>
            </w:r>
          </w:p>
          <w:p w14:paraId="1367C3BB">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lang w:val="en-US"/>
              </w:rPr>
            </w:pPr>
            <w:r>
              <w:rPr>
                <w:rFonts w:hint="eastAsia" w:ascii="Times New Roman" w:hAnsi="Times New Roman" w:cs="Times New Roman"/>
                <w:color w:val="auto"/>
                <w:sz w:val="24"/>
                <w:szCs w:val="24"/>
                <w:lang w:val="en-US" w:eastAsia="zh-CN"/>
              </w:rPr>
              <w:t>热压成型机上方设置的单个集气罩尺寸为0.8m*0.4m，单个集气罩罩口周长为2.2m，则单个集气罩风机风量为1209.6m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/h，企业拟在热压成型机上方共设置15个集气罩，则风机风量核算为18144m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/h；合计风机风量为28728m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/h。</w:t>
            </w:r>
            <w:r>
              <w:rPr>
                <w:rFonts w:hint="eastAsia" w:ascii="Times New Roman" w:hAnsi="Times New Roman" w:eastAsia="宋体"/>
                <w:color w:val="auto"/>
                <w:sz w:val="24"/>
                <w:szCs w:val="24"/>
              </w:rPr>
              <w:t>虑风</w:t>
            </w:r>
            <w:r>
              <w:rPr>
                <w:rFonts w:hint="eastAsia" w:ascii="Times New Roman" w:hAnsi="Times New Roman" w:eastAsia="宋体"/>
                <w:color w:val="auto"/>
                <w:sz w:val="24"/>
                <w:szCs w:val="24"/>
                <w:highlight w:val="none"/>
              </w:rPr>
              <w:t>压损失、管道距离等因素，设计</w:t>
            </w:r>
            <w:r>
              <w:rPr>
                <w:rFonts w:hint="eastAsia" w:ascii="Times New Roman" w:hAnsi="Times New Roman" w:eastAsia="宋体"/>
                <w:color w:val="auto"/>
                <w:sz w:val="24"/>
                <w:szCs w:val="24"/>
                <w:highlight w:val="none"/>
                <w:lang w:val="en-US" w:eastAsia="zh-CN"/>
              </w:rPr>
              <w:t>风机</w:t>
            </w:r>
            <w:r>
              <w:rPr>
                <w:rFonts w:hint="eastAsia" w:ascii="Times New Roman" w:hAnsi="Times New Roman" w:eastAsia="宋体"/>
                <w:color w:val="auto"/>
                <w:sz w:val="24"/>
                <w:szCs w:val="24"/>
                <w:highlight w:val="none"/>
              </w:rPr>
              <w:t>风量取</w:t>
            </w:r>
            <w:r>
              <w:rPr>
                <w:rFonts w:hint="eastAsia" w:ascii="Times New Roman" w:hAnsi="Times New Roman" w:eastAsia="宋体"/>
                <w:color w:val="auto"/>
                <w:sz w:val="24"/>
                <w:szCs w:val="24"/>
                <w:highlight w:val="none"/>
                <w:lang w:val="en-US" w:eastAsia="zh-CN"/>
              </w:rPr>
              <w:t>30000</w:t>
            </w:r>
            <w:r>
              <w:rPr>
                <w:rFonts w:hint="eastAsia" w:ascii="Times New Roman" w:hAnsi="Times New Roman" w:eastAsia="宋体"/>
                <w:color w:val="auto"/>
                <w:sz w:val="24"/>
                <w:szCs w:val="24"/>
                <w:highlight w:val="none"/>
              </w:rPr>
              <w:t>m</w:t>
            </w:r>
            <w:r>
              <w:rPr>
                <w:rFonts w:hint="eastAsia" w:ascii="Times New Roman" w:hAnsi="Times New Roman" w:eastAsia="宋体"/>
                <w:color w:val="auto"/>
                <w:sz w:val="24"/>
                <w:szCs w:val="24"/>
                <w:highlight w:val="none"/>
                <w:vertAlign w:val="superscript"/>
              </w:rPr>
              <w:t>3</w:t>
            </w:r>
            <w:r>
              <w:rPr>
                <w:rFonts w:hint="eastAsia" w:ascii="Times New Roman" w:hAnsi="Times New Roman" w:eastAsia="宋体"/>
                <w:color w:val="auto"/>
                <w:sz w:val="24"/>
                <w:szCs w:val="24"/>
                <w:highlight w:val="none"/>
              </w:rPr>
              <w:t>/h</w:t>
            </w:r>
            <w:r>
              <w:rPr>
                <w:rFonts w:hint="eastAsia" w:ascii="Times New Roman" w:hAnsi="Times New Roman" w:eastAsia="宋体"/>
                <w:color w:val="auto"/>
                <w:sz w:val="24"/>
                <w:szCs w:val="24"/>
                <w:highlight w:val="none"/>
                <w:lang w:eastAsia="zh-CN"/>
              </w:rPr>
              <w:t>，风机风量可满足要求</w:t>
            </w:r>
            <w:r>
              <w:rPr>
                <w:rFonts w:hint="default" w:ascii="Times New Roman" w:hAnsi="Times New Roman" w:eastAsia="宋体" w:cs="Times New Roman"/>
                <w:color w:val="auto"/>
                <w:sz w:val="24"/>
                <w:szCs w:val="24"/>
                <w:highlight w:val="none"/>
                <w:lang w:eastAsia="zh-CN"/>
              </w:rPr>
              <w:t>。</w:t>
            </w:r>
          </w:p>
          <w:p w14:paraId="199F6AAD">
            <w:pPr>
              <w:autoSpaceDE w:val="0"/>
              <w:autoSpaceDN w:val="0"/>
              <w:adjustRightInd w:val="0"/>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zh-CN"/>
              </w:rPr>
              <w:t>（</w:t>
            </w:r>
            <w:r>
              <w:rPr>
                <w:rFonts w:hint="default"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zh-CN"/>
              </w:rPr>
              <w:t>）</w:t>
            </w:r>
            <w:r>
              <w:rPr>
                <w:rFonts w:hint="eastAsia" w:ascii="Times New Roman" w:hAnsi="Times New Roman" w:eastAsia="宋体" w:cs="Times New Roman"/>
                <w:b w:val="0"/>
                <w:bCs w:val="0"/>
                <w:color w:val="auto"/>
                <w:sz w:val="24"/>
                <w:szCs w:val="24"/>
                <w:lang w:val="en-US" w:eastAsia="zh-CN"/>
              </w:rPr>
              <w:t>磨边</w:t>
            </w:r>
            <w:r>
              <w:rPr>
                <w:rFonts w:hint="default" w:ascii="Times New Roman" w:hAnsi="Times New Roman" w:eastAsia="宋体" w:cs="Times New Roman"/>
                <w:b w:val="0"/>
                <w:bCs w:val="0"/>
                <w:color w:val="auto"/>
                <w:sz w:val="24"/>
                <w:szCs w:val="24"/>
              </w:rPr>
              <w:t>-</w:t>
            </w:r>
            <w:r>
              <w:rPr>
                <w:rFonts w:hint="default" w:ascii="Times New Roman" w:hAnsi="Times New Roman" w:cs="Times New Roman"/>
                <w:b w:val="0"/>
                <w:bCs w:val="0"/>
                <w:color w:val="auto"/>
                <w:sz w:val="24"/>
                <w:szCs w:val="24"/>
                <w:lang w:val="en-US" w:eastAsia="zh-CN"/>
              </w:rPr>
              <w:t>颗粒物（G</w:t>
            </w:r>
            <w:r>
              <w:rPr>
                <w:rFonts w:hint="eastAsia" w:ascii="Times New Roman" w:hAnsi="Times New Roman" w:cs="Times New Roman"/>
                <w:b w:val="0"/>
                <w:bCs w:val="0"/>
                <w:color w:val="auto"/>
                <w:sz w:val="24"/>
                <w:szCs w:val="24"/>
                <w:vertAlign w:val="subscript"/>
                <w:lang w:val="en-US" w:eastAsia="zh-CN"/>
              </w:rPr>
              <w:t>3</w:t>
            </w:r>
            <w:r>
              <w:rPr>
                <w:rFonts w:hint="default" w:ascii="Times New Roman" w:hAnsi="Times New Roman" w:cs="Times New Roman"/>
                <w:b w:val="0"/>
                <w:bCs w:val="0"/>
                <w:color w:val="auto"/>
                <w:sz w:val="24"/>
                <w:szCs w:val="24"/>
                <w:lang w:val="en-US" w:eastAsia="zh-CN"/>
              </w:rPr>
              <w:t>）</w:t>
            </w:r>
          </w:p>
          <w:p w14:paraId="17DE532C">
            <w:pPr>
              <w:pStyle w:val="54"/>
              <w:spacing w:line="360" w:lineRule="auto"/>
              <w:rPr>
                <w:rFonts w:hint="default" w:ascii="Times New Roman" w:hAnsi="Times New Roman" w:eastAsia="宋体" w:cs="Times New Roman"/>
                <w:color w:val="auto"/>
                <w:lang w:val="zh-CN"/>
              </w:rPr>
            </w:pPr>
            <w:r>
              <w:rPr>
                <w:rFonts w:hint="default" w:ascii="Times New Roman" w:hAnsi="Times New Roman" w:eastAsia="宋体" w:cs="Times New Roman"/>
                <w:color w:val="auto"/>
                <w:lang w:val="zh-CN"/>
              </w:rPr>
              <w:t>本项目</w:t>
            </w:r>
            <w:r>
              <w:rPr>
                <w:rFonts w:hint="eastAsia" w:ascii="Times New Roman" w:hAnsi="Times New Roman" w:eastAsia="宋体" w:cs="Times New Roman"/>
                <w:color w:val="auto"/>
                <w:lang w:val="en-US" w:eastAsia="zh-CN"/>
              </w:rPr>
              <w:t>磨边</w:t>
            </w:r>
            <w:r>
              <w:rPr>
                <w:rFonts w:hint="default" w:ascii="Times New Roman" w:hAnsi="Times New Roman" w:eastAsia="宋体" w:cs="Times New Roman"/>
                <w:color w:val="auto"/>
                <w:lang w:val="en-US" w:eastAsia="zh-CN"/>
              </w:rPr>
              <w:t>工序污染物</w:t>
            </w:r>
            <w:r>
              <w:rPr>
                <w:rFonts w:hint="default" w:ascii="Times New Roman" w:hAnsi="Times New Roman" w:eastAsia="宋体" w:cs="Times New Roman"/>
                <w:color w:val="auto"/>
                <w:lang w:val="zh-CN"/>
              </w:rPr>
              <w:t>产排系数参考《排放源统计调查产排污核算方法和系数手册》中“2140塑料家具制造行业系数表”，见表</w:t>
            </w:r>
            <w:r>
              <w:rPr>
                <w:rFonts w:hint="default" w:ascii="Times New Roman" w:hAnsi="Times New Roman" w:eastAsia="宋体" w:cs="Times New Roman"/>
                <w:color w:val="auto"/>
                <w:lang w:val="en-US" w:eastAsia="zh-CN"/>
              </w:rPr>
              <w:t>4.</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lang w:val="zh-CN"/>
              </w:rPr>
              <w:t>。</w:t>
            </w:r>
          </w:p>
          <w:p w14:paraId="5B269275">
            <w:pPr>
              <w:pStyle w:val="54"/>
              <w:spacing w:line="240" w:lineRule="auto"/>
              <w:jc w:val="center"/>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表</w:t>
            </w:r>
            <w:r>
              <w:rPr>
                <w:rFonts w:hint="default" w:ascii="Times New Roman" w:hAnsi="Times New Roman" w:eastAsia="宋体"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000000"/>
                <w:sz w:val="21"/>
                <w:szCs w:val="21"/>
              </w:rPr>
              <w:t>2140塑料家具制造行业系数表</w:t>
            </w:r>
          </w:p>
          <w:tbl>
            <w:tblPr>
              <w:tblStyle w:val="32"/>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690"/>
              <w:gridCol w:w="765"/>
              <w:gridCol w:w="1956"/>
              <w:gridCol w:w="752"/>
              <w:gridCol w:w="723"/>
              <w:gridCol w:w="1387"/>
              <w:gridCol w:w="1831"/>
              <w:gridCol w:w="851"/>
            </w:tblGrid>
            <w:tr w14:paraId="1F5E9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14:paraId="44E16C02">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工段名称</w:t>
                  </w:r>
                </w:p>
              </w:tc>
              <w:tc>
                <w:tcPr>
                  <w:tcW w:w="690" w:type="dxa"/>
                  <w:vAlign w:val="center"/>
                </w:tcPr>
                <w:p w14:paraId="55760784">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产品名称</w:t>
                  </w:r>
                </w:p>
              </w:tc>
              <w:tc>
                <w:tcPr>
                  <w:tcW w:w="765" w:type="dxa"/>
                  <w:vAlign w:val="center"/>
                </w:tcPr>
                <w:p w14:paraId="6C84A7D3">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原料名称</w:t>
                  </w:r>
                </w:p>
              </w:tc>
              <w:tc>
                <w:tcPr>
                  <w:tcW w:w="1956" w:type="dxa"/>
                  <w:vAlign w:val="center"/>
                </w:tcPr>
                <w:p w14:paraId="574CDAD1">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工艺名称</w:t>
                  </w:r>
                </w:p>
              </w:tc>
              <w:tc>
                <w:tcPr>
                  <w:tcW w:w="752" w:type="dxa"/>
                  <w:vAlign w:val="center"/>
                </w:tcPr>
                <w:p w14:paraId="5CCF1F46">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规模等级</w:t>
                  </w:r>
                </w:p>
              </w:tc>
              <w:tc>
                <w:tcPr>
                  <w:tcW w:w="2110" w:type="dxa"/>
                  <w:gridSpan w:val="2"/>
                  <w:vAlign w:val="center"/>
                </w:tcPr>
                <w:p w14:paraId="21D72DD7">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污染物指标</w:t>
                  </w:r>
                </w:p>
              </w:tc>
              <w:tc>
                <w:tcPr>
                  <w:tcW w:w="1831" w:type="dxa"/>
                  <w:vAlign w:val="center"/>
                </w:tcPr>
                <w:p w14:paraId="26BEEB46">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单位</w:t>
                  </w:r>
                </w:p>
              </w:tc>
              <w:tc>
                <w:tcPr>
                  <w:tcW w:w="851" w:type="dxa"/>
                  <w:vAlign w:val="center"/>
                </w:tcPr>
                <w:p w14:paraId="58D587A1">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产污系数</w:t>
                  </w:r>
                </w:p>
              </w:tc>
            </w:tr>
            <w:tr w14:paraId="555EF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restart"/>
                  <w:vAlign w:val="center"/>
                </w:tcPr>
                <w:p w14:paraId="02872038">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成型</w:t>
                  </w:r>
                </w:p>
              </w:tc>
              <w:tc>
                <w:tcPr>
                  <w:tcW w:w="690" w:type="dxa"/>
                  <w:vMerge w:val="restart"/>
                  <w:vAlign w:val="center"/>
                </w:tcPr>
                <w:p w14:paraId="05D6BDEC">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塑料家具</w:t>
                  </w:r>
                </w:p>
              </w:tc>
              <w:tc>
                <w:tcPr>
                  <w:tcW w:w="765" w:type="dxa"/>
                  <w:vMerge w:val="restart"/>
                  <w:vAlign w:val="center"/>
                </w:tcPr>
                <w:p w14:paraId="66A722CA">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热固型塑料/热塑型塑 料</w:t>
                  </w:r>
                </w:p>
              </w:tc>
              <w:tc>
                <w:tcPr>
                  <w:tcW w:w="1956" w:type="dxa"/>
                  <w:vMerge w:val="restart"/>
                  <w:vAlign w:val="center"/>
                </w:tcPr>
                <w:p w14:paraId="634184D8">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注塑成型、挤出成型、模压成型、吹塑成型、热成型、压延成型、滚塑成型、搪塑成型</w:t>
                  </w:r>
                </w:p>
              </w:tc>
              <w:tc>
                <w:tcPr>
                  <w:tcW w:w="752" w:type="dxa"/>
                  <w:vMerge w:val="restart"/>
                  <w:vAlign w:val="center"/>
                </w:tcPr>
                <w:p w14:paraId="7152E0BB">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所有规模</w:t>
                  </w:r>
                </w:p>
              </w:tc>
              <w:tc>
                <w:tcPr>
                  <w:tcW w:w="723" w:type="dxa"/>
                  <w:vMerge w:val="restart"/>
                  <w:vAlign w:val="center"/>
                </w:tcPr>
                <w:p w14:paraId="1EF9E51A">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w:t>
                  </w:r>
                </w:p>
              </w:tc>
              <w:tc>
                <w:tcPr>
                  <w:tcW w:w="1387" w:type="dxa"/>
                  <w:shd w:val="clear" w:color="auto" w:fill="auto"/>
                  <w:vAlign w:val="center"/>
                </w:tcPr>
                <w:p w14:paraId="0F04558E">
                  <w:pPr>
                    <w:autoSpaceDE w:val="0"/>
                    <w:autoSpaceDN w:val="0"/>
                    <w:adjustRightInd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工业废气量</w:t>
                  </w:r>
                </w:p>
              </w:tc>
              <w:tc>
                <w:tcPr>
                  <w:tcW w:w="1831" w:type="dxa"/>
                  <w:shd w:val="clear" w:color="auto" w:fill="auto"/>
                  <w:vAlign w:val="center"/>
                </w:tcPr>
                <w:p w14:paraId="09B163BA">
                  <w:pPr>
                    <w:autoSpaceDE w:val="0"/>
                    <w:autoSpaceDN w:val="0"/>
                    <w:adjustRightInd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标立方米/</w:t>
                  </w:r>
                  <w:r>
                    <w:rPr>
                      <w:rFonts w:hint="eastAsia" w:ascii="Times New Roman" w:hAnsi="Times New Roman" w:cs="Times New Roman"/>
                      <w:color w:val="auto"/>
                      <w:sz w:val="21"/>
                      <w:szCs w:val="21"/>
                      <w:lang w:val="en-US" w:eastAsia="zh-CN"/>
                    </w:rPr>
                    <w:t>公斤</w:t>
                  </w:r>
                  <w:r>
                    <w:rPr>
                      <w:rFonts w:hint="default" w:ascii="Times New Roman" w:hAnsi="Times New Roman" w:cs="Times New Roman"/>
                      <w:color w:val="auto"/>
                      <w:sz w:val="21"/>
                      <w:szCs w:val="21"/>
                      <w:lang w:val="en-US" w:eastAsia="zh-CN"/>
                    </w:rPr>
                    <w:t>-产品</w:t>
                  </w:r>
                </w:p>
              </w:tc>
              <w:tc>
                <w:tcPr>
                  <w:tcW w:w="851" w:type="dxa"/>
                  <w:shd w:val="clear" w:color="auto" w:fill="auto"/>
                  <w:vAlign w:val="center"/>
                </w:tcPr>
                <w:p w14:paraId="26853FDA">
                  <w:pPr>
                    <w:autoSpaceDE w:val="0"/>
                    <w:autoSpaceDN w:val="0"/>
                    <w:adjustRightInd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37.7</w:t>
                  </w:r>
                </w:p>
              </w:tc>
            </w:tr>
            <w:tr w14:paraId="719F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vAlign w:val="center"/>
                </w:tcPr>
                <w:p w14:paraId="4FBE6EF2">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p>
              </w:tc>
              <w:tc>
                <w:tcPr>
                  <w:tcW w:w="690" w:type="dxa"/>
                  <w:vMerge w:val="continue"/>
                  <w:vAlign w:val="center"/>
                </w:tcPr>
                <w:p w14:paraId="04CCE75B">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p>
              </w:tc>
              <w:tc>
                <w:tcPr>
                  <w:tcW w:w="765" w:type="dxa"/>
                  <w:vMerge w:val="continue"/>
                  <w:vAlign w:val="center"/>
                </w:tcPr>
                <w:p w14:paraId="6160529C">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p>
              </w:tc>
              <w:tc>
                <w:tcPr>
                  <w:tcW w:w="1956" w:type="dxa"/>
                  <w:vMerge w:val="continue"/>
                  <w:vAlign w:val="center"/>
                </w:tcPr>
                <w:p w14:paraId="7B2C81F6">
                  <w:pPr>
                    <w:autoSpaceDE w:val="0"/>
                    <w:autoSpaceDN w:val="0"/>
                    <w:adjustRightInd w:val="0"/>
                    <w:spacing w:line="240" w:lineRule="auto"/>
                    <w:jc w:val="both"/>
                    <w:rPr>
                      <w:rFonts w:hint="default" w:ascii="Times New Roman" w:hAnsi="Times New Roman" w:cs="Times New Roman"/>
                      <w:color w:val="auto"/>
                      <w:sz w:val="21"/>
                      <w:szCs w:val="21"/>
                      <w:lang w:val="en-US" w:eastAsia="zh-CN"/>
                    </w:rPr>
                  </w:pPr>
                </w:p>
              </w:tc>
              <w:tc>
                <w:tcPr>
                  <w:tcW w:w="752" w:type="dxa"/>
                  <w:vMerge w:val="continue"/>
                  <w:vAlign w:val="center"/>
                </w:tcPr>
                <w:p w14:paraId="39A97289">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p>
              </w:tc>
              <w:tc>
                <w:tcPr>
                  <w:tcW w:w="723" w:type="dxa"/>
                  <w:vMerge w:val="continue"/>
                  <w:vAlign w:val="center"/>
                </w:tcPr>
                <w:p w14:paraId="53356FAF">
                  <w:pPr>
                    <w:autoSpaceDE w:val="0"/>
                    <w:autoSpaceDN w:val="0"/>
                    <w:adjustRightInd w:val="0"/>
                    <w:spacing w:line="240" w:lineRule="auto"/>
                    <w:jc w:val="center"/>
                    <w:rPr>
                      <w:rFonts w:hint="default" w:ascii="Times New Roman" w:hAnsi="Times New Roman" w:cs="Times New Roman"/>
                      <w:color w:val="auto"/>
                      <w:sz w:val="21"/>
                      <w:szCs w:val="21"/>
                      <w:lang w:val="en-US" w:eastAsia="zh-CN"/>
                    </w:rPr>
                  </w:pPr>
                </w:p>
              </w:tc>
              <w:tc>
                <w:tcPr>
                  <w:tcW w:w="1387" w:type="dxa"/>
                  <w:shd w:val="clear" w:color="auto" w:fill="auto"/>
                  <w:vAlign w:val="center"/>
                </w:tcPr>
                <w:p w14:paraId="0CEDB889">
                  <w:pPr>
                    <w:autoSpaceDE w:val="0"/>
                    <w:autoSpaceDN w:val="0"/>
                    <w:adjustRightInd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颗粒物</w:t>
                  </w:r>
                </w:p>
              </w:tc>
              <w:tc>
                <w:tcPr>
                  <w:tcW w:w="1831" w:type="dxa"/>
                  <w:shd w:val="clear" w:color="auto" w:fill="auto"/>
                  <w:vAlign w:val="center"/>
                </w:tcPr>
                <w:p w14:paraId="73FD1E6A">
                  <w:pPr>
                    <w:autoSpaceDE w:val="0"/>
                    <w:autoSpaceDN w:val="0"/>
                    <w:adjustRightInd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克/</w:t>
                  </w:r>
                  <w:r>
                    <w:rPr>
                      <w:rFonts w:hint="eastAsia" w:ascii="Times New Roman" w:hAnsi="Times New Roman" w:cs="Times New Roman"/>
                      <w:color w:val="auto"/>
                      <w:sz w:val="21"/>
                      <w:szCs w:val="21"/>
                      <w:lang w:val="en-US" w:eastAsia="zh-CN"/>
                    </w:rPr>
                    <w:t>公斤</w:t>
                  </w:r>
                  <w:r>
                    <w:rPr>
                      <w:rFonts w:hint="default" w:ascii="Times New Roman" w:hAnsi="Times New Roman" w:cs="Times New Roman"/>
                      <w:color w:val="auto"/>
                      <w:sz w:val="21"/>
                      <w:szCs w:val="21"/>
                      <w:lang w:val="en-US" w:eastAsia="zh-CN"/>
                    </w:rPr>
                    <w:t>-产品</w:t>
                  </w:r>
                </w:p>
              </w:tc>
              <w:tc>
                <w:tcPr>
                  <w:tcW w:w="851" w:type="dxa"/>
                  <w:shd w:val="clear" w:color="auto" w:fill="auto"/>
                  <w:vAlign w:val="center"/>
                </w:tcPr>
                <w:p w14:paraId="68D1F33A">
                  <w:pPr>
                    <w:autoSpaceDE w:val="0"/>
                    <w:autoSpaceDN w:val="0"/>
                    <w:adjustRightInd w:val="0"/>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10.9</w:t>
                  </w:r>
                </w:p>
              </w:tc>
            </w:tr>
          </w:tbl>
          <w:p w14:paraId="6791DDD4">
            <w:pPr>
              <w:autoSpaceDE w:val="0"/>
              <w:autoSpaceDN w:val="0"/>
              <w:adjustRightInd w:val="0"/>
              <w:spacing w:line="360" w:lineRule="auto"/>
              <w:ind w:firstLine="480" w:firstLineChars="200"/>
              <w:rPr>
                <w:rFonts w:hint="eastAsia"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color w:val="auto"/>
                <w:sz w:val="24"/>
                <w:szCs w:val="24"/>
                <w:lang w:val="zh-CN"/>
              </w:rPr>
              <w:t>根据建设单位提供的资料，本项目</w:t>
            </w:r>
            <w:r>
              <w:rPr>
                <w:rFonts w:hint="eastAsia" w:ascii="Times New Roman" w:hAnsi="Times New Roman" w:eastAsia="宋体" w:cs="Times New Roman"/>
                <w:b w:val="0"/>
                <w:bCs w:val="0"/>
                <w:color w:val="auto"/>
                <w:sz w:val="24"/>
                <w:szCs w:val="24"/>
                <w:lang w:val="en-US" w:eastAsia="zh-CN"/>
              </w:rPr>
              <w:t>密胺餐具年产量为200t/a，</w:t>
            </w:r>
            <w:r>
              <w:rPr>
                <w:rFonts w:hint="default" w:ascii="Times New Roman" w:hAnsi="Times New Roman" w:eastAsia="宋体" w:cs="Times New Roman"/>
                <w:color w:val="auto"/>
                <w:sz w:val="24"/>
                <w:szCs w:val="24"/>
                <w:lang w:val="zh-CN"/>
              </w:rPr>
              <w:t>则</w:t>
            </w:r>
            <w:r>
              <w:rPr>
                <w:rFonts w:hint="eastAsia" w:ascii="Times New Roman" w:hAnsi="Times New Roman" w:eastAsia="宋体" w:cs="Times New Roman"/>
                <w:color w:val="auto"/>
                <w:sz w:val="24"/>
                <w:szCs w:val="24"/>
                <w:lang w:val="en-US" w:eastAsia="zh-CN"/>
              </w:rPr>
              <w:t>磨边</w:t>
            </w:r>
            <w:r>
              <w:rPr>
                <w:rFonts w:hint="default" w:ascii="Times New Roman" w:hAnsi="Times New Roman" w:eastAsia="宋体" w:cs="Times New Roman"/>
                <w:color w:val="auto"/>
                <w:sz w:val="24"/>
                <w:szCs w:val="24"/>
                <w:lang w:val="zh-CN"/>
              </w:rPr>
              <w:t>-颗粒物产生量为</w:t>
            </w:r>
            <w:r>
              <w:rPr>
                <w:rFonts w:hint="eastAsia" w:ascii="Times New Roman" w:hAnsi="Times New Roman" w:eastAsia="宋体" w:cs="Times New Roman"/>
                <w:color w:val="auto"/>
                <w:sz w:val="24"/>
                <w:szCs w:val="24"/>
                <w:lang w:val="en-US" w:eastAsia="zh-CN"/>
              </w:rPr>
              <w:t>2.18</w:t>
            </w:r>
            <w:r>
              <w:rPr>
                <w:rFonts w:hint="default" w:ascii="Times New Roman" w:hAnsi="Times New Roman" w:eastAsia="宋体" w:cs="Times New Roman"/>
                <w:color w:val="auto"/>
                <w:sz w:val="24"/>
                <w:szCs w:val="24"/>
                <w:lang w:val="zh-CN"/>
              </w:rPr>
              <w:t>t/a，</w:t>
            </w:r>
            <w:r>
              <w:rPr>
                <w:rFonts w:hint="eastAsia" w:ascii="Times New Roman" w:hAnsi="Times New Roman" w:eastAsia="宋体" w:cs="Times New Roman"/>
                <w:color w:val="auto"/>
                <w:sz w:val="24"/>
                <w:szCs w:val="24"/>
                <w:lang w:val="en-US" w:eastAsia="zh-CN"/>
              </w:rPr>
              <w:t>磨边</w:t>
            </w:r>
            <w:r>
              <w:rPr>
                <w:rFonts w:hint="default" w:ascii="Times New Roman" w:hAnsi="Times New Roman" w:eastAsia="宋体" w:cs="Times New Roman"/>
                <w:color w:val="auto"/>
                <w:sz w:val="24"/>
                <w:szCs w:val="24"/>
                <w:lang w:val="zh-CN"/>
              </w:rPr>
              <w:t>工作时间为</w:t>
            </w:r>
            <w:r>
              <w:rPr>
                <w:rFonts w:hint="eastAsia" w:ascii="Times New Roman" w:hAnsi="Times New Roman" w:eastAsia="宋体" w:cs="Times New Roman"/>
                <w:color w:val="auto"/>
                <w:sz w:val="24"/>
                <w:szCs w:val="24"/>
                <w:lang w:val="en-US" w:eastAsia="zh-CN"/>
              </w:rPr>
              <w:t>45</w:t>
            </w:r>
            <w:r>
              <w:rPr>
                <w:rFonts w:hint="default" w:ascii="Times New Roman" w:hAnsi="Times New Roman" w:eastAsia="宋体" w:cs="Times New Roman"/>
                <w:color w:val="auto"/>
                <w:sz w:val="24"/>
                <w:szCs w:val="24"/>
                <w:lang w:val="en-US" w:eastAsia="zh-CN"/>
              </w:rPr>
              <w:t>00h</w:t>
            </w:r>
            <w:r>
              <w:rPr>
                <w:rFonts w:hint="default" w:ascii="Times New Roman" w:hAnsi="Times New Roman" w:eastAsia="宋体" w:cs="Times New Roman"/>
                <w:color w:val="auto"/>
                <w:sz w:val="24"/>
                <w:szCs w:val="24"/>
                <w:lang w:val="zh-CN"/>
              </w:rPr>
              <w:t>。</w:t>
            </w:r>
          </w:p>
          <w:p w14:paraId="7C8A1949">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b w:val="0"/>
                <w:bCs w:val="0"/>
                <w:color w:val="auto"/>
                <w:kern w:val="2"/>
                <w:sz w:val="24"/>
                <w:szCs w:val="24"/>
                <w:lang w:val="en-US" w:eastAsia="zh-CN" w:bidi="ar-SA"/>
              </w:rPr>
              <w:t>本项目</w:t>
            </w:r>
            <w:r>
              <w:rPr>
                <w:rFonts w:hint="eastAsia" w:ascii="Times New Roman" w:hAnsi="Times New Roman" w:eastAsia="宋体" w:cs="Times New Roman"/>
                <w:color w:val="auto"/>
                <w:sz w:val="24"/>
                <w:szCs w:val="24"/>
                <w:lang w:val="en-US" w:eastAsia="zh-CN"/>
              </w:rPr>
              <w:t>磨边</w:t>
            </w:r>
            <w:r>
              <w:rPr>
                <w:rFonts w:hint="default" w:ascii="Times New Roman" w:hAnsi="Times New Roman" w:eastAsia="宋体" w:cs="Times New Roman"/>
                <w:b w:val="0"/>
                <w:bCs w:val="0"/>
                <w:color w:val="auto"/>
                <w:kern w:val="2"/>
                <w:sz w:val="24"/>
                <w:szCs w:val="24"/>
                <w:lang w:val="en-US" w:eastAsia="zh-CN" w:bidi="ar-SA"/>
              </w:rPr>
              <w:t>过程使用集气罩收集颗粒物，收集效率按90%计，</w:t>
            </w:r>
            <w:r>
              <w:rPr>
                <w:rFonts w:hint="default" w:ascii="Times New Roman" w:hAnsi="Times New Roman" w:eastAsia="宋体" w:cs="Times New Roman"/>
                <w:color w:val="auto"/>
                <w:sz w:val="24"/>
                <w:szCs w:val="24"/>
                <w:lang w:val="zh-CN"/>
              </w:rPr>
              <w:t>则颗粒物有组织产生量为</w:t>
            </w:r>
            <w:r>
              <w:rPr>
                <w:rFonts w:hint="eastAsia" w:ascii="Times New Roman" w:hAnsi="Times New Roman" w:eastAsia="宋体" w:cs="Times New Roman"/>
                <w:color w:val="auto"/>
                <w:sz w:val="24"/>
                <w:szCs w:val="24"/>
                <w:lang w:val="en-US" w:eastAsia="zh-CN"/>
              </w:rPr>
              <w:t>1.962</w:t>
            </w:r>
            <w:r>
              <w:rPr>
                <w:rFonts w:hint="default" w:ascii="Times New Roman" w:hAnsi="Times New Roman" w:eastAsia="宋体" w:cs="Times New Roman"/>
                <w:color w:val="auto"/>
                <w:sz w:val="24"/>
                <w:szCs w:val="24"/>
                <w:lang w:val="zh-CN"/>
              </w:rPr>
              <w:t>t/a，产生速率为</w:t>
            </w:r>
            <w:r>
              <w:rPr>
                <w:rFonts w:hint="eastAsia" w:ascii="Times New Roman" w:hAnsi="Times New Roman" w:eastAsia="宋体" w:cs="Times New Roman"/>
                <w:color w:val="auto"/>
                <w:sz w:val="24"/>
                <w:szCs w:val="24"/>
                <w:lang w:val="en-US" w:eastAsia="zh-CN"/>
              </w:rPr>
              <w:t>0.436</w:t>
            </w:r>
            <w:r>
              <w:rPr>
                <w:rFonts w:hint="default" w:ascii="Times New Roman" w:hAnsi="Times New Roman" w:eastAsia="宋体" w:cs="Times New Roman"/>
                <w:color w:val="auto"/>
                <w:sz w:val="24"/>
                <w:szCs w:val="24"/>
                <w:highlight w:val="none"/>
                <w:lang w:val="zh-CN"/>
              </w:rPr>
              <w:t>kg/h，产生浓度为</w:t>
            </w:r>
            <w:r>
              <w:rPr>
                <w:rFonts w:hint="eastAsia" w:ascii="Times New Roman" w:hAnsi="Times New Roman" w:eastAsia="宋体" w:cs="Times New Roman"/>
                <w:color w:val="auto"/>
                <w:sz w:val="24"/>
                <w:szCs w:val="24"/>
                <w:highlight w:val="none"/>
                <w:lang w:val="en-US" w:eastAsia="zh-CN"/>
              </w:rPr>
              <w:t>43.6</w:t>
            </w:r>
            <w:r>
              <w:rPr>
                <w:rFonts w:hint="default" w:ascii="Times New Roman" w:hAnsi="Times New Roman" w:eastAsia="宋体" w:cs="Times New Roman"/>
                <w:color w:val="auto"/>
                <w:sz w:val="24"/>
                <w:szCs w:val="24"/>
                <w:highlight w:val="none"/>
                <w:lang w:val="zh-CN"/>
              </w:rPr>
              <w:t>mg/m</w:t>
            </w:r>
            <w:r>
              <w:rPr>
                <w:rFonts w:hint="default" w:ascii="Times New Roman" w:hAnsi="Times New Roman" w:eastAsia="宋体" w:cs="Times New Roman"/>
                <w:color w:val="auto"/>
                <w:sz w:val="24"/>
                <w:szCs w:val="24"/>
                <w:highlight w:val="none"/>
                <w:vertAlign w:val="superscript"/>
                <w:lang w:val="zh-CN"/>
              </w:rPr>
              <w:t>3</w:t>
            </w:r>
            <w:r>
              <w:rPr>
                <w:rFonts w:hint="default" w:ascii="Times New Roman" w:hAnsi="Times New Roman" w:eastAsia="宋体" w:cs="Times New Roman"/>
                <w:color w:val="auto"/>
                <w:sz w:val="24"/>
                <w:szCs w:val="24"/>
                <w:highlight w:val="none"/>
                <w:lang w:val="zh-CN"/>
              </w:rPr>
              <w:t>，经“袋式除尘器”处理（处理效率按</w:t>
            </w:r>
            <w:r>
              <w:rPr>
                <w:rFonts w:hint="default" w:ascii="Times New Roman" w:hAnsi="Times New Roman" w:eastAsia="宋体" w:cs="Times New Roman"/>
                <w:color w:val="auto"/>
                <w:sz w:val="24"/>
                <w:szCs w:val="24"/>
                <w:highlight w:val="none"/>
                <w:lang w:val="en-US" w:eastAsia="zh-CN"/>
              </w:rPr>
              <w:t>99%计</w:t>
            </w:r>
            <w:r>
              <w:rPr>
                <w:rFonts w:hint="default" w:ascii="Times New Roman" w:hAnsi="Times New Roman" w:eastAsia="宋体" w:cs="Times New Roman"/>
                <w:color w:val="auto"/>
                <w:sz w:val="24"/>
                <w:szCs w:val="24"/>
                <w:highlight w:val="none"/>
                <w:lang w:val="zh-CN"/>
              </w:rPr>
              <w:t>）后，颗粒物排放量约为</w:t>
            </w:r>
            <w:r>
              <w:rPr>
                <w:rFonts w:hint="eastAsia" w:ascii="Times New Roman" w:hAnsi="Times New Roman" w:eastAsia="宋体" w:cs="Times New Roman"/>
                <w:color w:val="auto"/>
                <w:sz w:val="24"/>
                <w:szCs w:val="24"/>
                <w:highlight w:val="none"/>
                <w:lang w:val="en-US" w:eastAsia="zh-CN"/>
              </w:rPr>
              <w:t>0.0196</w:t>
            </w:r>
            <w:r>
              <w:rPr>
                <w:rFonts w:hint="default" w:ascii="Times New Roman" w:hAnsi="Times New Roman" w:eastAsia="宋体" w:cs="Times New Roman"/>
                <w:color w:val="auto"/>
                <w:sz w:val="24"/>
                <w:szCs w:val="24"/>
                <w:highlight w:val="none"/>
                <w:lang w:val="zh-CN"/>
              </w:rPr>
              <w:t>t/a，排放速率为</w:t>
            </w:r>
            <w:r>
              <w:rPr>
                <w:rFonts w:hint="default" w:ascii="Times New Roman" w:hAnsi="Times New Roman" w:eastAsia="宋体" w:cs="Times New Roman"/>
                <w:color w:val="auto"/>
                <w:sz w:val="24"/>
                <w:szCs w:val="24"/>
                <w:highlight w:val="none"/>
                <w:lang w:val="en-US" w:eastAsia="zh-CN"/>
              </w:rPr>
              <w:t>0.00</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zh-CN"/>
              </w:rPr>
              <w:t>kg/h，排放浓度为</w:t>
            </w:r>
            <w:r>
              <w:rPr>
                <w:rFonts w:hint="eastAsia" w:ascii="Times New Roman" w:hAnsi="Times New Roman" w:eastAsia="宋体" w:cs="Times New Roman"/>
                <w:color w:val="auto"/>
                <w:sz w:val="24"/>
                <w:szCs w:val="24"/>
                <w:highlight w:val="none"/>
                <w:lang w:val="en-US" w:eastAsia="zh-CN"/>
              </w:rPr>
              <w:t>0.44</w:t>
            </w:r>
            <w:r>
              <w:rPr>
                <w:rFonts w:hint="default" w:ascii="Times New Roman" w:hAnsi="Times New Roman" w:eastAsia="宋体" w:cs="Times New Roman"/>
                <w:color w:val="auto"/>
                <w:sz w:val="24"/>
                <w:szCs w:val="24"/>
                <w:highlight w:val="none"/>
                <w:lang w:val="zh-CN"/>
              </w:rPr>
              <w:t>mg/m</w:t>
            </w:r>
            <w:r>
              <w:rPr>
                <w:rFonts w:hint="default" w:ascii="Times New Roman" w:hAnsi="Times New Roman" w:eastAsia="宋体" w:cs="Times New Roman"/>
                <w:color w:val="auto"/>
                <w:sz w:val="24"/>
                <w:szCs w:val="24"/>
                <w:highlight w:val="none"/>
                <w:vertAlign w:val="superscript"/>
                <w:lang w:val="zh-CN"/>
              </w:rPr>
              <w:t>3</w:t>
            </w:r>
            <w:r>
              <w:rPr>
                <w:rFonts w:hint="default" w:ascii="Times New Roman" w:hAnsi="Times New Roman" w:eastAsia="宋体" w:cs="Times New Roman"/>
                <w:color w:val="auto"/>
                <w:sz w:val="24"/>
                <w:szCs w:val="24"/>
                <w:highlight w:val="none"/>
                <w:lang w:val="zh-CN"/>
              </w:rPr>
              <w:t>。</w:t>
            </w:r>
            <w:r>
              <w:rPr>
                <w:rFonts w:hint="eastAsia" w:ascii="Times New Roman" w:hAnsi="Times New Roman" w:eastAsia="宋体" w:cs="Times New Roman"/>
                <w:color w:val="auto"/>
                <w:sz w:val="24"/>
                <w:szCs w:val="24"/>
                <w:highlight w:val="none"/>
                <w:lang w:val="en-US" w:eastAsia="zh-CN"/>
              </w:rPr>
              <w:t>磨边</w:t>
            </w:r>
            <w:r>
              <w:rPr>
                <w:rFonts w:hint="default" w:ascii="Times New Roman" w:hAnsi="Times New Roman" w:eastAsia="宋体" w:cs="Times New Roman"/>
                <w:color w:val="auto"/>
                <w:sz w:val="24"/>
                <w:szCs w:val="24"/>
                <w:highlight w:val="none"/>
                <w:lang w:val="zh-CN"/>
              </w:rPr>
              <w:t>产生的颗粒物经“袋式除尘器”处理后经1根</w:t>
            </w:r>
            <w:r>
              <w:rPr>
                <w:rFonts w:hint="default"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lang w:val="zh-CN"/>
              </w:rPr>
              <w:t>m高排气筒（</w:t>
            </w:r>
            <w:r>
              <w:rPr>
                <w:rFonts w:hint="default" w:ascii="Times New Roman" w:hAnsi="Times New Roman" w:eastAsia="宋体" w:cs="Times New Roman"/>
                <w:b/>
                <w:bCs/>
                <w:color w:val="auto"/>
                <w:sz w:val="24"/>
                <w:szCs w:val="24"/>
                <w:highlight w:val="none"/>
                <w:lang w:val="zh-CN"/>
              </w:rPr>
              <w:t>DA00</w:t>
            </w: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zh-CN"/>
              </w:rPr>
              <w:t>）排放。</w:t>
            </w:r>
          </w:p>
          <w:p w14:paraId="2783D6E4">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rPr>
              <w:t>未被收集的颗粒物量为</w:t>
            </w:r>
            <w:r>
              <w:rPr>
                <w:rFonts w:hint="eastAsia" w:ascii="Times New Roman" w:hAnsi="Times New Roman" w:eastAsia="宋体" w:cs="Times New Roman"/>
                <w:color w:val="auto"/>
                <w:sz w:val="24"/>
                <w:szCs w:val="24"/>
                <w:highlight w:val="none"/>
                <w:lang w:val="en-US" w:eastAsia="zh-CN"/>
              </w:rPr>
              <w:t>0.218</w:t>
            </w:r>
            <w:r>
              <w:rPr>
                <w:rFonts w:hint="default" w:ascii="Times New Roman" w:hAnsi="Times New Roman" w:eastAsia="宋体" w:cs="Times New Roman"/>
                <w:color w:val="auto"/>
                <w:sz w:val="24"/>
                <w:szCs w:val="24"/>
                <w:highlight w:val="none"/>
                <w:lang w:val="zh-CN"/>
              </w:rPr>
              <w:t>t/a，排放速率为</w:t>
            </w:r>
            <w:r>
              <w:rPr>
                <w:rFonts w:hint="eastAsia" w:ascii="Times New Roman" w:hAnsi="Times New Roman" w:eastAsia="宋体" w:cs="Times New Roman"/>
                <w:color w:val="auto"/>
                <w:sz w:val="24"/>
                <w:szCs w:val="24"/>
                <w:highlight w:val="none"/>
                <w:lang w:val="en-US" w:eastAsia="zh-CN"/>
              </w:rPr>
              <w:t>0.0484</w:t>
            </w:r>
            <w:r>
              <w:rPr>
                <w:rFonts w:hint="default" w:ascii="Times New Roman" w:hAnsi="Times New Roman" w:eastAsia="宋体" w:cs="Times New Roman"/>
                <w:color w:val="auto"/>
                <w:sz w:val="24"/>
                <w:szCs w:val="24"/>
                <w:highlight w:val="none"/>
                <w:lang w:val="zh-CN"/>
              </w:rPr>
              <w:t>kg/h。</w:t>
            </w:r>
          </w:p>
          <w:p w14:paraId="6B226BFA">
            <w:pPr>
              <w:autoSpaceDE w:val="0"/>
              <w:autoSpaceDN w:val="0"/>
              <w:adjustRightIn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highlight w:val="none"/>
                <w:lang w:val="en-US" w:eastAsia="zh-CN"/>
              </w:rPr>
              <w:t>磨边机侧方设置移动式集气罩，自动磨边机设置的集气罩随着机器移动，半自动磨边机设置的集气罩为固定装置，人工在半自动磨边机前侧操作</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根据《大气污染控制工程</w:t>
            </w:r>
            <w:r>
              <w:rPr>
                <w:rFonts w:hint="default" w:ascii="Times New Roman" w:hAnsi="Times New Roman" w:cs="Times New Roman"/>
                <w:color w:val="auto"/>
                <w:sz w:val="24"/>
                <w:szCs w:val="24"/>
              </w:rPr>
              <w:t>》的控制风速法计算：</w:t>
            </w:r>
          </w:p>
          <w:p w14:paraId="77D18B9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inorEastAsia"/>
                <w:color w:val="auto"/>
                <w:sz w:val="24"/>
                <w:szCs w:val="24"/>
                <w:vertAlign w:val="subscript"/>
                <w:lang w:val="en-US" w:eastAsia="zh-CN"/>
              </w:rPr>
            </w:pPr>
            <w:r>
              <w:rPr>
                <w:rFonts w:hint="default" w:ascii="Times New Roman" w:hAnsi="Times New Roman" w:cs="Times New Roman"/>
                <w:color w:val="auto"/>
                <w:sz w:val="24"/>
                <w:szCs w:val="24"/>
              </w:rPr>
              <w:t>Q=</w:t>
            </w:r>
            <w:r>
              <w:rPr>
                <w:rFonts w:hint="default" w:ascii="Times New Roman" w:hAnsi="Times New Roman" w:cs="Times New Roman"/>
                <w:color w:val="auto"/>
                <w:sz w:val="24"/>
                <w:szCs w:val="24"/>
                <w:lang w:val="en-US" w:eastAsia="zh-CN"/>
              </w:rPr>
              <w:t>K·P·H·</w:t>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lang w:val="en-US" w:eastAsia="zh-CN"/>
              </w:rPr>
              <w:t>x</w:t>
            </w:r>
          </w:p>
          <w:p w14:paraId="31FFFD7E">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其中：Q</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风量，m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s</w:t>
            </w:r>
            <w:r>
              <w:rPr>
                <w:rFonts w:hint="default" w:ascii="Times New Roman" w:hAnsi="Times New Roman" w:cs="Times New Roman"/>
                <w:color w:val="auto"/>
                <w:sz w:val="24"/>
                <w:szCs w:val="24"/>
                <w:lang w:eastAsia="zh-CN"/>
              </w:rPr>
              <w:t>。</w:t>
            </w:r>
          </w:p>
          <w:p w14:paraId="3E91793D">
            <w:pPr>
              <w:spacing w:line="360" w:lineRule="auto"/>
              <w:ind w:firstLine="1200" w:firstLineChars="5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K</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考虑沿高度速度不均匀的安全系数，通常取1.4</w:t>
            </w:r>
            <w:r>
              <w:rPr>
                <w:rFonts w:hint="default" w:ascii="Times New Roman" w:hAnsi="Times New Roman" w:cs="Times New Roman"/>
                <w:color w:val="auto"/>
                <w:sz w:val="24"/>
                <w:szCs w:val="24"/>
                <w:lang w:eastAsia="zh-CN"/>
              </w:rPr>
              <w:t>。</w:t>
            </w:r>
          </w:p>
          <w:p w14:paraId="49AFB92A">
            <w:pPr>
              <w:spacing w:line="360" w:lineRule="auto"/>
              <w:ind w:firstLine="1200" w:firstLineChars="5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P</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罩口周长，m</w:t>
            </w:r>
            <w:r>
              <w:rPr>
                <w:rFonts w:hint="default" w:ascii="Times New Roman" w:hAnsi="Times New Roman" w:cs="Times New Roman"/>
                <w:color w:val="auto"/>
                <w:sz w:val="24"/>
                <w:szCs w:val="24"/>
                <w:lang w:eastAsia="zh-CN"/>
              </w:rPr>
              <w:t>。</w:t>
            </w:r>
          </w:p>
          <w:p w14:paraId="200EF321">
            <w:pPr>
              <w:spacing w:line="360" w:lineRule="auto"/>
              <w:ind w:firstLine="1200" w:firstLineChars="5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H</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罩口至污染源的距离</w:t>
            </w:r>
            <w:r>
              <w:rPr>
                <w:rFonts w:hint="default" w:ascii="Times New Roman" w:hAnsi="Times New Roman" w:cs="Times New Roman"/>
                <w:color w:val="auto"/>
                <w:sz w:val="24"/>
                <w:szCs w:val="24"/>
                <w:lang w:eastAsia="zh-CN"/>
              </w:rPr>
              <w:t>。</w:t>
            </w:r>
          </w:p>
          <w:p w14:paraId="2F0D48E7">
            <w:pPr>
              <w:spacing w:line="360" w:lineRule="auto"/>
              <w:ind w:firstLine="1200" w:firstLineChars="5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lang w:val="en-US" w:eastAsia="zh-CN"/>
              </w:rPr>
              <w:t>x</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污染源控制速度，m/s</w:t>
            </w:r>
            <w:r>
              <w:rPr>
                <w:rFonts w:hint="default" w:ascii="Times New Roman" w:hAnsi="Times New Roman" w:cs="Times New Roman"/>
                <w:color w:val="auto"/>
                <w:sz w:val="24"/>
                <w:szCs w:val="24"/>
                <w:lang w:val="en-US" w:eastAsia="zh-CN"/>
              </w:rPr>
              <w:t>。</w:t>
            </w:r>
          </w:p>
          <w:p w14:paraId="1349F6E9">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rPr>
              <w:t>根据《大气污染控制工程（第二版）》</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郝吉明 马广大 主编，高等教育出版社</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表13-2 污染源的控制速度</w:t>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lang w:val="en-US" w:eastAsia="zh-CN"/>
              </w:rPr>
              <w:t>x</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当污染源从轻微速度发散到相对平静的空气中</w:t>
            </w:r>
            <w:r>
              <w:rPr>
                <w:rFonts w:hint="default" w:ascii="Times New Roman" w:hAnsi="Times New Roman" w:cs="Times New Roman"/>
                <w:color w:val="auto"/>
                <w:sz w:val="24"/>
                <w:szCs w:val="24"/>
                <w:lang w:val="en-US" w:eastAsia="zh-CN"/>
              </w:rPr>
              <w:t>-控制速度为0.25</w:t>
            </w:r>
            <w:r>
              <w:rPr>
                <w:rFonts w:hint="default" w:ascii="Times New Roman" w:hAnsi="Times New Roman" w:cs="Times New Roman"/>
                <w:color w:val="auto"/>
                <w:sz w:val="24"/>
                <w:szCs w:val="24"/>
              </w:rPr>
              <w:t>m/s～</w:t>
            </w:r>
            <w:r>
              <w:rPr>
                <w:rFonts w:hint="default" w:ascii="Times New Roman" w:hAnsi="Times New Roman" w:cs="Times New Roman"/>
                <w:color w:val="auto"/>
                <w:sz w:val="24"/>
                <w:szCs w:val="24"/>
                <w:lang w:val="en-US" w:eastAsia="zh-CN"/>
              </w:rPr>
              <w:t>0.5</w:t>
            </w:r>
            <w:r>
              <w:rPr>
                <w:rFonts w:hint="default" w:ascii="Times New Roman" w:hAnsi="Times New Roman" w:cs="Times New Roman"/>
                <w:color w:val="auto"/>
                <w:sz w:val="24"/>
                <w:szCs w:val="24"/>
              </w:rPr>
              <w:t>m/s</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本次取0.</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m/s，即V</w:t>
            </w:r>
            <w:r>
              <w:rPr>
                <w:rFonts w:hint="default" w:ascii="Times New Roman" w:hAnsi="Times New Roman" w:cs="Times New Roman"/>
                <w:color w:val="auto"/>
                <w:sz w:val="24"/>
                <w:szCs w:val="24"/>
                <w:vertAlign w:val="subscript"/>
                <w:lang w:val="en-US" w:eastAsia="zh-CN"/>
              </w:rPr>
              <w:t>x</w:t>
            </w:r>
            <w:r>
              <w:rPr>
                <w:rFonts w:hint="default" w:ascii="Times New Roman" w:hAnsi="Times New Roman" w:cs="Times New Roman"/>
                <w:color w:val="auto"/>
                <w:sz w:val="24"/>
                <w:szCs w:val="24"/>
              </w:rPr>
              <w:t>=0.</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m/s</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K取1.4，</w:t>
            </w:r>
            <w:r>
              <w:rPr>
                <w:rFonts w:hint="default" w:ascii="Times New Roman" w:hAnsi="Times New Roman" w:cs="Times New Roman"/>
                <w:color w:val="auto"/>
                <w:sz w:val="24"/>
                <w:szCs w:val="24"/>
                <w:lang w:val="en-US" w:eastAsia="zh-CN"/>
              </w:rPr>
              <w:t>罩口至污染源距离取0.</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m，</w:t>
            </w:r>
            <w:r>
              <w:rPr>
                <w:rFonts w:hint="eastAsia" w:ascii="Times New Roman" w:hAnsi="Times New Roman" w:cs="Times New Roman"/>
                <w:color w:val="auto"/>
                <w:sz w:val="24"/>
                <w:szCs w:val="24"/>
                <w:lang w:val="en-US" w:eastAsia="zh-CN"/>
              </w:rPr>
              <w:t>自动磨边机</w:t>
            </w:r>
            <w:r>
              <w:rPr>
                <w:rFonts w:hint="default" w:ascii="Times New Roman" w:hAnsi="Times New Roman" w:cs="Times New Roman"/>
                <w:color w:val="auto"/>
                <w:sz w:val="24"/>
                <w:szCs w:val="24"/>
                <w:lang w:val="en-US" w:eastAsia="zh-CN"/>
              </w:rPr>
              <w:t>集气罩为圆形，半径为150mm，单个集气罩罩口周长为0.942m，则单个集气罩风机风量为</w:t>
            </w:r>
            <w:r>
              <w:rPr>
                <w:rFonts w:hint="eastAsia" w:ascii="Times New Roman" w:hAnsi="Times New Roman" w:cs="Times New Roman"/>
                <w:color w:val="auto"/>
                <w:sz w:val="24"/>
                <w:szCs w:val="24"/>
                <w:lang w:val="en-US" w:eastAsia="zh-CN"/>
              </w:rPr>
              <w:t>475</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/h，企业拟在单个自动磨边机侧边设置4个集气罩，</w:t>
            </w:r>
            <w:r>
              <w:rPr>
                <w:rFonts w:hint="eastAsia" w:ascii="Times New Roman" w:hAnsi="Times New Roman" w:cs="Times New Roman"/>
                <w:color w:val="auto"/>
                <w:sz w:val="24"/>
                <w:szCs w:val="24"/>
                <w:lang w:val="en-US" w:eastAsia="zh-CN"/>
              </w:rPr>
              <w:t>共8个集气罩，则</w:t>
            </w:r>
            <w:r>
              <w:rPr>
                <w:rFonts w:hint="default" w:ascii="Times New Roman" w:hAnsi="Times New Roman" w:cs="Times New Roman"/>
                <w:color w:val="auto"/>
                <w:sz w:val="24"/>
                <w:szCs w:val="24"/>
                <w:lang w:val="en-US" w:eastAsia="zh-CN"/>
              </w:rPr>
              <w:t>自动磨边机</w:t>
            </w:r>
            <w:r>
              <w:rPr>
                <w:rFonts w:hint="eastAsia" w:ascii="Times New Roman" w:hAnsi="Times New Roman" w:cs="Times New Roman"/>
                <w:color w:val="auto"/>
                <w:sz w:val="24"/>
                <w:szCs w:val="24"/>
                <w:lang w:val="en-US" w:eastAsia="zh-CN"/>
              </w:rPr>
              <w:t>风机风量核算为3800</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/h。</w:t>
            </w:r>
            <w:r>
              <w:rPr>
                <w:rFonts w:hint="eastAsia" w:ascii="Times New Roman" w:hAnsi="Times New Roman" w:cs="Times New Roman"/>
                <w:color w:val="auto"/>
                <w:sz w:val="24"/>
                <w:szCs w:val="24"/>
                <w:lang w:val="en-US" w:eastAsia="zh-CN"/>
              </w:rPr>
              <w:t>半自动磨边机</w:t>
            </w:r>
            <w:r>
              <w:rPr>
                <w:rFonts w:hint="default" w:ascii="Times New Roman" w:hAnsi="Times New Roman" w:cs="Times New Roman"/>
                <w:color w:val="auto"/>
                <w:sz w:val="24"/>
                <w:szCs w:val="24"/>
                <w:lang w:val="en-US" w:eastAsia="zh-CN"/>
              </w:rPr>
              <w:t>集气罩为圆形，半径为</w:t>
            </w:r>
            <w:r>
              <w:rPr>
                <w:rFonts w:hint="eastAsia" w:ascii="Times New Roman" w:hAnsi="Times New Roman" w:cs="Times New Roman"/>
                <w:color w:val="auto"/>
                <w:sz w:val="24"/>
                <w:szCs w:val="24"/>
                <w:lang w:val="en-US" w:eastAsia="zh-CN"/>
              </w:rPr>
              <w:t>250</w:t>
            </w:r>
            <w:r>
              <w:rPr>
                <w:rFonts w:hint="default" w:ascii="Times New Roman" w:hAnsi="Times New Roman" w:cs="Times New Roman"/>
                <w:color w:val="auto"/>
                <w:sz w:val="24"/>
                <w:szCs w:val="24"/>
                <w:lang w:val="en-US" w:eastAsia="zh-CN"/>
              </w:rPr>
              <w:t>mm，单个集气罩罩口周长为</w:t>
            </w:r>
            <w:r>
              <w:rPr>
                <w:rFonts w:hint="eastAsia" w:ascii="Times New Roman" w:hAnsi="Times New Roman" w:cs="Times New Roman"/>
                <w:color w:val="auto"/>
                <w:sz w:val="24"/>
                <w:szCs w:val="24"/>
                <w:lang w:val="en-US" w:eastAsia="zh-CN"/>
              </w:rPr>
              <w:t>1.57</w:t>
            </w:r>
            <w:r>
              <w:rPr>
                <w:rFonts w:hint="default" w:ascii="Times New Roman" w:hAnsi="Times New Roman" w:cs="Times New Roman"/>
                <w:color w:val="auto"/>
                <w:sz w:val="24"/>
                <w:szCs w:val="24"/>
                <w:lang w:val="en-US" w:eastAsia="zh-CN"/>
              </w:rPr>
              <w:t>m，则单个集气罩风机风量为</w:t>
            </w:r>
            <w:r>
              <w:rPr>
                <w:rFonts w:hint="eastAsia" w:ascii="Times New Roman" w:hAnsi="Times New Roman" w:cs="Times New Roman"/>
                <w:color w:val="auto"/>
                <w:sz w:val="24"/>
                <w:szCs w:val="24"/>
                <w:lang w:val="en-US" w:eastAsia="zh-CN"/>
              </w:rPr>
              <w:t>791</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/h，单个</w:t>
            </w:r>
            <w:r>
              <w:rPr>
                <w:rFonts w:hint="default" w:ascii="Times New Roman" w:hAnsi="Times New Roman" w:eastAsia="宋体" w:cs="Times New Roman"/>
                <w:color w:val="auto"/>
                <w:sz w:val="24"/>
                <w:szCs w:val="24"/>
                <w:highlight w:val="none"/>
                <w:lang w:val="en-US" w:eastAsia="zh-CN"/>
              </w:rPr>
              <w:t>半自动磨边机两侧设置2个集气罩，共设置</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个集气罩</w:t>
            </w:r>
            <w:r>
              <w:rPr>
                <w:rFonts w:hint="default" w:ascii="Times New Roman" w:hAnsi="Times New Roman" w:cs="Times New Roman"/>
                <w:color w:val="auto"/>
                <w:sz w:val="24"/>
                <w:szCs w:val="24"/>
                <w:lang w:val="en-US" w:eastAsia="zh-CN"/>
              </w:rPr>
              <w:t>，则风机风量核算为</w:t>
            </w:r>
            <w:r>
              <w:rPr>
                <w:rFonts w:hint="eastAsia" w:ascii="Times New Roman" w:hAnsi="Times New Roman" w:cs="Times New Roman"/>
                <w:color w:val="auto"/>
                <w:sz w:val="24"/>
                <w:szCs w:val="24"/>
                <w:lang w:val="en-US" w:eastAsia="zh-CN"/>
              </w:rPr>
              <w:t>3164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/h。</w:t>
            </w:r>
            <w:r>
              <w:rPr>
                <w:rFonts w:hint="eastAsia" w:ascii="Times New Roman" w:hAnsi="Times New Roman" w:cs="Times New Roman"/>
                <w:color w:val="auto"/>
                <w:sz w:val="24"/>
                <w:szCs w:val="24"/>
                <w:lang w:val="en-US" w:eastAsia="zh-CN"/>
              </w:rPr>
              <w:t>合计，风机风量为6964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/h</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rPr>
              <w:t>虑风</w:t>
            </w:r>
            <w:r>
              <w:rPr>
                <w:rFonts w:hint="default" w:ascii="Times New Roman" w:hAnsi="Times New Roman" w:eastAsia="宋体" w:cs="Times New Roman"/>
                <w:color w:val="auto"/>
                <w:sz w:val="24"/>
                <w:szCs w:val="24"/>
                <w:highlight w:val="none"/>
              </w:rPr>
              <w:t>压损失、管道距离等因素，设计</w:t>
            </w:r>
            <w:r>
              <w:rPr>
                <w:rFonts w:hint="default" w:ascii="Times New Roman" w:hAnsi="Times New Roman" w:eastAsia="宋体" w:cs="Times New Roman"/>
                <w:color w:val="auto"/>
                <w:sz w:val="24"/>
                <w:szCs w:val="24"/>
                <w:highlight w:val="none"/>
                <w:lang w:val="en-US" w:eastAsia="zh-CN"/>
              </w:rPr>
              <w:t>风机</w:t>
            </w:r>
            <w:r>
              <w:rPr>
                <w:rFonts w:hint="default" w:ascii="Times New Roman" w:hAnsi="Times New Roman" w:eastAsia="宋体" w:cs="Times New Roman"/>
                <w:color w:val="auto"/>
                <w:sz w:val="24"/>
                <w:szCs w:val="24"/>
                <w:highlight w:val="none"/>
              </w:rPr>
              <w:t>风量取</w:t>
            </w:r>
            <w:r>
              <w:rPr>
                <w:rFonts w:hint="default" w:ascii="Times New Roman" w:hAnsi="Times New Roman" w:eastAsia="宋体" w:cs="Times New Roman"/>
                <w:color w:val="auto"/>
                <w:sz w:val="24"/>
                <w:szCs w:val="24"/>
                <w:highlight w:val="none"/>
                <w:lang w:val="en-US" w:eastAsia="zh-CN"/>
              </w:rPr>
              <w:t>10000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eastAsia="zh-CN"/>
              </w:rPr>
              <w:t>，风机风量可满足要求。</w:t>
            </w:r>
          </w:p>
          <w:p w14:paraId="3B94A96B">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rPr>
              <w:t>1.2废气排放</w:t>
            </w:r>
            <w:r>
              <w:rPr>
                <w:rFonts w:hint="eastAsia" w:ascii="Times New Roman" w:hAnsi="Times New Roman" w:cs="Times New Roman"/>
                <w:color w:val="auto"/>
                <w:sz w:val="24"/>
                <w:szCs w:val="24"/>
                <w:highlight w:val="none"/>
                <w:lang w:val="en-US" w:eastAsia="zh-CN"/>
              </w:rPr>
              <w:t>监测</w:t>
            </w:r>
          </w:p>
          <w:p w14:paraId="23547789">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1.2.1有组织废气排放</w:t>
            </w:r>
            <w:r>
              <w:rPr>
                <w:rFonts w:hint="eastAsia" w:ascii="Times New Roman" w:hAnsi="Times New Roman" w:cs="Times New Roman"/>
                <w:color w:val="auto"/>
                <w:sz w:val="24"/>
                <w:szCs w:val="24"/>
                <w:highlight w:val="none"/>
                <w:lang w:val="en-US" w:eastAsia="zh-CN"/>
              </w:rPr>
              <w:t>监测</w:t>
            </w:r>
            <w:r>
              <w:rPr>
                <w:rFonts w:hint="default" w:ascii="Times New Roman" w:hAnsi="Times New Roman" w:cs="Times New Roman"/>
                <w:color w:val="auto"/>
                <w:sz w:val="24"/>
                <w:szCs w:val="24"/>
              </w:rPr>
              <w:t>点位、</w:t>
            </w:r>
            <w:r>
              <w:rPr>
                <w:rFonts w:hint="eastAsia" w:ascii="Times New Roman" w:hAnsi="Times New Roman" w:cs="Times New Roman"/>
                <w:color w:val="auto"/>
                <w:sz w:val="24"/>
                <w:szCs w:val="24"/>
                <w:highlight w:val="none"/>
                <w:lang w:val="en-US" w:eastAsia="zh-CN"/>
              </w:rPr>
              <w:t>监测</w:t>
            </w:r>
            <w:r>
              <w:rPr>
                <w:rFonts w:hint="default" w:ascii="Times New Roman" w:hAnsi="Times New Roman" w:cs="Times New Roman"/>
                <w:color w:val="auto"/>
                <w:sz w:val="24"/>
                <w:szCs w:val="24"/>
              </w:rPr>
              <w:t>指标和</w:t>
            </w:r>
            <w:r>
              <w:rPr>
                <w:rFonts w:hint="eastAsia" w:ascii="Times New Roman" w:hAnsi="Times New Roman" w:cs="Times New Roman"/>
                <w:color w:val="auto"/>
                <w:sz w:val="24"/>
                <w:szCs w:val="24"/>
                <w:highlight w:val="none"/>
                <w:lang w:val="en-US" w:eastAsia="zh-CN"/>
              </w:rPr>
              <w:t>监测</w:t>
            </w:r>
            <w:r>
              <w:rPr>
                <w:rFonts w:hint="default" w:ascii="Times New Roman" w:hAnsi="Times New Roman" w:cs="Times New Roman"/>
                <w:color w:val="auto"/>
                <w:sz w:val="24"/>
                <w:szCs w:val="24"/>
              </w:rPr>
              <w:t>频次</w:t>
            </w:r>
          </w:p>
          <w:p w14:paraId="6ACB0DF7">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有组织废气排放</w:t>
            </w:r>
            <w:r>
              <w:rPr>
                <w:rFonts w:hint="eastAsia" w:ascii="Times New Roman" w:hAnsi="Times New Roman" w:cs="Times New Roman"/>
                <w:color w:val="auto"/>
                <w:sz w:val="24"/>
                <w:szCs w:val="24"/>
                <w:lang w:eastAsia="zh-CN"/>
              </w:rPr>
              <w:t>监测点位</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监测指标</w:t>
            </w:r>
            <w:r>
              <w:rPr>
                <w:rFonts w:hint="default" w:ascii="Times New Roman" w:hAnsi="Times New Roman" w:cs="Times New Roman"/>
                <w:color w:val="auto"/>
                <w:sz w:val="24"/>
                <w:szCs w:val="24"/>
              </w:rPr>
              <w:t>和最低</w:t>
            </w:r>
            <w:r>
              <w:rPr>
                <w:rFonts w:hint="eastAsia" w:ascii="Times New Roman" w:hAnsi="Times New Roman" w:cs="Times New Roman"/>
                <w:color w:val="auto"/>
                <w:sz w:val="24"/>
                <w:szCs w:val="24"/>
                <w:lang w:eastAsia="zh-CN"/>
              </w:rPr>
              <w:t>监测频次</w:t>
            </w:r>
            <w:r>
              <w:rPr>
                <w:rFonts w:hint="default" w:ascii="Times New Roman" w:hAnsi="Times New Roman" w:cs="Times New Roman"/>
                <w:color w:val="auto"/>
                <w:sz w:val="24"/>
                <w:szCs w:val="24"/>
              </w:rPr>
              <w:t>一览表见表4.</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w:t>
            </w:r>
          </w:p>
          <w:p w14:paraId="55784D90">
            <w:pPr>
              <w:pStyle w:val="38"/>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w:t>
            </w:r>
            <w:r>
              <w:rPr>
                <w:rFonts w:hint="eastAsia" w:cs="Times New Roman"/>
                <w:b/>
                <w:bCs/>
                <w:color w:val="auto"/>
                <w:sz w:val="21"/>
                <w:szCs w:val="21"/>
                <w:lang w:val="en-US" w:eastAsia="zh-CN"/>
              </w:rPr>
              <w:t>4</w:t>
            </w:r>
            <w:r>
              <w:rPr>
                <w:rFonts w:hint="default" w:ascii="Times New Roman" w:hAnsi="Times New Roman" w:cs="Times New Roman"/>
                <w:b/>
                <w:bCs/>
                <w:color w:val="auto"/>
                <w:sz w:val="21"/>
                <w:szCs w:val="21"/>
              </w:rPr>
              <w:t xml:space="preserve">  有组织废气排放</w:t>
            </w:r>
            <w:r>
              <w:rPr>
                <w:rFonts w:hint="eastAsia" w:cs="Times New Roman"/>
                <w:b/>
                <w:bCs/>
                <w:color w:val="auto"/>
                <w:sz w:val="21"/>
                <w:szCs w:val="21"/>
                <w:lang w:eastAsia="zh-CN"/>
              </w:rPr>
              <w:t>监测点位</w:t>
            </w:r>
            <w:r>
              <w:rPr>
                <w:rFonts w:hint="default" w:ascii="Times New Roman" w:hAnsi="Times New Roman" w:cs="Times New Roman"/>
                <w:b/>
                <w:bCs/>
                <w:color w:val="auto"/>
                <w:sz w:val="21"/>
                <w:szCs w:val="21"/>
              </w:rPr>
              <w:t>、</w:t>
            </w:r>
            <w:r>
              <w:rPr>
                <w:rFonts w:hint="eastAsia" w:cs="Times New Roman"/>
                <w:b/>
                <w:bCs/>
                <w:color w:val="auto"/>
                <w:sz w:val="21"/>
                <w:szCs w:val="21"/>
                <w:lang w:eastAsia="zh-CN"/>
              </w:rPr>
              <w:t>监测指标</w:t>
            </w:r>
            <w:r>
              <w:rPr>
                <w:rFonts w:hint="default" w:ascii="Times New Roman" w:hAnsi="Times New Roman" w:cs="Times New Roman"/>
                <w:b/>
                <w:bCs/>
                <w:color w:val="auto"/>
                <w:sz w:val="21"/>
                <w:szCs w:val="21"/>
              </w:rPr>
              <w:t>和最低</w:t>
            </w:r>
            <w:r>
              <w:rPr>
                <w:rFonts w:hint="eastAsia" w:cs="Times New Roman"/>
                <w:b/>
                <w:bCs/>
                <w:color w:val="auto"/>
                <w:sz w:val="21"/>
                <w:szCs w:val="21"/>
                <w:lang w:eastAsia="zh-CN"/>
              </w:rPr>
              <w:t>监测频次</w:t>
            </w:r>
            <w:r>
              <w:rPr>
                <w:rFonts w:hint="default" w:ascii="Times New Roman" w:hAnsi="Times New Roman" w:cs="Times New Roman"/>
                <w:b/>
                <w:bCs/>
                <w:color w:val="auto"/>
                <w:sz w:val="21"/>
                <w:szCs w:val="21"/>
              </w:rPr>
              <w:t>一览表</w:t>
            </w:r>
          </w:p>
          <w:tbl>
            <w:tblPr>
              <w:tblStyle w:val="32"/>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1068"/>
              <w:gridCol w:w="1065"/>
              <w:gridCol w:w="2676"/>
              <w:gridCol w:w="3198"/>
            </w:tblGrid>
            <w:tr w14:paraId="2277E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44" w:type="dxa"/>
                  <w:vAlign w:val="center"/>
                </w:tcPr>
                <w:p w14:paraId="69A883A8">
                  <w:pPr>
                    <w:pStyle w:val="38"/>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监测点位</w:t>
                  </w:r>
                </w:p>
              </w:tc>
              <w:tc>
                <w:tcPr>
                  <w:tcW w:w="1068" w:type="dxa"/>
                  <w:vAlign w:val="center"/>
                </w:tcPr>
                <w:p w14:paraId="53150AF0">
                  <w:pPr>
                    <w:pStyle w:val="38"/>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监测指标</w:t>
                  </w:r>
                </w:p>
              </w:tc>
              <w:tc>
                <w:tcPr>
                  <w:tcW w:w="1065" w:type="dxa"/>
                  <w:vAlign w:val="center"/>
                </w:tcPr>
                <w:p w14:paraId="48CA9AFD">
                  <w:pPr>
                    <w:pStyle w:val="38"/>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监测频次</w:t>
                  </w:r>
                </w:p>
              </w:tc>
              <w:tc>
                <w:tcPr>
                  <w:tcW w:w="2676" w:type="dxa"/>
                  <w:vAlign w:val="center"/>
                </w:tcPr>
                <w:p w14:paraId="04904D36">
                  <w:pPr>
                    <w:pStyle w:val="38"/>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执行标准</w:t>
                  </w:r>
                </w:p>
              </w:tc>
              <w:tc>
                <w:tcPr>
                  <w:tcW w:w="3198" w:type="dxa"/>
                  <w:vAlign w:val="center"/>
                </w:tcPr>
                <w:p w14:paraId="501A172A">
                  <w:pPr>
                    <w:pStyle w:val="38"/>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监测依据</w:t>
                  </w:r>
                </w:p>
              </w:tc>
            </w:tr>
            <w:tr w14:paraId="3773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44" w:type="dxa"/>
                  <w:vMerge w:val="restart"/>
                  <w:vAlign w:val="center"/>
                </w:tcPr>
                <w:p w14:paraId="1D563427">
                  <w:pPr>
                    <w:pStyle w:val="38"/>
                    <w:spacing w:line="240" w:lineRule="auto"/>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DA001</w:t>
                  </w:r>
                </w:p>
                <w:p w14:paraId="03BE8566">
                  <w:pPr>
                    <w:pStyle w:val="38"/>
                    <w:spacing w:line="240" w:lineRule="auto"/>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highlight w:val="none"/>
                      <w:lang w:val="en-US" w:eastAsia="zh-CN"/>
                    </w:rPr>
                    <w:t>（</w:t>
                  </w:r>
                  <w:r>
                    <w:rPr>
                      <w:rFonts w:hint="eastAsia" w:ascii="Times New Roman" w:hAnsi="Times New Roman" w:cs="Times New Roman"/>
                      <w:b w:val="0"/>
                      <w:bCs/>
                      <w:color w:val="auto"/>
                      <w:sz w:val="21"/>
                      <w:szCs w:val="21"/>
                      <w:highlight w:val="none"/>
                      <w:lang w:val="en-US" w:eastAsia="zh-CN"/>
                    </w:rPr>
                    <w:t>烤料、热压成型</w:t>
                  </w:r>
                  <w:r>
                    <w:rPr>
                      <w:rFonts w:hint="default" w:ascii="Times New Roman" w:hAnsi="Times New Roman" w:cs="Times New Roman"/>
                      <w:b w:val="0"/>
                      <w:bCs/>
                      <w:color w:val="auto"/>
                      <w:sz w:val="21"/>
                      <w:szCs w:val="21"/>
                      <w:highlight w:val="none"/>
                      <w:lang w:val="en-US" w:eastAsia="zh-CN"/>
                    </w:rPr>
                    <w:t>）</w:t>
                  </w:r>
                </w:p>
              </w:tc>
              <w:tc>
                <w:tcPr>
                  <w:tcW w:w="1068" w:type="dxa"/>
                  <w:vAlign w:val="center"/>
                </w:tcPr>
                <w:p w14:paraId="74F6E96C">
                  <w:pPr>
                    <w:pStyle w:val="38"/>
                    <w:spacing w:line="240" w:lineRule="auto"/>
                    <w:jc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非甲烷总烃</w:t>
                  </w:r>
                </w:p>
              </w:tc>
              <w:tc>
                <w:tcPr>
                  <w:tcW w:w="1065" w:type="dxa"/>
                  <w:vAlign w:val="center"/>
                </w:tcPr>
                <w:p w14:paraId="1D7B05B8">
                  <w:pPr>
                    <w:pStyle w:val="38"/>
                    <w:spacing w:line="240" w:lineRule="auto"/>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1次/</w:t>
                  </w:r>
                  <w:r>
                    <w:rPr>
                      <w:rFonts w:hint="eastAsia" w:cs="Times New Roman"/>
                      <w:b w:val="0"/>
                      <w:bCs/>
                      <w:color w:val="auto"/>
                      <w:sz w:val="21"/>
                      <w:szCs w:val="21"/>
                      <w:lang w:val="en-US" w:eastAsia="zh-CN"/>
                    </w:rPr>
                    <w:t>半</w:t>
                  </w:r>
                  <w:r>
                    <w:rPr>
                      <w:rFonts w:hint="default" w:ascii="Times New Roman" w:hAnsi="Times New Roman" w:cs="Times New Roman"/>
                      <w:b w:val="0"/>
                      <w:bCs/>
                      <w:color w:val="auto"/>
                      <w:sz w:val="21"/>
                      <w:szCs w:val="21"/>
                      <w:lang w:val="en-US" w:eastAsia="zh-CN"/>
                    </w:rPr>
                    <w:t>年</w:t>
                  </w:r>
                </w:p>
              </w:tc>
              <w:tc>
                <w:tcPr>
                  <w:tcW w:w="2676" w:type="dxa"/>
                  <w:vAlign w:val="center"/>
                </w:tcPr>
                <w:p w14:paraId="7707443A">
                  <w:pPr>
                    <w:pStyle w:val="38"/>
                    <w:spacing w:line="240" w:lineRule="auto"/>
                    <w:jc w:val="center"/>
                    <w:rPr>
                      <w:rFonts w:hint="default" w:ascii="Times New Roman" w:hAnsi="Times New Roman" w:cs="Times New Roman"/>
                      <w:b w:val="0"/>
                      <w:bCs/>
                      <w:color w:val="auto"/>
                      <w:sz w:val="21"/>
                      <w:szCs w:val="21"/>
                    </w:rPr>
                  </w:pPr>
                  <w:r>
                    <w:rPr>
                      <w:rFonts w:hint="default" w:ascii="Times New Roman" w:hAnsi="Times New Roman" w:eastAsia="宋体" w:cs="Times New Roman"/>
                      <w:color w:val="auto"/>
                      <w:sz w:val="21"/>
                      <w:szCs w:val="21"/>
                    </w:rPr>
                    <w:t>《固定源挥发性有机物综合排放标准 第6部分：其他行业》（DB34/4812.6-2024）表1</w:t>
                  </w:r>
                  <w:r>
                    <w:rPr>
                      <w:rFonts w:hint="eastAsia" w:ascii="Times New Roman" w:hAnsi="Times New Roman" w:eastAsia="宋体" w:cs="Times New Roman"/>
                      <w:color w:val="auto"/>
                      <w:sz w:val="21"/>
                      <w:szCs w:val="21"/>
                      <w:lang w:val="en-US" w:eastAsia="zh-CN"/>
                    </w:rPr>
                    <w:t>中标准</w:t>
                  </w:r>
                  <w:r>
                    <w:rPr>
                      <w:rFonts w:hint="default" w:ascii="Times New Roman" w:hAnsi="Times New Roman" w:eastAsia="宋体" w:cs="Times New Roman"/>
                      <w:color w:val="auto"/>
                      <w:sz w:val="21"/>
                      <w:szCs w:val="21"/>
                    </w:rPr>
                    <w:t>限值</w:t>
                  </w:r>
                </w:p>
              </w:tc>
              <w:tc>
                <w:tcPr>
                  <w:tcW w:w="3198" w:type="dxa"/>
                  <w:vAlign w:val="center"/>
                </w:tcPr>
                <w:p w14:paraId="507BD125">
                  <w:pPr>
                    <w:pStyle w:val="38"/>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highlight w:val="none"/>
                    </w:rPr>
                    <w:t>《</w:t>
                  </w:r>
                  <w:r>
                    <w:rPr>
                      <w:rFonts w:hint="eastAsia" w:cs="Times New Roman"/>
                      <w:b w:val="0"/>
                      <w:bCs/>
                      <w:color w:val="auto"/>
                      <w:sz w:val="21"/>
                      <w:szCs w:val="21"/>
                      <w:highlight w:val="none"/>
                      <w:lang w:eastAsia="zh-CN"/>
                    </w:rPr>
                    <w:t>排污单位自行监测技术指南</w:t>
                  </w:r>
                  <w:r>
                    <w:rPr>
                      <w:rFonts w:hint="default" w:ascii="Times New Roman" w:hAnsi="Times New Roman" w:cs="Times New Roman"/>
                      <w:b w:val="0"/>
                      <w:bCs/>
                      <w:color w:val="auto"/>
                      <w:sz w:val="21"/>
                      <w:szCs w:val="21"/>
                      <w:highlight w:val="none"/>
                    </w:rPr>
                    <w:t>-总则》（HJ819-2017）</w:t>
                  </w:r>
                  <w:r>
                    <w:rPr>
                      <w:rFonts w:hint="eastAsia" w:cs="Times New Roman"/>
                      <w:b w:val="0"/>
                      <w:bCs/>
                      <w:color w:val="auto"/>
                      <w:sz w:val="21"/>
                      <w:szCs w:val="21"/>
                      <w:highlight w:val="none"/>
                      <w:lang w:eastAsia="zh-CN"/>
                    </w:rPr>
                    <w:t>、</w:t>
                  </w:r>
                  <w:r>
                    <w:rPr>
                      <w:rFonts w:hint="default" w:ascii="Times New Roman" w:hAnsi="Times New Roman" w:cs="Times New Roman"/>
                      <w:b w:val="0"/>
                      <w:bCs/>
                      <w:color w:val="auto"/>
                      <w:sz w:val="21"/>
                      <w:szCs w:val="21"/>
                      <w:highlight w:val="none"/>
                    </w:rPr>
                    <w:t>《</w:t>
                  </w:r>
                  <w:r>
                    <w:rPr>
                      <w:rFonts w:hint="eastAsia" w:cs="Times New Roman"/>
                      <w:b w:val="0"/>
                      <w:bCs/>
                      <w:color w:val="auto"/>
                      <w:sz w:val="21"/>
                      <w:szCs w:val="21"/>
                      <w:highlight w:val="none"/>
                      <w:lang w:eastAsia="zh-CN"/>
                    </w:rPr>
                    <w:t>排污单位自行监测技术指南</w:t>
                  </w:r>
                  <w:r>
                    <w:rPr>
                      <w:rFonts w:hint="default" w:ascii="Times New Roman" w:hAnsi="Times New Roman" w:cs="Times New Roman"/>
                      <w:b w:val="0"/>
                      <w:bCs/>
                      <w:color w:val="auto"/>
                      <w:sz w:val="21"/>
                      <w:szCs w:val="21"/>
                      <w:highlight w:val="none"/>
                    </w:rPr>
                    <w:t>-</w:t>
                  </w:r>
                  <w:r>
                    <w:rPr>
                      <w:rFonts w:hint="eastAsia" w:cs="Times New Roman"/>
                      <w:b w:val="0"/>
                      <w:bCs/>
                      <w:color w:val="auto"/>
                      <w:sz w:val="21"/>
                      <w:szCs w:val="21"/>
                      <w:highlight w:val="none"/>
                      <w:lang w:val="en-US" w:eastAsia="zh-CN"/>
                    </w:rPr>
                    <w:t>橡胶和塑料制品</w:t>
                  </w:r>
                  <w:r>
                    <w:rPr>
                      <w:rFonts w:hint="default" w:ascii="Times New Roman" w:hAnsi="Times New Roman" w:cs="Times New Roman"/>
                      <w:b w:val="0"/>
                      <w:bCs/>
                      <w:color w:val="auto"/>
                      <w:sz w:val="21"/>
                      <w:szCs w:val="21"/>
                      <w:highlight w:val="none"/>
                    </w:rPr>
                    <w:t>》（HJ</w:t>
                  </w:r>
                  <w:r>
                    <w:rPr>
                      <w:rFonts w:hint="eastAsia" w:cs="Times New Roman"/>
                      <w:b w:val="0"/>
                      <w:bCs/>
                      <w:color w:val="auto"/>
                      <w:sz w:val="21"/>
                      <w:szCs w:val="21"/>
                      <w:highlight w:val="none"/>
                      <w:lang w:val="en-US" w:eastAsia="zh-CN"/>
                    </w:rPr>
                    <w:t>1207</w:t>
                  </w:r>
                  <w:r>
                    <w:rPr>
                      <w:rFonts w:hint="default" w:ascii="Times New Roman" w:hAnsi="Times New Roman" w:cs="Times New Roman"/>
                      <w:b w:val="0"/>
                      <w:bCs/>
                      <w:color w:val="auto"/>
                      <w:sz w:val="21"/>
                      <w:szCs w:val="21"/>
                      <w:highlight w:val="none"/>
                    </w:rPr>
                    <w:t>-20</w:t>
                  </w:r>
                  <w:r>
                    <w:rPr>
                      <w:rFonts w:hint="eastAsia" w:cs="Times New Roman"/>
                      <w:b w:val="0"/>
                      <w:bCs/>
                      <w:color w:val="auto"/>
                      <w:sz w:val="21"/>
                      <w:szCs w:val="21"/>
                      <w:highlight w:val="none"/>
                      <w:lang w:val="en-US" w:eastAsia="zh-CN"/>
                    </w:rPr>
                    <w:t>21</w:t>
                  </w:r>
                  <w:r>
                    <w:rPr>
                      <w:rFonts w:hint="default" w:ascii="Times New Roman" w:hAnsi="Times New Roman" w:cs="Times New Roman"/>
                      <w:b w:val="0"/>
                      <w:bCs/>
                      <w:color w:val="auto"/>
                      <w:sz w:val="21"/>
                      <w:szCs w:val="21"/>
                      <w:highlight w:val="none"/>
                    </w:rPr>
                    <w:t>）</w:t>
                  </w:r>
                </w:p>
              </w:tc>
            </w:tr>
            <w:tr w14:paraId="2153A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44" w:type="dxa"/>
                  <w:vMerge w:val="continue"/>
                  <w:vAlign w:val="center"/>
                </w:tcPr>
                <w:p w14:paraId="73CAF863">
                  <w:pPr>
                    <w:pStyle w:val="38"/>
                    <w:spacing w:line="240" w:lineRule="auto"/>
                    <w:jc w:val="center"/>
                    <w:rPr>
                      <w:rFonts w:hint="default" w:ascii="Times New Roman" w:hAnsi="Times New Roman" w:cs="Times New Roman"/>
                      <w:b w:val="0"/>
                      <w:bCs/>
                      <w:color w:val="auto"/>
                      <w:sz w:val="21"/>
                      <w:szCs w:val="21"/>
                      <w:highlight w:val="none"/>
                      <w:lang w:val="en-US" w:eastAsia="zh-CN"/>
                    </w:rPr>
                  </w:pPr>
                </w:p>
              </w:tc>
              <w:tc>
                <w:tcPr>
                  <w:tcW w:w="1068" w:type="dxa"/>
                  <w:vAlign w:val="center"/>
                </w:tcPr>
                <w:p w14:paraId="3702EEB4">
                  <w:pPr>
                    <w:pStyle w:val="38"/>
                    <w:spacing w:line="240" w:lineRule="auto"/>
                    <w:jc w:val="center"/>
                    <w:rPr>
                      <w:rFonts w:hint="eastAsia" w:cs="Times New Roman"/>
                      <w:b w:val="0"/>
                      <w:bCs/>
                      <w:color w:val="auto"/>
                      <w:sz w:val="21"/>
                      <w:szCs w:val="21"/>
                      <w:lang w:val="en-US" w:eastAsia="zh-CN"/>
                    </w:rPr>
                  </w:pPr>
                  <w:r>
                    <w:rPr>
                      <w:rFonts w:hint="eastAsia" w:cs="Times New Roman"/>
                      <w:b w:val="0"/>
                      <w:bCs/>
                      <w:color w:val="auto"/>
                      <w:sz w:val="21"/>
                      <w:szCs w:val="21"/>
                      <w:lang w:val="en-US" w:eastAsia="zh-CN"/>
                    </w:rPr>
                    <w:t>甲醛</w:t>
                  </w:r>
                </w:p>
              </w:tc>
              <w:tc>
                <w:tcPr>
                  <w:tcW w:w="1065" w:type="dxa"/>
                  <w:vAlign w:val="center"/>
                </w:tcPr>
                <w:p w14:paraId="4A38AD9C">
                  <w:pPr>
                    <w:pStyle w:val="38"/>
                    <w:spacing w:line="240" w:lineRule="auto"/>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1次/年</w:t>
                  </w:r>
                </w:p>
              </w:tc>
              <w:tc>
                <w:tcPr>
                  <w:tcW w:w="2676" w:type="dxa"/>
                  <w:vAlign w:val="center"/>
                </w:tcPr>
                <w:p w14:paraId="0E6DC937">
                  <w:pPr>
                    <w:pStyle w:val="38"/>
                    <w:spacing w:line="240" w:lineRule="auto"/>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《合成树脂工业污染物排放标准》（GB31572-2015）（含2024年修改单）表5中标准要求</w:t>
                  </w:r>
                </w:p>
              </w:tc>
              <w:tc>
                <w:tcPr>
                  <w:tcW w:w="3198" w:type="dxa"/>
                  <w:vAlign w:val="center"/>
                </w:tcPr>
                <w:p w14:paraId="76B2A5EA">
                  <w:pPr>
                    <w:pStyle w:val="38"/>
                    <w:spacing w:line="240" w:lineRule="auto"/>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w:t>
                  </w:r>
                  <w:r>
                    <w:rPr>
                      <w:rFonts w:hint="eastAsia" w:cs="Times New Roman"/>
                      <w:b w:val="0"/>
                      <w:bCs/>
                      <w:color w:val="auto"/>
                      <w:sz w:val="21"/>
                      <w:szCs w:val="21"/>
                      <w:highlight w:val="none"/>
                      <w:lang w:eastAsia="zh-CN"/>
                    </w:rPr>
                    <w:t>排污单位自行监测技术指南</w:t>
                  </w:r>
                  <w:r>
                    <w:rPr>
                      <w:rFonts w:hint="default" w:ascii="Times New Roman" w:hAnsi="Times New Roman" w:cs="Times New Roman"/>
                      <w:b w:val="0"/>
                      <w:bCs/>
                      <w:color w:val="auto"/>
                      <w:sz w:val="21"/>
                      <w:szCs w:val="21"/>
                      <w:highlight w:val="none"/>
                    </w:rPr>
                    <w:t>-总则》（HJ819-2017）</w:t>
                  </w:r>
                  <w:r>
                    <w:rPr>
                      <w:rFonts w:hint="eastAsia" w:cs="Times New Roman"/>
                      <w:b w:val="0"/>
                      <w:bCs/>
                      <w:color w:val="auto"/>
                      <w:sz w:val="21"/>
                      <w:szCs w:val="21"/>
                      <w:highlight w:val="none"/>
                      <w:lang w:eastAsia="zh-CN"/>
                    </w:rPr>
                    <w:t>、</w:t>
                  </w:r>
                  <w:r>
                    <w:rPr>
                      <w:rFonts w:hint="default" w:ascii="Times New Roman" w:hAnsi="Times New Roman" w:cs="Times New Roman"/>
                      <w:b w:val="0"/>
                      <w:bCs/>
                      <w:color w:val="auto"/>
                      <w:sz w:val="21"/>
                      <w:szCs w:val="21"/>
                      <w:highlight w:val="none"/>
                    </w:rPr>
                    <w:t>《</w:t>
                  </w:r>
                  <w:r>
                    <w:rPr>
                      <w:rFonts w:hint="eastAsia" w:cs="Times New Roman"/>
                      <w:b w:val="0"/>
                      <w:bCs/>
                      <w:color w:val="auto"/>
                      <w:sz w:val="21"/>
                      <w:szCs w:val="21"/>
                      <w:highlight w:val="none"/>
                      <w:lang w:eastAsia="zh-CN"/>
                    </w:rPr>
                    <w:t>排污单位自行监测技术指南</w:t>
                  </w:r>
                  <w:r>
                    <w:rPr>
                      <w:rFonts w:hint="default" w:ascii="Times New Roman" w:hAnsi="Times New Roman" w:cs="Times New Roman"/>
                      <w:b w:val="0"/>
                      <w:bCs/>
                      <w:color w:val="auto"/>
                      <w:sz w:val="21"/>
                      <w:szCs w:val="21"/>
                      <w:highlight w:val="none"/>
                    </w:rPr>
                    <w:t>-</w:t>
                  </w:r>
                  <w:r>
                    <w:rPr>
                      <w:rFonts w:hint="eastAsia" w:cs="Times New Roman"/>
                      <w:b w:val="0"/>
                      <w:bCs/>
                      <w:color w:val="auto"/>
                      <w:sz w:val="21"/>
                      <w:szCs w:val="21"/>
                      <w:highlight w:val="none"/>
                      <w:lang w:val="en-US" w:eastAsia="zh-CN"/>
                    </w:rPr>
                    <w:t>橡胶和塑料制品</w:t>
                  </w:r>
                  <w:r>
                    <w:rPr>
                      <w:rFonts w:hint="default" w:ascii="Times New Roman" w:hAnsi="Times New Roman" w:cs="Times New Roman"/>
                      <w:b w:val="0"/>
                      <w:bCs/>
                      <w:color w:val="auto"/>
                      <w:sz w:val="21"/>
                      <w:szCs w:val="21"/>
                      <w:highlight w:val="none"/>
                    </w:rPr>
                    <w:t>》（HJ</w:t>
                  </w:r>
                  <w:r>
                    <w:rPr>
                      <w:rFonts w:hint="eastAsia" w:cs="Times New Roman"/>
                      <w:b w:val="0"/>
                      <w:bCs/>
                      <w:color w:val="auto"/>
                      <w:sz w:val="21"/>
                      <w:szCs w:val="21"/>
                      <w:highlight w:val="none"/>
                      <w:lang w:val="en-US" w:eastAsia="zh-CN"/>
                    </w:rPr>
                    <w:t>1207</w:t>
                  </w:r>
                  <w:r>
                    <w:rPr>
                      <w:rFonts w:hint="default" w:ascii="Times New Roman" w:hAnsi="Times New Roman" w:cs="Times New Roman"/>
                      <w:b w:val="0"/>
                      <w:bCs/>
                      <w:color w:val="auto"/>
                      <w:sz w:val="21"/>
                      <w:szCs w:val="21"/>
                      <w:highlight w:val="none"/>
                    </w:rPr>
                    <w:t>-20</w:t>
                  </w:r>
                  <w:r>
                    <w:rPr>
                      <w:rFonts w:hint="eastAsia" w:cs="Times New Roman"/>
                      <w:b w:val="0"/>
                      <w:bCs/>
                      <w:color w:val="auto"/>
                      <w:sz w:val="21"/>
                      <w:szCs w:val="21"/>
                      <w:highlight w:val="none"/>
                      <w:lang w:val="en-US" w:eastAsia="zh-CN"/>
                    </w:rPr>
                    <w:t>21</w:t>
                  </w:r>
                  <w:r>
                    <w:rPr>
                      <w:rFonts w:hint="default" w:ascii="Times New Roman" w:hAnsi="Times New Roman" w:cs="Times New Roman"/>
                      <w:b w:val="0"/>
                      <w:bCs/>
                      <w:color w:val="auto"/>
                      <w:sz w:val="21"/>
                      <w:szCs w:val="21"/>
                      <w:highlight w:val="none"/>
                    </w:rPr>
                    <w:t>）</w:t>
                  </w:r>
                </w:p>
              </w:tc>
            </w:tr>
            <w:tr w14:paraId="67728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44" w:type="dxa"/>
                  <w:vAlign w:val="center"/>
                </w:tcPr>
                <w:p w14:paraId="247FAB3B">
                  <w:pPr>
                    <w:pStyle w:val="38"/>
                    <w:spacing w:line="240" w:lineRule="auto"/>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DA00</w:t>
                  </w:r>
                  <w:r>
                    <w:rPr>
                      <w:rFonts w:hint="eastAsia" w:cs="Times New Roman"/>
                      <w:b w:val="0"/>
                      <w:bCs/>
                      <w:color w:val="auto"/>
                      <w:sz w:val="21"/>
                      <w:szCs w:val="21"/>
                      <w:highlight w:val="none"/>
                      <w:lang w:val="en-US" w:eastAsia="zh-CN"/>
                    </w:rPr>
                    <w:t>1</w:t>
                  </w:r>
                </w:p>
                <w:p w14:paraId="39DD8FF7">
                  <w:pPr>
                    <w:pStyle w:val="38"/>
                    <w:spacing w:line="240" w:lineRule="auto"/>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吹灰</w:t>
                  </w:r>
                  <w:r>
                    <w:rPr>
                      <w:rFonts w:hint="default" w:ascii="Times New Roman" w:hAnsi="Times New Roman" w:cs="Times New Roman"/>
                      <w:b w:val="0"/>
                      <w:bCs/>
                      <w:color w:val="auto"/>
                      <w:sz w:val="21"/>
                      <w:szCs w:val="21"/>
                      <w:highlight w:val="none"/>
                      <w:lang w:val="en-US" w:eastAsia="zh-CN"/>
                    </w:rPr>
                    <w:t>）</w:t>
                  </w:r>
                </w:p>
              </w:tc>
              <w:tc>
                <w:tcPr>
                  <w:tcW w:w="1068" w:type="dxa"/>
                  <w:vAlign w:val="center"/>
                </w:tcPr>
                <w:p w14:paraId="34FC2499">
                  <w:pPr>
                    <w:pStyle w:val="38"/>
                    <w:spacing w:line="240" w:lineRule="auto"/>
                    <w:jc w:val="center"/>
                    <w:rPr>
                      <w:rFonts w:hint="default" w:ascii="Times New Roman" w:hAnsi="Times New Roman" w:cs="Times New Roman"/>
                      <w:b w:val="0"/>
                      <w:bCs/>
                      <w:color w:val="auto"/>
                      <w:sz w:val="21"/>
                      <w:szCs w:val="21"/>
                      <w:lang w:eastAsia="zh-CN"/>
                    </w:rPr>
                  </w:pPr>
                  <w:r>
                    <w:rPr>
                      <w:rFonts w:hint="default" w:ascii="Times New Roman" w:hAnsi="Times New Roman" w:cs="Times New Roman"/>
                      <w:b w:val="0"/>
                      <w:bCs/>
                      <w:color w:val="auto"/>
                      <w:sz w:val="21"/>
                      <w:szCs w:val="21"/>
                      <w:lang w:eastAsia="zh-CN"/>
                    </w:rPr>
                    <w:t>颗粒物</w:t>
                  </w:r>
                </w:p>
              </w:tc>
              <w:tc>
                <w:tcPr>
                  <w:tcW w:w="1065" w:type="dxa"/>
                  <w:vAlign w:val="center"/>
                </w:tcPr>
                <w:p w14:paraId="5C9738C1">
                  <w:pPr>
                    <w:pStyle w:val="38"/>
                    <w:spacing w:line="240" w:lineRule="auto"/>
                    <w:jc w:val="center"/>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1次/年</w:t>
                  </w:r>
                </w:p>
              </w:tc>
              <w:tc>
                <w:tcPr>
                  <w:tcW w:w="2676" w:type="dxa"/>
                  <w:vMerge w:val="restart"/>
                  <w:vAlign w:val="center"/>
                </w:tcPr>
                <w:p w14:paraId="08C31B6F">
                  <w:pPr>
                    <w:pStyle w:val="38"/>
                    <w:spacing w:line="240" w:lineRule="auto"/>
                    <w:jc w:val="center"/>
                    <w:rPr>
                      <w:rFonts w:hint="eastAsia" w:ascii="Times New Roman" w:hAnsi="Times New Roman" w:eastAsia="宋体" w:cs="Times New Roman"/>
                      <w:b w:val="0"/>
                      <w:bCs/>
                      <w:color w:val="auto"/>
                      <w:sz w:val="21"/>
                      <w:szCs w:val="21"/>
                      <w:lang w:eastAsia="zh-CN"/>
                    </w:rPr>
                  </w:pPr>
                  <w:r>
                    <w:rPr>
                      <w:rFonts w:hint="eastAsia" w:cs="Times New Roman"/>
                      <w:color w:val="auto"/>
                      <w:sz w:val="21"/>
                      <w:szCs w:val="21"/>
                      <w:lang w:eastAsia="zh-CN"/>
                    </w:rPr>
                    <w:t>《合成树脂工业污染物排放标准》（GB31572-2015）（含2024年修改单）表5中标准要求</w:t>
                  </w:r>
                </w:p>
              </w:tc>
              <w:tc>
                <w:tcPr>
                  <w:tcW w:w="3198" w:type="dxa"/>
                  <w:vMerge w:val="restart"/>
                  <w:vAlign w:val="center"/>
                </w:tcPr>
                <w:p w14:paraId="2A0695F6">
                  <w:pPr>
                    <w:pStyle w:val="38"/>
                    <w:spacing w:line="240" w:lineRule="auto"/>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highlight w:val="none"/>
                    </w:rPr>
                    <w:t>《</w:t>
                  </w:r>
                  <w:r>
                    <w:rPr>
                      <w:rFonts w:hint="eastAsia" w:cs="Times New Roman"/>
                      <w:b w:val="0"/>
                      <w:bCs/>
                      <w:color w:val="auto"/>
                      <w:sz w:val="21"/>
                      <w:szCs w:val="21"/>
                      <w:highlight w:val="none"/>
                      <w:lang w:eastAsia="zh-CN"/>
                    </w:rPr>
                    <w:t>排污单位自行监测技术指南</w:t>
                  </w:r>
                  <w:r>
                    <w:rPr>
                      <w:rFonts w:hint="default" w:ascii="Times New Roman" w:hAnsi="Times New Roman" w:cs="Times New Roman"/>
                      <w:b w:val="0"/>
                      <w:bCs/>
                      <w:color w:val="auto"/>
                      <w:sz w:val="21"/>
                      <w:szCs w:val="21"/>
                      <w:highlight w:val="none"/>
                    </w:rPr>
                    <w:t>-总则》（HJ819-2017）</w:t>
                  </w:r>
                  <w:r>
                    <w:rPr>
                      <w:rFonts w:hint="eastAsia" w:cs="Times New Roman"/>
                      <w:b w:val="0"/>
                      <w:bCs/>
                      <w:color w:val="auto"/>
                      <w:sz w:val="21"/>
                      <w:szCs w:val="21"/>
                      <w:highlight w:val="none"/>
                      <w:lang w:eastAsia="zh-CN"/>
                    </w:rPr>
                    <w:t>、</w:t>
                  </w:r>
                  <w:r>
                    <w:rPr>
                      <w:rFonts w:hint="default" w:ascii="Times New Roman" w:hAnsi="Times New Roman" w:cs="Times New Roman"/>
                      <w:b w:val="0"/>
                      <w:bCs/>
                      <w:color w:val="auto"/>
                      <w:sz w:val="21"/>
                      <w:szCs w:val="21"/>
                      <w:highlight w:val="none"/>
                    </w:rPr>
                    <w:t>《</w:t>
                  </w:r>
                  <w:r>
                    <w:rPr>
                      <w:rFonts w:hint="eastAsia" w:cs="Times New Roman"/>
                      <w:b w:val="0"/>
                      <w:bCs/>
                      <w:color w:val="auto"/>
                      <w:sz w:val="21"/>
                      <w:szCs w:val="21"/>
                      <w:highlight w:val="none"/>
                      <w:lang w:eastAsia="zh-CN"/>
                    </w:rPr>
                    <w:t>排污单位自行监测技术指南</w:t>
                  </w:r>
                  <w:r>
                    <w:rPr>
                      <w:rFonts w:hint="default" w:ascii="Times New Roman" w:hAnsi="Times New Roman" w:cs="Times New Roman"/>
                      <w:b w:val="0"/>
                      <w:bCs/>
                      <w:color w:val="auto"/>
                      <w:sz w:val="21"/>
                      <w:szCs w:val="21"/>
                      <w:highlight w:val="none"/>
                    </w:rPr>
                    <w:t>-</w:t>
                  </w:r>
                  <w:r>
                    <w:rPr>
                      <w:rFonts w:hint="eastAsia" w:cs="Times New Roman"/>
                      <w:b w:val="0"/>
                      <w:bCs/>
                      <w:color w:val="auto"/>
                      <w:sz w:val="21"/>
                      <w:szCs w:val="21"/>
                      <w:highlight w:val="none"/>
                      <w:lang w:val="en-US" w:eastAsia="zh-CN"/>
                    </w:rPr>
                    <w:t>橡胶和塑料制品</w:t>
                  </w:r>
                  <w:r>
                    <w:rPr>
                      <w:rFonts w:hint="default" w:ascii="Times New Roman" w:hAnsi="Times New Roman" w:cs="Times New Roman"/>
                      <w:b w:val="0"/>
                      <w:bCs/>
                      <w:color w:val="auto"/>
                      <w:sz w:val="21"/>
                      <w:szCs w:val="21"/>
                      <w:highlight w:val="none"/>
                    </w:rPr>
                    <w:t>》（HJ</w:t>
                  </w:r>
                  <w:r>
                    <w:rPr>
                      <w:rFonts w:hint="eastAsia" w:cs="Times New Roman"/>
                      <w:b w:val="0"/>
                      <w:bCs/>
                      <w:color w:val="auto"/>
                      <w:sz w:val="21"/>
                      <w:szCs w:val="21"/>
                      <w:highlight w:val="none"/>
                      <w:lang w:val="en-US" w:eastAsia="zh-CN"/>
                    </w:rPr>
                    <w:t>1207</w:t>
                  </w:r>
                  <w:r>
                    <w:rPr>
                      <w:rFonts w:hint="default" w:ascii="Times New Roman" w:hAnsi="Times New Roman" w:cs="Times New Roman"/>
                      <w:b w:val="0"/>
                      <w:bCs/>
                      <w:color w:val="auto"/>
                      <w:sz w:val="21"/>
                      <w:szCs w:val="21"/>
                      <w:highlight w:val="none"/>
                    </w:rPr>
                    <w:t>-20</w:t>
                  </w:r>
                  <w:r>
                    <w:rPr>
                      <w:rFonts w:hint="eastAsia" w:cs="Times New Roman"/>
                      <w:b w:val="0"/>
                      <w:bCs/>
                      <w:color w:val="auto"/>
                      <w:sz w:val="21"/>
                      <w:szCs w:val="21"/>
                      <w:highlight w:val="none"/>
                      <w:lang w:val="en-US" w:eastAsia="zh-CN"/>
                    </w:rPr>
                    <w:t>21</w:t>
                  </w:r>
                  <w:r>
                    <w:rPr>
                      <w:rFonts w:hint="default" w:ascii="Times New Roman" w:hAnsi="Times New Roman" w:cs="Times New Roman"/>
                      <w:b w:val="0"/>
                      <w:bCs/>
                      <w:color w:val="auto"/>
                      <w:sz w:val="21"/>
                      <w:szCs w:val="21"/>
                      <w:highlight w:val="none"/>
                    </w:rPr>
                    <w:t>）</w:t>
                  </w:r>
                </w:p>
              </w:tc>
            </w:tr>
            <w:tr w14:paraId="4C78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44" w:type="dxa"/>
                  <w:shd w:val="clear" w:color="auto" w:fill="auto"/>
                  <w:vAlign w:val="center"/>
                </w:tcPr>
                <w:p w14:paraId="6E6687C8">
                  <w:pPr>
                    <w:pStyle w:val="38"/>
                    <w:spacing w:line="240" w:lineRule="auto"/>
                    <w:jc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DA00</w:t>
                  </w:r>
                  <w:r>
                    <w:rPr>
                      <w:rFonts w:hint="eastAsia" w:ascii="Times New Roman" w:hAnsi="Times New Roman" w:cs="Times New Roman"/>
                      <w:b w:val="0"/>
                      <w:bCs/>
                      <w:color w:val="auto"/>
                      <w:sz w:val="21"/>
                      <w:szCs w:val="21"/>
                      <w:highlight w:val="none"/>
                      <w:lang w:val="en-US" w:eastAsia="zh-CN"/>
                    </w:rPr>
                    <w:t>2</w:t>
                  </w:r>
                </w:p>
                <w:p w14:paraId="75EBD040">
                  <w:pPr>
                    <w:pStyle w:val="38"/>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highlight w:val="none"/>
                      <w:lang w:val="en-US" w:eastAsia="zh-CN"/>
                    </w:rPr>
                    <w:t>（</w:t>
                  </w:r>
                  <w:r>
                    <w:rPr>
                      <w:rFonts w:hint="eastAsia" w:cs="Times New Roman"/>
                      <w:b w:val="0"/>
                      <w:bCs/>
                      <w:color w:val="auto"/>
                      <w:sz w:val="21"/>
                      <w:szCs w:val="21"/>
                      <w:highlight w:val="none"/>
                      <w:lang w:val="en-US" w:eastAsia="zh-CN"/>
                    </w:rPr>
                    <w:t>磨边</w:t>
                  </w:r>
                  <w:r>
                    <w:rPr>
                      <w:rFonts w:hint="default" w:ascii="Times New Roman" w:hAnsi="Times New Roman" w:cs="Times New Roman"/>
                      <w:b w:val="0"/>
                      <w:bCs/>
                      <w:color w:val="auto"/>
                      <w:sz w:val="21"/>
                      <w:szCs w:val="21"/>
                      <w:highlight w:val="none"/>
                      <w:lang w:val="en-US" w:eastAsia="zh-CN"/>
                    </w:rPr>
                    <w:t>）</w:t>
                  </w:r>
                </w:p>
              </w:tc>
              <w:tc>
                <w:tcPr>
                  <w:tcW w:w="1068" w:type="dxa"/>
                  <w:shd w:val="clear" w:color="auto" w:fill="auto"/>
                  <w:vAlign w:val="center"/>
                </w:tcPr>
                <w:p w14:paraId="368105E2">
                  <w:pPr>
                    <w:pStyle w:val="38"/>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eastAsia="zh-CN"/>
                    </w:rPr>
                    <w:t>颗粒物</w:t>
                  </w:r>
                </w:p>
              </w:tc>
              <w:tc>
                <w:tcPr>
                  <w:tcW w:w="1065" w:type="dxa"/>
                  <w:shd w:val="clear" w:color="auto" w:fill="auto"/>
                  <w:vAlign w:val="center"/>
                </w:tcPr>
                <w:p w14:paraId="410D7535">
                  <w:pPr>
                    <w:pStyle w:val="38"/>
                    <w:spacing w:line="240" w:lineRule="auto"/>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1次/年</w:t>
                  </w:r>
                </w:p>
              </w:tc>
              <w:tc>
                <w:tcPr>
                  <w:tcW w:w="2676" w:type="dxa"/>
                  <w:vMerge w:val="continue"/>
                  <w:shd w:val="clear" w:color="auto" w:fill="auto"/>
                  <w:vAlign w:val="center"/>
                </w:tcPr>
                <w:p w14:paraId="5517EED0">
                  <w:pPr>
                    <w:pStyle w:val="38"/>
                    <w:spacing w:line="240" w:lineRule="auto"/>
                    <w:jc w:val="center"/>
                    <w:rPr>
                      <w:rFonts w:hint="eastAsia" w:ascii="Times New Roman" w:hAnsi="Times New Roman" w:eastAsia="宋体" w:cs="Times New Roman"/>
                      <w:b w:val="0"/>
                      <w:bCs/>
                      <w:color w:val="auto"/>
                      <w:kern w:val="2"/>
                      <w:sz w:val="21"/>
                      <w:szCs w:val="21"/>
                      <w:lang w:val="en-US" w:eastAsia="zh-CN" w:bidi="ar-SA"/>
                    </w:rPr>
                  </w:pPr>
                </w:p>
              </w:tc>
              <w:tc>
                <w:tcPr>
                  <w:tcW w:w="3198" w:type="dxa"/>
                  <w:vMerge w:val="continue"/>
                  <w:shd w:val="clear" w:color="auto" w:fill="auto"/>
                  <w:vAlign w:val="center"/>
                </w:tcPr>
                <w:p w14:paraId="33763E32">
                  <w:pPr>
                    <w:pStyle w:val="38"/>
                    <w:spacing w:line="240" w:lineRule="auto"/>
                    <w:jc w:val="center"/>
                    <w:rPr>
                      <w:rFonts w:hint="default" w:ascii="Times New Roman" w:hAnsi="Times New Roman" w:eastAsia="宋体" w:cs="Times New Roman"/>
                      <w:b w:val="0"/>
                      <w:bCs/>
                      <w:color w:val="auto"/>
                      <w:kern w:val="2"/>
                      <w:sz w:val="21"/>
                      <w:szCs w:val="21"/>
                      <w:lang w:val="en-US" w:eastAsia="zh-CN" w:bidi="ar-SA"/>
                    </w:rPr>
                  </w:pPr>
                </w:p>
              </w:tc>
            </w:tr>
          </w:tbl>
          <w:p w14:paraId="7E8ECC3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imes New Roman" w:hAnsi="Times New Roman" w:cs="Times New Roman" w:eastAsiaTheme="minorEastAsia"/>
                <w:color w:val="auto"/>
                <w:sz w:val="24"/>
                <w:lang w:eastAsia="zh-CN"/>
              </w:rPr>
            </w:pPr>
            <w:r>
              <w:rPr>
                <w:rFonts w:hint="default" w:ascii="Times New Roman" w:hAnsi="Times New Roman" w:cs="Times New Roman"/>
                <w:color w:val="auto"/>
                <w:sz w:val="24"/>
              </w:rPr>
              <w:t>1.2.</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无组织废气排放</w:t>
            </w:r>
            <w:r>
              <w:rPr>
                <w:rFonts w:hint="eastAsia" w:ascii="Times New Roman" w:hAnsi="Times New Roman" w:cs="Times New Roman"/>
                <w:color w:val="auto"/>
                <w:sz w:val="24"/>
                <w:lang w:eastAsia="zh-CN"/>
              </w:rPr>
              <w:t>监测点位</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监测指标</w:t>
            </w:r>
            <w:r>
              <w:rPr>
                <w:rFonts w:hint="default" w:ascii="Times New Roman" w:hAnsi="Times New Roman" w:cs="Times New Roman"/>
                <w:color w:val="auto"/>
                <w:sz w:val="24"/>
              </w:rPr>
              <w:t>和</w:t>
            </w:r>
            <w:r>
              <w:rPr>
                <w:rFonts w:hint="eastAsia" w:ascii="Times New Roman" w:hAnsi="Times New Roman" w:cs="Times New Roman"/>
                <w:color w:val="auto"/>
                <w:sz w:val="24"/>
                <w:lang w:eastAsia="zh-CN"/>
              </w:rPr>
              <w:t>监测频次</w:t>
            </w:r>
          </w:p>
          <w:p w14:paraId="6B7B35D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无组织废气排放</w:t>
            </w:r>
            <w:r>
              <w:rPr>
                <w:rFonts w:hint="eastAsia" w:ascii="Times New Roman" w:hAnsi="Times New Roman" w:cs="Times New Roman"/>
                <w:color w:val="auto"/>
                <w:sz w:val="24"/>
                <w:lang w:eastAsia="zh-CN"/>
              </w:rPr>
              <w:t>监测点位</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监测指标</w:t>
            </w:r>
            <w:r>
              <w:rPr>
                <w:rFonts w:hint="default" w:ascii="Times New Roman" w:hAnsi="Times New Roman" w:cs="Times New Roman"/>
                <w:color w:val="auto"/>
                <w:sz w:val="24"/>
              </w:rPr>
              <w:t>和最低</w:t>
            </w:r>
            <w:r>
              <w:rPr>
                <w:rFonts w:hint="eastAsia" w:ascii="Times New Roman" w:hAnsi="Times New Roman" w:cs="Times New Roman"/>
                <w:color w:val="auto"/>
                <w:sz w:val="24"/>
                <w:lang w:eastAsia="zh-CN"/>
              </w:rPr>
              <w:t>监测频次</w:t>
            </w:r>
            <w:r>
              <w:rPr>
                <w:rFonts w:hint="default" w:ascii="Times New Roman" w:hAnsi="Times New Roman" w:cs="Times New Roman"/>
                <w:color w:val="auto"/>
                <w:sz w:val="24"/>
              </w:rPr>
              <w:t>一览表见表4.</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w:t>
            </w:r>
          </w:p>
          <w:p w14:paraId="54E5EA7B">
            <w:pPr>
              <w:pStyle w:val="38"/>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w:t>
            </w:r>
            <w:r>
              <w:rPr>
                <w:rFonts w:hint="eastAsia" w:cs="Times New Roman"/>
                <w:b/>
                <w:bCs/>
                <w:color w:val="auto"/>
                <w:sz w:val="21"/>
                <w:szCs w:val="21"/>
                <w:lang w:val="en-US" w:eastAsia="zh-CN"/>
              </w:rPr>
              <w:t>5</w:t>
            </w:r>
            <w:r>
              <w:rPr>
                <w:rFonts w:hint="default" w:ascii="Times New Roman" w:hAnsi="Times New Roman" w:cs="Times New Roman"/>
                <w:b/>
                <w:bCs/>
                <w:color w:val="auto"/>
                <w:sz w:val="21"/>
                <w:szCs w:val="21"/>
              </w:rPr>
              <w:t xml:space="preserve">  无组织废气排放</w:t>
            </w:r>
            <w:r>
              <w:rPr>
                <w:rFonts w:hint="eastAsia" w:cs="Times New Roman"/>
                <w:b/>
                <w:bCs/>
                <w:color w:val="auto"/>
                <w:sz w:val="21"/>
                <w:szCs w:val="21"/>
                <w:lang w:eastAsia="zh-CN"/>
              </w:rPr>
              <w:t>监测点位</w:t>
            </w:r>
            <w:r>
              <w:rPr>
                <w:rFonts w:hint="default" w:ascii="Times New Roman" w:hAnsi="Times New Roman" w:cs="Times New Roman"/>
                <w:b/>
                <w:bCs/>
                <w:color w:val="auto"/>
                <w:sz w:val="21"/>
                <w:szCs w:val="21"/>
              </w:rPr>
              <w:t>、</w:t>
            </w:r>
            <w:r>
              <w:rPr>
                <w:rFonts w:hint="eastAsia" w:cs="Times New Roman"/>
                <w:b/>
                <w:bCs/>
                <w:color w:val="auto"/>
                <w:sz w:val="21"/>
                <w:szCs w:val="21"/>
                <w:lang w:eastAsia="zh-CN"/>
              </w:rPr>
              <w:t>监测指标</w:t>
            </w:r>
            <w:r>
              <w:rPr>
                <w:rFonts w:hint="default" w:ascii="Times New Roman" w:hAnsi="Times New Roman" w:cs="Times New Roman"/>
                <w:b/>
                <w:bCs/>
                <w:color w:val="auto"/>
                <w:sz w:val="21"/>
                <w:szCs w:val="21"/>
              </w:rPr>
              <w:t>和最低</w:t>
            </w:r>
            <w:r>
              <w:rPr>
                <w:rFonts w:hint="eastAsia" w:cs="Times New Roman"/>
                <w:b/>
                <w:bCs/>
                <w:color w:val="auto"/>
                <w:sz w:val="21"/>
                <w:szCs w:val="21"/>
                <w:lang w:eastAsia="zh-CN"/>
              </w:rPr>
              <w:t>监测频次</w:t>
            </w:r>
            <w:r>
              <w:rPr>
                <w:rFonts w:hint="default" w:ascii="Times New Roman" w:hAnsi="Times New Roman" w:cs="Times New Roman"/>
                <w:b/>
                <w:bCs/>
                <w:color w:val="auto"/>
                <w:sz w:val="21"/>
                <w:szCs w:val="21"/>
              </w:rPr>
              <w:t>一览表</w:t>
            </w:r>
          </w:p>
          <w:tbl>
            <w:tblPr>
              <w:tblStyle w:val="32"/>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1095"/>
              <w:gridCol w:w="1215"/>
              <w:gridCol w:w="3300"/>
              <w:gridCol w:w="2997"/>
            </w:tblGrid>
            <w:tr w14:paraId="1119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vAlign w:val="center"/>
                </w:tcPr>
                <w:p w14:paraId="0162E868">
                  <w:pPr>
                    <w:pStyle w:val="38"/>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Times New Roman"/>
                      <w:b w:val="0"/>
                      <w:bCs/>
                      <w:color w:val="auto"/>
                      <w:sz w:val="21"/>
                      <w:szCs w:val="21"/>
                      <w:lang w:eastAsia="zh-CN"/>
                    </w:rPr>
                  </w:pPr>
                  <w:r>
                    <w:rPr>
                      <w:rFonts w:hint="eastAsia" w:cs="Times New Roman"/>
                      <w:b w:val="0"/>
                      <w:bCs/>
                      <w:color w:val="auto"/>
                      <w:sz w:val="21"/>
                      <w:szCs w:val="21"/>
                      <w:lang w:eastAsia="zh-CN"/>
                    </w:rPr>
                    <w:t>监测点位</w:t>
                  </w:r>
                </w:p>
              </w:tc>
              <w:tc>
                <w:tcPr>
                  <w:tcW w:w="1095" w:type="dxa"/>
                  <w:vAlign w:val="center"/>
                </w:tcPr>
                <w:p w14:paraId="1883E0C4">
                  <w:pPr>
                    <w:pStyle w:val="38"/>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Times New Roman"/>
                      <w:b w:val="0"/>
                      <w:bCs/>
                      <w:color w:val="auto"/>
                      <w:sz w:val="21"/>
                      <w:szCs w:val="21"/>
                      <w:lang w:eastAsia="zh-CN"/>
                    </w:rPr>
                  </w:pPr>
                  <w:r>
                    <w:rPr>
                      <w:rFonts w:hint="eastAsia" w:cs="Times New Roman"/>
                      <w:b w:val="0"/>
                      <w:bCs/>
                      <w:color w:val="auto"/>
                      <w:sz w:val="21"/>
                      <w:szCs w:val="21"/>
                      <w:lang w:eastAsia="zh-CN"/>
                    </w:rPr>
                    <w:t>监测指标</w:t>
                  </w:r>
                </w:p>
              </w:tc>
              <w:tc>
                <w:tcPr>
                  <w:tcW w:w="1215" w:type="dxa"/>
                  <w:vAlign w:val="center"/>
                </w:tcPr>
                <w:p w14:paraId="28DE6876">
                  <w:pPr>
                    <w:pStyle w:val="38"/>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Times New Roman"/>
                      <w:b w:val="0"/>
                      <w:bCs/>
                      <w:color w:val="auto"/>
                      <w:sz w:val="21"/>
                      <w:szCs w:val="21"/>
                      <w:lang w:eastAsia="zh-CN"/>
                    </w:rPr>
                  </w:pPr>
                  <w:r>
                    <w:rPr>
                      <w:rFonts w:hint="eastAsia" w:cs="Times New Roman"/>
                      <w:b w:val="0"/>
                      <w:bCs/>
                      <w:color w:val="auto"/>
                      <w:sz w:val="21"/>
                      <w:szCs w:val="21"/>
                      <w:lang w:eastAsia="zh-CN"/>
                    </w:rPr>
                    <w:t>监测频次</w:t>
                  </w:r>
                </w:p>
              </w:tc>
              <w:tc>
                <w:tcPr>
                  <w:tcW w:w="3300" w:type="dxa"/>
                  <w:vAlign w:val="center"/>
                </w:tcPr>
                <w:p w14:paraId="79AFCCDA">
                  <w:pPr>
                    <w:pStyle w:val="38"/>
                    <w:keepNext w:val="0"/>
                    <w:keepLines w:val="0"/>
                    <w:pageBreakBefore w:val="0"/>
                    <w:widowControl w:val="0"/>
                    <w:kinsoku/>
                    <w:wordWrap/>
                    <w:overflowPunct/>
                    <w:topLinePunct w:val="0"/>
                    <w:bidi w:val="0"/>
                    <w:snapToGrid/>
                    <w:spacing w:line="240" w:lineRule="exact"/>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执行标准</w:t>
                  </w:r>
                </w:p>
              </w:tc>
              <w:tc>
                <w:tcPr>
                  <w:tcW w:w="2997" w:type="dxa"/>
                  <w:vAlign w:val="center"/>
                </w:tcPr>
                <w:p w14:paraId="37E0A8C5">
                  <w:pPr>
                    <w:pStyle w:val="38"/>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Times New Roman"/>
                      <w:b w:val="0"/>
                      <w:bCs/>
                      <w:color w:val="auto"/>
                      <w:sz w:val="21"/>
                      <w:szCs w:val="21"/>
                      <w:lang w:eastAsia="zh-CN"/>
                    </w:rPr>
                  </w:pPr>
                  <w:r>
                    <w:rPr>
                      <w:rFonts w:hint="eastAsia" w:cs="Times New Roman"/>
                      <w:b w:val="0"/>
                      <w:bCs/>
                      <w:color w:val="auto"/>
                      <w:sz w:val="21"/>
                      <w:szCs w:val="21"/>
                      <w:lang w:eastAsia="zh-CN"/>
                    </w:rPr>
                    <w:t>监测依据</w:t>
                  </w:r>
                </w:p>
              </w:tc>
            </w:tr>
            <w:tr w14:paraId="5C0F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vMerge w:val="restart"/>
                  <w:vAlign w:val="center"/>
                </w:tcPr>
                <w:p w14:paraId="71B874E5">
                  <w:pPr>
                    <w:pStyle w:val="38"/>
                    <w:keepNext w:val="0"/>
                    <w:keepLines w:val="0"/>
                    <w:pageBreakBefore w:val="0"/>
                    <w:widowControl w:val="0"/>
                    <w:kinsoku/>
                    <w:wordWrap/>
                    <w:overflowPunct/>
                    <w:topLinePunct w:val="0"/>
                    <w:bidi w:val="0"/>
                    <w:snapToGrid/>
                    <w:spacing w:line="240" w:lineRule="exact"/>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厂界</w:t>
                  </w:r>
                </w:p>
              </w:tc>
              <w:tc>
                <w:tcPr>
                  <w:tcW w:w="1095" w:type="dxa"/>
                  <w:vAlign w:val="center"/>
                </w:tcPr>
                <w:p w14:paraId="10165BF0">
                  <w:pPr>
                    <w:pStyle w:val="38"/>
                    <w:keepNext w:val="0"/>
                    <w:keepLines w:val="0"/>
                    <w:pageBreakBefore w:val="0"/>
                    <w:widowControl w:val="0"/>
                    <w:kinsoku/>
                    <w:wordWrap/>
                    <w:overflowPunct/>
                    <w:topLinePunct w:val="0"/>
                    <w:bidi w:val="0"/>
                    <w:snapToGrid/>
                    <w:spacing w:line="240" w:lineRule="exact"/>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lang w:val="en-US" w:eastAsia="zh-CN"/>
                    </w:rPr>
                    <w:t>颗粒物</w:t>
                  </w:r>
                  <w:r>
                    <w:rPr>
                      <w:rFonts w:hint="eastAsia" w:cs="Times New Roman"/>
                      <w:b w:val="0"/>
                      <w:bCs/>
                      <w:color w:val="auto"/>
                      <w:sz w:val="21"/>
                      <w:szCs w:val="21"/>
                      <w:lang w:val="en-US" w:eastAsia="zh-CN"/>
                    </w:rPr>
                    <w:t>、</w:t>
                  </w:r>
                  <w:r>
                    <w:rPr>
                      <w:rFonts w:hint="eastAsia" w:ascii="Times New Roman" w:hAnsi="Times New Roman" w:cs="Times New Roman"/>
                      <w:color w:val="auto"/>
                      <w:sz w:val="21"/>
                      <w:szCs w:val="21"/>
                      <w:vertAlign w:val="baseline"/>
                      <w:lang w:val="en-US" w:eastAsia="zh-CN"/>
                    </w:rPr>
                    <w:t>非甲烷总烃</w:t>
                  </w:r>
                </w:p>
              </w:tc>
              <w:tc>
                <w:tcPr>
                  <w:tcW w:w="1215" w:type="dxa"/>
                  <w:vAlign w:val="center"/>
                </w:tcPr>
                <w:p w14:paraId="780134B1">
                  <w:pPr>
                    <w:keepNext w:val="0"/>
                    <w:keepLines w:val="0"/>
                    <w:pageBreakBefore w:val="0"/>
                    <w:widowControl w:val="0"/>
                    <w:kinsoku/>
                    <w:wordWrap/>
                    <w:overflowPunct/>
                    <w:topLinePunct w:val="0"/>
                    <w:bidi w:val="0"/>
                    <w:snapToGrid/>
                    <w:spacing w:line="240" w:lineRule="exact"/>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1次/年</w:t>
                  </w:r>
                </w:p>
              </w:tc>
              <w:tc>
                <w:tcPr>
                  <w:tcW w:w="3300" w:type="dxa"/>
                  <w:vAlign w:val="center"/>
                </w:tcPr>
                <w:p w14:paraId="396397AD">
                  <w:pPr>
                    <w:pStyle w:val="38"/>
                    <w:keepNext w:val="0"/>
                    <w:keepLines w:val="0"/>
                    <w:pageBreakBefore w:val="0"/>
                    <w:widowControl w:val="0"/>
                    <w:kinsoku/>
                    <w:wordWrap/>
                    <w:overflowPunct/>
                    <w:topLinePunct w:val="0"/>
                    <w:bidi w:val="0"/>
                    <w:snapToGrid/>
                    <w:spacing w:line="240" w:lineRule="exact"/>
                    <w:jc w:val="center"/>
                    <w:textAlignment w:val="auto"/>
                    <w:rPr>
                      <w:rFonts w:hint="default" w:ascii="Times New Roman" w:hAnsi="Times New Roman" w:eastAsia="宋体" w:cs="Times New Roman"/>
                      <w:b w:val="0"/>
                      <w:bCs/>
                      <w:color w:val="auto"/>
                      <w:sz w:val="21"/>
                      <w:szCs w:val="21"/>
                      <w:highlight w:val="none"/>
                      <w:lang w:eastAsia="zh-CN"/>
                    </w:rPr>
                  </w:pPr>
                  <w:r>
                    <w:rPr>
                      <w:rFonts w:hint="eastAsia" w:cs="Times New Roman"/>
                      <w:color w:val="auto"/>
                      <w:sz w:val="21"/>
                      <w:szCs w:val="21"/>
                      <w:lang w:eastAsia="zh-CN"/>
                    </w:rPr>
                    <w:t>《合成树脂工业污染物排放标准》（GB31572-2015）（含2024年修改单）表</w:t>
                  </w:r>
                  <w:r>
                    <w:rPr>
                      <w:rFonts w:hint="eastAsia" w:cs="Times New Roman"/>
                      <w:color w:val="auto"/>
                      <w:sz w:val="21"/>
                      <w:szCs w:val="21"/>
                      <w:lang w:val="en-US" w:eastAsia="zh-CN"/>
                    </w:rPr>
                    <w:t>9</w:t>
                  </w:r>
                  <w:r>
                    <w:rPr>
                      <w:rFonts w:hint="eastAsia" w:cs="Times New Roman"/>
                      <w:color w:val="auto"/>
                      <w:sz w:val="21"/>
                      <w:szCs w:val="21"/>
                      <w:lang w:eastAsia="zh-CN"/>
                    </w:rPr>
                    <w:t>中标准要求</w:t>
                  </w:r>
                </w:p>
              </w:tc>
              <w:tc>
                <w:tcPr>
                  <w:tcW w:w="2997" w:type="dxa"/>
                  <w:vAlign w:val="center"/>
                </w:tcPr>
                <w:p w14:paraId="698D40CA">
                  <w:pPr>
                    <w:pStyle w:val="38"/>
                    <w:keepNext w:val="0"/>
                    <w:keepLines w:val="0"/>
                    <w:pageBreakBefore w:val="0"/>
                    <w:widowControl w:val="0"/>
                    <w:kinsoku/>
                    <w:wordWrap/>
                    <w:overflowPunct/>
                    <w:topLinePunct w:val="0"/>
                    <w:bidi w:val="0"/>
                    <w:snapToGrid/>
                    <w:spacing w:line="240" w:lineRule="exact"/>
                    <w:jc w:val="center"/>
                    <w:textAlignment w:val="auto"/>
                    <w:rPr>
                      <w:rFonts w:hint="eastAsia"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rPr>
                    <w:t>《</w:t>
                  </w:r>
                  <w:r>
                    <w:rPr>
                      <w:rFonts w:hint="eastAsia" w:cs="Times New Roman"/>
                      <w:b w:val="0"/>
                      <w:bCs/>
                      <w:color w:val="auto"/>
                      <w:sz w:val="21"/>
                      <w:szCs w:val="21"/>
                      <w:highlight w:val="none"/>
                      <w:lang w:eastAsia="zh-CN"/>
                    </w:rPr>
                    <w:t>排污单位自行监测技术指南</w:t>
                  </w:r>
                  <w:r>
                    <w:rPr>
                      <w:rFonts w:hint="default" w:ascii="Times New Roman" w:hAnsi="Times New Roman" w:cs="Times New Roman"/>
                      <w:b w:val="0"/>
                      <w:bCs/>
                      <w:color w:val="auto"/>
                      <w:sz w:val="21"/>
                      <w:szCs w:val="21"/>
                      <w:highlight w:val="none"/>
                    </w:rPr>
                    <w:t>-总则》（HJ819-2017）</w:t>
                  </w:r>
                  <w:r>
                    <w:rPr>
                      <w:rFonts w:hint="eastAsia" w:cs="Times New Roman"/>
                      <w:b w:val="0"/>
                      <w:bCs/>
                      <w:color w:val="auto"/>
                      <w:sz w:val="21"/>
                      <w:szCs w:val="21"/>
                      <w:highlight w:val="none"/>
                      <w:lang w:eastAsia="zh-CN"/>
                    </w:rPr>
                    <w:t>、</w:t>
                  </w:r>
                  <w:r>
                    <w:rPr>
                      <w:rFonts w:hint="default" w:ascii="Times New Roman" w:hAnsi="Times New Roman" w:cs="Times New Roman"/>
                      <w:b w:val="0"/>
                      <w:bCs/>
                      <w:color w:val="auto"/>
                      <w:sz w:val="21"/>
                      <w:szCs w:val="21"/>
                      <w:highlight w:val="none"/>
                    </w:rPr>
                    <w:t>《</w:t>
                  </w:r>
                  <w:r>
                    <w:rPr>
                      <w:rFonts w:hint="eastAsia" w:cs="Times New Roman"/>
                      <w:b w:val="0"/>
                      <w:bCs/>
                      <w:color w:val="auto"/>
                      <w:sz w:val="21"/>
                      <w:szCs w:val="21"/>
                      <w:highlight w:val="none"/>
                      <w:lang w:eastAsia="zh-CN"/>
                    </w:rPr>
                    <w:t>排污单位自行监测技术指南</w:t>
                  </w:r>
                  <w:r>
                    <w:rPr>
                      <w:rFonts w:hint="default" w:ascii="Times New Roman" w:hAnsi="Times New Roman" w:cs="Times New Roman"/>
                      <w:b w:val="0"/>
                      <w:bCs/>
                      <w:color w:val="auto"/>
                      <w:sz w:val="21"/>
                      <w:szCs w:val="21"/>
                      <w:highlight w:val="none"/>
                    </w:rPr>
                    <w:t>-</w:t>
                  </w:r>
                  <w:r>
                    <w:rPr>
                      <w:rFonts w:hint="eastAsia" w:cs="Times New Roman"/>
                      <w:b w:val="0"/>
                      <w:bCs/>
                      <w:color w:val="auto"/>
                      <w:sz w:val="21"/>
                      <w:szCs w:val="21"/>
                      <w:highlight w:val="none"/>
                      <w:lang w:val="en-US" w:eastAsia="zh-CN"/>
                    </w:rPr>
                    <w:t>橡胶和塑料制品</w:t>
                  </w:r>
                  <w:r>
                    <w:rPr>
                      <w:rFonts w:hint="default" w:ascii="Times New Roman" w:hAnsi="Times New Roman" w:cs="Times New Roman"/>
                      <w:b w:val="0"/>
                      <w:bCs/>
                      <w:color w:val="auto"/>
                      <w:sz w:val="21"/>
                      <w:szCs w:val="21"/>
                      <w:highlight w:val="none"/>
                    </w:rPr>
                    <w:t>》（HJ</w:t>
                  </w:r>
                  <w:r>
                    <w:rPr>
                      <w:rFonts w:hint="eastAsia" w:cs="Times New Roman"/>
                      <w:b w:val="0"/>
                      <w:bCs/>
                      <w:color w:val="auto"/>
                      <w:sz w:val="21"/>
                      <w:szCs w:val="21"/>
                      <w:highlight w:val="none"/>
                      <w:lang w:val="en-US" w:eastAsia="zh-CN"/>
                    </w:rPr>
                    <w:t>1207</w:t>
                  </w:r>
                  <w:r>
                    <w:rPr>
                      <w:rFonts w:hint="default" w:ascii="Times New Roman" w:hAnsi="Times New Roman" w:cs="Times New Roman"/>
                      <w:b w:val="0"/>
                      <w:bCs/>
                      <w:color w:val="auto"/>
                      <w:sz w:val="21"/>
                      <w:szCs w:val="21"/>
                      <w:highlight w:val="none"/>
                    </w:rPr>
                    <w:t>-20</w:t>
                  </w:r>
                  <w:r>
                    <w:rPr>
                      <w:rFonts w:hint="eastAsia" w:cs="Times New Roman"/>
                      <w:b w:val="0"/>
                      <w:bCs/>
                      <w:color w:val="auto"/>
                      <w:sz w:val="21"/>
                      <w:szCs w:val="21"/>
                      <w:highlight w:val="none"/>
                      <w:lang w:val="en-US" w:eastAsia="zh-CN"/>
                    </w:rPr>
                    <w:t>21</w:t>
                  </w:r>
                  <w:r>
                    <w:rPr>
                      <w:rFonts w:hint="default" w:ascii="Times New Roman" w:hAnsi="Times New Roman" w:cs="Times New Roman"/>
                      <w:b w:val="0"/>
                      <w:bCs/>
                      <w:color w:val="auto"/>
                      <w:sz w:val="21"/>
                      <w:szCs w:val="21"/>
                      <w:highlight w:val="none"/>
                    </w:rPr>
                    <w:t>）</w:t>
                  </w:r>
                </w:p>
              </w:tc>
            </w:tr>
            <w:tr w14:paraId="6C799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4" w:type="dxa"/>
                  <w:vMerge w:val="continue"/>
                  <w:vAlign w:val="center"/>
                </w:tcPr>
                <w:p w14:paraId="08986648">
                  <w:pPr>
                    <w:pStyle w:val="38"/>
                    <w:keepNext w:val="0"/>
                    <w:keepLines w:val="0"/>
                    <w:pageBreakBefore w:val="0"/>
                    <w:widowControl w:val="0"/>
                    <w:kinsoku/>
                    <w:wordWrap/>
                    <w:overflowPunct/>
                    <w:topLinePunct w:val="0"/>
                    <w:bidi w:val="0"/>
                    <w:snapToGrid/>
                    <w:spacing w:line="240" w:lineRule="exact"/>
                    <w:jc w:val="center"/>
                    <w:textAlignment w:val="auto"/>
                    <w:rPr>
                      <w:rFonts w:hint="default" w:ascii="Times New Roman" w:hAnsi="Times New Roman" w:cs="Times New Roman"/>
                      <w:b w:val="0"/>
                      <w:bCs/>
                      <w:color w:val="auto"/>
                      <w:sz w:val="21"/>
                      <w:szCs w:val="21"/>
                    </w:rPr>
                  </w:pPr>
                </w:p>
              </w:tc>
              <w:tc>
                <w:tcPr>
                  <w:tcW w:w="1095" w:type="dxa"/>
                  <w:vAlign w:val="center"/>
                </w:tcPr>
                <w:p w14:paraId="5943E763">
                  <w:pPr>
                    <w:pStyle w:val="38"/>
                    <w:keepNext w:val="0"/>
                    <w:keepLines w:val="0"/>
                    <w:pageBreakBefore w:val="0"/>
                    <w:widowControl w:val="0"/>
                    <w:kinsoku/>
                    <w:wordWrap/>
                    <w:overflowPunct/>
                    <w:topLinePunct w:val="0"/>
                    <w:bidi w:val="0"/>
                    <w:snapToGrid/>
                    <w:spacing w:line="240" w:lineRule="exact"/>
                    <w:jc w:val="center"/>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甲醛</w:t>
                  </w:r>
                </w:p>
              </w:tc>
              <w:tc>
                <w:tcPr>
                  <w:tcW w:w="1215" w:type="dxa"/>
                  <w:vAlign w:val="center"/>
                </w:tcPr>
                <w:p w14:paraId="2412BFBA">
                  <w:pPr>
                    <w:keepNext w:val="0"/>
                    <w:keepLines w:val="0"/>
                    <w:pageBreakBefore w:val="0"/>
                    <w:widowControl w:val="0"/>
                    <w:kinsoku/>
                    <w:wordWrap/>
                    <w:overflowPunct/>
                    <w:topLinePunct w:val="0"/>
                    <w:bidi w:val="0"/>
                    <w:snapToGrid/>
                    <w:spacing w:line="240" w:lineRule="exact"/>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1次/年</w:t>
                  </w:r>
                </w:p>
              </w:tc>
              <w:tc>
                <w:tcPr>
                  <w:tcW w:w="3300" w:type="dxa"/>
                  <w:vAlign w:val="center"/>
                </w:tcPr>
                <w:p w14:paraId="1EFA2AB6">
                  <w:pPr>
                    <w:pStyle w:val="38"/>
                    <w:keepNext w:val="0"/>
                    <w:keepLines w:val="0"/>
                    <w:pageBreakBefore w:val="0"/>
                    <w:widowControl w:val="0"/>
                    <w:kinsoku/>
                    <w:wordWrap/>
                    <w:overflowPunct/>
                    <w:topLinePunct w:val="0"/>
                    <w:bidi w:val="0"/>
                    <w:snapToGrid/>
                    <w:spacing w:line="240" w:lineRule="exact"/>
                    <w:jc w:val="center"/>
                    <w:textAlignment w:val="auto"/>
                    <w:rPr>
                      <w:rFonts w:hint="eastAsia" w:cs="Times New Roman"/>
                      <w:color w:val="auto"/>
                      <w:sz w:val="21"/>
                      <w:szCs w:val="21"/>
                      <w:lang w:eastAsia="zh-CN"/>
                    </w:rPr>
                  </w:pPr>
                  <w:r>
                    <w:rPr>
                      <w:rFonts w:hint="eastAsia" w:cs="Times New Roman"/>
                      <w:color w:val="auto"/>
                      <w:sz w:val="21"/>
                      <w:szCs w:val="21"/>
                      <w:lang w:eastAsia="zh-CN"/>
                    </w:rPr>
                    <w:t>《固定源挥发性有机物综合排放标准 第6部分：其他行业》（DB34/4812.6-2024）表5中标准限值</w:t>
                  </w:r>
                </w:p>
              </w:tc>
              <w:tc>
                <w:tcPr>
                  <w:tcW w:w="2997" w:type="dxa"/>
                  <w:vAlign w:val="center"/>
                </w:tcPr>
                <w:p w14:paraId="25C98918">
                  <w:pPr>
                    <w:pStyle w:val="38"/>
                    <w:keepNext w:val="0"/>
                    <w:keepLines w:val="0"/>
                    <w:pageBreakBefore w:val="0"/>
                    <w:widowControl w:val="0"/>
                    <w:kinsoku/>
                    <w:wordWrap/>
                    <w:overflowPunct/>
                    <w:topLinePunct w:val="0"/>
                    <w:bidi w:val="0"/>
                    <w:snapToGrid/>
                    <w:spacing w:line="240" w:lineRule="exact"/>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w:t>
                  </w:r>
                  <w:r>
                    <w:rPr>
                      <w:rFonts w:hint="eastAsia" w:cs="Times New Roman"/>
                      <w:b w:val="0"/>
                      <w:bCs/>
                      <w:color w:val="auto"/>
                      <w:sz w:val="21"/>
                      <w:szCs w:val="21"/>
                      <w:highlight w:val="none"/>
                      <w:lang w:eastAsia="zh-CN"/>
                    </w:rPr>
                    <w:t>排污单位自行监测技术指南</w:t>
                  </w:r>
                  <w:r>
                    <w:rPr>
                      <w:rFonts w:hint="default" w:ascii="Times New Roman" w:hAnsi="Times New Roman" w:cs="Times New Roman"/>
                      <w:b w:val="0"/>
                      <w:bCs/>
                      <w:color w:val="auto"/>
                      <w:sz w:val="21"/>
                      <w:szCs w:val="21"/>
                      <w:highlight w:val="none"/>
                    </w:rPr>
                    <w:t>-总则》（HJ819-2017）</w:t>
                  </w:r>
                  <w:r>
                    <w:rPr>
                      <w:rFonts w:hint="eastAsia" w:cs="Times New Roman"/>
                      <w:b w:val="0"/>
                      <w:bCs/>
                      <w:color w:val="auto"/>
                      <w:sz w:val="21"/>
                      <w:szCs w:val="21"/>
                      <w:highlight w:val="none"/>
                      <w:lang w:eastAsia="zh-CN"/>
                    </w:rPr>
                    <w:t>、</w:t>
                  </w:r>
                  <w:r>
                    <w:rPr>
                      <w:rFonts w:hint="default" w:ascii="Times New Roman" w:hAnsi="Times New Roman" w:cs="Times New Roman"/>
                      <w:b w:val="0"/>
                      <w:bCs/>
                      <w:color w:val="auto"/>
                      <w:sz w:val="21"/>
                      <w:szCs w:val="21"/>
                      <w:highlight w:val="none"/>
                    </w:rPr>
                    <w:t>《</w:t>
                  </w:r>
                  <w:r>
                    <w:rPr>
                      <w:rFonts w:hint="eastAsia" w:cs="Times New Roman"/>
                      <w:b w:val="0"/>
                      <w:bCs/>
                      <w:color w:val="auto"/>
                      <w:sz w:val="21"/>
                      <w:szCs w:val="21"/>
                      <w:highlight w:val="none"/>
                      <w:lang w:eastAsia="zh-CN"/>
                    </w:rPr>
                    <w:t>排污单位自行监测技术指南</w:t>
                  </w:r>
                  <w:r>
                    <w:rPr>
                      <w:rFonts w:hint="default" w:ascii="Times New Roman" w:hAnsi="Times New Roman" w:cs="Times New Roman"/>
                      <w:b w:val="0"/>
                      <w:bCs/>
                      <w:color w:val="auto"/>
                      <w:sz w:val="21"/>
                      <w:szCs w:val="21"/>
                      <w:highlight w:val="none"/>
                    </w:rPr>
                    <w:t>-</w:t>
                  </w:r>
                  <w:r>
                    <w:rPr>
                      <w:rFonts w:hint="eastAsia" w:cs="Times New Roman"/>
                      <w:b w:val="0"/>
                      <w:bCs/>
                      <w:color w:val="auto"/>
                      <w:sz w:val="21"/>
                      <w:szCs w:val="21"/>
                      <w:highlight w:val="none"/>
                      <w:lang w:val="en-US" w:eastAsia="zh-CN"/>
                    </w:rPr>
                    <w:t>橡胶和塑料制品</w:t>
                  </w:r>
                  <w:r>
                    <w:rPr>
                      <w:rFonts w:hint="default" w:ascii="Times New Roman" w:hAnsi="Times New Roman" w:cs="Times New Roman"/>
                      <w:b w:val="0"/>
                      <w:bCs/>
                      <w:color w:val="auto"/>
                      <w:sz w:val="21"/>
                      <w:szCs w:val="21"/>
                      <w:highlight w:val="none"/>
                    </w:rPr>
                    <w:t>》（HJ</w:t>
                  </w:r>
                  <w:r>
                    <w:rPr>
                      <w:rFonts w:hint="eastAsia" w:cs="Times New Roman"/>
                      <w:b w:val="0"/>
                      <w:bCs/>
                      <w:color w:val="auto"/>
                      <w:sz w:val="21"/>
                      <w:szCs w:val="21"/>
                      <w:highlight w:val="none"/>
                      <w:lang w:val="en-US" w:eastAsia="zh-CN"/>
                    </w:rPr>
                    <w:t>1207</w:t>
                  </w:r>
                  <w:r>
                    <w:rPr>
                      <w:rFonts w:hint="default" w:ascii="Times New Roman" w:hAnsi="Times New Roman" w:cs="Times New Roman"/>
                      <w:b w:val="0"/>
                      <w:bCs/>
                      <w:color w:val="auto"/>
                      <w:sz w:val="21"/>
                      <w:szCs w:val="21"/>
                      <w:highlight w:val="none"/>
                    </w:rPr>
                    <w:t>-20</w:t>
                  </w:r>
                  <w:r>
                    <w:rPr>
                      <w:rFonts w:hint="eastAsia" w:cs="Times New Roman"/>
                      <w:b w:val="0"/>
                      <w:bCs/>
                      <w:color w:val="auto"/>
                      <w:sz w:val="21"/>
                      <w:szCs w:val="21"/>
                      <w:highlight w:val="none"/>
                      <w:lang w:val="en-US" w:eastAsia="zh-CN"/>
                    </w:rPr>
                    <w:t>21</w:t>
                  </w:r>
                  <w:r>
                    <w:rPr>
                      <w:rFonts w:hint="default" w:ascii="Times New Roman" w:hAnsi="Times New Roman" w:cs="Times New Roman"/>
                      <w:b w:val="0"/>
                      <w:bCs/>
                      <w:color w:val="auto"/>
                      <w:sz w:val="21"/>
                      <w:szCs w:val="21"/>
                      <w:highlight w:val="none"/>
                    </w:rPr>
                    <w:t>）</w:t>
                  </w:r>
                </w:p>
              </w:tc>
            </w:tr>
          </w:tbl>
          <w:p w14:paraId="13094B16">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1.3废气达标排放情况</w:t>
            </w:r>
          </w:p>
          <w:p w14:paraId="3FB22891">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1.3.1有组织废气措施有效性分析</w:t>
            </w:r>
          </w:p>
          <w:p w14:paraId="2CE4FEE3">
            <w:pPr>
              <w:pStyle w:val="64"/>
              <w:adjustRightInd/>
              <w:snapToGrid/>
              <w:ind w:firstLineChars="0"/>
              <w:jc w:val="both"/>
              <w:rPr>
                <w:rFonts w:hint="default" w:ascii="Times New Roman" w:hAnsi="Times New Roman" w:cs="Times New Roman" w:eastAsiaTheme="minorEastAsia"/>
                <w:color w:val="auto"/>
                <w:szCs w:val="24"/>
                <w:lang w:val="en-US" w:eastAsia="zh-CN"/>
              </w:rPr>
            </w:pPr>
            <w:r>
              <w:rPr>
                <w:rFonts w:hint="default" w:ascii="Times New Roman" w:hAnsi="Times New Roman" w:cs="Times New Roman"/>
                <w:color w:val="auto"/>
                <w:szCs w:val="24"/>
                <w:lang w:val="en-US" w:eastAsia="zh-CN"/>
              </w:rPr>
              <w:t>1.3.1.1</w:t>
            </w:r>
            <w:r>
              <w:rPr>
                <w:rFonts w:hint="eastAsia" w:ascii="Times New Roman" w:hAnsi="Times New Roman" w:cs="Times New Roman"/>
                <w:color w:val="auto"/>
                <w:szCs w:val="24"/>
                <w:lang w:val="en-US" w:eastAsia="zh-CN"/>
              </w:rPr>
              <w:t>吹灰、磨边</w:t>
            </w:r>
            <w:r>
              <w:rPr>
                <w:rFonts w:hint="default" w:ascii="Times New Roman" w:hAnsi="Times New Roman" w:cs="Times New Roman"/>
                <w:color w:val="auto"/>
                <w:szCs w:val="24"/>
                <w:lang w:val="en-US" w:eastAsia="zh-CN"/>
              </w:rPr>
              <w:t>-颗粒物</w:t>
            </w:r>
          </w:p>
          <w:p w14:paraId="13FB0748">
            <w:pPr>
              <w:pStyle w:val="68"/>
              <w:rPr>
                <w:rFonts w:hint="default" w:ascii="Times New Roman" w:hAnsi="Times New Roman" w:cs="Times New Roman"/>
                <w:color w:val="auto"/>
                <w:lang w:val="en-US" w:eastAsia="zh-CN"/>
              </w:rPr>
            </w:pPr>
            <w:r>
              <w:rPr>
                <w:rFonts w:hint="eastAsia" w:ascii="Times New Roman" w:hAnsi="Times New Roman" w:cs="Times New Roman"/>
                <w:color w:val="auto"/>
                <w:szCs w:val="24"/>
                <w:lang w:val="en-US" w:eastAsia="zh-CN"/>
              </w:rPr>
              <w:t>吹灰、磨边</w:t>
            </w:r>
            <w:r>
              <w:rPr>
                <w:rFonts w:hint="default" w:ascii="Times New Roman" w:hAnsi="Times New Roman" w:eastAsia="宋体" w:cs="Times New Roman"/>
                <w:b w:val="0"/>
                <w:bCs w:val="0"/>
                <w:color w:val="auto"/>
                <w:sz w:val="24"/>
                <w:szCs w:val="24"/>
                <w:lang w:val="en-US" w:eastAsia="zh-CN"/>
              </w:rPr>
              <w:t>工序污染物治理措施</w:t>
            </w:r>
            <w:r>
              <w:rPr>
                <w:rFonts w:hint="default" w:ascii="Times New Roman" w:hAnsi="Times New Roman" w:eastAsia="宋体" w:cs="Times New Roman"/>
                <w:b/>
                <w:bCs/>
                <w:color w:val="auto"/>
                <w:sz w:val="24"/>
                <w:szCs w:val="24"/>
                <w:lang w:val="en-US" w:eastAsia="zh-CN"/>
              </w:rPr>
              <w:t>参考</w:t>
            </w:r>
            <w:r>
              <w:rPr>
                <w:rFonts w:hint="default" w:ascii="Times New Roman" w:hAnsi="Times New Roman" w:eastAsia="宋体" w:cs="Times New Roman"/>
                <w:b w:val="0"/>
                <w:bCs w:val="0"/>
                <w:color w:val="auto"/>
                <w:sz w:val="24"/>
                <w:szCs w:val="24"/>
                <w:lang w:val="en-US" w:eastAsia="zh-CN"/>
              </w:rPr>
              <w:t xml:space="preserve">《排污许可证申请与核发技术规范 </w:t>
            </w:r>
            <w:r>
              <w:rPr>
                <w:rFonts w:hint="eastAsia" w:ascii="Times New Roman" w:hAnsi="Times New Roman" w:eastAsia="宋体" w:cs="Times New Roman"/>
                <w:b w:val="0"/>
                <w:bCs w:val="0"/>
                <w:color w:val="auto"/>
                <w:sz w:val="24"/>
                <w:szCs w:val="24"/>
                <w:lang w:val="en-US" w:eastAsia="zh-CN"/>
              </w:rPr>
              <w:t>橡胶和塑料制品工业</w:t>
            </w:r>
            <w:r>
              <w:rPr>
                <w:rFonts w:hint="default" w:ascii="Times New Roman" w:hAnsi="Times New Roman" w:eastAsia="宋体" w:cs="Times New Roman"/>
                <w:b w:val="0"/>
                <w:bCs w:val="0"/>
                <w:color w:val="auto"/>
                <w:sz w:val="24"/>
                <w:szCs w:val="24"/>
                <w:lang w:val="en-US" w:eastAsia="zh-CN"/>
              </w:rPr>
              <w:t>》（HJ11</w:t>
            </w:r>
            <w:r>
              <w:rPr>
                <w:rFonts w:hint="eastAsia" w:ascii="Times New Roman" w:hAnsi="Times New Roman" w:eastAsia="宋体" w:cs="Times New Roman"/>
                <w:b w:val="0"/>
                <w:bCs w:val="0"/>
                <w:color w:val="auto"/>
                <w:sz w:val="24"/>
                <w:szCs w:val="24"/>
                <w:lang w:val="en-US" w:eastAsia="zh-CN"/>
              </w:rPr>
              <w:t>22</w:t>
            </w:r>
            <w:r>
              <w:rPr>
                <w:rFonts w:hint="default" w:ascii="Times New Roman" w:hAnsi="Times New Roman" w:eastAsia="宋体" w:cs="Times New Roman"/>
                <w:b w:val="0"/>
                <w:bCs w:val="0"/>
                <w:color w:val="auto"/>
                <w:sz w:val="24"/>
                <w:szCs w:val="24"/>
                <w:lang w:val="en-US" w:eastAsia="zh-CN"/>
              </w:rPr>
              <w:t>-2020）</w:t>
            </w:r>
            <w:r>
              <w:rPr>
                <w:rFonts w:hint="default" w:ascii="Times New Roman" w:hAnsi="Times New Roman" w:cs="Times New Roman"/>
                <w:b w:val="0"/>
                <w:bCs w:val="0"/>
                <w:snapToGrid w:val="0"/>
                <w:color w:val="auto"/>
              </w:rPr>
              <w:t>：</w:t>
            </w:r>
            <w:r>
              <w:rPr>
                <w:rFonts w:hint="default" w:ascii="Times New Roman" w:hAnsi="Times New Roman" w:cs="Times New Roman"/>
                <w:snapToGrid w:val="0"/>
                <w:color w:val="auto"/>
              </w:rPr>
              <w:t>“表A.2 塑料制品工业排污单位废气污染防治可行技术参考表”</w:t>
            </w:r>
            <w:r>
              <w:rPr>
                <w:rFonts w:hint="default" w:ascii="Times New Roman" w:hAnsi="Times New Roman" w:cs="Times New Roman"/>
                <w:color w:val="auto"/>
                <w:lang w:eastAsia="zh-CN"/>
              </w:rPr>
              <w:t>，见表</w:t>
            </w:r>
            <w:r>
              <w:rPr>
                <w:rFonts w:hint="default" w:ascii="Times New Roman" w:hAnsi="Times New Roman" w:cs="Times New Roman"/>
                <w:color w:val="auto"/>
                <w:lang w:val="en-US" w:eastAsia="zh-CN"/>
              </w:rPr>
              <w:t>4.</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w:t>
            </w:r>
          </w:p>
          <w:p w14:paraId="7138C0CC">
            <w:pPr>
              <w:pStyle w:val="38"/>
              <w:spacing w:line="240" w:lineRule="auto"/>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6</w:t>
            </w:r>
            <w:r>
              <w:rPr>
                <w:rFonts w:hint="default" w:ascii="Times New Roman" w:hAnsi="Times New Roman" w:cs="Times New Roman"/>
                <w:b/>
                <w:bCs/>
                <w:color w:val="auto"/>
                <w:sz w:val="21"/>
                <w:szCs w:val="21"/>
                <w:highlight w:val="none"/>
                <w:lang w:val="en-US" w:eastAsia="zh-CN"/>
              </w:rPr>
              <w:t xml:space="preserve">  </w:t>
            </w:r>
            <w:r>
              <w:rPr>
                <w:rFonts w:hint="default" w:ascii="Times New Roman" w:hAnsi="Times New Roman" w:cs="Times New Roman"/>
                <w:b/>
                <w:bCs/>
                <w:snapToGrid w:val="0"/>
                <w:color w:val="auto"/>
                <w:sz w:val="21"/>
                <w:szCs w:val="21"/>
                <w:lang w:val="en-US" w:eastAsia="zh-CN"/>
              </w:rPr>
              <w:t>废气污染治理推荐可行技术清单</w:t>
            </w:r>
          </w:p>
          <w:tbl>
            <w:tblPr>
              <w:tblStyle w:val="32"/>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0"/>
              <w:gridCol w:w="1363"/>
              <w:gridCol w:w="1499"/>
              <w:gridCol w:w="1544"/>
              <w:gridCol w:w="2864"/>
            </w:tblGrid>
            <w:tr w14:paraId="70E0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pct"/>
                  <w:vAlign w:val="center"/>
                </w:tcPr>
                <w:p w14:paraId="7ACD9098">
                  <w:pPr>
                    <w:pStyle w:val="38"/>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产排污环节</w:t>
                  </w:r>
                </w:p>
              </w:tc>
              <w:tc>
                <w:tcPr>
                  <w:tcW w:w="700" w:type="pct"/>
                  <w:shd w:val="clear" w:color="auto" w:fill="auto"/>
                  <w:vAlign w:val="center"/>
                </w:tcPr>
                <w:p w14:paraId="187B8E2D">
                  <w:pPr>
                    <w:pStyle w:val="38"/>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污染物</w:t>
                  </w:r>
                  <w:r>
                    <w:rPr>
                      <w:rFonts w:hint="eastAsia" w:cs="Times New Roman"/>
                      <w:color w:val="auto"/>
                      <w:sz w:val="21"/>
                      <w:szCs w:val="21"/>
                      <w:highlight w:val="none"/>
                      <w:lang w:val="en-US" w:eastAsia="zh-CN"/>
                    </w:rPr>
                    <w:t>种类</w:t>
                  </w:r>
                </w:p>
              </w:tc>
              <w:tc>
                <w:tcPr>
                  <w:tcW w:w="770" w:type="pct"/>
                  <w:vAlign w:val="center"/>
                </w:tcPr>
                <w:p w14:paraId="5E865DBD">
                  <w:pPr>
                    <w:pStyle w:val="38"/>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过程控制技术</w:t>
                  </w:r>
                </w:p>
              </w:tc>
              <w:tc>
                <w:tcPr>
                  <w:tcW w:w="793" w:type="pct"/>
                  <w:vAlign w:val="center"/>
                </w:tcPr>
                <w:p w14:paraId="713797A1">
                  <w:pPr>
                    <w:pStyle w:val="38"/>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可行技术</w:t>
                  </w:r>
                </w:p>
              </w:tc>
              <w:tc>
                <w:tcPr>
                  <w:tcW w:w="1471" w:type="pct"/>
                  <w:vAlign w:val="center"/>
                </w:tcPr>
                <w:p w14:paraId="15C1C139">
                  <w:pPr>
                    <w:pStyle w:val="38"/>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p>
              </w:tc>
            </w:tr>
            <w:tr w14:paraId="0CB7D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pct"/>
                  <w:vMerge w:val="restart"/>
                  <w:shd w:val="clear" w:color="auto" w:fill="auto"/>
                  <w:vAlign w:val="center"/>
                </w:tcPr>
                <w:p w14:paraId="57D38C93">
                  <w:pPr>
                    <w:pStyle w:val="38"/>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塑料薄膜制造，塑料板、管、型材制造，塑料丝、绳及编制品制造，泡沫塑料制造，塑料包装箱及容器制造，日用塑料制品制造，人造草坪制造，塑料零件及其他塑料制品制造废气</w:t>
                  </w:r>
                </w:p>
              </w:tc>
              <w:tc>
                <w:tcPr>
                  <w:tcW w:w="700" w:type="pct"/>
                  <w:shd w:val="clear" w:color="auto" w:fill="auto"/>
                  <w:vAlign w:val="center"/>
                </w:tcPr>
                <w:p w14:paraId="4F2D3803">
                  <w:pPr>
                    <w:pStyle w:val="38"/>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颗粒物</w:t>
                  </w:r>
                </w:p>
              </w:tc>
              <w:tc>
                <w:tcPr>
                  <w:tcW w:w="770" w:type="pct"/>
                  <w:vMerge w:val="restart"/>
                  <w:shd w:val="clear" w:color="auto" w:fill="auto"/>
                  <w:vAlign w:val="center"/>
                </w:tcPr>
                <w:p w14:paraId="483110C1">
                  <w:pPr>
                    <w:pStyle w:val="38"/>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溶剂替代</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密闭过程</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密闭场所</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局部收集</w:t>
                  </w:r>
                </w:p>
              </w:tc>
              <w:tc>
                <w:tcPr>
                  <w:tcW w:w="793" w:type="pct"/>
                  <w:shd w:val="clear" w:color="auto" w:fill="auto"/>
                  <w:vAlign w:val="center"/>
                </w:tcPr>
                <w:p w14:paraId="4218A28F">
                  <w:pPr>
                    <w:pStyle w:val="38"/>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袋式除尘；滤筒/滤芯除尘</w:t>
                  </w:r>
                </w:p>
              </w:tc>
              <w:tc>
                <w:tcPr>
                  <w:tcW w:w="1471" w:type="pct"/>
                  <w:shd w:val="clear" w:color="auto" w:fill="auto"/>
                  <w:vAlign w:val="center"/>
                </w:tcPr>
                <w:p w14:paraId="5E1BD99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本项目</w:t>
                  </w:r>
                  <w:r>
                    <w:rPr>
                      <w:rFonts w:hint="eastAsia" w:ascii="Times New Roman" w:hAnsi="Times New Roman" w:cs="Times New Roman"/>
                      <w:color w:val="auto"/>
                      <w:szCs w:val="24"/>
                      <w:lang w:val="en-US" w:eastAsia="zh-CN"/>
                    </w:rPr>
                    <w:t>吹灰、磨边</w:t>
                  </w:r>
                  <w:r>
                    <w:rPr>
                      <w:rFonts w:hint="default" w:ascii="Times New Roman" w:hAnsi="Times New Roman" w:cs="Times New Roman"/>
                      <w:color w:val="auto"/>
                      <w:sz w:val="21"/>
                      <w:szCs w:val="21"/>
                      <w:lang w:val="en-US" w:eastAsia="zh-CN"/>
                    </w:rPr>
                    <w:t>产生的颗粒物</w:t>
                  </w:r>
                  <w:r>
                    <w:rPr>
                      <w:rFonts w:hint="eastAsia" w:ascii="Times New Roman" w:hAnsi="Times New Roman" w:cs="Times New Roman"/>
                      <w:color w:val="auto"/>
                      <w:szCs w:val="24"/>
                      <w:lang w:val="en-US" w:eastAsia="zh-CN"/>
                    </w:rPr>
                    <w:t>均采用集气罩局部收集，</w:t>
                  </w:r>
                  <w:r>
                    <w:rPr>
                      <w:rFonts w:hint="default" w:ascii="Times New Roman" w:hAnsi="Times New Roman" w:cs="Times New Roman"/>
                      <w:color w:val="auto"/>
                      <w:sz w:val="21"/>
                      <w:szCs w:val="21"/>
                      <w:lang w:val="en-US" w:eastAsia="zh-CN"/>
                    </w:rPr>
                    <w:t>采用“袋式除尘器”处理。为可行技术。</w:t>
                  </w:r>
                </w:p>
              </w:tc>
            </w:tr>
            <w:tr w14:paraId="1EAC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4" w:type="pct"/>
                  <w:vMerge w:val="continue"/>
                  <w:shd w:val="clear" w:color="auto" w:fill="auto"/>
                  <w:vAlign w:val="center"/>
                </w:tcPr>
                <w:p w14:paraId="1924C4BC">
                  <w:pPr>
                    <w:pStyle w:val="38"/>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highlight w:val="none"/>
                      <w:lang w:val="en-US" w:eastAsia="zh-CN"/>
                    </w:rPr>
                  </w:pPr>
                </w:p>
              </w:tc>
              <w:tc>
                <w:tcPr>
                  <w:tcW w:w="700" w:type="pct"/>
                  <w:shd w:val="clear" w:color="auto" w:fill="auto"/>
                  <w:vAlign w:val="center"/>
                </w:tcPr>
                <w:p w14:paraId="2E8A8FA4">
                  <w:pPr>
                    <w:pStyle w:val="38"/>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非甲烷总烃</w:t>
                  </w:r>
                </w:p>
              </w:tc>
              <w:tc>
                <w:tcPr>
                  <w:tcW w:w="770" w:type="pct"/>
                  <w:vMerge w:val="continue"/>
                  <w:shd w:val="clear" w:color="auto" w:fill="auto"/>
                  <w:vAlign w:val="center"/>
                </w:tcPr>
                <w:p w14:paraId="0672E4E3">
                  <w:pPr>
                    <w:pStyle w:val="38"/>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793" w:type="pct"/>
                  <w:shd w:val="clear" w:color="auto" w:fill="auto"/>
                  <w:vAlign w:val="center"/>
                </w:tcPr>
                <w:p w14:paraId="36325FBD">
                  <w:pPr>
                    <w:pStyle w:val="38"/>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喷淋；吸附；吸附浓缩+热力燃烧/催化燃烧</w:t>
                  </w:r>
                </w:p>
              </w:tc>
              <w:tc>
                <w:tcPr>
                  <w:tcW w:w="1471" w:type="pct"/>
                  <w:shd w:val="clear" w:color="auto" w:fill="auto"/>
                  <w:vAlign w:val="center"/>
                </w:tcPr>
                <w:p w14:paraId="72C3678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w:t>
                  </w:r>
                  <w:r>
                    <w:rPr>
                      <w:rFonts w:hint="eastAsia" w:ascii="Times New Roman" w:hAnsi="Times New Roman" w:cs="Times New Roman"/>
                      <w:color w:val="auto"/>
                      <w:szCs w:val="24"/>
                      <w:lang w:val="en-US" w:eastAsia="zh-CN"/>
                    </w:rPr>
                    <w:t>烤料、热压成型</w:t>
                  </w:r>
                  <w:r>
                    <w:rPr>
                      <w:rFonts w:hint="default" w:ascii="Times New Roman" w:hAnsi="Times New Roman" w:cs="Times New Roman"/>
                      <w:color w:val="auto"/>
                      <w:sz w:val="21"/>
                      <w:szCs w:val="21"/>
                      <w:lang w:val="en-US" w:eastAsia="zh-CN"/>
                    </w:rPr>
                    <w:t>产生的</w:t>
                  </w:r>
                  <w:r>
                    <w:rPr>
                      <w:rFonts w:hint="default" w:ascii="Times New Roman" w:hAnsi="Times New Roman" w:eastAsia="宋体" w:cs="Times New Roman"/>
                      <w:color w:val="auto"/>
                      <w:sz w:val="21"/>
                      <w:szCs w:val="21"/>
                      <w:highlight w:val="none"/>
                      <w:lang w:val="en-US" w:eastAsia="zh-CN"/>
                    </w:rPr>
                    <w:t>非甲烷总烃</w:t>
                  </w:r>
                  <w:r>
                    <w:rPr>
                      <w:rFonts w:hint="eastAsia" w:ascii="Times New Roman" w:hAnsi="Times New Roman" w:cs="Times New Roman"/>
                      <w:color w:val="auto"/>
                      <w:szCs w:val="24"/>
                      <w:lang w:val="en-US" w:eastAsia="zh-CN"/>
                    </w:rPr>
                    <w:t>均采用集气罩局部收集，</w:t>
                  </w:r>
                  <w:r>
                    <w:rPr>
                      <w:rFonts w:hint="default" w:ascii="Times New Roman" w:hAnsi="Times New Roman" w:cs="Times New Roman"/>
                      <w:color w:val="auto"/>
                      <w:sz w:val="21"/>
                      <w:szCs w:val="21"/>
                      <w:lang w:val="en-US" w:eastAsia="zh-CN"/>
                    </w:rPr>
                    <w:t>采用“</w:t>
                  </w:r>
                  <w:r>
                    <w:rPr>
                      <w:rFonts w:hint="eastAsia" w:ascii="Times New Roman" w:hAnsi="Times New Roman" w:cs="Times New Roman"/>
                      <w:color w:val="auto"/>
                      <w:sz w:val="21"/>
                      <w:szCs w:val="21"/>
                      <w:lang w:val="en-US" w:eastAsia="zh-CN"/>
                    </w:rPr>
                    <w:t>两级活性炭吸附箱</w:t>
                  </w:r>
                  <w:r>
                    <w:rPr>
                      <w:rFonts w:hint="default" w:ascii="Times New Roman" w:hAnsi="Times New Roman" w:cs="Times New Roman"/>
                      <w:color w:val="auto"/>
                      <w:sz w:val="21"/>
                      <w:szCs w:val="21"/>
                      <w:lang w:val="en-US" w:eastAsia="zh-CN"/>
                    </w:rPr>
                    <w:t>”处理。为可行技术。</w:t>
                  </w:r>
                </w:p>
              </w:tc>
            </w:tr>
          </w:tbl>
          <w:p w14:paraId="76F9492F">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1.3.2</w:t>
            </w:r>
            <w:r>
              <w:rPr>
                <w:rFonts w:hint="default" w:ascii="Times New Roman" w:hAnsi="Times New Roman" w:eastAsia="宋体" w:cs="Times New Roman"/>
                <w:color w:val="auto"/>
                <w:sz w:val="24"/>
                <w:szCs w:val="24"/>
                <w:highlight w:val="none"/>
              </w:rPr>
              <w:t>废气处理措施技术可行性</w:t>
            </w:r>
          </w:p>
          <w:p w14:paraId="5945A5C7">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1.3.2.1</w:t>
            </w:r>
            <w:r>
              <w:rPr>
                <w:rFonts w:hint="eastAsia" w:ascii="Times New Roman" w:hAnsi="Times New Roman" w:eastAsia="宋体" w:cs="Times New Roman"/>
                <w:color w:val="auto"/>
                <w:sz w:val="24"/>
                <w:szCs w:val="24"/>
                <w:lang w:val="en-US" w:eastAsia="zh-CN"/>
              </w:rPr>
              <w:t>吹灰、磨边</w:t>
            </w:r>
            <w:r>
              <w:rPr>
                <w:rFonts w:hint="default" w:ascii="Times New Roman" w:hAnsi="Times New Roman" w:eastAsia="宋体" w:cs="Times New Roman"/>
                <w:color w:val="auto"/>
                <w:kern w:val="2"/>
                <w:sz w:val="24"/>
                <w:szCs w:val="24"/>
                <w:lang w:val="en-US" w:eastAsia="zh-CN" w:bidi="ar-SA"/>
              </w:rPr>
              <w:t>-颗粒物</w:t>
            </w:r>
          </w:p>
          <w:p w14:paraId="1D1535AB">
            <w:pPr>
              <w:pStyle w:val="38"/>
              <w:spacing w:line="360" w:lineRule="auto"/>
              <w:ind w:firstLine="480" w:firstLineChars="200"/>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eastAsia" w:ascii="Times New Roman" w:hAnsi="Times New Roman" w:eastAsia="宋体" w:cs="Times New Roman"/>
                <w:color w:val="auto"/>
                <w:sz w:val="24"/>
                <w:szCs w:val="24"/>
                <w:lang w:val="en-US" w:eastAsia="zh-CN"/>
              </w:rPr>
              <w:t>吹灰</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cs="Times New Roman"/>
                <w:b w:val="0"/>
                <w:bCs/>
                <w:color w:val="auto"/>
                <w:highlight w:val="none"/>
                <w:lang w:val="en-US" w:eastAsia="zh-CN"/>
              </w:rPr>
              <w:t>颗粒物经“</w:t>
            </w:r>
            <w:r>
              <w:rPr>
                <w:rFonts w:hint="default" w:ascii="Times New Roman" w:hAnsi="Times New Roman" w:cs="Times New Roman"/>
                <w:color w:val="auto"/>
                <w:szCs w:val="21"/>
                <w:highlight w:val="none"/>
                <w:lang w:val="en-US" w:eastAsia="zh-CN"/>
              </w:rPr>
              <w:t>袋式除尘器</w:t>
            </w:r>
            <w:r>
              <w:rPr>
                <w:rFonts w:hint="default" w:ascii="Times New Roman" w:hAnsi="Times New Roman" w:cs="Times New Roman"/>
                <w:b w:val="0"/>
                <w:bCs/>
                <w:color w:val="auto"/>
                <w:highlight w:val="none"/>
                <w:lang w:val="en-US" w:eastAsia="zh-CN"/>
              </w:rPr>
              <w:t>”处理后经1根15m高排气筒（</w:t>
            </w:r>
            <w:r>
              <w:rPr>
                <w:rFonts w:hint="default" w:ascii="Times New Roman" w:hAnsi="Times New Roman" w:cs="Times New Roman"/>
                <w:b/>
                <w:bCs w:val="0"/>
                <w:color w:val="auto"/>
                <w:highlight w:val="none"/>
                <w:lang w:val="en-US" w:eastAsia="zh-CN"/>
              </w:rPr>
              <w:t>DA001</w:t>
            </w:r>
            <w:r>
              <w:rPr>
                <w:rFonts w:hint="default" w:ascii="Times New Roman" w:hAnsi="Times New Roman" w:cs="Times New Roman"/>
                <w:b w:val="0"/>
                <w:bCs/>
                <w:color w:val="auto"/>
                <w:highlight w:val="none"/>
                <w:lang w:val="en-US" w:eastAsia="zh-CN"/>
              </w:rPr>
              <w:t>）达标排放</w:t>
            </w:r>
            <w:r>
              <w:rPr>
                <w:rFonts w:hint="eastAsia" w:cs="Times New Roman"/>
                <w:b w:val="0"/>
                <w:bCs/>
                <w:color w:val="auto"/>
                <w:highlight w:val="none"/>
                <w:lang w:val="en-US" w:eastAsia="zh-CN"/>
              </w:rPr>
              <w:t>；</w:t>
            </w:r>
            <w:r>
              <w:rPr>
                <w:rFonts w:hint="eastAsia" w:ascii="Times New Roman" w:hAnsi="Times New Roman" w:eastAsia="宋体" w:cs="Times New Roman"/>
                <w:color w:val="auto"/>
                <w:sz w:val="24"/>
                <w:szCs w:val="24"/>
                <w:lang w:val="en-US" w:eastAsia="zh-CN"/>
              </w:rPr>
              <w:t>磨边</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cs="Times New Roman"/>
                <w:b w:val="0"/>
                <w:bCs/>
                <w:color w:val="auto"/>
                <w:highlight w:val="none"/>
                <w:lang w:val="en-US" w:eastAsia="zh-CN"/>
              </w:rPr>
              <w:t>颗粒物经“</w:t>
            </w:r>
            <w:r>
              <w:rPr>
                <w:rFonts w:hint="eastAsia" w:cs="Times New Roman"/>
                <w:color w:val="auto"/>
                <w:szCs w:val="21"/>
                <w:highlight w:val="none"/>
                <w:lang w:val="en-US" w:eastAsia="zh-CN"/>
              </w:rPr>
              <w:t>袋式除尘器</w:t>
            </w:r>
            <w:r>
              <w:rPr>
                <w:rFonts w:hint="default" w:ascii="Times New Roman" w:hAnsi="Times New Roman" w:cs="Times New Roman"/>
                <w:b w:val="0"/>
                <w:bCs/>
                <w:color w:val="auto"/>
                <w:highlight w:val="none"/>
                <w:lang w:val="en-US" w:eastAsia="zh-CN"/>
              </w:rPr>
              <w:t>”处理后经1根15m高排气筒（</w:t>
            </w:r>
            <w:r>
              <w:rPr>
                <w:rFonts w:hint="default" w:ascii="Times New Roman" w:hAnsi="Times New Roman" w:cs="Times New Roman"/>
                <w:b/>
                <w:bCs w:val="0"/>
                <w:color w:val="auto"/>
                <w:highlight w:val="none"/>
                <w:lang w:val="en-US" w:eastAsia="zh-CN"/>
              </w:rPr>
              <w:t>DA00</w:t>
            </w:r>
            <w:r>
              <w:rPr>
                <w:rFonts w:hint="eastAsia" w:cs="Times New Roman"/>
                <w:b/>
                <w:bCs w:val="0"/>
                <w:color w:val="auto"/>
                <w:highlight w:val="none"/>
                <w:lang w:val="en-US" w:eastAsia="zh-CN"/>
              </w:rPr>
              <w:t>2</w:t>
            </w:r>
            <w:r>
              <w:rPr>
                <w:rFonts w:hint="default" w:ascii="Times New Roman" w:hAnsi="Times New Roman" w:cs="Times New Roman"/>
                <w:b w:val="0"/>
                <w:bCs/>
                <w:color w:val="auto"/>
                <w:highlight w:val="none"/>
                <w:lang w:val="en-US" w:eastAsia="zh-CN"/>
              </w:rPr>
              <w:t>）达标排放</w:t>
            </w:r>
            <w:r>
              <w:rPr>
                <w:rFonts w:hint="default" w:ascii="Times New Roman" w:hAnsi="Times New Roman" w:eastAsia="宋体" w:cs="Times New Roman"/>
                <w:b w:val="0"/>
                <w:bCs/>
                <w:color w:val="auto"/>
                <w:sz w:val="24"/>
                <w:szCs w:val="24"/>
                <w:highlight w:val="none"/>
                <w:lang w:val="en-US" w:eastAsia="zh-CN"/>
              </w:rPr>
              <w:t>。</w:t>
            </w:r>
          </w:p>
          <w:p w14:paraId="5F793B8F">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①布袋除尘器工作原理：含尘气体由下部进气管道经导流板进入灰斗时，由于导流板的碰撞和气体速度的降低等作用，粗粒粉尘将落入灰斗中，其余细小颗粒粉尘随气体进入滤袋室，由于滤料纤维及织物的惯性</w:t>
            </w:r>
            <w:r>
              <w:rPr>
                <w:rFonts w:hint="default" w:ascii="Times New Roman" w:hAnsi="Times New Roman" w:eastAsia="宋体" w:cs="Times New Roman"/>
                <w:color w:val="auto"/>
                <w:sz w:val="24"/>
                <w:szCs w:val="24"/>
                <w:lang w:val="en-US" w:eastAsia="zh-CN"/>
              </w:rPr>
              <w:t>、扩散、阻隔、钩挂、静电等作用，粉尘被阻留在滤袋内，净化后的气体逸出袋外，经排气管排出，滤袋上的积灰用气体逆洗法，即气体从滤袋非积灰面通过，把积灰从滤袋中吹掉，从而达到清灰目的。清除下来的粉尘下到灰斗经双层卸灰阀排到输灰装置。滤袋上的积灰也可以采用喷吹脉冲气流的方法把积灰从滤袋上去掉，从而达到清灰的目的。</w:t>
            </w:r>
          </w:p>
          <w:p w14:paraId="79DFF782">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袋式除尘器主要有滤袋、袋架和壳体组成，壳体由箱体和净气室组成，布袋安装在箱体与净气室中间的隔板上，含尘气体进入箱体后，粉尘产生惯性、扩散、粘附、静电作用附着在滤布表面，清洁气体穿过滤布的空隙从净气室排出，滤布上的粉尘通过反吹或振击作用脱离滤布而坠入料斗中。袋式除尘器具有以下特点：</w:t>
            </w:r>
          </w:p>
          <w:p w14:paraId="0AF8879B">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①除尘效率高，可捕集粒径大于0.3μm的细小粉尘，除尘效率可达99%以上。</w:t>
            </w:r>
          </w:p>
          <w:p w14:paraId="7565C042">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②使用灵活，处理风量可由每小时数百立方米到每小时数十万立方米，可以作为直接设于室内，机床附近的小型机组，也可作为大型的除尘室。</w:t>
            </w:r>
          </w:p>
          <w:p w14:paraId="3EE4812D">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结构比较简单，运行比较稳定，初投资较少，维护方便。含尘气体由灰斗（或下部宽敞开式法兰）进入过滤室，较粗颗粒直接落入灰斗或灰仓，灰尘气体经滤袋过滤，粉尘阻留于滤袋表面，净气经袋口到净气室、由风机排入大气，当滤袋表面的粉尘不断增加，导致设备阻力上升至设定值时，时间继电器（或微差压控制器）输出信号，程控仪开始工作，逐个开启脉冲阀，使压缩空气通过喷口对滤袋进行喷吹清灰，使滤袋突然膨胀，在反向气流的作用下，附于滤袋表面的粉尘迅速脱离滤袋落入灰斗（或灰仓）内，粉尘由卸灰阀排出，全部滤袋喷吹清灰结束后，除尘器恢复正常工作。</w:t>
            </w:r>
          </w:p>
          <w:p w14:paraId="11575136">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如图</w:t>
            </w:r>
            <w:r>
              <w:rPr>
                <w:rFonts w:hint="default"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所示一典型的布袋除尘器除尘原理示意图。</w:t>
            </w:r>
          </w:p>
          <w:p w14:paraId="7DA38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753735" cy="2792095"/>
                  <wp:effectExtent l="0" t="0" r="18415" b="8255"/>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pic:cNvPicPr>
                            <a:picLocks noChangeAspect="1"/>
                          </pic:cNvPicPr>
                        </pic:nvPicPr>
                        <pic:blipFill>
                          <a:blip r:embed="rId10"/>
                          <a:stretch>
                            <a:fillRect/>
                          </a:stretch>
                        </pic:blipFill>
                        <pic:spPr>
                          <a:xfrm>
                            <a:off x="0" y="0"/>
                            <a:ext cx="5753735" cy="2792095"/>
                          </a:xfrm>
                          <a:prstGeom prst="rect">
                            <a:avLst/>
                          </a:prstGeom>
                          <a:noFill/>
                          <a:ln>
                            <a:noFill/>
                          </a:ln>
                        </pic:spPr>
                      </pic:pic>
                    </a:graphicData>
                  </a:graphic>
                </wp:inline>
              </w:drawing>
            </w:r>
          </w:p>
          <w:p w14:paraId="296C6860">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eastAsia="zh-CN"/>
              </w:rPr>
              <w:t>图</w:t>
            </w:r>
            <w:r>
              <w:rPr>
                <w:rFonts w:hint="default" w:ascii="Times New Roman" w:hAnsi="Times New Roman" w:cs="Times New Roman"/>
                <w:b/>
                <w:bCs/>
                <w:color w:val="auto"/>
                <w:sz w:val="21"/>
                <w:szCs w:val="21"/>
                <w:lang w:val="en-US" w:eastAsia="zh-CN"/>
              </w:rPr>
              <w:t>4.</w:t>
            </w:r>
            <w:r>
              <w:rPr>
                <w:rFonts w:hint="eastAsia" w:ascii="Times New Roman" w:hAnsi="Times New Roman" w:cs="Times New Roman"/>
                <w:b/>
                <w:bCs/>
                <w:color w:val="auto"/>
                <w:sz w:val="21"/>
                <w:szCs w:val="21"/>
                <w:lang w:val="en-US" w:eastAsia="zh-CN"/>
              </w:rPr>
              <w:t>1</w:t>
            </w:r>
            <w:r>
              <w:rPr>
                <w:rFonts w:hint="default" w:ascii="Times New Roman" w:hAnsi="Times New Roman" w:cs="Times New Roman"/>
                <w:b/>
                <w:bCs/>
                <w:color w:val="auto"/>
                <w:sz w:val="21"/>
                <w:szCs w:val="21"/>
                <w:lang w:val="en-US" w:eastAsia="zh-CN"/>
              </w:rPr>
              <w:t xml:space="preserve">  袋式除尘器原理示意图</w:t>
            </w:r>
          </w:p>
          <w:p w14:paraId="25B4EF02">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综上所述，本项目</w:t>
            </w:r>
            <w:r>
              <w:rPr>
                <w:rFonts w:hint="eastAsia" w:ascii="Times New Roman" w:hAnsi="Times New Roman" w:cs="Times New Roman"/>
                <w:color w:val="auto"/>
                <w:sz w:val="24"/>
                <w:szCs w:val="24"/>
                <w:lang w:val="en-US" w:eastAsia="zh-CN"/>
              </w:rPr>
              <w:t>颗粒物</w:t>
            </w:r>
            <w:r>
              <w:rPr>
                <w:rFonts w:hint="default" w:ascii="Times New Roman" w:hAnsi="Times New Roman" w:cs="Times New Roman"/>
                <w:color w:val="auto"/>
                <w:sz w:val="24"/>
                <w:szCs w:val="24"/>
                <w:lang w:val="en-US" w:eastAsia="zh-CN"/>
              </w:rPr>
              <w:t>在采取相关措施后，对周围空气环境的影响满足评价标准要求，措施可行的。</w:t>
            </w:r>
          </w:p>
          <w:p w14:paraId="5F6B4FA0">
            <w:pPr>
              <w:spacing w:line="360" w:lineRule="auto"/>
              <w:ind w:firstLine="480" w:firstLineChars="200"/>
              <w:outlineLvl w:val="9"/>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1.3.2.2</w:t>
            </w:r>
            <w:r>
              <w:rPr>
                <w:rFonts w:hint="default" w:ascii="Times New Roman" w:hAnsi="Times New Roman" w:eastAsia="宋体" w:cs="Times New Roman"/>
                <w:b w:val="0"/>
                <w:bCs w:val="0"/>
                <w:color w:val="auto"/>
                <w:sz w:val="24"/>
                <w:szCs w:val="24"/>
                <w:highlight w:val="none"/>
                <w:lang w:val="en-US" w:eastAsia="zh-CN"/>
              </w:rPr>
              <w:t>有机废气</w:t>
            </w:r>
          </w:p>
          <w:p w14:paraId="7880CA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rPr>
              <w:t>处理措施</w:t>
            </w:r>
          </w:p>
          <w:p w14:paraId="630013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highlight w:val="none"/>
              </w:rPr>
            </w:pPr>
            <w:r>
              <w:rPr>
                <w:rFonts w:hint="eastAsia" w:ascii="Times New Roman" w:hAnsi="Times New Roman" w:cs="Times New Roman"/>
                <w:b w:val="0"/>
                <w:bCs/>
                <w:color w:val="auto"/>
                <w:kern w:val="0"/>
                <w:sz w:val="24"/>
                <w:szCs w:val="24"/>
                <w:shd w:val="clear" w:color="auto" w:fill="FFFFFF"/>
                <w:lang w:val="en-US" w:eastAsia="zh-CN" w:bidi="ar"/>
              </w:rPr>
              <w:t>烤料、热压成型废气</w:t>
            </w:r>
            <w:r>
              <w:rPr>
                <w:rFonts w:hint="eastAsia"/>
                <w:b w:val="0"/>
                <w:bCs/>
                <w:color w:val="auto"/>
                <w:kern w:val="0"/>
                <w:sz w:val="24"/>
                <w:szCs w:val="24"/>
                <w:shd w:val="clear" w:color="auto" w:fill="FFFFFF"/>
                <w:lang w:val="en-US" w:eastAsia="zh-CN" w:bidi="ar"/>
              </w:rPr>
              <w:t>经管道收集后</w:t>
            </w:r>
            <w:r>
              <w:rPr>
                <w:rFonts w:hint="default" w:ascii="Times New Roman" w:hAnsi="Times New Roman" w:cs="Times New Roman"/>
                <w:b w:val="0"/>
                <w:bCs/>
                <w:color w:val="auto"/>
                <w:kern w:val="0"/>
                <w:sz w:val="24"/>
                <w:szCs w:val="24"/>
                <w:shd w:val="clear" w:color="auto" w:fill="FFFFFF"/>
                <w:lang w:val="en-US" w:eastAsia="zh-CN" w:bidi="ar"/>
              </w:rPr>
              <w:t>由</w:t>
            </w:r>
            <w:r>
              <w:rPr>
                <w:rFonts w:hint="eastAsia"/>
                <w:b w:val="0"/>
                <w:bCs/>
                <w:color w:val="auto"/>
                <w:kern w:val="0"/>
                <w:sz w:val="24"/>
                <w:szCs w:val="24"/>
                <w:shd w:val="clear" w:color="auto" w:fill="FFFFFF"/>
                <w:lang w:val="en-US" w:eastAsia="zh-CN" w:bidi="ar"/>
              </w:rPr>
              <w:t>“两级活性炭吸附箱”处理后通</w:t>
            </w:r>
            <w:r>
              <w:rPr>
                <w:rFonts w:hint="default" w:ascii="Times New Roman" w:hAnsi="Times New Roman" w:cs="Times New Roman"/>
                <w:b w:val="0"/>
                <w:bCs/>
                <w:color w:val="auto"/>
                <w:kern w:val="0"/>
                <w:sz w:val="24"/>
                <w:szCs w:val="24"/>
                <w:shd w:val="clear" w:color="auto" w:fill="FFFFFF"/>
                <w:lang w:val="en-US" w:eastAsia="zh-CN" w:bidi="ar"/>
              </w:rPr>
              <w:t>过</w:t>
            </w:r>
            <w:r>
              <w:rPr>
                <w:rFonts w:hint="eastAsia" w:ascii="Times New Roman" w:hAnsi="Times New Roman" w:cs="Times New Roman"/>
                <w:b w:val="0"/>
                <w:bCs/>
                <w:color w:val="auto"/>
                <w:kern w:val="0"/>
                <w:sz w:val="24"/>
                <w:szCs w:val="24"/>
                <w:shd w:val="clear" w:color="auto" w:fill="FFFFFF"/>
                <w:lang w:val="en-US" w:eastAsia="zh-CN" w:bidi="ar"/>
              </w:rPr>
              <w:t>1</w:t>
            </w:r>
            <w:r>
              <w:rPr>
                <w:rFonts w:hint="default" w:ascii="Times New Roman" w:hAnsi="Times New Roman" w:cs="Times New Roman"/>
                <w:b w:val="0"/>
                <w:bCs/>
                <w:color w:val="auto"/>
                <w:kern w:val="0"/>
                <w:sz w:val="24"/>
                <w:szCs w:val="24"/>
                <w:shd w:val="clear" w:color="auto" w:fill="FFFFFF"/>
                <w:lang w:val="en-US" w:eastAsia="zh-CN" w:bidi="ar"/>
              </w:rPr>
              <w:t>根</w:t>
            </w:r>
            <w:r>
              <w:rPr>
                <w:rFonts w:hint="eastAsia" w:ascii="Times New Roman" w:hAnsi="Times New Roman" w:cs="Times New Roman"/>
                <w:b w:val="0"/>
                <w:bCs/>
                <w:color w:val="auto"/>
                <w:kern w:val="0"/>
                <w:sz w:val="24"/>
                <w:szCs w:val="24"/>
                <w:shd w:val="clear" w:color="auto" w:fill="FFFFFF"/>
                <w:lang w:val="en-US" w:eastAsia="zh-CN" w:bidi="ar"/>
              </w:rPr>
              <w:t>15</w:t>
            </w:r>
            <w:r>
              <w:rPr>
                <w:rFonts w:hint="default" w:ascii="Times New Roman" w:hAnsi="Times New Roman" w:cs="Times New Roman"/>
                <w:b w:val="0"/>
                <w:bCs/>
                <w:color w:val="auto"/>
                <w:kern w:val="0"/>
                <w:sz w:val="24"/>
                <w:szCs w:val="24"/>
                <w:shd w:val="clear" w:color="auto" w:fill="FFFFFF"/>
                <w:lang w:val="en-US" w:eastAsia="zh-CN" w:bidi="ar"/>
              </w:rPr>
              <w:t>m高排气筒（</w:t>
            </w:r>
            <w:r>
              <w:rPr>
                <w:rFonts w:hint="default" w:ascii="Times New Roman" w:hAnsi="Times New Roman" w:cs="Times New Roman"/>
                <w:b/>
                <w:bCs w:val="0"/>
                <w:color w:val="auto"/>
                <w:kern w:val="0"/>
                <w:sz w:val="24"/>
                <w:szCs w:val="24"/>
                <w:shd w:val="clear" w:color="auto" w:fill="FFFFFF"/>
                <w:lang w:val="en-US" w:eastAsia="zh-CN" w:bidi="ar"/>
              </w:rPr>
              <w:t>DA00</w:t>
            </w:r>
            <w:r>
              <w:rPr>
                <w:rFonts w:hint="eastAsia" w:ascii="Times New Roman" w:hAnsi="Times New Roman" w:cs="Times New Roman"/>
                <w:b/>
                <w:bCs w:val="0"/>
                <w:color w:val="auto"/>
                <w:kern w:val="0"/>
                <w:sz w:val="24"/>
                <w:szCs w:val="24"/>
                <w:shd w:val="clear" w:color="auto" w:fill="FFFFFF"/>
                <w:lang w:val="en-US" w:eastAsia="zh-CN" w:bidi="ar"/>
              </w:rPr>
              <w:t>1</w:t>
            </w:r>
            <w:r>
              <w:rPr>
                <w:rFonts w:hint="default" w:ascii="Times New Roman" w:hAnsi="Times New Roman" w:cs="Times New Roman"/>
                <w:b w:val="0"/>
                <w:bCs/>
                <w:color w:val="auto"/>
                <w:kern w:val="0"/>
                <w:sz w:val="24"/>
                <w:szCs w:val="24"/>
                <w:shd w:val="clear" w:color="auto" w:fill="FFFFFF"/>
                <w:lang w:val="en-US" w:eastAsia="zh-CN" w:bidi="ar"/>
              </w:rPr>
              <w:t>）排放</w:t>
            </w:r>
            <w:r>
              <w:rPr>
                <w:rFonts w:hint="default" w:ascii="Times New Roman" w:hAnsi="Times New Roman" w:eastAsia="宋体" w:cs="Times New Roman"/>
                <w:b w:val="0"/>
                <w:bCs/>
                <w:color w:val="auto"/>
                <w:sz w:val="24"/>
                <w:szCs w:val="24"/>
                <w:highlight w:val="none"/>
              </w:rPr>
              <w:t>。</w:t>
            </w:r>
          </w:p>
          <w:p w14:paraId="1F3EA1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highlight w:val="none"/>
              </w:rPr>
            </w:pPr>
            <w:r>
              <w:rPr>
                <w:rFonts w:hint="eastAsia" w:ascii="Times New Roman" w:hAnsi="Times New Roman" w:eastAsia="宋体" w:cs="Times New Roman"/>
                <w:b w:val="0"/>
                <w:bCs/>
                <w:color w:val="auto"/>
                <w:sz w:val="24"/>
                <w:szCs w:val="24"/>
                <w:highlight w:val="none"/>
                <w:lang w:val="en-US" w:eastAsia="zh-CN"/>
              </w:rPr>
              <w:t>（2）</w:t>
            </w:r>
            <w:r>
              <w:rPr>
                <w:rFonts w:hint="default" w:ascii="Times New Roman" w:hAnsi="Times New Roman" w:eastAsia="宋体" w:cs="Times New Roman"/>
                <w:b w:val="0"/>
                <w:bCs/>
                <w:color w:val="auto"/>
                <w:sz w:val="24"/>
                <w:szCs w:val="24"/>
                <w:highlight w:val="none"/>
              </w:rPr>
              <w:t>可行性分析</w:t>
            </w:r>
          </w:p>
          <w:p w14:paraId="1E712BB1">
            <w:pPr>
              <w:pStyle w:val="86"/>
              <w:numPr>
                <w:ilvl w:val="0"/>
                <w:numId w:val="0"/>
              </w:numPr>
              <w:spacing w:line="360" w:lineRule="auto"/>
              <w:ind w:firstLine="480" w:firstLineChars="200"/>
              <w:jc w:val="both"/>
              <w:rPr>
                <w:rFonts w:hint="default" w:ascii="Times New Roman" w:hAnsi="Times New Roman" w:eastAsia="宋体" w:cs="Times New Roman"/>
                <w:b w:val="0"/>
                <w:color w:val="auto"/>
                <w:kern w:val="0"/>
                <w:sz w:val="24"/>
                <w:szCs w:val="24"/>
                <w:highlight w:val="none"/>
              </w:rPr>
            </w:pPr>
            <w:r>
              <w:rPr>
                <w:rFonts w:hint="default" w:ascii="Times New Roman" w:hAnsi="Times New Roman" w:eastAsia="宋体" w:cs="Times New Roman"/>
                <w:b w:val="0"/>
                <w:color w:val="auto"/>
                <w:kern w:val="0"/>
                <w:sz w:val="24"/>
                <w:szCs w:val="24"/>
                <w:highlight w:val="none"/>
              </w:rPr>
              <w:t>活性炭在活化过程中，巨大的表面积和复杂的孔隙结构逐渐形成，活性炭的孔隙的半径大小可分为：大孔半径&gt;20000nm；过渡孔半径150nm～20000nm；微孔半径&lt;150nm；活性炭的表面积主要是由微孔提供的，活性炭的吸附可分为物理吸附和化学吸附，而吸附过程正是在这些孔隙中和表面上进行的，活性炭的多孔结构提供了大量的表面积，从而使其非常容易达到吸收收集杂质的目的。就象磁力一样，所有的分子之间都具有相互引力。正因为如此，活性炭孔壁上的大量的分子可以产生强大的引力，从而达到将介质中的杂质吸引到孔径中的目的，这就是物理吸附。必须指出的是，这些被吸附的杂质的分子直径必须是要小于活性炭的孔径，这样才可能保证杂质被吸收到孔径中。这也就是为什么改变原材料和活化条件来创造具有不同的孔径结构的活性炭，从而适用于各种杂质吸收的应用。</w:t>
            </w:r>
          </w:p>
          <w:p w14:paraId="3C4CF2F0">
            <w:pPr>
              <w:spacing w:line="360" w:lineRule="auto"/>
              <w:ind w:firstLine="480" w:firstLineChars="200"/>
              <w:rPr>
                <w:rFonts w:hint="default" w:ascii="Times New Roman" w:hAnsi="Times New Roman" w:cs="Times New Roman"/>
                <w:b w:val="0"/>
                <w:bCs w:val="0"/>
                <w:color w:val="auto"/>
                <w:sz w:val="24"/>
                <w:szCs w:val="24"/>
                <w:lang w:val="en-US" w:eastAsia="zh-CN"/>
              </w:rPr>
            </w:pPr>
            <w:r>
              <w:rPr>
                <w:rFonts w:hint="default" w:ascii="Times New Roman" w:hAnsi="Times New Roman" w:eastAsia="宋体" w:cs="Times New Roman"/>
                <w:b w:val="0"/>
                <w:bCs/>
                <w:color w:val="auto"/>
                <w:sz w:val="24"/>
                <w:szCs w:val="24"/>
                <w:highlight w:val="none"/>
              </w:rPr>
              <w:t>活性炭吸附工作原理图</w:t>
            </w:r>
            <w:r>
              <w:rPr>
                <w:rFonts w:hint="default" w:ascii="Times New Roman" w:hAnsi="Times New Roman" w:cs="Times New Roman"/>
                <w:b w:val="0"/>
                <w:bCs w:val="0"/>
                <w:color w:val="auto"/>
                <w:sz w:val="24"/>
                <w:szCs w:val="24"/>
                <w:lang w:eastAsia="zh-CN"/>
              </w:rPr>
              <w:t>见图</w:t>
            </w:r>
            <w:r>
              <w:rPr>
                <w:rFonts w:hint="default" w:ascii="Times New Roman" w:hAnsi="Times New Roman" w:cs="Times New Roman"/>
                <w:b w:val="0"/>
                <w:bCs w:val="0"/>
                <w:color w:val="auto"/>
                <w:sz w:val="24"/>
                <w:szCs w:val="24"/>
                <w:lang w:val="en-US" w:eastAsia="zh-CN"/>
              </w:rPr>
              <w:t>4.</w:t>
            </w:r>
            <w:r>
              <w:rPr>
                <w:rFonts w:hint="eastAsia" w:ascii="Times New Roman" w:hAnsi="Times New Roman" w:cs="Times New Roman"/>
                <w:b w:val="0"/>
                <w:bCs w:val="0"/>
                <w:color w:val="auto"/>
                <w:sz w:val="24"/>
                <w:szCs w:val="24"/>
                <w:lang w:val="en-US" w:eastAsia="zh-CN"/>
              </w:rPr>
              <w:t>2</w:t>
            </w:r>
            <w:r>
              <w:rPr>
                <w:rFonts w:hint="default" w:ascii="Times New Roman" w:hAnsi="Times New Roman" w:cs="Times New Roman"/>
                <w:b w:val="0"/>
                <w:bCs w:val="0"/>
                <w:color w:val="auto"/>
                <w:sz w:val="24"/>
                <w:szCs w:val="24"/>
                <w:lang w:val="en-US" w:eastAsia="zh-CN"/>
              </w:rPr>
              <w:t>。</w:t>
            </w:r>
          </w:p>
          <w:p w14:paraId="200ED4BA">
            <w:pPr>
              <w:spacing w:line="360" w:lineRule="auto"/>
              <w:ind w:firstLine="420" w:firstLineChars="200"/>
              <w:jc w:val="both"/>
              <w:rPr>
                <w:rFonts w:hint="default" w:ascii="Times New Roman" w:hAnsi="Times New Roman" w:eastAsia="宋体" w:cs="Times New Roman"/>
                <w:b w:val="0"/>
                <w:color w:val="auto"/>
                <w:kern w:val="0"/>
                <w:sz w:val="24"/>
                <w:szCs w:val="24"/>
                <w:highlight w:val="none"/>
              </w:rPr>
            </w:pPr>
            <w:r>
              <w:rPr>
                <w:color w:val="auto"/>
              </w:rPr>
              <w:drawing>
                <wp:inline distT="0" distB="0" distL="114300" distR="114300">
                  <wp:extent cx="5685155" cy="2345055"/>
                  <wp:effectExtent l="0" t="0" r="10795" b="17145"/>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pic:cNvPicPr>
                            <a:picLocks noChangeAspect="1"/>
                          </pic:cNvPicPr>
                        </pic:nvPicPr>
                        <pic:blipFill>
                          <a:blip r:embed="rId11"/>
                          <a:stretch>
                            <a:fillRect/>
                          </a:stretch>
                        </pic:blipFill>
                        <pic:spPr>
                          <a:xfrm>
                            <a:off x="0" y="0"/>
                            <a:ext cx="5685155" cy="2345055"/>
                          </a:xfrm>
                          <a:prstGeom prst="rect">
                            <a:avLst/>
                          </a:prstGeom>
                          <a:noFill/>
                          <a:ln>
                            <a:noFill/>
                          </a:ln>
                        </pic:spPr>
                      </pic:pic>
                    </a:graphicData>
                  </a:graphic>
                </wp:inline>
              </w:drawing>
            </w:r>
          </w:p>
          <w:p w14:paraId="5E8C8E66">
            <w:pPr>
              <w:spacing w:line="240" w:lineRule="auto"/>
              <w:ind w:firstLine="422" w:firstLineChars="20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图</w:t>
            </w:r>
            <w:r>
              <w:rPr>
                <w:rFonts w:hint="eastAsia" w:ascii="Times New Roman" w:hAnsi="Times New Roman" w:eastAsia="宋体" w:cs="Times New Roman"/>
                <w:b/>
                <w:bCs w:val="0"/>
                <w:color w:val="auto"/>
                <w:sz w:val="21"/>
                <w:szCs w:val="21"/>
                <w:highlight w:val="none"/>
                <w:lang w:val="en-US" w:eastAsia="zh-CN"/>
              </w:rPr>
              <w:t>4.2</w:t>
            </w:r>
            <w:r>
              <w:rPr>
                <w:rFonts w:hint="default" w:ascii="Times New Roman" w:hAnsi="Times New Roman" w:eastAsia="宋体" w:cs="Times New Roman"/>
                <w:b/>
                <w:bCs w:val="0"/>
                <w:color w:val="auto"/>
                <w:sz w:val="21"/>
                <w:szCs w:val="21"/>
                <w:highlight w:val="none"/>
              </w:rPr>
              <w:t xml:space="preserve">  活性炭吸附工作原理图</w:t>
            </w:r>
          </w:p>
          <w:p w14:paraId="7221357B">
            <w:pPr>
              <w:spacing w:line="360" w:lineRule="auto"/>
              <w:ind w:firstLine="480"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本项目所用活性炭为蜂窝状活性炭，其参数如下表</w:t>
            </w:r>
            <w:r>
              <w:rPr>
                <w:rFonts w:hint="eastAsia" w:ascii="Times New Roman" w:hAnsi="Times New Roman" w:eastAsia="宋体" w:cs="Times New Roman"/>
                <w:b w:val="0"/>
                <w:bCs/>
                <w:color w:val="auto"/>
                <w:sz w:val="24"/>
                <w:szCs w:val="24"/>
                <w:highlight w:val="none"/>
                <w:lang w:val="en-US" w:eastAsia="zh-CN"/>
              </w:rPr>
              <w:t>4.7</w:t>
            </w:r>
            <w:r>
              <w:rPr>
                <w:rFonts w:hint="default" w:ascii="Times New Roman" w:hAnsi="Times New Roman" w:eastAsia="宋体" w:cs="Times New Roman"/>
                <w:b w:val="0"/>
                <w:bCs/>
                <w:color w:val="auto"/>
                <w:sz w:val="24"/>
                <w:szCs w:val="24"/>
                <w:highlight w:val="none"/>
              </w:rPr>
              <w:t>所示。</w:t>
            </w:r>
          </w:p>
          <w:p w14:paraId="145DADF7">
            <w:pPr>
              <w:spacing w:line="240" w:lineRule="auto"/>
              <w:ind w:firstLine="422" w:firstLineChars="200"/>
              <w:jc w:val="center"/>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rPr>
              <w:t>表</w:t>
            </w:r>
            <w:r>
              <w:rPr>
                <w:rFonts w:hint="default" w:ascii="Times New Roman" w:hAnsi="Times New Roman" w:eastAsia="宋体" w:cs="Times New Roman"/>
                <w:b/>
                <w:bCs/>
                <w:color w:val="auto"/>
                <w:kern w:val="0"/>
                <w:sz w:val="21"/>
                <w:szCs w:val="21"/>
                <w:highlight w:val="none"/>
                <w:lang w:val="en-US" w:eastAsia="zh-CN"/>
              </w:rPr>
              <w:t>4.</w:t>
            </w:r>
            <w:r>
              <w:rPr>
                <w:rFonts w:hint="eastAsia" w:ascii="Times New Roman" w:hAnsi="Times New Roman" w:eastAsia="宋体" w:cs="Times New Roman"/>
                <w:b/>
                <w:bCs/>
                <w:color w:val="auto"/>
                <w:kern w:val="0"/>
                <w:sz w:val="21"/>
                <w:szCs w:val="21"/>
                <w:highlight w:val="none"/>
                <w:lang w:val="en-US" w:eastAsia="zh-CN"/>
              </w:rPr>
              <w:t>7</w:t>
            </w:r>
            <w:r>
              <w:rPr>
                <w:rFonts w:hint="eastAsia" w:ascii="宋体" w:hAnsi="宋体" w:eastAsia="宋体" w:cs="宋体"/>
                <w:b/>
                <w:bCs/>
                <w:color w:val="auto"/>
                <w:kern w:val="0"/>
                <w:sz w:val="21"/>
                <w:szCs w:val="21"/>
                <w:highlight w:val="none"/>
                <w:lang w:val="en-US" w:eastAsia="zh-CN"/>
              </w:rPr>
              <w:t xml:space="preserve">  活性炭吸附装置技术参数一览表</w:t>
            </w:r>
          </w:p>
          <w:tbl>
            <w:tblPr>
              <w:tblStyle w:val="32"/>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833"/>
              <w:gridCol w:w="7448"/>
            </w:tblGrid>
            <w:tr w14:paraId="3F3C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Align w:val="center"/>
                </w:tcPr>
                <w:p w14:paraId="76D428E2">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项目</w:t>
                  </w:r>
                </w:p>
              </w:tc>
              <w:tc>
                <w:tcPr>
                  <w:tcW w:w="720" w:type="dxa"/>
                  <w:vAlign w:val="center"/>
                </w:tcPr>
                <w:p w14:paraId="6CAA98F3">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单位</w:t>
                  </w:r>
                </w:p>
              </w:tc>
              <w:tc>
                <w:tcPr>
                  <w:tcW w:w="7542" w:type="dxa"/>
                  <w:vAlign w:val="center"/>
                </w:tcPr>
                <w:p w14:paraId="6CDEF2FF">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技术指标</w:t>
                  </w:r>
                </w:p>
              </w:tc>
            </w:tr>
            <w:tr w14:paraId="6028F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Align w:val="center"/>
                </w:tcPr>
                <w:p w14:paraId="0DF6AD40">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横截面积</w:t>
                  </w:r>
                </w:p>
              </w:tc>
              <w:tc>
                <w:tcPr>
                  <w:tcW w:w="720" w:type="dxa"/>
                  <w:vAlign w:val="center"/>
                </w:tcPr>
                <w:p w14:paraId="7BFCFB98">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superscript"/>
                      <w:lang w:val="en-US" w:eastAsia="zh-CN"/>
                    </w:rPr>
                  </w:pPr>
                  <w:r>
                    <w:rPr>
                      <w:rFonts w:hint="eastAsia" w:cs="Times New Roman"/>
                      <w:b w:val="0"/>
                      <w:bCs w:val="0"/>
                      <w:color w:val="auto"/>
                      <w:kern w:val="0"/>
                      <w:sz w:val="21"/>
                      <w:szCs w:val="21"/>
                      <w:highlight w:val="none"/>
                      <w:vertAlign w:val="baseline"/>
                      <w:lang w:val="en-US" w:eastAsia="zh-CN"/>
                    </w:rPr>
                    <w:t>m</w:t>
                  </w:r>
                  <w:r>
                    <w:rPr>
                      <w:rFonts w:hint="eastAsia" w:cs="Times New Roman"/>
                      <w:b w:val="0"/>
                      <w:bCs w:val="0"/>
                      <w:color w:val="auto"/>
                      <w:kern w:val="0"/>
                      <w:sz w:val="21"/>
                      <w:szCs w:val="21"/>
                      <w:highlight w:val="none"/>
                      <w:vertAlign w:val="superscript"/>
                      <w:lang w:val="en-US" w:eastAsia="zh-CN"/>
                    </w:rPr>
                    <w:t>2</w:t>
                  </w:r>
                </w:p>
              </w:tc>
              <w:tc>
                <w:tcPr>
                  <w:tcW w:w="7542" w:type="dxa"/>
                  <w:vAlign w:val="center"/>
                </w:tcPr>
                <w:p w14:paraId="2063EE0F">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7.1</w:t>
                  </w:r>
                </w:p>
              </w:tc>
            </w:tr>
            <w:tr w14:paraId="1089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Align w:val="center"/>
                </w:tcPr>
                <w:p w14:paraId="4A003168">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比表面积</w:t>
                  </w:r>
                </w:p>
              </w:tc>
              <w:tc>
                <w:tcPr>
                  <w:tcW w:w="720" w:type="dxa"/>
                  <w:vAlign w:val="center"/>
                </w:tcPr>
                <w:p w14:paraId="3EFCF965">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m</w:t>
                  </w:r>
                  <w:r>
                    <w:rPr>
                      <w:rFonts w:hint="eastAsia" w:cs="Times New Roman"/>
                      <w:b w:val="0"/>
                      <w:bCs w:val="0"/>
                      <w:color w:val="auto"/>
                      <w:kern w:val="0"/>
                      <w:sz w:val="21"/>
                      <w:szCs w:val="21"/>
                      <w:highlight w:val="none"/>
                      <w:vertAlign w:val="superscript"/>
                      <w:lang w:val="en-US" w:eastAsia="zh-CN"/>
                    </w:rPr>
                    <w:t>2</w:t>
                  </w:r>
                  <w:r>
                    <w:rPr>
                      <w:rFonts w:hint="eastAsia" w:cs="Times New Roman"/>
                      <w:b w:val="0"/>
                      <w:bCs w:val="0"/>
                      <w:color w:val="auto"/>
                      <w:kern w:val="0"/>
                      <w:sz w:val="21"/>
                      <w:szCs w:val="21"/>
                      <w:highlight w:val="none"/>
                      <w:vertAlign w:val="baseline"/>
                      <w:lang w:val="en-US" w:eastAsia="zh-CN"/>
                    </w:rPr>
                    <w:t>/g</w:t>
                  </w:r>
                </w:p>
              </w:tc>
              <w:tc>
                <w:tcPr>
                  <w:tcW w:w="7542" w:type="dxa"/>
                  <w:vAlign w:val="center"/>
                </w:tcPr>
                <w:p w14:paraId="35158970">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1200</w:t>
                  </w:r>
                </w:p>
              </w:tc>
            </w:tr>
            <w:tr w14:paraId="6B5A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89" w:type="dxa"/>
                  <w:vAlign w:val="center"/>
                </w:tcPr>
                <w:p w14:paraId="427FCC16">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总孔面积</w:t>
                  </w:r>
                </w:p>
              </w:tc>
              <w:tc>
                <w:tcPr>
                  <w:tcW w:w="720" w:type="dxa"/>
                  <w:vAlign w:val="center"/>
                </w:tcPr>
                <w:p w14:paraId="46324F8C">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cm</w:t>
                  </w:r>
                  <w:r>
                    <w:rPr>
                      <w:rFonts w:hint="eastAsia" w:cs="Times New Roman"/>
                      <w:b w:val="0"/>
                      <w:bCs w:val="0"/>
                      <w:color w:val="auto"/>
                      <w:kern w:val="0"/>
                      <w:sz w:val="21"/>
                      <w:szCs w:val="21"/>
                      <w:highlight w:val="none"/>
                      <w:vertAlign w:val="superscript"/>
                      <w:lang w:val="en-US" w:eastAsia="zh-CN"/>
                    </w:rPr>
                    <w:t>2</w:t>
                  </w:r>
                  <w:r>
                    <w:rPr>
                      <w:rFonts w:hint="eastAsia" w:cs="Times New Roman"/>
                      <w:b w:val="0"/>
                      <w:bCs w:val="0"/>
                      <w:color w:val="auto"/>
                      <w:kern w:val="0"/>
                      <w:sz w:val="21"/>
                      <w:szCs w:val="21"/>
                      <w:highlight w:val="none"/>
                      <w:vertAlign w:val="baseline"/>
                      <w:lang w:val="en-US" w:eastAsia="zh-CN"/>
                    </w:rPr>
                    <w:t>/g</w:t>
                  </w:r>
                </w:p>
              </w:tc>
              <w:tc>
                <w:tcPr>
                  <w:tcW w:w="7542" w:type="dxa"/>
                  <w:vAlign w:val="center"/>
                </w:tcPr>
                <w:p w14:paraId="3D04DF8D">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0.81</w:t>
                  </w:r>
                </w:p>
              </w:tc>
            </w:tr>
            <w:tr w14:paraId="55A8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Align w:val="center"/>
                </w:tcPr>
                <w:p w14:paraId="2ADF9441">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水分</w:t>
                  </w:r>
                </w:p>
              </w:tc>
              <w:tc>
                <w:tcPr>
                  <w:tcW w:w="720" w:type="dxa"/>
                  <w:vAlign w:val="center"/>
                </w:tcPr>
                <w:p w14:paraId="51377941">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w:t>
                  </w:r>
                </w:p>
              </w:tc>
              <w:tc>
                <w:tcPr>
                  <w:tcW w:w="7542" w:type="dxa"/>
                  <w:vAlign w:val="center"/>
                </w:tcPr>
                <w:p w14:paraId="357F5B71">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rPr>
                    <w:t>≤</w:t>
                  </w:r>
                  <w:r>
                    <w:rPr>
                      <w:rFonts w:hint="eastAsia" w:cs="Times New Roman"/>
                      <w:b w:val="0"/>
                      <w:bCs w:val="0"/>
                      <w:color w:val="auto"/>
                      <w:kern w:val="0"/>
                      <w:sz w:val="21"/>
                      <w:szCs w:val="21"/>
                      <w:highlight w:val="none"/>
                      <w:vertAlign w:val="baseline"/>
                      <w:lang w:val="en-US" w:eastAsia="zh-CN"/>
                    </w:rPr>
                    <w:t>5.0</w:t>
                  </w:r>
                </w:p>
              </w:tc>
            </w:tr>
            <w:tr w14:paraId="42C7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Align w:val="center"/>
                </w:tcPr>
                <w:p w14:paraId="454B6860">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单位面积比重</w:t>
                  </w:r>
                </w:p>
              </w:tc>
              <w:tc>
                <w:tcPr>
                  <w:tcW w:w="720" w:type="dxa"/>
                  <w:vAlign w:val="center"/>
                </w:tcPr>
                <w:p w14:paraId="06A0C083">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rPr>
                  </w:pPr>
                  <w:r>
                    <w:rPr>
                      <w:rFonts w:hint="eastAsia" w:cs="Times New Roman"/>
                      <w:b w:val="0"/>
                      <w:bCs w:val="0"/>
                      <w:color w:val="auto"/>
                      <w:kern w:val="0"/>
                      <w:sz w:val="21"/>
                      <w:szCs w:val="21"/>
                      <w:highlight w:val="none"/>
                      <w:vertAlign w:val="baseline"/>
                      <w:lang w:val="en-US" w:eastAsia="zh-CN"/>
                    </w:rPr>
                    <w:t>g/m</w:t>
                  </w:r>
                  <w:r>
                    <w:rPr>
                      <w:rFonts w:hint="eastAsia" w:cs="Times New Roman"/>
                      <w:b w:val="0"/>
                      <w:bCs w:val="0"/>
                      <w:color w:val="auto"/>
                      <w:kern w:val="0"/>
                      <w:sz w:val="21"/>
                      <w:szCs w:val="21"/>
                      <w:highlight w:val="none"/>
                      <w:vertAlign w:val="superscript"/>
                      <w:lang w:val="en-US" w:eastAsia="zh-CN"/>
                    </w:rPr>
                    <w:t>2</w:t>
                  </w:r>
                </w:p>
              </w:tc>
              <w:tc>
                <w:tcPr>
                  <w:tcW w:w="7542" w:type="dxa"/>
                  <w:vAlign w:val="center"/>
                </w:tcPr>
                <w:p w14:paraId="22E3E0BB">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200～250</w:t>
                  </w:r>
                </w:p>
              </w:tc>
            </w:tr>
            <w:tr w14:paraId="242A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Align w:val="center"/>
                </w:tcPr>
                <w:p w14:paraId="17D1B7C6">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着火点</w:t>
                  </w:r>
                </w:p>
              </w:tc>
              <w:tc>
                <w:tcPr>
                  <w:tcW w:w="720" w:type="dxa"/>
                  <w:vAlign w:val="center"/>
                </w:tcPr>
                <w:p w14:paraId="5B137536">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rPr>
                  </w:pPr>
                  <w:r>
                    <w:rPr>
                      <w:rFonts w:hint="eastAsia" w:ascii="宋体" w:hAnsi="宋体" w:eastAsia="宋体" w:cs="宋体"/>
                      <w:b w:val="0"/>
                      <w:bCs w:val="0"/>
                      <w:color w:val="auto"/>
                      <w:kern w:val="0"/>
                      <w:sz w:val="21"/>
                      <w:szCs w:val="21"/>
                      <w:highlight w:val="none"/>
                      <w:vertAlign w:val="baseline"/>
                    </w:rPr>
                    <w:t>℃</w:t>
                  </w:r>
                </w:p>
              </w:tc>
              <w:tc>
                <w:tcPr>
                  <w:tcW w:w="7542" w:type="dxa"/>
                  <w:vAlign w:val="center"/>
                </w:tcPr>
                <w:p w14:paraId="5E86A20F">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rPr>
                    <w:t>＞</w:t>
                  </w:r>
                  <w:r>
                    <w:rPr>
                      <w:rFonts w:hint="eastAsia" w:cs="Times New Roman"/>
                      <w:b w:val="0"/>
                      <w:bCs w:val="0"/>
                      <w:color w:val="auto"/>
                      <w:kern w:val="0"/>
                      <w:sz w:val="21"/>
                      <w:szCs w:val="21"/>
                      <w:highlight w:val="none"/>
                      <w:vertAlign w:val="baseline"/>
                      <w:lang w:val="en-US" w:eastAsia="zh-CN"/>
                    </w:rPr>
                    <w:t>500</w:t>
                  </w:r>
                </w:p>
              </w:tc>
            </w:tr>
            <w:tr w14:paraId="678AC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Align w:val="center"/>
                </w:tcPr>
                <w:p w14:paraId="4183E14B">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吸附阻力</w:t>
                  </w:r>
                </w:p>
              </w:tc>
              <w:tc>
                <w:tcPr>
                  <w:tcW w:w="720" w:type="dxa"/>
                  <w:vAlign w:val="center"/>
                </w:tcPr>
                <w:p w14:paraId="096F36FC">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Pa</w:t>
                  </w:r>
                </w:p>
              </w:tc>
              <w:tc>
                <w:tcPr>
                  <w:tcW w:w="7542" w:type="dxa"/>
                  <w:vAlign w:val="center"/>
                </w:tcPr>
                <w:p w14:paraId="30AF5E8A">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700</w:t>
                  </w:r>
                </w:p>
              </w:tc>
            </w:tr>
            <w:tr w14:paraId="3CCF0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Align w:val="center"/>
                </w:tcPr>
                <w:p w14:paraId="7181A285">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结构形式</w:t>
                  </w:r>
                </w:p>
              </w:tc>
              <w:tc>
                <w:tcPr>
                  <w:tcW w:w="720" w:type="dxa"/>
                  <w:vAlign w:val="center"/>
                </w:tcPr>
                <w:p w14:paraId="034B0647">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w:t>
                  </w:r>
                </w:p>
              </w:tc>
              <w:tc>
                <w:tcPr>
                  <w:tcW w:w="7542" w:type="dxa"/>
                  <w:vAlign w:val="center"/>
                </w:tcPr>
                <w:p w14:paraId="502C563B">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rPr>
                  </w:pPr>
                  <w:r>
                    <w:rPr>
                      <w:rFonts w:hint="eastAsia" w:cs="Times New Roman"/>
                      <w:b w:val="0"/>
                      <w:bCs w:val="0"/>
                      <w:color w:val="auto"/>
                      <w:kern w:val="0"/>
                      <w:sz w:val="21"/>
                      <w:szCs w:val="21"/>
                      <w:highlight w:val="none"/>
                      <w:vertAlign w:val="baseline"/>
                      <w:lang w:val="en-US" w:eastAsia="zh-CN"/>
                    </w:rPr>
                    <w:t>抽屉式</w:t>
                  </w:r>
                </w:p>
              </w:tc>
            </w:tr>
            <w:tr w14:paraId="6FE2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Align w:val="center"/>
                </w:tcPr>
                <w:p w14:paraId="0E47E43C">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过滤风速</w:t>
                  </w:r>
                </w:p>
              </w:tc>
              <w:tc>
                <w:tcPr>
                  <w:tcW w:w="720" w:type="dxa"/>
                  <w:vAlign w:val="center"/>
                </w:tcPr>
                <w:p w14:paraId="62C5811A">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m/s</w:t>
                  </w:r>
                </w:p>
              </w:tc>
              <w:tc>
                <w:tcPr>
                  <w:tcW w:w="7542" w:type="dxa"/>
                  <w:vAlign w:val="center"/>
                </w:tcPr>
                <w:p w14:paraId="2818FF37">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1.18</w:t>
                  </w:r>
                </w:p>
              </w:tc>
            </w:tr>
            <w:tr w14:paraId="219C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Align w:val="center"/>
                </w:tcPr>
                <w:p w14:paraId="07960A88">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吸附效率</w:t>
                  </w:r>
                </w:p>
              </w:tc>
              <w:tc>
                <w:tcPr>
                  <w:tcW w:w="720" w:type="dxa"/>
                  <w:vAlign w:val="center"/>
                </w:tcPr>
                <w:p w14:paraId="66477801">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w:t>
                  </w:r>
                </w:p>
              </w:tc>
              <w:tc>
                <w:tcPr>
                  <w:tcW w:w="7542" w:type="dxa"/>
                  <w:vAlign w:val="center"/>
                </w:tcPr>
                <w:p w14:paraId="7406B2AC">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90</w:t>
                  </w:r>
                </w:p>
              </w:tc>
            </w:tr>
            <w:tr w14:paraId="5663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Align w:val="center"/>
                </w:tcPr>
                <w:p w14:paraId="0658089C">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碘值</w:t>
                  </w:r>
                </w:p>
              </w:tc>
              <w:tc>
                <w:tcPr>
                  <w:tcW w:w="720" w:type="dxa"/>
                  <w:vAlign w:val="center"/>
                </w:tcPr>
                <w:p w14:paraId="28B71835">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mg/g</w:t>
                  </w:r>
                </w:p>
              </w:tc>
              <w:tc>
                <w:tcPr>
                  <w:tcW w:w="7542" w:type="dxa"/>
                  <w:vAlign w:val="center"/>
                </w:tcPr>
                <w:p w14:paraId="14FCF022">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rPr>
                    <w:t>≥</w:t>
                  </w:r>
                  <w:r>
                    <w:rPr>
                      <w:rFonts w:hint="eastAsia" w:cs="Times New Roman"/>
                      <w:b w:val="0"/>
                      <w:bCs w:val="0"/>
                      <w:color w:val="auto"/>
                      <w:kern w:val="0"/>
                      <w:sz w:val="21"/>
                      <w:szCs w:val="21"/>
                      <w:highlight w:val="none"/>
                      <w:vertAlign w:val="baseline"/>
                      <w:lang w:val="en-US" w:eastAsia="zh-CN"/>
                    </w:rPr>
                    <w:t>800</w:t>
                  </w:r>
                </w:p>
              </w:tc>
            </w:tr>
            <w:tr w14:paraId="6BA57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Align w:val="center"/>
                </w:tcPr>
                <w:p w14:paraId="4F09AF6F">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活性炭吸附箱</w:t>
                  </w:r>
                </w:p>
              </w:tc>
              <w:tc>
                <w:tcPr>
                  <w:tcW w:w="720" w:type="dxa"/>
                  <w:vAlign w:val="center"/>
                </w:tcPr>
                <w:p w14:paraId="1BD0EC7C">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mm</w:t>
                  </w:r>
                </w:p>
              </w:tc>
              <w:tc>
                <w:tcPr>
                  <w:tcW w:w="7542" w:type="dxa"/>
                  <w:vAlign w:val="center"/>
                </w:tcPr>
                <w:p w14:paraId="2013285D">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2800</w:t>
                  </w:r>
                  <w:r>
                    <w:rPr>
                      <w:rFonts w:hint="default" w:ascii="Times New Roman" w:hAnsi="Times New Roman" w:eastAsia="宋体" w:cs="Times New Roman"/>
                      <w:b w:val="0"/>
                      <w:bCs w:val="0"/>
                      <w:color w:val="auto"/>
                      <w:kern w:val="0"/>
                      <w:sz w:val="21"/>
                      <w:szCs w:val="21"/>
                      <w:highlight w:val="none"/>
                      <w:vertAlign w:val="baseline"/>
                    </w:rPr>
                    <w:t>×</w:t>
                  </w:r>
                  <w:r>
                    <w:rPr>
                      <w:rFonts w:hint="eastAsia" w:cs="Times New Roman"/>
                      <w:b w:val="0"/>
                      <w:bCs w:val="0"/>
                      <w:color w:val="auto"/>
                      <w:kern w:val="0"/>
                      <w:sz w:val="21"/>
                      <w:szCs w:val="21"/>
                      <w:highlight w:val="none"/>
                      <w:vertAlign w:val="baseline"/>
                      <w:lang w:val="en-US" w:eastAsia="zh-CN"/>
                    </w:rPr>
                    <w:t>2500</w:t>
                  </w:r>
                  <w:r>
                    <w:rPr>
                      <w:rFonts w:hint="default" w:ascii="Times New Roman" w:hAnsi="Times New Roman" w:eastAsia="宋体" w:cs="Times New Roman"/>
                      <w:b w:val="0"/>
                      <w:bCs w:val="0"/>
                      <w:color w:val="auto"/>
                      <w:kern w:val="0"/>
                      <w:sz w:val="21"/>
                      <w:szCs w:val="21"/>
                      <w:highlight w:val="none"/>
                      <w:vertAlign w:val="baseline"/>
                    </w:rPr>
                    <w:t>×</w:t>
                  </w:r>
                  <w:r>
                    <w:rPr>
                      <w:rFonts w:hint="eastAsia" w:cs="Times New Roman"/>
                      <w:b w:val="0"/>
                      <w:bCs w:val="0"/>
                      <w:color w:val="auto"/>
                      <w:kern w:val="0"/>
                      <w:sz w:val="21"/>
                      <w:szCs w:val="21"/>
                      <w:highlight w:val="none"/>
                      <w:vertAlign w:val="baseline"/>
                      <w:lang w:val="en-US" w:eastAsia="zh-CN"/>
                    </w:rPr>
                    <w:t>1000</w:t>
                  </w:r>
                </w:p>
              </w:tc>
            </w:tr>
            <w:tr w14:paraId="264F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Align w:val="center"/>
                </w:tcPr>
                <w:p w14:paraId="6B577A67">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温度</w:t>
                  </w:r>
                </w:p>
              </w:tc>
              <w:tc>
                <w:tcPr>
                  <w:tcW w:w="720" w:type="dxa"/>
                  <w:vAlign w:val="center"/>
                </w:tcPr>
                <w:p w14:paraId="3104F162">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rPr>
                  </w:pPr>
                  <w:r>
                    <w:rPr>
                      <w:rFonts w:hint="eastAsia" w:ascii="宋体" w:hAnsi="宋体" w:eastAsia="宋体" w:cs="宋体"/>
                      <w:b w:val="0"/>
                      <w:bCs w:val="0"/>
                      <w:color w:val="auto"/>
                      <w:kern w:val="0"/>
                      <w:sz w:val="21"/>
                      <w:szCs w:val="21"/>
                      <w:highlight w:val="none"/>
                      <w:vertAlign w:val="baseline"/>
                    </w:rPr>
                    <w:t>℃</w:t>
                  </w:r>
                </w:p>
              </w:tc>
              <w:tc>
                <w:tcPr>
                  <w:tcW w:w="7542" w:type="dxa"/>
                  <w:vAlign w:val="center"/>
                </w:tcPr>
                <w:p w14:paraId="38C3FAF9">
                  <w:pPr>
                    <w:pStyle w:val="87"/>
                    <w:keepNext w:val="0"/>
                    <w:keepLines w:val="0"/>
                    <w:pageBreakBefore w:val="0"/>
                    <w:widowControl w:val="0"/>
                    <w:kinsoku/>
                    <w:wordWrap/>
                    <w:overflowPunct/>
                    <w:topLinePunct w:val="0"/>
                    <w:autoSpaceDE/>
                    <w:autoSpaceDN/>
                    <w:bidi w:val="0"/>
                    <w:adjustRightInd/>
                    <w:snapToGrid/>
                    <w:spacing w:beforeLines="0" w:line="240" w:lineRule="auto"/>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rPr>
                    <w:t>≤</w:t>
                  </w:r>
                  <w:r>
                    <w:rPr>
                      <w:rFonts w:hint="eastAsia" w:cs="Times New Roman"/>
                      <w:b w:val="0"/>
                      <w:bCs w:val="0"/>
                      <w:color w:val="auto"/>
                      <w:kern w:val="0"/>
                      <w:sz w:val="21"/>
                      <w:szCs w:val="21"/>
                      <w:highlight w:val="none"/>
                      <w:vertAlign w:val="baseline"/>
                      <w:lang w:val="en-US" w:eastAsia="zh-CN"/>
                    </w:rPr>
                    <w:t>40</w:t>
                  </w:r>
                </w:p>
              </w:tc>
            </w:tr>
            <w:tr w14:paraId="25A53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51" w:type="dxa"/>
                  <w:gridSpan w:val="3"/>
                  <w:vAlign w:val="center"/>
                </w:tcPr>
                <w:p w14:paraId="65FA98B9">
                  <w:pPr>
                    <w:keepNext w:val="0"/>
                    <w:keepLines w:val="0"/>
                    <w:pageBreakBefore w:val="0"/>
                    <w:widowControl w:val="0"/>
                    <w:kinsoku/>
                    <w:wordWrap/>
                    <w:overflowPunct/>
                    <w:topLinePunct w:val="0"/>
                    <w:autoSpaceDE/>
                    <w:autoSpaceDN/>
                    <w:bidi w:val="0"/>
                    <w:adjustRightInd/>
                    <w:snapToGrid w:val="0"/>
                    <w:spacing w:line="240" w:lineRule="auto"/>
                    <w:ind w:firstLine="422" w:firstLineChars="200"/>
                    <w:textAlignment w:val="auto"/>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注：</w:t>
                  </w:r>
                  <w:r>
                    <w:rPr>
                      <w:rFonts w:ascii="Times New Roman" w:hAnsi="Times New Roman" w:eastAsia="宋体" w:cs="Times New Roman"/>
                      <w:b w:val="0"/>
                      <w:bCs w:val="0"/>
                      <w:color w:val="auto"/>
                      <w:sz w:val="21"/>
                      <w:szCs w:val="21"/>
                    </w:rPr>
                    <w:t>《吸附法工业有机废气治理工程技术规范》（HJ2026-2013）：</w:t>
                  </w:r>
                  <w:r>
                    <w:rPr>
                      <w:rFonts w:hint="eastAsia" w:ascii="宋体" w:hAnsi="宋体" w:eastAsia="宋体" w:cs="宋体"/>
                      <w:b w:val="0"/>
                      <w:bCs w:val="0"/>
                      <w:color w:val="auto"/>
                      <w:sz w:val="21"/>
                      <w:szCs w:val="21"/>
                    </w:rPr>
                    <w:t>“</w:t>
                  </w:r>
                  <w:r>
                    <w:rPr>
                      <w:rFonts w:hint="eastAsia" w:ascii="Times New Roman" w:hAnsi="Times New Roman" w:eastAsia="宋体" w:cs="Times New Roman"/>
                      <w:b w:val="0"/>
                      <w:bCs w:val="0"/>
                      <w:color w:val="auto"/>
                      <w:sz w:val="21"/>
                      <w:szCs w:val="21"/>
                      <w:lang w:val="en-US" w:eastAsia="zh-CN"/>
                    </w:rPr>
                    <w:t>6.3.3.3固定床吸附装置吸附层的气体流速应根据吸附剂的形态确定。采用颗粒状吸附剂时，气体流速宜低于0.60m/s；采用纤维状吸附剂</w:t>
                  </w:r>
                  <w:r>
                    <w:rPr>
                      <w:rFonts w:hint="eastAsia" w:ascii="宋体" w:hAnsi="宋体" w:eastAsia="宋体" w:cs="宋体"/>
                      <w:b w:val="0"/>
                      <w:bCs w:val="0"/>
                      <w:color w:val="auto"/>
                      <w:sz w:val="21"/>
                      <w:szCs w:val="21"/>
                      <w:lang w:val="en-US" w:eastAsia="zh-CN"/>
                    </w:rPr>
                    <w:t>(活性炭纤维毡)时</w:t>
                  </w:r>
                  <w:r>
                    <w:rPr>
                      <w:rFonts w:hint="eastAsia" w:ascii="Times New Roman" w:hAnsi="Times New Roman" w:eastAsia="宋体" w:cs="Times New Roman"/>
                      <w:b w:val="0"/>
                      <w:bCs w:val="0"/>
                      <w:color w:val="auto"/>
                      <w:sz w:val="21"/>
                      <w:szCs w:val="21"/>
                      <w:lang w:val="en-US" w:eastAsia="zh-CN"/>
                    </w:rPr>
                    <w:t>，气体流速宜低于0.15m/s；采用蜂窝状吸附剂时，气体流速宜低于1.20m/s。”故本项目过滤风速满足要求。</w:t>
                  </w:r>
                </w:p>
              </w:tc>
            </w:tr>
          </w:tbl>
          <w:p w14:paraId="7DD6804F">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由上表</w:t>
            </w:r>
            <w:r>
              <w:rPr>
                <w:rFonts w:hint="eastAsia" w:ascii="Times New Roman" w:hAnsi="Times New Roman" w:cs="Times New Roman"/>
                <w:color w:val="auto"/>
                <w:sz w:val="24"/>
                <w:szCs w:val="24"/>
                <w:lang w:val="en-US" w:eastAsia="zh-CN"/>
              </w:rPr>
              <w:t>4.7</w:t>
            </w:r>
            <w:r>
              <w:rPr>
                <w:rFonts w:hint="default" w:ascii="Times New Roman" w:hAnsi="Times New Roman" w:cs="Times New Roman"/>
                <w:color w:val="auto"/>
                <w:sz w:val="24"/>
                <w:szCs w:val="24"/>
                <w:lang w:val="en-US" w:eastAsia="zh-CN"/>
              </w:rPr>
              <w:t>可知，项目废气处理所用活性炭碘吸附值为800mg/g，符合《2020年挥发性有机物治理攻坚方案》中提出</w:t>
            </w:r>
            <w:r>
              <w:rPr>
                <w:rFonts w:hint="eastAsia" w:ascii="Times New Roman" w:hAnsi="Times New Roman" w:cs="Times New Roman"/>
                <w:color w:val="auto"/>
                <w:sz w:val="24"/>
                <w:szCs w:val="24"/>
                <w:lang w:val="en-US" w:eastAsia="zh-CN"/>
              </w:rPr>
              <w:t>“采用活性炭吸附技术的，应选择</w:t>
            </w:r>
            <w:r>
              <w:rPr>
                <w:rFonts w:hint="default" w:ascii="Times New Roman" w:hAnsi="Times New Roman" w:cs="Times New Roman"/>
                <w:color w:val="auto"/>
                <w:sz w:val="24"/>
                <w:szCs w:val="24"/>
                <w:lang w:val="en-US" w:eastAsia="zh-CN"/>
              </w:rPr>
              <w:t>碘值不低于800毫克/克的活性</w:t>
            </w:r>
            <w:r>
              <w:rPr>
                <w:rFonts w:hint="eastAsia" w:ascii="Times New Roman" w:hAnsi="Times New Roman" w:cs="Times New Roman"/>
                <w:color w:val="auto"/>
                <w:sz w:val="24"/>
                <w:szCs w:val="24"/>
                <w:lang w:val="en-US" w:eastAsia="zh-CN"/>
              </w:rPr>
              <w:t>炭”的要</w:t>
            </w:r>
            <w:r>
              <w:rPr>
                <w:rFonts w:hint="default" w:ascii="Times New Roman" w:hAnsi="Times New Roman" w:cs="Times New Roman"/>
                <w:color w:val="auto"/>
                <w:sz w:val="24"/>
                <w:szCs w:val="24"/>
                <w:lang w:val="en-US" w:eastAsia="zh-CN"/>
              </w:rPr>
              <w:t>求。</w:t>
            </w:r>
          </w:p>
          <w:p w14:paraId="6B35ACE2">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1.4废气无组织管控措施</w:t>
            </w:r>
          </w:p>
          <w:p w14:paraId="3BC42E6B">
            <w:pPr>
              <w:snapToGrid w:val="0"/>
              <w:spacing w:line="360" w:lineRule="auto"/>
              <w:ind w:firstLine="480" w:firstLineChars="200"/>
              <w:rPr>
                <w:rFonts w:hint="default" w:ascii="Times New Roman" w:hAnsi="Times New Roman" w:cs="Times New Roman"/>
                <w:kern w:val="0"/>
                <w:sz w:val="24"/>
                <w:szCs w:val="32"/>
              </w:rPr>
            </w:pPr>
            <w:r>
              <w:rPr>
                <w:rFonts w:hint="default" w:ascii="Times New Roman" w:hAnsi="Times New Roman" w:cs="Times New Roman"/>
                <w:kern w:val="0"/>
                <w:sz w:val="24"/>
                <w:szCs w:val="32"/>
              </w:rPr>
              <w:t>本项目生产过程中的无组织排放废气主要为车间未能完全收集的废气，为了尽量降低项目无组织排放的大气污染物对周边环境的影响，建设单位应采取以下措施：</w:t>
            </w:r>
          </w:p>
          <w:p w14:paraId="4758DBE7">
            <w:pPr>
              <w:snapToGrid w:val="0"/>
              <w:spacing w:line="360" w:lineRule="auto"/>
              <w:ind w:firstLine="480" w:firstLineChars="200"/>
              <w:rPr>
                <w:rFonts w:hint="default" w:ascii="Times New Roman" w:hAnsi="Times New Roman" w:cs="Times New Roman" w:eastAsiaTheme="minorEastAsia"/>
                <w:kern w:val="0"/>
                <w:sz w:val="24"/>
                <w:szCs w:val="32"/>
                <w:lang w:eastAsia="zh-CN"/>
              </w:rPr>
            </w:pPr>
            <w:r>
              <w:rPr>
                <w:rFonts w:hint="default" w:ascii="Times New Roman" w:hAnsi="Times New Roman" w:cs="Times New Roman"/>
                <w:kern w:val="0"/>
                <w:sz w:val="24"/>
                <w:szCs w:val="32"/>
                <w:lang w:eastAsia="zh-CN"/>
              </w:rPr>
              <w:t>（</w:t>
            </w:r>
            <w:r>
              <w:rPr>
                <w:rFonts w:hint="default" w:ascii="Times New Roman" w:hAnsi="Times New Roman" w:cs="Times New Roman"/>
                <w:kern w:val="0"/>
                <w:sz w:val="24"/>
                <w:szCs w:val="32"/>
                <w:lang w:val="en-US" w:eastAsia="zh-CN"/>
              </w:rPr>
              <w:t>1</w:t>
            </w:r>
            <w:r>
              <w:rPr>
                <w:rFonts w:hint="default" w:ascii="Times New Roman" w:hAnsi="Times New Roman" w:cs="Times New Roman"/>
                <w:kern w:val="0"/>
                <w:sz w:val="24"/>
                <w:szCs w:val="32"/>
                <w:lang w:eastAsia="zh-CN"/>
              </w:rPr>
              <w:t>）储存：本项目原料储存在厂房内，原料及产品与生产区分区设置，减少人员流动及运输逸散粉尘；</w:t>
            </w:r>
          </w:p>
          <w:p w14:paraId="2A61A711">
            <w:pPr>
              <w:snapToGrid w:val="0"/>
              <w:spacing w:line="360" w:lineRule="auto"/>
              <w:ind w:firstLine="480" w:firstLineChars="200"/>
              <w:rPr>
                <w:rFonts w:hint="default" w:ascii="Times New Roman" w:hAnsi="Times New Roman" w:cs="Times New Roman"/>
                <w:kern w:val="0"/>
                <w:sz w:val="24"/>
                <w:szCs w:val="32"/>
              </w:rPr>
            </w:pPr>
            <w:r>
              <w:rPr>
                <w:rFonts w:hint="default" w:ascii="Times New Roman" w:hAnsi="Times New Roman" w:cs="Times New Roman"/>
                <w:kern w:val="0"/>
                <w:sz w:val="24"/>
                <w:szCs w:val="32"/>
                <w:lang w:eastAsia="zh-CN"/>
              </w:rPr>
              <w:t>（</w:t>
            </w:r>
            <w:r>
              <w:rPr>
                <w:rFonts w:hint="default" w:ascii="Times New Roman" w:hAnsi="Times New Roman" w:cs="Times New Roman"/>
                <w:kern w:val="0"/>
                <w:sz w:val="24"/>
                <w:szCs w:val="32"/>
                <w:lang w:val="en-US" w:eastAsia="zh-CN"/>
              </w:rPr>
              <w:t>2</w:t>
            </w:r>
            <w:r>
              <w:rPr>
                <w:rFonts w:hint="default" w:ascii="Times New Roman" w:hAnsi="Times New Roman" w:cs="Times New Roman"/>
                <w:kern w:val="0"/>
                <w:sz w:val="24"/>
                <w:szCs w:val="32"/>
                <w:lang w:eastAsia="zh-CN"/>
              </w:rPr>
              <w:t>）转移和输送：</w:t>
            </w:r>
            <w:r>
              <w:rPr>
                <w:rFonts w:hint="default" w:ascii="Times New Roman" w:hAnsi="Times New Roman" w:cs="Times New Roman"/>
                <w:kern w:val="0"/>
                <w:sz w:val="24"/>
                <w:szCs w:val="32"/>
              </w:rPr>
              <w:t>各</w:t>
            </w:r>
            <w:r>
              <w:rPr>
                <w:rFonts w:hint="eastAsia" w:ascii="Times New Roman" w:hAnsi="Times New Roman" w:cs="Times New Roman"/>
                <w:kern w:val="0"/>
                <w:sz w:val="24"/>
                <w:szCs w:val="32"/>
                <w:lang w:val="en-US" w:eastAsia="zh-CN"/>
              </w:rPr>
              <w:t>固态原料</w:t>
            </w:r>
            <w:r>
              <w:rPr>
                <w:rFonts w:hint="default" w:ascii="Times New Roman" w:hAnsi="Times New Roman" w:cs="Times New Roman"/>
                <w:kern w:val="0"/>
                <w:sz w:val="24"/>
                <w:szCs w:val="32"/>
              </w:rPr>
              <w:t>均通过密闭</w:t>
            </w:r>
            <w:r>
              <w:rPr>
                <w:rFonts w:hint="eastAsia" w:ascii="Times New Roman" w:hAnsi="Times New Roman" w:cs="Times New Roman"/>
                <w:kern w:val="0"/>
                <w:sz w:val="24"/>
                <w:szCs w:val="32"/>
                <w:lang w:val="en-US" w:eastAsia="zh-CN"/>
              </w:rPr>
              <w:t>包装袋</w:t>
            </w:r>
            <w:r>
              <w:rPr>
                <w:rFonts w:hint="default" w:ascii="Times New Roman" w:hAnsi="Times New Roman" w:cs="Times New Roman"/>
                <w:kern w:val="0"/>
                <w:sz w:val="24"/>
                <w:szCs w:val="32"/>
              </w:rPr>
              <w:t>输送。</w:t>
            </w:r>
          </w:p>
          <w:p w14:paraId="3B7F7AD8">
            <w:pPr>
              <w:snapToGrid w:val="0"/>
              <w:spacing w:line="360" w:lineRule="auto"/>
              <w:ind w:firstLine="480" w:firstLineChars="200"/>
              <w:rPr>
                <w:rFonts w:hint="default" w:ascii="Times New Roman" w:hAnsi="Times New Roman" w:cs="Times New Roman"/>
                <w:kern w:val="0"/>
                <w:sz w:val="24"/>
                <w:szCs w:val="32"/>
              </w:rPr>
            </w:pPr>
            <w:r>
              <w:rPr>
                <w:rFonts w:hint="default" w:ascii="Times New Roman" w:hAnsi="Times New Roman" w:cs="Times New Roman"/>
                <w:color w:val="auto"/>
                <w:sz w:val="24"/>
                <w:szCs w:val="24"/>
                <w:lang w:val="en-US" w:eastAsia="zh-CN"/>
              </w:rPr>
              <w:t>（3）废气收集：优化集气罩的设计，建议加装软帘，尽可能科学的将无组织转变为有组织，尽可能的减少废气逃逸率。</w:t>
            </w:r>
          </w:p>
          <w:p w14:paraId="41CEC1AA">
            <w:pPr>
              <w:snapToGrid w:val="0"/>
              <w:spacing w:line="360" w:lineRule="auto"/>
              <w:ind w:firstLine="480" w:firstLineChars="200"/>
              <w:rPr>
                <w:rFonts w:hint="default" w:ascii="Times New Roman" w:hAnsi="Times New Roman" w:cs="Times New Roman"/>
                <w:kern w:val="0"/>
                <w:sz w:val="24"/>
                <w:szCs w:val="32"/>
              </w:rPr>
            </w:pPr>
            <w:r>
              <w:rPr>
                <w:rFonts w:hint="default" w:ascii="Times New Roman" w:hAnsi="Times New Roman" w:cs="Times New Roman"/>
                <w:kern w:val="0"/>
                <w:sz w:val="24"/>
                <w:szCs w:val="32"/>
                <w:lang w:val="en-US" w:eastAsia="zh-CN"/>
              </w:rPr>
              <w:t>（4）环保设备维护：</w:t>
            </w:r>
            <w:r>
              <w:rPr>
                <w:rFonts w:hint="default" w:ascii="Times New Roman" w:hAnsi="Times New Roman" w:cs="Times New Roman"/>
                <w:kern w:val="0"/>
                <w:sz w:val="24"/>
                <w:szCs w:val="32"/>
              </w:rPr>
              <w:t>定期对环保设备进行检查、维护和保养；加强环保设施维护保养，所有风机、管道、阀门等连接部位、运转部位都应连接牢固，做到严密、不渗、不漏、不跑气。防止管道和收集系统的</w:t>
            </w:r>
            <w:r>
              <w:rPr>
                <w:rFonts w:hint="eastAsia" w:ascii="Times New Roman" w:hAnsi="Times New Roman" w:cs="Times New Roman"/>
                <w:kern w:val="0"/>
                <w:sz w:val="24"/>
                <w:szCs w:val="32"/>
                <w:lang w:eastAsia="zh-CN"/>
              </w:rPr>
              <w:t>泄漏</w:t>
            </w:r>
            <w:r>
              <w:rPr>
                <w:rFonts w:hint="default" w:ascii="Times New Roman" w:hAnsi="Times New Roman" w:cs="Times New Roman"/>
                <w:kern w:val="0"/>
                <w:sz w:val="24"/>
                <w:szCs w:val="32"/>
              </w:rPr>
              <w:t>，避免事故性无组织排放。建立事故性排放的防护措施，在车间内备有足够的通风设备。</w:t>
            </w:r>
          </w:p>
          <w:p w14:paraId="056CF8D3">
            <w:pPr>
              <w:spacing w:line="360" w:lineRule="auto"/>
              <w:ind w:firstLine="480" w:firstLineChars="200"/>
              <w:rPr>
                <w:rFonts w:hint="default" w:ascii="Times New Roman" w:hAnsi="Times New Roman" w:cs="Times New Roman"/>
                <w:kern w:val="0"/>
                <w:sz w:val="24"/>
                <w:szCs w:val="32"/>
              </w:rPr>
            </w:pPr>
            <w:r>
              <w:rPr>
                <w:rFonts w:hint="default" w:ascii="Times New Roman" w:hAnsi="Times New Roman" w:cs="Times New Roman"/>
                <w:color w:val="auto"/>
                <w:sz w:val="24"/>
                <w:szCs w:val="24"/>
                <w:lang w:val="en-US" w:eastAsia="zh-CN"/>
              </w:rPr>
              <w:t>（5）人员管理：加强对车间操作工的培训和管理，以减少人为造成的废气无组织排放。</w:t>
            </w:r>
          </w:p>
          <w:p w14:paraId="7A759719">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kern w:val="0"/>
                <w:sz w:val="24"/>
                <w:szCs w:val="32"/>
              </w:rPr>
              <w:t>通过以上措施，可以减少无组织废气的排放，减少对周围大气环境的影响。</w:t>
            </w:r>
          </w:p>
          <w:p w14:paraId="69A73014">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1.5非正常工况废气排放情况</w:t>
            </w:r>
          </w:p>
          <w:p w14:paraId="6301EDED">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非正常工况一般是污染物排放控制措施达不到应有效率、工艺设备运转异常等情况下的排放。工艺设备运转异常应停产检修，废气处理系统出现故障，一般有3种情况：停电、净化装置和风机出现故障，对生产异常情况，采取以下措施：</w:t>
            </w:r>
          </w:p>
          <w:p w14:paraId="7423A74C">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a.如果全厂停电，停止生产，无污染物产生。为确保安全，风机仍然继续运转。</w:t>
            </w:r>
          </w:p>
          <w:p w14:paraId="7A1B944F">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b.风机出现故障时，备用风机立即启动。</w:t>
            </w:r>
          </w:p>
          <w:p w14:paraId="4513A58D">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c.当废气处理设施出现故障时，应立即进行维修，必要时停止生产原料的供给。</w:t>
            </w:r>
          </w:p>
          <w:p w14:paraId="702B208F">
            <w:pPr>
              <w:spacing w:line="360" w:lineRule="auto"/>
              <w:ind w:firstLine="480" w:firstLineChars="200"/>
              <w:rPr>
                <w:rFonts w:hint="default" w:ascii="Times New Roman" w:hAnsi="Times New Roman" w:cs="Times New Roman"/>
                <w:b/>
                <w:bCs/>
                <w:color w:val="auto"/>
                <w:sz w:val="21"/>
                <w:szCs w:val="21"/>
              </w:rPr>
            </w:pPr>
            <w:r>
              <w:rPr>
                <w:rFonts w:hint="default" w:ascii="Times New Roman" w:hAnsi="Times New Roman" w:cs="Times New Roman"/>
                <w:color w:val="auto"/>
                <w:sz w:val="24"/>
                <w:szCs w:val="24"/>
                <w:lang w:val="en-US" w:eastAsia="zh-CN"/>
              </w:rPr>
              <w:t>本报告废气非正常排放考虑装置处理效率为0的情况，非正常工况排放参数表</w:t>
            </w:r>
            <w:r>
              <w:rPr>
                <w:rFonts w:hint="default" w:ascii="Times New Roman" w:hAnsi="Times New Roman" w:cs="Times New Roman"/>
                <w:color w:val="auto"/>
                <w:sz w:val="24"/>
              </w:rPr>
              <w:t>见下表4.</w:t>
            </w:r>
            <w:r>
              <w:rPr>
                <w:rFonts w:hint="eastAsia" w:ascii="Times New Roman" w:hAnsi="Times New Roman" w:cs="Times New Roman"/>
                <w:color w:val="auto"/>
                <w:sz w:val="24"/>
                <w:lang w:val="en-US" w:eastAsia="zh-CN"/>
              </w:rPr>
              <w:t>8</w:t>
            </w:r>
            <w:r>
              <w:rPr>
                <w:rFonts w:hint="default" w:ascii="Times New Roman" w:hAnsi="Times New Roman" w:cs="Times New Roman"/>
                <w:color w:val="auto"/>
                <w:sz w:val="24"/>
              </w:rPr>
              <w:t>。</w:t>
            </w:r>
          </w:p>
          <w:p w14:paraId="23A8C691">
            <w:pPr>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表4.</w:t>
            </w:r>
            <w:r>
              <w:rPr>
                <w:rFonts w:hint="eastAsia" w:ascii="Times New Roman" w:hAnsi="Times New Roman" w:cs="Times New Roman"/>
                <w:b/>
                <w:bCs/>
                <w:color w:val="auto"/>
                <w:sz w:val="21"/>
                <w:szCs w:val="21"/>
                <w:lang w:val="en-US" w:eastAsia="zh-CN"/>
              </w:rPr>
              <w:t>8</w:t>
            </w:r>
            <w:r>
              <w:rPr>
                <w:rFonts w:hint="default" w:ascii="Times New Roman" w:hAnsi="Times New Roman" w:cs="Times New Roman"/>
                <w:b/>
                <w:bCs/>
                <w:color w:val="auto"/>
                <w:sz w:val="21"/>
                <w:szCs w:val="21"/>
              </w:rPr>
              <w:t xml:space="preserve">  非正常工况排放参数表</w:t>
            </w:r>
          </w:p>
          <w:tbl>
            <w:tblPr>
              <w:tblStyle w:val="32"/>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1085"/>
              <w:gridCol w:w="1311"/>
              <w:gridCol w:w="1203"/>
              <w:gridCol w:w="1343"/>
              <w:gridCol w:w="1203"/>
              <w:gridCol w:w="1203"/>
              <w:gridCol w:w="1200"/>
            </w:tblGrid>
            <w:tr w14:paraId="4EF39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4" w:type="dxa"/>
                  <w:vAlign w:val="center"/>
                </w:tcPr>
                <w:p w14:paraId="2E288D97">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非正常工况排放源</w:t>
                  </w:r>
                </w:p>
              </w:tc>
              <w:tc>
                <w:tcPr>
                  <w:tcW w:w="1088" w:type="dxa"/>
                  <w:vAlign w:val="center"/>
                </w:tcPr>
                <w:p w14:paraId="6FDCEA87">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排气筒</w:t>
                  </w:r>
                </w:p>
              </w:tc>
              <w:tc>
                <w:tcPr>
                  <w:tcW w:w="1343" w:type="dxa"/>
                  <w:vAlign w:val="center"/>
                </w:tcPr>
                <w:p w14:paraId="3C41570D">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污染物名称</w:t>
                  </w:r>
                </w:p>
              </w:tc>
              <w:tc>
                <w:tcPr>
                  <w:tcW w:w="1207" w:type="dxa"/>
                  <w:vAlign w:val="center"/>
                </w:tcPr>
                <w:p w14:paraId="4F497212">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非正常排放速率（kg/h）</w:t>
                  </w:r>
                </w:p>
              </w:tc>
              <w:tc>
                <w:tcPr>
                  <w:tcW w:w="1208" w:type="dxa"/>
                  <w:vAlign w:val="center"/>
                </w:tcPr>
                <w:p w14:paraId="51718024">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非正常排放浓度（mg/m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226" w:type="dxa"/>
                  <w:vAlign w:val="center"/>
                </w:tcPr>
                <w:p w14:paraId="4203122B">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单次持续时间</w:t>
                  </w:r>
                </w:p>
              </w:tc>
              <w:tc>
                <w:tcPr>
                  <w:tcW w:w="1227" w:type="dxa"/>
                  <w:vAlign w:val="center"/>
                </w:tcPr>
                <w:p w14:paraId="296C9B07">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年发生频次</w:t>
                  </w:r>
                </w:p>
              </w:tc>
              <w:tc>
                <w:tcPr>
                  <w:tcW w:w="1228" w:type="dxa"/>
                  <w:vAlign w:val="center"/>
                </w:tcPr>
                <w:p w14:paraId="24373915">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措施</w:t>
                  </w:r>
                </w:p>
              </w:tc>
            </w:tr>
            <w:tr w14:paraId="3F59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4" w:type="dxa"/>
                  <w:vMerge w:val="restart"/>
                  <w:shd w:val="clear" w:color="auto" w:fill="auto"/>
                  <w:vAlign w:val="center"/>
                </w:tcPr>
                <w:p w14:paraId="0A995BA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烤料、热压成型</w:t>
                  </w:r>
                </w:p>
              </w:tc>
              <w:tc>
                <w:tcPr>
                  <w:tcW w:w="1088" w:type="dxa"/>
                  <w:vMerge w:val="restart"/>
                  <w:shd w:val="clear" w:color="auto" w:fill="auto"/>
                  <w:vAlign w:val="center"/>
                </w:tcPr>
                <w:p w14:paraId="0A846B4B">
                  <w:pPr>
                    <w:spacing w:line="240" w:lineRule="auto"/>
                    <w:jc w:val="center"/>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bCs/>
                      <w:color w:val="auto"/>
                      <w:sz w:val="21"/>
                      <w:szCs w:val="21"/>
                    </w:rPr>
                    <w:t>DA001</w:t>
                  </w:r>
                </w:p>
              </w:tc>
              <w:tc>
                <w:tcPr>
                  <w:tcW w:w="1343" w:type="dxa"/>
                  <w:shd w:val="clear" w:color="auto" w:fill="auto"/>
                  <w:vAlign w:val="center"/>
                </w:tcPr>
                <w:p w14:paraId="7FF8D520">
                  <w:pPr>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非甲烷总烃</w:t>
                  </w:r>
                </w:p>
              </w:tc>
              <w:tc>
                <w:tcPr>
                  <w:tcW w:w="1207" w:type="dxa"/>
                  <w:shd w:val="clear" w:color="auto" w:fill="auto"/>
                  <w:vAlign w:val="center"/>
                </w:tcPr>
                <w:p w14:paraId="4F5DB693">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0.1080 </w:t>
                  </w:r>
                </w:p>
              </w:tc>
              <w:tc>
                <w:tcPr>
                  <w:tcW w:w="1208" w:type="dxa"/>
                  <w:shd w:val="clear" w:color="auto" w:fill="auto"/>
                  <w:vAlign w:val="center"/>
                </w:tcPr>
                <w:p w14:paraId="309556EA">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3.60 </w:t>
                  </w:r>
                </w:p>
              </w:tc>
              <w:tc>
                <w:tcPr>
                  <w:tcW w:w="1226" w:type="dxa"/>
                  <w:shd w:val="clear" w:color="auto" w:fill="auto"/>
                  <w:vAlign w:val="center"/>
                </w:tcPr>
                <w:p w14:paraId="76C6C74B">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0.5</w:t>
                  </w:r>
                </w:p>
              </w:tc>
              <w:tc>
                <w:tcPr>
                  <w:tcW w:w="1227" w:type="dxa"/>
                  <w:shd w:val="clear" w:color="auto" w:fill="auto"/>
                  <w:vAlign w:val="center"/>
                </w:tcPr>
                <w:p w14:paraId="6454E8AF">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≤1</w:t>
                  </w:r>
                </w:p>
              </w:tc>
              <w:tc>
                <w:tcPr>
                  <w:tcW w:w="1228" w:type="dxa"/>
                  <w:shd w:val="clear" w:color="auto" w:fill="auto"/>
                  <w:vAlign w:val="center"/>
                </w:tcPr>
                <w:p w14:paraId="719DC488">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停工检修</w:t>
                  </w:r>
                </w:p>
              </w:tc>
            </w:tr>
            <w:tr w14:paraId="2ED0F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4" w:type="dxa"/>
                  <w:vMerge w:val="continue"/>
                  <w:shd w:val="clear" w:color="auto" w:fill="auto"/>
                  <w:vAlign w:val="center"/>
                </w:tcPr>
                <w:p w14:paraId="4DC69498">
                  <w:pPr>
                    <w:spacing w:line="240" w:lineRule="auto"/>
                    <w:jc w:val="center"/>
                    <w:rPr>
                      <w:rFonts w:hint="eastAsia" w:ascii="Times New Roman" w:hAnsi="Times New Roman" w:eastAsia="宋体" w:cs="Times New Roman"/>
                      <w:color w:val="auto"/>
                      <w:kern w:val="2"/>
                      <w:sz w:val="21"/>
                      <w:szCs w:val="21"/>
                      <w:lang w:val="en-US" w:eastAsia="zh-CN" w:bidi="ar-SA"/>
                    </w:rPr>
                  </w:pPr>
                </w:p>
              </w:tc>
              <w:tc>
                <w:tcPr>
                  <w:tcW w:w="1088" w:type="dxa"/>
                  <w:vMerge w:val="continue"/>
                  <w:shd w:val="clear" w:color="auto" w:fill="auto"/>
                  <w:vAlign w:val="center"/>
                </w:tcPr>
                <w:p w14:paraId="7A485DFE">
                  <w:pPr>
                    <w:spacing w:line="240" w:lineRule="auto"/>
                    <w:jc w:val="center"/>
                    <w:rPr>
                      <w:rFonts w:hint="default" w:ascii="Times New Roman" w:hAnsi="Times New Roman" w:cs="Times New Roman"/>
                      <w:b/>
                      <w:bCs/>
                      <w:color w:val="auto"/>
                      <w:sz w:val="21"/>
                      <w:szCs w:val="21"/>
                    </w:rPr>
                  </w:pPr>
                </w:p>
              </w:tc>
              <w:tc>
                <w:tcPr>
                  <w:tcW w:w="1343" w:type="dxa"/>
                  <w:shd w:val="clear" w:color="auto" w:fill="auto"/>
                  <w:vAlign w:val="center"/>
                </w:tcPr>
                <w:p w14:paraId="57A54B5D">
                  <w:pPr>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甲醛</w:t>
                  </w:r>
                </w:p>
              </w:tc>
              <w:tc>
                <w:tcPr>
                  <w:tcW w:w="1207" w:type="dxa"/>
                  <w:shd w:val="clear" w:color="auto" w:fill="auto"/>
                  <w:vAlign w:val="center"/>
                </w:tcPr>
                <w:p w14:paraId="78A5DD13">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0.0006 </w:t>
                  </w:r>
                </w:p>
              </w:tc>
              <w:tc>
                <w:tcPr>
                  <w:tcW w:w="1208" w:type="dxa"/>
                  <w:shd w:val="clear" w:color="auto" w:fill="auto"/>
                  <w:vAlign w:val="center"/>
                </w:tcPr>
                <w:p w14:paraId="603DB74B">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0.02 </w:t>
                  </w:r>
                </w:p>
              </w:tc>
              <w:tc>
                <w:tcPr>
                  <w:tcW w:w="1226" w:type="dxa"/>
                  <w:shd w:val="clear" w:color="auto" w:fill="auto"/>
                  <w:vAlign w:val="center"/>
                </w:tcPr>
                <w:p w14:paraId="714055D2">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0.5</w:t>
                  </w:r>
                </w:p>
              </w:tc>
              <w:tc>
                <w:tcPr>
                  <w:tcW w:w="1227" w:type="dxa"/>
                  <w:shd w:val="clear" w:color="auto" w:fill="auto"/>
                  <w:vAlign w:val="center"/>
                </w:tcPr>
                <w:p w14:paraId="4B3A8A0E">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≤1</w:t>
                  </w:r>
                </w:p>
              </w:tc>
              <w:tc>
                <w:tcPr>
                  <w:tcW w:w="1228" w:type="dxa"/>
                  <w:shd w:val="clear" w:color="auto" w:fill="auto"/>
                  <w:vAlign w:val="center"/>
                </w:tcPr>
                <w:p w14:paraId="56E67E16">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停工检修</w:t>
                  </w:r>
                </w:p>
              </w:tc>
            </w:tr>
            <w:tr w14:paraId="7DDE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4" w:type="dxa"/>
                  <w:shd w:val="clear" w:color="auto" w:fill="auto"/>
                  <w:vAlign w:val="center"/>
                </w:tcPr>
                <w:p w14:paraId="1C2CD2B8">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吹灰</w:t>
                  </w:r>
                </w:p>
              </w:tc>
              <w:tc>
                <w:tcPr>
                  <w:tcW w:w="1088" w:type="dxa"/>
                  <w:shd w:val="clear" w:color="auto" w:fill="auto"/>
                  <w:vAlign w:val="center"/>
                </w:tcPr>
                <w:p w14:paraId="5C100FDC">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DA001</w:t>
                  </w:r>
                </w:p>
              </w:tc>
              <w:tc>
                <w:tcPr>
                  <w:tcW w:w="1343" w:type="dxa"/>
                  <w:shd w:val="clear" w:color="auto" w:fill="auto"/>
                  <w:vAlign w:val="center"/>
                </w:tcPr>
                <w:p w14:paraId="0219F4A4">
                  <w:pPr>
                    <w:snapToGrid w:val="0"/>
                    <w:spacing w:line="240" w:lineRule="auto"/>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颗粒物</w:t>
                  </w:r>
                </w:p>
              </w:tc>
              <w:tc>
                <w:tcPr>
                  <w:tcW w:w="1207" w:type="dxa"/>
                  <w:shd w:val="clear" w:color="auto" w:fill="auto"/>
                  <w:vAlign w:val="center"/>
                </w:tcPr>
                <w:p w14:paraId="03211B48">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0.1845 </w:t>
                  </w:r>
                </w:p>
              </w:tc>
              <w:tc>
                <w:tcPr>
                  <w:tcW w:w="1208" w:type="dxa"/>
                  <w:shd w:val="clear" w:color="auto" w:fill="auto"/>
                  <w:vAlign w:val="center"/>
                </w:tcPr>
                <w:p w14:paraId="4707DE51">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6.15 </w:t>
                  </w:r>
                </w:p>
              </w:tc>
              <w:tc>
                <w:tcPr>
                  <w:tcW w:w="1226" w:type="dxa"/>
                  <w:shd w:val="clear" w:color="auto" w:fill="auto"/>
                  <w:vAlign w:val="center"/>
                </w:tcPr>
                <w:p w14:paraId="1223FAB2">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0.5</w:t>
                  </w:r>
                </w:p>
              </w:tc>
              <w:tc>
                <w:tcPr>
                  <w:tcW w:w="1227" w:type="dxa"/>
                  <w:shd w:val="clear" w:color="auto" w:fill="auto"/>
                  <w:vAlign w:val="center"/>
                </w:tcPr>
                <w:p w14:paraId="7E43A6AC">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≤1</w:t>
                  </w:r>
                </w:p>
              </w:tc>
              <w:tc>
                <w:tcPr>
                  <w:tcW w:w="1228" w:type="dxa"/>
                  <w:shd w:val="clear" w:color="auto" w:fill="auto"/>
                  <w:vAlign w:val="center"/>
                </w:tcPr>
                <w:p w14:paraId="41A8757E">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停工检修</w:t>
                  </w:r>
                </w:p>
              </w:tc>
            </w:tr>
            <w:tr w14:paraId="2AC21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4" w:type="dxa"/>
                  <w:shd w:val="clear" w:color="auto" w:fill="auto"/>
                  <w:vAlign w:val="center"/>
                </w:tcPr>
                <w:p w14:paraId="47385218">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磨边</w:t>
                  </w:r>
                </w:p>
              </w:tc>
              <w:tc>
                <w:tcPr>
                  <w:tcW w:w="1088" w:type="dxa"/>
                  <w:shd w:val="clear" w:color="auto" w:fill="auto"/>
                  <w:vAlign w:val="center"/>
                </w:tcPr>
                <w:p w14:paraId="7F297F43">
                  <w:pPr>
                    <w:spacing w:line="240" w:lineRule="auto"/>
                    <w:jc w:val="center"/>
                    <w:rPr>
                      <w:rFonts w:hint="eastAsia"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b/>
                      <w:bCs/>
                      <w:color w:val="auto"/>
                      <w:sz w:val="21"/>
                      <w:szCs w:val="21"/>
                    </w:rPr>
                    <w:t>DA00</w:t>
                  </w:r>
                  <w:r>
                    <w:rPr>
                      <w:rFonts w:hint="eastAsia" w:ascii="Times New Roman" w:hAnsi="Times New Roman" w:cs="Times New Roman"/>
                      <w:b/>
                      <w:bCs/>
                      <w:color w:val="auto"/>
                      <w:sz w:val="21"/>
                      <w:szCs w:val="21"/>
                      <w:lang w:val="en-US" w:eastAsia="zh-CN"/>
                    </w:rPr>
                    <w:t>2</w:t>
                  </w:r>
                </w:p>
              </w:tc>
              <w:tc>
                <w:tcPr>
                  <w:tcW w:w="1343" w:type="dxa"/>
                  <w:shd w:val="clear" w:color="auto" w:fill="auto"/>
                  <w:vAlign w:val="center"/>
                </w:tcPr>
                <w:p w14:paraId="6D7D7E6B">
                  <w:pPr>
                    <w:snapToGrid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lang w:val="en-US" w:eastAsia="zh-CN"/>
                    </w:rPr>
                    <w:t>颗粒物</w:t>
                  </w:r>
                </w:p>
              </w:tc>
              <w:tc>
                <w:tcPr>
                  <w:tcW w:w="1207" w:type="dxa"/>
                  <w:shd w:val="clear" w:color="auto" w:fill="auto"/>
                  <w:vAlign w:val="center"/>
                </w:tcPr>
                <w:p w14:paraId="551584AF">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0.4360 </w:t>
                  </w:r>
                </w:p>
              </w:tc>
              <w:tc>
                <w:tcPr>
                  <w:tcW w:w="1208" w:type="dxa"/>
                  <w:shd w:val="clear" w:color="auto" w:fill="auto"/>
                  <w:vAlign w:val="center"/>
                </w:tcPr>
                <w:p w14:paraId="4FD906CE">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43.60 </w:t>
                  </w:r>
                </w:p>
              </w:tc>
              <w:tc>
                <w:tcPr>
                  <w:tcW w:w="1226" w:type="dxa"/>
                  <w:shd w:val="clear" w:color="auto" w:fill="auto"/>
                  <w:vAlign w:val="center"/>
                </w:tcPr>
                <w:p w14:paraId="3C397CF2">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0.5</w:t>
                  </w:r>
                </w:p>
              </w:tc>
              <w:tc>
                <w:tcPr>
                  <w:tcW w:w="1227" w:type="dxa"/>
                  <w:shd w:val="clear" w:color="auto" w:fill="auto"/>
                  <w:vAlign w:val="center"/>
                </w:tcPr>
                <w:p w14:paraId="1DF7A9EB">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≤1</w:t>
                  </w:r>
                </w:p>
              </w:tc>
              <w:tc>
                <w:tcPr>
                  <w:tcW w:w="1228" w:type="dxa"/>
                  <w:shd w:val="clear" w:color="auto" w:fill="auto"/>
                  <w:vAlign w:val="center"/>
                </w:tcPr>
                <w:p w14:paraId="36237FB5">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停工检修</w:t>
                  </w:r>
                </w:p>
              </w:tc>
            </w:tr>
          </w:tbl>
          <w:p w14:paraId="1EB58DE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建设单位须加强废气净化设备的管理，定期检修，确保净化装置正常运行，在净化装置停止运行或出现故障时，产生废气的各工序也必须立即停止生产，进行检修，避免事故状态下污染物的排放。</w:t>
            </w:r>
          </w:p>
          <w:p w14:paraId="328A02B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1.6废气环境影响分析</w:t>
            </w:r>
          </w:p>
          <w:p w14:paraId="23017D4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宿州市2024年环境质量状况报告</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宿州市</w:t>
            </w:r>
            <w:r>
              <w:rPr>
                <w:rFonts w:hint="default" w:ascii="Times New Roman" w:hAnsi="Times New Roman" w:cs="Times New Roman"/>
                <w:color w:val="auto"/>
                <w:sz w:val="24"/>
                <w:szCs w:val="24"/>
                <w:lang w:eastAsia="zh-CN"/>
              </w:rPr>
              <w:t>生态环境局，</w:t>
            </w:r>
            <w:r>
              <w:rPr>
                <w:rFonts w:hint="default" w:ascii="Times New Roman" w:hAnsi="Times New Roman" w:cs="Times New Roman"/>
                <w:color w:val="auto"/>
                <w:sz w:val="24"/>
                <w:szCs w:val="24"/>
                <w:lang w:val="en-US" w:eastAsia="zh-CN"/>
              </w:rPr>
              <w:t>2025年11月24日</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rPr>
              <w:t>，项目所在地为大气环境空气质量不达标区。</w:t>
            </w:r>
          </w:p>
          <w:p w14:paraId="24135078">
            <w:pPr>
              <w:spacing w:line="360" w:lineRule="auto"/>
              <w:ind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针对基本污染物不达标问题，宿州市人民政府采取措施进行区域整改，具体整改措施如下：</w:t>
            </w:r>
          </w:p>
          <w:p w14:paraId="6CB5C342">
            <w:pPr>
              <w:pStyle w:val="38"/>
              <w:spacing w:line="360" w:lineRule="auto"/>
              <w:ind w:firstLine="480" w:firstLineChars="20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在加大调整产业结构、强化环境监督、综合整治面源污染的同时，进一步完善工业污染源治理，取缔分散居民燃煤锅炉的使用，加强施工临时堆土管理及车辆运输管理，该措施能够使得大气环境质量得到有效改善。</w:t>
            </w:r>
          </w:p>
          <w:p w14:paraId="08BB0668">
            <w:pPr>
              <w:pStyle w:val="38"/>
              <w:spacing w:line="360" w:lineRule="auto"/>
              <w:ind w:firstLine="480" w:firstLineChars="200"/>
              <w:rPr>
                <w:rFonts w:hint="default" w:ascii="Times New Roman" w:hAnsi="Times New Roman" w:eastAsia="宋体" w:cs="Times New Roman"/>
                <w:b w:val="0"/>
                <w:bCs/>
                <w:color w:val="auto"/>
                <w:sz w:val="24"/>
                <w:szCs w:val="24"/>
                <w:lang w:eastAsia="zh-CN"/>
              </w:rPr>
            </w:pPr>
            <w:r>
              <w:rPr>
                <w:rFonts w:hint="default" w:ascii="Times New Roman" w:hAnsi="Times New Roman" w:cs="Times New Roman"/>
                <w:b w:val="0"/>
                <w:bCs/>
                <w:color w:val="auto"/>
                <w:sz w:val="24"/>
                <w:szCs w:val="24"/>
              </w:rPr>
              <w:t>根据《工业炉窑大气污染综合治理方案》</w:t>
            </w:r>
            <w:r>
              <w:rPr>
                <w:rFonts w:hint="default" w:ascii="Times New Roman" w:hAnsi="Times New Roman" w:cs="Times New Roman"/>
                <w:b w:val="0"/>
                <w:bCs/>
                <w:color w:val="auto"/>
                <w:sz w:val="24"/>
                <w:szCs w:val="24"/>
                <w:lang w:eastAsia="zh-CN"/>
              </w:rPr>
              <w:t>（</w:t>
            </w:r>
            <w:r>
              <w:rPr>
                <w:rFonts w:hint="default" w:ascii="Times New Roman" w:hAnsi="Times New Roman" w:cs="Times New Roman"/>
                <w:b w:val="0"/>
                <w:bCs/>
                <w:color w:val="auto"/>
                <w:sz w:val="24"/>
                <w:szCs w:val="24"/>
                <w:lang w:val="en-US" w:eastAsia="zh-CN"/>
              </w:rPr>
              <w:t>环大气【2019】56号</w:t>
            </w:r>
            <w:r>
              <w:rPr>
                <w:rFonts w:hint="default" w:ascii="Times New Roman" w:hAnsi="Times New Roman" w:cs="Times New Roman"/>
                <w:b w:val="0"/>
                <w:bCs/>
                <w:color w:val="auto"/>
                <w:sz w:val="24"/>
                <w:szCs w:val="24"/>
                <w:lang w:eastAsia="zh-CN"/>
              </w:rPr>
              <w:t>）</w:t>
            </w:r>
            <w:r>
              <w:rPr>
                <w:rFonts w:hint="default" w:ascii="Times New Roman" w:hAnsi="Times New Roman" w:cs="Times New Roman"/>
                <w:b w:val="0"/>
                <w:bCs/>
                <w:color w:val="auto"/>
                <w:sz w:val="24"/>
                <w:szCs w:val="24"/>
              </w:rPr>
              <w:t>、《</w:t>
            </w:r>
            <w:r>
              <w:rPr>
                <w:rFonts w:hint="default" w:ascii="Times New Roman" w:hAnsi="Times New Roman" w:cs="Times New Roman"/>
                <w:b w:val="0"/>
                <w:bCs/>
                <w:color w:val="auto"/>
                <w:sz w:val="24"/>
                <w:szCs w:val="24"/>
                <w:lang w:val="en-US" w:eastAsia="zh-CN"/>
              </w:rPr>
              <w:t>关于印发&lt;</w:t>
            </w:r>
            <w:r>
              <w:rPr>
                <w:rFonts w:hint="default" w:ascii="Times New Roman" w:hAnsi="Times New Roman" w:cs="Times New Roman"/>
                <w:b w:val="0"/>
                <w:bCs/>
                <w:color w:val="auto"/>
                <w:sz w:val="24"/>
                <w:szCs w:val="24"/>
              </w:rPr>
              <w:t>重点行业挥发性有机物综合治理方案</w:t>
            </w:r>
            <w:r>
              <w:rPr>
                <w:rFonts w:hint="default" w:ascii="Times New Roman" w:hAnsi="Times New Roman" w:cs="Times New Roman"/>
                <w:b w:val="0"/>
                <w:bCs/>
                <w:color w:val="auto"/>
                <w:sz w:val="24"/>
                <w:szCs w:val="24"/>
                <w:lang w:val="en-US" w:eastAsia="zh-CN"/>
              </w:rPr>
              <w:t>&gt;的通知</w:t>
            </w:r>
            <w:r>
              <w:rPr>
                <w:rFonts w:hint="default" w:ascii="Times New Roman" w:hAnsi="Times New Roman" w:cs="Times New Roman"/>
                <w:b w:val="0"/>
                <w:bCs/>
                <w:color w:val="auto"/>
                <w:sz w:val="24"/>
                <w:szCs w:val="24"/>
                <w:lang w:eastAsia="zh-CN"/>
              </w:rPr>
              <w:t>》（</w:t>
            </w:r>
            <w:r>
              <w:rPr>
                <w:rFonts w:hint="default" w:ascii="Times New Roman" w:hAnsi="Times New Roman" w:cs="Times New Roman"/>
                <w:b w:val="0"/>
                <w:bCs/>
                <w:color w:val="auto"/>
                <w:sz w:val="24"/>
                <w:szCs w:val="24"/>
                <w:lang w:val="en-US" w:eastAsia="zh-CN"/>
              </w:rPr>
              <w:t>环大气【2019】53号</w:t>
            </w:r>
            <w:r>
              <w:rPr>
                <w:rFonts w:hint="default" w:ascii="Times New Roman" w:hAnsi="Times New Roman" w:cs="Times New Roman"/>
                <w:b w:val="0"/>
                <w:bCs/>
                <w:color w:val="auto"/>
                <w:sz w:val="24"/>
                <w:szCs w:val="24"/>
                <w:lang w:eastAsia="zh-CN"/>
              </w:rPr>
              <w:t>），</w:t>
            </w:r>
            <w:r>
              <w:rPr>
                <w:rFonts w:hint="default" w:ascii="Times New Roman" w:hAnsi="Times New Roman" w:cs="Times New Roman"/>
                <w:b w:val="0"/>
                <w:bCs/>
                <w:color w:val="auto"/>
                <w:sz w:val="24"/>
                <w:szCs w:val="24"/>
              </w:rPr>
              <w:t>宿州市加大区域产业布局调整力度，加快城市建成区及临近周边重污染企业搬迁改造或关闭退出，推动实施低端化工等重污染企业搬迁工程。禁止新增化工园区，加大现有化工园区整治力度。已明确的退城企业，要明确时间表，逾期不退城的予以停产；严格控制“两高”行业产能；强化“散乱污”企业综合整治；深化工业污染治理；大力培育绿色环保产业；加快调整能源结构，构建清洁低碳高效能源体系；积极调整运输结构，发展绿色交通体系等，通过采取以上措施，宿州市区域环境空气质量得到大大改善</w:t>
            </w:r>
            <w:r>
              <w:rPr>
                <w:rFonts w:hint="default" w:ascii="Times New Roman" w:hAnsi="Times New Roman" w:cs="Times New Roman"/>
                <w:b w:val="0"/>
                <w:bCs/>
                <w:color w:val="auto"/>
                <w:sz w:val="24"/>
                <w:szCs w:val="24"/>
                <w:lang w:eastAsia="zh-CN"/>
              </w:rPr>
              <w:t>。</w:t>
            </w:r>
          </w:p>
          <w:p w14:paraId="0D5C719B">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运营期</w:t>
            </w:r>
            <w:r>
              <w:rPr>
                <w:rFonts w:hint="eastAsia" w:ascii="Times New Roman" w:hAnsi="Times New Roman" w:eastAsia="宋体" w:cs="Times New Roman"/>
                <w:color w:val="auto"/>
                <w:sz w:val="24"/>
                <w:lang w:val="en-US" w:eastAsia="zh-CN"/>
              </w:rPr>
              <w:t>排气筒排放的烤料、热压成型产生的非甲烷总烃满足《固定源挥发性有机物综合排放标准 第6部分：其他行业》（DB34/4812.6-2024）表1中标准限值，甲醛满足《</w:t>
            </w:r>
            <w:r>
              <w:rPr>
                <w:rFonts w:hint="default" w:ascii="Times New Roman" w:hAnsi="Times New Roman" w:eastAsia="宋体" w:cs="Times New Roman"/>
                <w:color w:val="auto"/>
                <w:sz w:val="24"/>
                <w:lang w:val="en-US" w:eastAsia="zh-CN"/>
              </w:rPr>
              <w:t>合成树脂工业污染物排放标准》（GB31572-2015）（含2024年修改单）表</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val="en-US" w:eastAsia="zh-CN"/>
              </w:rPr>
              <w:t>中标准要求</w:t>
            </w:r>
            <w:r>
              <w:rPr>
                <w:rFonts w:hint="eastAsia" w:ascii="Times New Roman" w:hAnsi="Times New Roman" w:eastAsia="宋体" w:cs="Times New Roman"/>
                <w:color w:val="auto"/>
                <w:sz w:val="24"/>
                <w:lang w:val="en-US" w:eastAsia="zh-CN"/>
              </w:rPr>
              <w:t>；吹灰、磨边</w:t>
            </w:r>
            <w:r>
              <w:rPr>
                <w:rFonts w:hint="default" w:ascii="Times New Roman" w:hAnsi="Times New Roman" w:eastAsia="宋体" w:cs="Times New Roman"/>
                <w:color w:val="auto"/>
                <w:sz w:val="24"/>
                <w:lang w:val="en-US" w:eastAsia="zh-CN"/>
              </w:rPr>
              <w:t>工序排放的</w:t>
            </w:r>
            <w:r>
              <w:rPr>
                <w:rFonts w:hint="default" w:ascii="Times New Roman" w:hAnsi="Times New Roman" w:cs="Times New Roman"/>
                <w:color w:val="auto"/>
                <w:sz w:val="24"/>
                <w:szCs w:val="24"/>
                <w:lang w:val="en-US" w:eastAsia="zh-CN"/>
              </w:rPr>
              <w:t>颗粒物</w:t>
            </w:r>
            <w:r>
              <w:rPr>
                <w:rFonts w:hint="default" w:ascii="Times New Roman" w:hAnsi="Times New Roman" w:eastAsia="宋体" w:cs="Times New Roman"/>
                <w:color w:val="auto"/>
                <w:sz w:val="24"/>
                <w:lang w:val="en-US" w:eastAsia="zh-CN"/>
              </w:rPr>
              <w:t>满足</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合成树脂工业污染物排放标准》（GB31572-2015）（含2024年修改单）表</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val="en-US" w:eastAsia="zh-CN"/>
              </w:rPr>
              <w:t>中标准要求</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厂界排放的</w:t>
            </w:r>
            <w:r>
              <w:rPr>
                <w:rFonts w:hint="default" w:ascii="Times New Roman" w:hAnsi="Times New Roman" w:cs="Times New Roman"/>
                <w:color w:val="auto"/>
                <w:sz w:val="24"/>
                <w:szCs w:val="24"/>
                <w:lang w:val="en-US" w:eastAsia="zh-CN"/>
              </w:rPr>
              <w:t>颗粒物</w:t>
            </w:r>
            <w:r>
              <w:rPr>
                <w:rFonts w:hint="eastAsia"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lang w:val="en-US" w:eastAsia="zh-CN"/>
              </w:rPr>
              <w:t>非甲烷总烃</w:t>
            </w:r>
            <w:r>
              <w:rPr>
                <w:rFonts w:hint="default" w:ascii="Times New Roman" w:hAnsi="Times New Roman" w:eastAsia="宋体" w:cs="Times New Roman"/>
                <w:color w:val="auto"/>
                <w:sz w:val="24"/>
                <w:lang w:val="en-US" w:eastAsia="zh-CN"/>
              </w:rPr>
              <w:t>满足</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合成树脂工业污染物排放标准》（GB31572-2015）（含2024年修改单）表</w:t>
            </w:r>
            <w:r>
              <w:rPr>
                <w:rFonts w:hint="eastAsia"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lang w:val="en-US" w:eastAsia="zh-CN"/>
              </w:rPr>
              <w:t>中标准要求</w:t>
            </w:r>
            <w:r>
              <w:rPr>
                <w:rFonts w:hint="eastAsia" w:ascii="Times New Roman" w:hAnsi="Times New Roman" w:eastAsia="宋体" w:cs="Times New Roman"/>
                <w:color w:val="auto"/>
                <w:sz w:val="24"/>
                <w:lang w:val="en-US" w:eastAsia="zh-CN"/>
              </w:rPr>
              <w:t>，甲醛满足《固定源挥发性有机物综合排放标准 第6部分：其他行业》（DB34/4812.6-2024）表5中标准限值。</w:t>
            </w:r>
          </w:p>
          <w:p w14:paraId="4E2718C7">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综上，本项目排放的废气能够满足相关要求，对环境空气影响相对较小。</w:t>
            </w:r>
          </w:p>
          <w:p w14:paraId="165BFF38">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kern w:val="0"/>
                <w:sz w:val="24"/>
                <w:szCs w:val="24"/>
                <w:highlight w:val="none"/>
              </w:rPr>
            </w:pPr>
            <w:r>
              <w:rPr>
                <w:rFonts w:hint="default" w:ascii="Times New Roman" w:hAnsi="Times New Roman" w:eastAsia="宋体" w:cs="Times New Roman"/>
                <w:b/>
                <w:bCs w:val="0"/>
                <w:color w:val="auto"/>
                <w:kern w:val="0"/>
                <w:sz w:val="24"/>
                <w:szCs w:val="24"/>
                <w:highlight w:val="none"/>
              </w:rPr>
              <w:t>2、废水</w:t>
            </w:r>
          </w:p>
          <w:p w14:paraId="638F076C">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auto"/>
                <w:kern w:val="0"/>
                <w:sz w:val="24"/>
                <w:szCs w:val="24"/>
                <w:highlight w:val="none"/>
                <w:lang w:eastAsia="zh-CN"/>
              </w:rPr>
            </w:pPr>
            <w:r>
              <w:rPr>
                <w:rFonts w:hint="eastAsia" w:ascii="Times New Roman" w:hAnsi="Times New Roman" w:eastAsia="宋体" w:cs="Times New Roman"/>
                <w:b w:val="0"/>
                <w:bCs/>
                <w:color w:val="auto"/>
                <w:kern w:val="0"/>
                <w:sz w:val="24"/>
                <w:szCs w:val="24"/>
                <w:highlight w:val="none"/>
                <w:lang w:val="en-US" w:eastAsia="zh-CN"/>
              </w:rPr>
              <w:t>本项目不涉及生产废水，仅涉及员工办公过程排放的</w:t>
            </w:r>
            <w:r>
              <w:rPr>
                <w:rFonts w:hint="default" w:ascii="Times New Roman" w:hAnsi="Times New Roman" w:eastAsia="宋体" w:cs="Times New Roman"/>
                <w:b w:val="0"/>
                <w:bCs/>
                <w:color w:val="auto"/>
                <w:kern w:val="0"/>
                <w:sz w:val="24"/>
                <w:szCs w:val="24"/>
                <w:highlight w:val="none"/>
              </w:rPr>
              <w:t>生活污水</w:t>
            </w:r>
            <w:r>
              <w:rPr>
                <w:rFonts w:hint="eastAsia" w:ascii="Times New Roman" w:hAnsi="Times New Roman" w:eastAsia="宋体" w:cs="Times New Roman"/>
                <w:b w:val="0"/>
                <w:bCs/>
                <w:color w:val="auto"/>
                <w:kern w:val="0"/>
                <w:sz w:val="24"/>
                <w:szCs w:val="24"/>
                <w:highlight w:val="none"/>
                <w:lang w:eastAsia="zh-CN"/>
              </w:rPr>
              <w:t>。</w:t>
            </w:r>
          </w:p>
          <w:p w14:paraId="5468A9B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b w:val="0"/>
                <w:bCs/>
                <w:color w:val="auto"/>
                <w:kern w:val="0"/>
                <w:sz w:val="24"/>
                <w:szCs w:val="24"/>
                <w:highlight w:val="none"/>
              </w:rPr>
              <w:t>项目用水主要是职工生活、办公用水，厂区</w:t>
            </w:r>
            <w:r>
              <w:rPr>
                <w:rFonts w:hint="default" w:ascii="Times New Roman" w:hAnsi="Times New Roman" w:eastAsia="宋体" w:cs="Times New Roman"/>
                <w:b w:val="0"/>
                <w:bCs/>
                <w:color w:val="auto"/>
                <w:kern w:val="0"/>
                <w:sz w:val="24"/>
                <w:szCs w:val="24"/>
                <w:highlight w:val="none"/>
                <w:lang w:eastAsia="zh-CN"/>
              </w:rPr>
              <w:t>不提供</w:t>
            </w:r>
            <w:r>
              <w:rPr>
                <w:rFonts w:hint="default" w:ascii="Times New Roman" w:hAnsi="Times New Roman" w:eastAsia="宋体" w:cs="Times New Roman"/>
                <w:b w:val="0"/>
                <w:bCs/>
                <w:color w:val="auto"/>
                <w:kern w:val="0"/>
                <w:sz w:val="24"/>
                <w:szCs w:val="24"/>
                <w:highlight w:val="none"/>
              </w:rPr>
              <w:t>职工食堂</w:t>
            </w:r>
            <w:r>
              <w:rPr>
                <w:rFonts w:hint="default" w:ascii="Times New Roman" w:hAnsi="Times New Roman" w:eastAsia="宋体" w:cs="Times New Roman"/>
                <w:b w:val="0"/>
                <w:bCs/>
                <w:color w:val="auto"/>
                <w:kern w:val="0"/>
                <w:sz w:val="24"/>
                <w:szCs w:val="24"/>
                <w:highlight w:val="none"/>
                <w:lang w:eastAsia="zh-CN"/>
              </w:rPr>
              <w:t>及</w:t>
            </w:r>
            <w:r>
              <w:rPr>
                <w:rFonts w:hint="default" w:ascii="Times New Roman" w:hAnsi="Times New Roman" w:eastAsia="宋体" w:cs="Times New Roman"/>
                <w:b w:val="0"/>
                <w:bCs/>
                <w:color w:val="auto"/>
                <w:kern w:val="0"/>
                <w:sz w:val="24"/>
                <w:szCs w:val="24"/>
                <w:highlight w:val="none"/>
                <w:lang w:val="en-US" w:eastAsia="zh-CN"/>
              </w:rPr>
              <w:t>职工</w:t>
            </w:r>
            <w:r>
              <w:rPr>
                <w:rFonts w:hint="default" w:ascii="Times New Roman" w:hAnsi="Times New Roman" w:eastAsia="宋体" w:cs="Times New Roman"/>
                <w:b w:val="0"/>
                <w:bCs/>
                <w:color w:val="auto"/>
                <w:kern w:val="0"/>
                <w:sz w:val="24"/>
                <w:szCs w:val="24"/>
                <w:highlight w:val="none"/>
                <w:lang w:eastAsia="zh-CN"/>
              </w:rPr>
              <w:t>宿舍</w:t>
            </w:r>
            <w:r>
              <w:rPr>
                <w:rFonts w:hint="default" w:ascii="Times New Roman" w:hAnsi="Times New Roman" w:eastAsia="宋体" w:cs="Times New Roman"/>
                <w:b w:val="0"/>
                <w:bCs/>
                <w:color w:val="auto"/>
                <w:kern w:val="0"/>
                <w:sz w:val="24"/>
                <w:szCs w:val="24"/>
                <w:highlight w:val="none"/>
              </w:rPr>
              <w:t>。根据《</w:t>
            </w:r>
            <w:r>
              <w:rPr>
                <w:rFonts w:hint="default" w:ascii="Times New Roman" w:hAnsi="Times New Roman" w:eastAsia="宋体" w:cs="Times New Roman"/>
                <w:b w:val="0"/>
                <w:bCs/>
                <w:color w:val="auto"/>
                <w:kern w:val="0"/>
                <w:sz w:val="24"/>
                <w:szCs w:val="24"/>
                <w:highlight w:val="none"/>
                <w:lang w:val="en-US" w:eastAsia="zh-CN"/>
              </w:rPr>
              <w:t>宿州市城市行业用水定额</w:t>
            </w:r>
            <w:r>
              <w:rPr>
                <w:rFonts w:hint="default" w:ascii="Times New Roman" w:hAnsi="Times New Roman" w:eastAsia="宋体" w:cs="Times New Roman"/>
                <w:b w:val="0"/>
                <w:bCs/>
                <w:color w:val="auto"/>
                <w:kern w:val="0"/>
                <w:sz w:val="24"/>
                <w:szCs w:val="24"/>
                <w:highlight w:val="none"/>
              </w:rPr>
              <w:t>》（DB34</w:t>
            </w:r>
            <w:r>
              <w:rPr>
                <w:rFonts w:hint="default" w:ascii="Times New Roman" w:hAnsi="Times New Roman" w:eastAsia="宋体" w:cs="Times New Roman"/>
                <w:b w:val="0"/>
                <w:bCs/>
                <w:color w:val="auto"/>
                <w:kern w:val="0"/>
                <w:sz w:val="24"/>
                <w:szCs w:val="24"/>
                <w:highlight w:val="none"/>
                <w:lang w:val="en-US" w:eastAsia="zh-CN"/>
              </w:rPr>
              <w:t>13</w:t>
            </w:r>
            <w:r>
              <w:rPr>
                <w:rFonts w:hint="default" w:ascii="Times New Roman" w:hAnsi="Times New Roman" w:eastAsia="宋体" w:cs="Times New Roman"/>
                <w:b w:val="0"/>
                <w:bCs/>
                <w:color w:val="auto"/>
                <w:kern w:val="0"/>
                <w:sz w:val="24"/>
                <w:szCs w:val="24"/>
                <w:highlight w:val="none"/>
              </w:rPr>
              <w:t>/T</w:t>
            </w:r>
            <w:r>
              <w:rPr>
                <w:rFonts w:hint="default" w:ascii="Times New Roman" w:hAnsi="Times New Roman" w:eastAsia="宋体" w:cs="Times New Roman"/>
                <w:b w:val="0"/>
                <w:bCs/>
                <w:color w:val="auto"/>
                <w:kern w:val="0"/>
                <w:sz w:val="24"/>
                <w:szCs w:val="24"/>
                <w:highlight w:val="none"/>
                <w:lang w:val="en-US" w:eastAsia="zh-CN"/>
              </w:rPr>
              <w:t>0001</w:t>
            </w:r>
            <w:r>
              <w:rPr>
                <w:rFonts w:hint="default" w:ascii="Times New Roman" w:hAnsi="Times New Roman" w:eastAsia="宋体" w:cs="Times New Roman"/>
                <w:b w:val="0"/>
                <w:bCs/>
                <w:color w:val="auto"/>
                <w:kern w:val="0"/>
                <w:sz w:val="24"/>
                <w:szCs w:val="24"/>
                <w:highlight w:val="none"/>
              </w:rPr>
              <w:t>-20</w:t>
            </w:r>
            <w:r>
              <w:rPr>
                <w:rFonts w:hint="default" w:ascii="Times New Roman" w:hAnsi="Times New Roman" w:eastAsia="宋体" w:cs="Times New Roman"/>
                <w:b w:val="0"/>
                <w:bCs/>
                <w:color w:val="auto"/>
                <w:kern w:val="0"/>
                <w:sz w:val="24"/>
                <w:szCs w:val="24"/>
                <w:highlight w:val="none"/>
                <w:lang w:val="en-US" w:eastAsia="zh-CN"/>
              </w:rPr>
              <w:t>20</w:t>
            </w:r>
            <w:r>
              <w:rPr>
                <w:rFonts w:hint="default" w:ascii="Times New Roman" w:hAnsi="Times New Roman" w:eastAsia="宋体" w:cs="Times New Roman"/>
                <w:b w:val="0"/>
                <w:bCs/>
                <w:color w:val="auto"/>
                <w:kern w:val="0"/>
                <w:sz w:val="24"/>
                <w:szCs w:val="24"/>
                <w:highlight w:val="none"/>
              </w:rPr>
              <w:t>）（</w:t>
            </w:r>
            <w:r>
              <w:rPr>
                <w:rFonts w:hint="default" w:ascii="Times New Roman" w:hAnsi="Times New Roman" w:eastAsia="宋体" w:cs="Times New Roman"/>
                <w:b w:val="0"/>
                <w:bCs/>
                <w:color w:val="auto"/>
                <w:kern w:val="0"/>
                <w:sz w:val="24"/>
                <w:szCs w:val="24"/>
                <w:highlight w:val="none"/>
                <w:lang w:eastAsia="zh-CN"/>
              </w:rPr>
              <w:t>办公楼</w:t>
            </w:r>
            <w:r>
              <w:rPr>
                <w:rFonts w:hint="default" w:ascii="Times New Roman" w:hAnsi="Times New Roman" w:eastAsia="宋体" w:cs="Times New Roman"/>
                <w:b w:val="0"/>
                <w:bCs/>
                <w:color w:val="auto"/>
                <w:kern w:val="0"/>
                <w:sz w:val="24"/>
                <w:szCs w:val="24"/>
                <w:highlight w:val="none"/>
              </w:rPr>
              <w:t>用水系数：</w:t>
            </w:r>
            <w:r>
              <w:rPr>
                <w:rFonts w:hint="default" w:ascii="Times New Roman" w:hAnsi="Times New Roman" w:eastAsia="宋体" w:cs="Times New Roman"/>
                <w:b w:val="0"/>
                <w:bCs/>
                <w:color w:val="auto"/>
                <w:kern w:val="0"/>
                <w:sz w:val="24"/>
                <w:szCs w:val="24"/>
                <w:highlight w:val="none"/>
                <w:lang w:val="en-US" w:eastAsia="zh-CN"/>
              </w:rPr>
              <w:t>70</w:t>
            </w:r>
            <w:r>
              <w:rPr>
                <w:rFonts w:hint="default" w:ascii="Times New Roman" w:hAnsi="Times New Roman" w:eastAsia="宋体" w:cs="Times New Roman"/>
                <w:b w:val="0"/>
                <w:bCs/>
                <w:color w:val="auto"/>
                <w:kern w:val="0"/>
                <w:sz w:val="24"/>
                <w:szCs w:val="24"/>
                <w:highlight w:val="none"/>
              </w:rPr>
              <w:t>L/人·d，</w:t>
            </w:r>
            <w:r>
              <w:rPr>
                <w:rFonts w:hint="default" w:ascii="Times New Roman" w:hAnsi="Times New Roman" w:eastAsia="宋体" w:cs="Times New Roman"/>
                <w:b w:val="0"/>
                <w:bCs/>
                <w:color w:val="auto"/>
                <w:kern w:val="0"/>
                <w:sz w:val="24"/>
                <w:szCs w:val="24"/>
                <w:highlight w:val="none"/>
                <w:lang w:val="en-US" w:eastAsia="zh-CN"/>
              </w:rPr>
              <w:t>无</w:t>
            </w:r>
            <w:r>
              <w:rPr>
                <w:rFonts w:hint="default" w:ascii="Times New Roman" w:hAnsi="Times New Roman" w:eastAsia="宋体" w:cs="Times New Roman"/>
                <w:b w:val="0"/>
                <w:bCs/>
                <w:color w:val="auto"/>
                <w:kern w:val="0"/>
                <w:sz w:val="24"/>
                <w:szCs w:val="24"/>
                <w:highlight w:val="none"/>
              </w:rPr>
              <w:t>食堂），职工生活用水按</w:t>
            </w:r>
            <w:r>
              <w:rPr>
                <w:rFonts w:hint="default" w:ascii="Times New Roman" w:hAnsi="Times New Roman" w:eastAsia="宋体" w:cs="Times New Roman"/>
                <w:b w:val="0"/>
                <w:bCs/>
                <w:color w:val="auto"/>
                <w:kern w:val="0"/>
                <w:sz w:val="24"/>
                <w:szCs w:val="24"/>
                <w:highlight w:val="none"/>
                <w:lang w:val="en-US" w:eastAsia="zh-CN"/>
              </w:rPr>
              <w:t>70</w:t>
            </w:r>
            <w:r>
              <w:rPr>
                <w:rFonts w:hint="default" w:ascii="Times New Roman" w:hAnsi="Times New Roman" w:eastAsia="宋体" w:cs="Times New Roman"/>
                <w:b w:val="0"/>
                <w:bCs/>
                <w:color w:val="auto"/>
                <w:kern w:val="0"/>
                <w:sz w:val="24"/>
                <w:szCs w:val="24"/>
                <w:highlight w:val="none"/>
              </w:rPr>
              <w:t>L/人·d计。项目员工总</w:t>
            </w:r>
            <w:r>
              <w:rPr>
                <w:rFonts w:hint="default" w:ascii="Times New Roman" w:hAnsi="Times New Roman" w:cs="Times New Roman"/>
                <w:color w:val="auto"/>
                <w:sz w:val="24"/>
              </w:rPr>
              <w:t>数为</w:t>
            </w:r>
            <w:r>
              <w:rPr>
                <w:rFonts w:hint="eastAsia" w:ascii="Times New Roman" w:hAnsi="Times New Roman" w:cs="Times New Roman"/>
                <w:color w:val="auto"/>
                <w:sz w:val="24"/>
                <w:lang w:val="en-US" w:eastAsia="zh-CN"/>
              </w:rPr>
              <w:t>30</w:t>
            </w:r>
            <w:r>
              <w:rPr>
                <w:rFonts w:hint="default" w:ascii="Times New Roman" w:hAnsi="Times New Roman" w:cs="Times New Roman"/>
                <w:color w:val="auto"/>
                <w:sz w:val="24"/>
              </w:rPr>
              <w:t>人，年工作</w:t>
            </w:r>
            <w:r>
              <w:rPr>
                <w:rFonts w:hint="eastAsia" w:ascii="Times New Roman" w:hAnsi="Times New Roman" w:cs="Times New Roman"/>
                <w:color w:val="auto"/>
                <w:sz w:val="24"/>
                <w:lang w:val="en-US" w:eastAsia="zh-CN"/>
              </w:rPr>
              <w:t>300</w:t>
            </w:r>
            <w:r>
              <w:rPr>
                <w:rFonts w:hint="default" w:ascii="Times New Roman" w:hAnsi="Times New Roman" w:cs="Times New Roman"/>
                <w:color w:val="auto"/>
                <w:sz w:val="24"/>
              </w:rPr>
              <w:t>天，则项目用水量为</w:t>
            </w:r>
            <w:r>
              <w:rPr>
                <w:rFonts w:hint="eastAsia" w:ascii="Times New Roman" w:hAnsi="Times New Roman" w:cs="Times New Roman"/>
                <w:color w:val="auto"/>
                <w:sz w:val="24"/>
                <w:lang w:val="en-US" w:eastAsia="zh-CN"/>
              </w:rPr>
              <w:t>2.1</w:t>
            </w:r>
            <w:r>
              <w:rPr>
                <w:rFonts w:hint="default" w:ascii="Times New Roman" w:hAnsi="Times New Roman" w:cs="Times New Roman"/>
                <w:color w:val="auto"/>
                <w:sz w:val="24"/>
              </w:rPr>
              <w:t>t/d，</w:t>
            </w:r>
            <w:r>
              <w:rPr>
                <w:rFonts w:hint="eastAsia" w:ascii="Times New Roman" w:hAnsi="Times New Roman" w:cs="Times New Roman"/>
                <w:color w:val="auto"/>
                <w:sz w:val="24"/>
                <w:lang w:val="en-US" w:eastAsia="zh-CN"/>
              </w:rPr>
              <w:t>630</w:t>
            </w:r>
            <w:r>
              <w:rPr>
                <w:rFonts w:hint="default" w:ascii="Times New Roman" w:hAnsi="Times New Roman" w:cs="Times New Roman"/>
                <w:color w:val="auto"/>
                <w:sz w:val="24"/>
              </w:rPr>
              <w:t>t/a。废水产生量按照用水量的80%计算，则产生的生活污水量为</w:t>
            </w:r>
            <w:r>
              <w:rPr>
                <w:rFonts w:hint="eastAsia" w:ascii="Times New Roman" w:hAnsi="Times New Roman" w:cs="Times New Roman"/>
                <w:color w:val="auto"/>
                <w:sz w:val="24"/>
                <w:lang w:val="en-US" w:eastAsia="zh-CN"/>
              </w:rPr>
              <w:t>1.68</w:t>
            </w:r>
            <w:r>
              <w:rPr>
                <w:rFonts w:hint="default" w:ascii="Times New Roman" w:hAnsi="Times New Roman" w:cs="Times New Roman"/>
                <w:color w:val="auto"/>
                <w:sz w:val="24"/>
              </w:rPr>
              <w:t>t/d，</w:t>
            </w:r>
            <w:r>
              <w:rPr>
                <w:rFonts w:hint="eastAsia" w:ascii="Times New Roman" w:hAnsi="Times New Roman" w:cs="Times New Roman"/>
                <w:color w:val="auto"/>
                <w:sz w:val="24"/>
                <w:lang w:val="en-US" w:eastAsia="zh-CN"/>
              </w:rPr>
              <w:t>504</w:t>
            </w:r>
            <w:r>
              <w:rPr>
                <w:rFonts w:hint="default" w:ascii="Times New Roman" w:hAnsi="Times New Roman" w:cs="Times New Roman"/>
                <w:color w:val="auto"/>
                <w:sz w:val="24"/>
              </w:rPr>
              <w:t>t/a。污水主要污染物因子为COD、NH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-N、SS、BOD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lang w:eastAsia="zh-CN"/>
              </w:rPr>
              <w:t>。</w:t>
            </w:r>
            <w:r>
              <w:rPr>
                <w:rFonts w:hint="default" w:ascii="Times New Roman" w:hAnsi="Times New Roman" w:cs="Times New Roman"/>
                <w:b/>
                <w:bCs/>
                <w:color w:val="auto"/>
                <w:sz w:val="24"/>
              </w:rPr>
              <w:t>参考</w:t>
            </w:r>
            <w:r>
              <w:rPr>
                <w:rFonts w:hint="default" w:ascii="Times New Roman" w:hAnsi="Times New Roman" w:cs="Times New Roman"/>
                <w:color w:val="auto"/>
                <w:sz w:val="24"/>
              </w:rPr>
              <w:t>中国建筑工业出版社《给水排水设计手册（第5</w:t>
            </w:r>
            <w:r>
              <w:rPr>
                <w:rFonts w:hint="eastAsia" w:ascii="Times New Roman" w:hAnsi="Times New Roman" w:cs="Times New Roman"/>
                <w:color w:val="auto"/>
                <w:sz w:val="24"/>
                <w:lang w:val="en-US" w:eastAsia="zh-CN"/>
              </w:rPr>
              <w:t>册</w:t>
            </w:r>
            <w:r>
              <w:rPr>
                <w:rFonts w:hint="default" w:ascii="Times New Roman" w:hAnsi="Times New Roman" w:cs="Times New Roman"/>
                <w:color w:val="auto"/>
                <w:sz w:val="24"/>
              </w:rPr>
              <w:t>）</w:t>
            </w:r>
            <w:r>
              <w:rPr>
                <w:rFonts w:hint="default" w:ascii="Times New Roman" w:hAnsi="Times New Roman" w:eastAsia="宋体" w:cs="Times New Roman"/>
                <w:b w:val="0"/>
                <w:bCs/>
                <w:color w:val="auto"/>
                <w:kern w:val="0"/>
                <w:sz w:val="24"/>
                <w:szCs w:val="24"/>
                <w:highlight w:val="none"/>
              </w:rPr>
              <w:t>——城镇排水》（第二版）数据资料，拟建项目生活污水污染物浓度按中度浓度考虑，即COD：300mg/L，BOD</w:t>
            </w:r>
            <w:r>
              <w:rPr>
                <w:rFonts w:hint="default" w:ascii="Times New Roman" w:hAnsi="Times New Roman" w:eastAsia="宋体" w:cs="Times New Roman"/>
                <w:b w:val="0"/>
                <w:bCs/>
                <w:color w:val="auto"/>
                <w:kern w:val="0"/>
                <w:sz w:val="24"/>
                <w:szCs w:val="24"/>
                <w:highlight w:val="none"/>
                <w:vertAlign w:val="subscript"/>
              </w:rPr>
              <w:t>5</w:t>
            </w:r>
            <w:r>
              <w:rPr>
                <w:rFonts w:hint="default" w:ascii="Times New Roman" w:hAnsi="Times New Roman" w:eastAsia="宋体" w:cs="Times New Roman"/>
                <w:b w:val="0"/>
                <w:bCs/>
                <w:color w:val="auto"/>
                <w:kern w:val="0"/>
                <w:sz w:val="24"/>
                <w:szCs w:val="24"/>
                <w:highlight w:val="none"/>
              </w:rPr>
              <w:t>：1</w:t>
            </w:r>
            <w:r>
              <w:rPr>
                <w:rFonts w:hint="default" w:ascii="Times New Roman" w:hAnsi="Times New Roman" w:eastAsia="宋体" w:cs="Times New Roman"/>
                <w:b w:val="0"/>
                <w:bCs/>
                <w:color w:val="auto"/>
                <w:kern w:val="0"/>
                <w:sz w:val="24"/>
                <w:szCs w:val="24"/>
                <w:highlight w:val="none"/>
                <w:lang w:val="en-US" w:eastAsia="zh-CN"/>
              </w:rPr>
              <w:t>0</w:t>
            </w:r>
            <w:r>
              <w:rPr>
                <w:rFonts w:hint="default" w:ascii="Times New Roman" w:hAnsi="Times New Roman" w:eastAsia="宋体" w:cs="Times New Roman"/>
                <w:b w:val="0"/>
                <w:bCs/>
                <w:color w:val="auto"/>
                <w:kern w:val="0"/>
                <w:sz w:val="24"/>
                <w:szCs w:val="24"/>
                <w:highlight w:val="none"/>
              </w:rPr>
              <w:t>0mg/L</w:t>
            </w:r>
            <w:r>
              <w:rPr>
                <w:rFonts w:hint="eastAsia"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SS：200mg/L，NH</w:t>
            </w:r>
            <w:r>
              <w:rPr>
                <w:rFonts w:hint="default" w:ascii="Times New Roman" w:hAnsi="Times New Roman" w:eastAsia="宋体" w:cs="Times New Roman"/>
                <w:b w:val="0"/>
                <w:bCs/>
                <w:color w:val="auto"/>
                <w:kern w:val="0"/>
                <w:sz w:val="24"/>
                <w:szCs w:val="24"/>
                <w:highlight w:val="none"/>
                <w:vertAlign w:val="subscript"/>
              </w:rPr>
              <w:t>3</w:t>
            </w:r>
            <w:r>
              <w:rPr>
                <w:rFonts w:hint="default" w:ascii="Times New Roman" w:hAnsi="Times New Roman" w:eastAsia="宋体" w:cs="Times New Roman"/>
                <w:b w:val="0"/>
                <w:bCs/>
                <w:color w:val="auto"/>
                <w:kern w:val="0"/>
                <w:sz w:val="24"/>
                <w:szCs w:val="24"/>
                <w:highlight w:val="none"/>
              </w:rPr>
              <w:t>-N：</w:t>
            </w:r>
            <w:r>
              <w:rPr>
                <w:rFonts w:hint="eastAsia" w:ascii="Times New Roman" w:hAnsi="Times New Roman" w:eastAsia="宋体" w:cs="Times New Roman"/>
                <w:b w:val="0"/>
                <w:bCs/>
                <w:color w:val="auto"/>
                <w:kern w:val="0"/>
                <w:sz w:val="24"/>
                <w:szCs w:val="24"/>
                <w:highlight w:val="none"/>
                <w:lang w:val="en-US" w:eastAsia="zh-CN"/>
              </w:rPr>
              <w:t>25</w:t>
            </w:r>
            <w:r>
              <w:rPr>
                <w:rFonts w:hint="default" w:ascii="Times New Roman" w:hAnsi="Times New Roman" w:eastAsia="宋体" w:cs="Times New Roman"/>
                <w:b w:val="0"/>
                <w:bCs/>
                <w:color w:val="auto"/>
                <w:kern w:val="0"/>
                <w:sz w:val="24"/>
                <w:szCs w:val="24"/>
                <w:highlight w:val="none"/>
              </w:rPr>
              <w:t>mg/L</w:t>
            </w:r>
            <w:r>
              <w:rPr>
                <w:rFonts w:hint="default" w:ascii="Times New Roman" w:hAnsi="Times New Roman" w:eastAsia="宋体" w:cs="Times New Roman"/>
                <w:color w:val="auto"/>
                <w:sz w:val="24"/>
              </w:rPr>
              <w:t>。</w:t>
            </w:r>
          </w:p>
          <w:p w14:paraId="670A949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项目运营期水平衡图见图4</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p>
          <w:p w14:paraId="6973723A">
            <w:pPr>
              <w:pStyle w:val="54"/>
              <w:spacing w:line="360" w:lineRule="auto"/>
              <w:ind w:firstLine="0" w:firstLineChars="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object>
                <v:shape id="_x0000_i1026" o:spt="75" type="#_x0000_t75" style="height:48.55pt;width:483.55pt;" o:ole="t" filled="f" o:preferrelative="t" stroked="f" coordsize="21600,21600">
                  <v:path/>
                  <v:fill on="f" focussize="0,0"/>
                  <v:stroke on="f"/>
                  <v:imagedata r:id="rId13" o:title=""/>
                  <o:lock v:ext="edit" aspectratio="f"/>
                  <w10:wrap type="none"/>
                  <w10:anchorlock/>
                </v:shape>
                <o:OLEObject Type="Embed" ProgID="Visio.Drawing.15" ShapeID="_x0000_i1026" DrawAspect="Content" ObjectID="_1468075726" r:id="rId12">
                  <o:LockedField>false</o:LockedField>
                </o:OLEObject>
              </w:object>
            </w:r>
          </w:p>
          <w:p w14:paraId="25EF1525">
            <w:pPr>
              <w:pStyle w:val="54"/>
              <w:spacing w:line="240" w:lineRule="auto"/>
              <w:ind w:firstLine="0" w:firstLineChars="0"/>
              <w:jc w:val="center"/>
              <w:rPr>
                <w:rFonts w:hint="eastAsia"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图4.</w:t>
            </w:r>
            <w:r>
              <w:rPr>
                <w:rFonts w:hint="eastAsia"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 xml:space="preserve">  </w:t>
            </w:r>
            <w:r>
              <w:rPr>
                <w:rFonts w:hint="default" w:ascii="Times New Roman" w:hAnsi="Times New Roman" w:eastAsia="宋体" w:cs="Times New Roman"/>
                <w:b/>
                <w:bCs/>
                <w:color w:val="auto"/>
                <w:sz w:val="21"/>
                <w:szCs w:val="21"/>
                <w:lang w:eastAsia="zh-CN"/>
              </w:rPr>
              <w:t>本</w:t>
            </w:r>
            <w:r>
              <w:rPr>
                <w:rFonts w:hint="default" w:ascii="Times New Roman" w:hAnsi="Times New Roman" w:eastAsia="宋体" w:cs="Times New Roman"/>
                <w:b/>
                <w:bCs/>
                <w:color w:val="auto"/>
                <w:sz w:val="21"/>
                <w:szCs w:val="21"/>
              </w:rPr>
              <w:t>项目运营期水平衡图  单位：t/</w:t>
            </w:r>
            <w:r>
              <w:rPr>
                <w:rFonts w:hint="eastAsia" w:ascii="Times New Roman" w:hAnsi="Times New Roman" w:eastAsia="宋体" w:cs="Times New Roman"/>
                <w:b/>
                <w:bCs/>
                <w:color w:val="auto"/>
                <w:sz w:val="21"/>
                <w:szCs w:val="21"/>
                <w:lang w:val="en-US" w:eastAsia="zh-CN"/>
              </w:rPr>
              <w:t>a</w:t>
            </w:r>
          </w:p>
          <w:p w14:paraId="2AEB37D5">
            <w:pPr>
              <w:pStyle w:val="54"/>
              <w:spacing w:line="360" w:lineRule="auto"/>
              <w:rPr>
                <w:rFonts w:hint="default" w:ascii="Times New Roman" w:hAnsi="Times New Roman" w:eastAsia="宋体" w:cs="Times New Roman"/>
                <w:b w:val="0"/>
                <w:bCs/>
                <w:color w:val="auto"/>
                <w:kern w:val="0"/>
                <w:sz w:val="24"/>
                <w:szCs w:val="24"/>
                <w:highlight w:val="none"/>
                <w:lang w:val="en-US" w:eastAsia="zh-CN" w:bidi="ar-SA"/>
              </w:rPr>
            </w:pPr>
            <w:r>
              <w:rPr>
                <w:rFonts w:hint="default" w:ascii="Times New Roman" w:hAnsi="Times New Roman" w:eastAsia="宋体" w:cs="Times New Roman"/>
                <w:b w:val="0"/>
                <w:bCs/>
                <w:color w:val="auto"/>
                <w:kern w:val="0"/>
                <w:sz w:val="24"/>
                <w:szCs w:val="24"/>
                <w:highlight w:val="none"/>
                <w:lang w:val="en-US" w:eastAsia="zh-CN" w:bidi="ar-SA"/>
              </w:rPr>
              <w:t>本项目废水产生量</w:t>
            </w:r>
            <w:r>
              <w:rPr>
                <w:rFonts w:hint="eastAsia" w:ascii="Times New Roman" w:hAnsi="Times New Roman" w:eastAsia="宋体" w:cs="Times New Roman"/>
                <w:b w:val="0"/>
                <w:bCs/>
                <w:color w:val="auto"/>
                <w:kern w:val="0"/>
                <w:sz w:val="24"/>
                <w:szCs w:val="24"/>
                <w:highlight w:val="none"/>
                <w:lang w:val="en-US" w:eastAsia="zh-CN" w:bidi="ar-SA"/>
              </w:rPr>
              <w:t>504</w:t>
            </w:r>
            <w:r>
              <w:rPr>
                <w:rFonts w:hint="default" w:ascii="Times New Roman" w:hAnsi="Times New Roman" w:eastAsia="宋体" w:cs="Times New Roman"/>
                <w:b w:val="0"/>
                <w:bCs/>
                <w:color w:val="auto"/>
                <w:kern w:val="0"/>
                <w:sz w:val="24"/>
                <w:szCs w:val="24"/>
                <w:highlight w:val="none"/>
                <w:lang w:val="en-US" w:eastAsia="zh-CN" w:bidi="ar-SA"/>
              </w:rPr>
              <w:t>t/a。项目运营期无生产性废水产生及排放，职工</w:t>
            </w:r>
            <w:r>
              <w:rPr>
                <w:rFonts w:hint="eastAsia" w:ascii="Times New Roman" w:hAnsi="Times New Roman" w:eastAsia="宋体" w:cs="Times New Roman"/>
                <w:b w:val="0"/>
                <w:bCs/>
                <w:color w:val="auto"/>
                <w:kern w:val="0"/>
                <w:sz w:val="24"/>
                <w:szCs w:val="24"/>
                <w:highlight w:val="none"/>
                <w:lang w:val="en-US" w:eastAsia="zh-CN" w:bidi="ar-SA"/>
              </w:rPr>
              <w:t>职工生活污水依托园区现有“化粪池”处理后达到《污水综合排放标准》（GB8978-1996）表4中三级标准限值及泗县工业污水处理厂接管限值后排入泗县工业污水处理厂处理达《城镇污水处理厂污染物排放标准》（GB18918-2002）表1中一级标准A标准后排入石梁河。</w:t>
            </w:r>
          </w:p>
          <w:p w14:paraId="6EC9933A">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cs="Times New Roman"/>
                <w:b w:val="0"/>
                <w:bCs/>
                <w:color w:val="auto"/>
                <w:kern w:val="0"/>
                <w:highlight w:val="none"/>
                <w:lang w:eastAsia="zh-CN"/>
              </w:rPr>
            </w:pPr>
            <w:r>
              <w:rPr>
                <w:rFonts w:hint="default" w:ascii="Times New Roman" w:hAnsi="Times New Roman" w:cs="Times New Roman"/>
                <w:b w:val="0"/>
                <w:bCs/>
                <w:color w:val="auto"/>
                <w:kern w:val="0"/>
                <w:highlight w:val="none"/>
                <w:lang w:eastAsia="zh-CN"/>
              </w:rPr>
              <w:t>（</w:t>
            </w:r>
            <w:r>
              <w:rPr>
                <w:rFonts w:hint="default" w:ascii="Times New Roman" w:hAnsi="Times New Roman" w:cs="Times New Roman"/>
                <w:b w:val="0"/>
                <w:bCs/>
                <w:color w:val="auto"/>
                <w:kern w:val="0"/>
                <w:highlight w:val="none"/>
                <w:lang w:val="en-US" w:eastAsia="zh-CN"/>
              </w:rPr>
              <w:t>1</w:t>
            </w:r>
            <w:r>
              <w:rPr>
                <w:rFonts w:hint="default" w:ascii="Times New Roman" w:hAnsi="Times New Roman" w:cs="Times New Roman"/>
                <w:b w:val="0"/>
                <w:bCs/>
                <w:color w:val="auto"/>
                <w:kern w:val="0"/>
                <w:highlight w:val="none"/>
                <w:lang w:eastAsia="zh-CN"/>
              </w:rPr>
              <w:t>）废水污染源源强核算结果及相关参数</w:t>
            </w:r>
          </w:p>
          <w:p w14:paraId="04F994A0">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cs="Times New Roman"/>
                <w:b w:val="0"/>
                <w:bCs/>
                <w:color w:val="auto"/>
                <w:kern w:val="0"/>
                <w:lang w:val="en-US" w:eastAsia="zh-CN"/>
              </w:rPr>
            </w:pPr>
            <w:r>
              <w:rPr>
                <w:rFonts w:hint="default" w:ascii="Times New Roman" w:hAnsi="Times New Roman" w:cs="Times New Roman"/>
                <w:b w:val="0"/>
                <w:bCs/>
                <w:color w:val="auto"/>
                <w:kern w:val="0"/>
                <w:lang w:eastAsia="zh-CN"/>
              </w:rPr>
              <w:t>废水污染源源强核算结果及相关参数一览表见表</w:t>
            </w:r>
            <w:r>
              <w:rPr>
                <w:rFonts w:hint="default" w:ascii="Times New Roman" w:hAnsi="Times New Roman" w:cs="Times New Roman"/>
                <w:b w:val="0"/>
                <w:bCs/>
                <w:color w:val="auto"/>
                <w:kern w:val="0"/>
                <w:lang w:val="en-US" w:eastAsia="zh-CN"/>
              </w:rPr>
              <w:t>4.</w:t>
            </w:r>
            <w:r>
              <w:rPr>
                <w:rFonts w:hint="eastAsia" w:cs="Times New Roman"/>
                <w:b w:val="0"/>
                <w:bCs/>
                <w:color w:val="auto"/>
                <w:kern w:val="0"/>
                <w:lang w:val="en-US" w:eastAsia="zh-CN"/>
              </w:rPr>
              <w:t>9</w:t>
            </w:r>
            <w:r>
              <w:rPr>
                <w:rFonts w:hint="default" w:ascii="Times New Roman" w:hAnsi="Times New Roman" w:cs="Times New Roman"/>
                <w:b w:val="0"/>
                <w:bCs/>
                <w:color w:val="auto"/>
                <w:kern w:val="0"/>
                <w:lang w:val="en-US" w:eastAsia="zh-CN"/>
              </w:rPr>
              <w:t>。</w:t>
            </w:r>
          </w:p>
          <w:p w14:paraId="2EA5BC70">
            <w:pPr>
              <w:pStyle w:val="38"/>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cs="Times New Roman"/>
                <w:b/>
                <w:bCs/>
                <w:color w:val="auto"/>
                <w:kern w:val="0"/>
                <w:sz w:val="21"/>
                <w:szCs w:val="21"/>
                <w:lang w:eastAsia="zh-CN"/>
              </w:rPr>
            </w:pPr>
            <w:r>
              <w:rPr>
                <w:rFonts w:hint="default" w:ascii="Times New Roman" w:hAnsi="Times New Roman" w:cs="Times New Roman"/>
                <w:b/>
                <w:bCs/>
                <w:color w:val="auto"/>
                <w:kern w:val="0"/>
                <w:sz w:val="21"/>
                <w:szCs w:val="21"/>
                <w:lang w:val="en-US" w:eastAsia="zh-CN"/>
              </w:rPr>
              <w:t>表4.</w:t>
            </w:r>
            <w:r>
              <w:rPr>
                <w:rFonts w:hint="eastAsia" w:cs="Times New Roman"/>
                <w:b/>
                <w:bCs/>
                <w:color w:val="auto"/>
                <w:kern w:val="0"/>
                <w:sz w:val="21"/>
                <w:szCs w:val="21"/>
                <w:lang w:val="en-US" w:eastAsia="zh-CN"/>
              </w:rPr>
              <w:t>9</w:t>
            </w:r>
            <w:r>
              <w:rPr>
                <w:rFonts w:hint="default" w:ascii="Times New Roman" w:hAnsi="Times New Roman" w:cs="Times New Roman"/>
                <w:b/>
                <w:bCs/>
                <w:color w:val="auto"/>
                <w:kern w:val="0"/>
                <w:sz w:val="21"/>
                <w:szCs w:val="21"/>
                <w:lang w:val="en-US" w:eastAsia="zh-CN"/>
              </w:rPr>
              <w:t xml:space="preserve">  </w:t>
            </w:r>
            <w:r>
              <w:rPr>
                <w:rFonts w:hint="default" w:ascii="Times New Roman" w:hAnsi="Times New Roman" w:cs="Times New Roman"/>
                <w:b/>
                <w:bCs/>
                <w:color w:val="auto"/>
                <w:kern w:val="0"/>
                <w:sz w:val="21"/>
                <w:szCs w:val="21"/>
                <w:lang w:eastAsia="zh-CN"/>
              </w:rPr>
              <w:t>废水污染源源强核算结果及相关参数一览表</w:t>
            </w:r>
          </w:p>
          <w:tbl>
            <w:tblPr>
              <w:tblStyle w:val="32"/>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9"/>
              <w:gridCol w:w="1202"/>
              <w:gridCol w:w="919"/>
              <w:gridCol w:w="969"/>
              <w:gridCol w:w="844"/>
              <w:gridCol w:w="870"/>
              <w:gridCol w:w="771"/>
              <w:gridCol w:w="966"/>
              <w:gridCol w:w="920"/>
              <w:gridCol w:w="971"/>
            </w:tblGrid>
            <w:tr w14:paraId="0A4B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restart"/>
                  <w:vAlign w:val="center"/>
                </w:tcPr>
                <w:p w14:paraId="6B27290A">
                  <w:pPr>
                    <w:pStyle w:val="52"/>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产排污环节</w:t>
                  </w:r>
                </w:p>
              </w:tc>
              <w:tc>
                <w:tcPr>
                  <w:tcW w:w="1311" w:type="dxa"/>
                  <w:vMerge w:val="restart"/>
                  <w:vAlign w:val="center"/>
                </w:tcPr>
                <w:p w14:paraId="475AABD3">
                  <w:pPr>
                    <w:pStyle w:val="52"/>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污染物种类</w:t>
                  </w:r>
                </w:p>
              </w:tc>
              <w:tc>
                <w:tcPr>
                  <w:tcW w:w="1950" w:type="dxa"/>
                  <w:gridSpan w:val="2"/>
                  <w:vAlign w:val="center"/>
                </w:tcPr>
                <w:p w14:paraId="7D567BD6">
                  <w:pPr>
                    <w:pStyle w:val="5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污染物产生</w:t>
                  </w:r>
                </w:p>
              </w:tc>
              <w:tc>
                <w:tcPr>
                  <w:tcW w:w="3901" w:type="dxa"/>
                  <w:gridSpan w:val="4"/>
                  <w:vAlign w:val="center"/>
                </w:tcPr>
                <w:p w14:paraId="4A2BDE01">
                  <w:pPr>
                    <w:pStyle w:val="5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治理设施</w:t>
                  </w:r>
                </w:p>
              </w:tc>
              <w:tc>
                <w:tcPr>
                  <w:tcW w:w="1953" w:type="dxa"/>
                  <w:gridSpan w:val="2"/>
                  <w:vAlign w:val="center"/>
                </w:tcPr>
                <w:p w14:paraId="61BB0929">
                  <w:pPr>
                    <w:pStyle w:val="5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污染物排放</w:t>
                  </w:r>
                </w:p>
              </w:tc>
            </w:tr>
            <w:tr w14:paraId="0BE6E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vAlign w:val="center"/>
                </w:tcPr>
                <w:p w14:paraId="6B6C8A6A">
                  <w:pPr>
                    <w:pStyle w:val="52"/>
                    <w:spacing w:line="240" w:lineRule="auto"/>
                    <w:rPr>
                      <w:rFonts w:hint="default" w:ascii="Times New Roman" w:hAnsi="Times New Roman" w:cs="Times New Roman"/>
                      <w:color w:val="auto"/>
                      <w:sz w:val="21"/>
                      <w:szCs w:val="21"/>
                    </w:rPr>
                  </w:pPr>
                </w:p>
              </w:tc>
              <w:tc>
                <w:tcPr>
                  <w:tcW w:w="1311" w:type="dxa"/>
                  <w:vMerge w:val="continue"/>
                  <w:vAlign w:val="center"/>
                </w:tcPr>
                <w:p w14:paraId="078BC70A">
                  <w:pPr>
                    <w:pStyle w:val="52"/>
                    <w:spacing w:line="240" w:lineRule="auto"/>
                    <w:rPr>
                      <w:rFonts w:hint="default" w:ascii="Times New Roman" w:hAnsi="Times New Roman" w:cs="Times New Roman"/>
                      <w:color w:val="auto"/>
                      <w:sz w:val="21"/>
                      <w:szCs w:val="21"/>
                    </w:rPr>
                  </w:pPr>
                </w:p>
              </w:tc>
              <w:tc>
                <w:tcPr>
                  <w:tcW w:w="975" w:type="dxa"/>
                  <w:vAlign w:val="center"/>
                </w:tcPr>
                <w:p w14:paraId="6CF35570">
                  <w:pPr>
                    <w:pStyle w:val="52"/>
                    <w:spacing w:line="240" w:lineRule="auto"/>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产生浓度</w:t>
                  </w:r>
                  <w:r>
                    <w:rPr>
                      <w:rFonts w:hint="default" w:ascii="Times New Roman" w:hAnsi="Times New Roman" w:cs="Times New Roman"/>
                      <w:color w:val="auto"/>
                      <w:sz w:val="21"/>
                      <w:szCs w:val="21"/>
                      <w:lang w:val="en-US" w:eastAsia="zh-CN"/>
                    </w:rPr>
                    <w:t>mg/L</w:t>
                  </w:r>
                </w:p>
              </w:tc>
              <w:tc>
                <w:tcPr>
                  <w:tcW w:w="975" w:type="dxa"/>
                  <w:vAlign w:val="center"/>
                </w:tcPr>
                <w:p w14:paraId="74CCE7BD">
                  <w:pPr>
                    <w:pStyle w:val="52"/>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产生量</w:t>
                  </w:r>
                </w:p>
                <w:p w14:paraId="439204E4">
                  <w:pPr>
                    <w:pStyle w:val="52"/>
                    <w:spacing w:line="240" w:lineRule="auto"/>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t/a</w:t>
                  </w:r>
                </w:p>
              </w:tc>
              <w:tc>
                <w:tcPr>
                  <w:tcW w:w="975" w:type="dxa"/>
                  <w:vAlign w:val="center"/>
                </w:tcPr>
                <w:p w14:paraId="402785EE">
                  <w:pPr>
                    <w:pStyle w:val="52"/>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处理能力</w:t>
                  </w:r>
                </w:p>
              </w:tc>
              <w:tc>
                <w:tcPr>
                  <w:tcW w:w="975" w:type="dxa"/>
                  <w:vAlign w:val="center"/>
                </w:tcPr>
                <w:p w14:paraId="59877A77">
                  <w:pPr>
                    <w:pStyle w:val="52"/>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治理工艺</w:t>
                  </w:r>
                </w:p>
              </w:tc>
              <w:tc>
                <w:tcPr>
                  <w:tcW w:w="816" w:type="dxa"/>
                  <w:vAlign w:val="center"/>
                </w:tcPr>
                <w:p w14:paraId="1D70A6CC">
                  <w:pPr>
                    <w:pStyle w:val="52"/>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治理效率</w:t>
                  </w:r>
                  <w:r>
                    <w:rPr>
                      <w:rFonts w:hint="default" w:ascii="Times New Roman" w:hAnsi="Times New Roman" w:cs="Times New Roman"/>
                      <w:color w:val="auto"/>
                      <w:sz w:val="21"/>
                      <w:szCs w:val="21"/>
                      <w:lang w:val="en-US" w:eastAsia="zh-CN"/>
                    </w:rPr>
                    <w:t>%</w:t>
                  </w:r>
                </w:p>
              </w:tc>
              <w:tc>
                <w:tcPr>
                  <w:tcW w:w="1135" w:type="dxa"/>
                  <w:vAlign w:val="center"/>
                </w:tcPr>
                <w:p w14:paraId="31B7D22F">
                  <w:pPr>
                    <w:pStyle w:val="52"/>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是否为可行技术</w:t>
                  </w:r>
                </w:p>
              </w:tc>
              <w:tc>
                <w:tcPr>
                  <w:tcW w:w="976" w:type="dxa"/>
                  <w:vAlign w:val="center"/>
                </w:tcPr>
                <w:p w14:paraId="0F5AF31C">
                  <w:pPr>
                    <w:pStyle w:val="52"/>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排放浓度</w:t>
                  </w:r>
                  <w:r>
                    <w:rPr>
                      <w:rFonts w:hint="default" w:ascii="Times New Roman" w:hAnsi="Times New Roman" w:cs="Times New Roman"/>
                      <w:color w:val="auto"/>
                      <w:sz w:val="21"/>
                      <w:szCs w:val="21"/>
                      <w:lang w:val="en-US" w:eastAsia="zh-CN"/>
                    </w:rPr>
                    <w:t>mg/L</w:t>
                  </w:r>
                </w:p>
              </w:tc>
              <w:tc>
                <w:tcPr>
                  <w:tcW w:w="977" w:type="dxa"/>
                  <w:vAlign w:val="center"/>
                </w:tcPr>
                <w:p w14:paraId="45C6C0AE">
                  <w:pPr>
                    <w:pStyle w:val="52"/>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排放量</w:t>
                  </w:r>
                </w:p>
                <w:p w14:paraId="4B0AF98E">
                  <w:pPr>
                    <w:pStyle w:val="52"/>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t/a</w:t>
                  </w:r>
                </w:p>
              </w:tc>
            </w:tr>
            <w:tr w14:paraId="2484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restart"/>
                  <w:vAlign w:val="center"/>
                </w:tcPr>
                <w:p w14:paraId="71D9E6ED">
                  <w:pPr>
                    <w:pStyle w:val="52"/>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职工生活</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504t/a</w:t>
                  </w:r>
                  <w:r>
                    <w:rPr>
                      <w:rFonts w:hint="eastAsia" w:ascii="Times New Roman" w:hAnsi="Times New Roman" w:cs="Times New Roman"/>
                      <w:color w:val="auto"/>
                      <w:sz w:val="21"/>
                      <w:szCs w:val="21"/>
                      <w:lang w:eastAsia="zh-CN"/>
                    </w:rPr>
                    <w:t>）</w:t>
                  </w:r>
                </w:p>
              </w:tc>
              <w:tc>
                <w:tcPr>
                  <w:tcW w:w="1311" w:type="dxa"/>
                  <w:vAlign w:val="center"/>
                </w:tcPr>
                <w:p w14:paraId="6B33F8DF">
                  <w:pPr>
                    <w:pStyle w:val="52"/>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COD</w:t>
                  </w:r>
                </w:p>
              </w:tc>
              <w:tc>
                <w:tcPr>
                  <w:tcW w:w="975" w:type="dxa"/>
                  <w:vAlign w:val="center"/>
                </w:tcPr>
                <w:p w14:paraId="6D41E020">
                  <w:pPr>
                    <w:pStyle w:val="52"/>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300</w:t>
                  </w:r>
                </w:p>
              </w:tc>
              <w:tc>
                <w:tcPr>
                  <w:tcW w:w="975" w:type="dxa"/>
                  <w:vAlign w:val="center"/>
                </w:tcPr>
                <w:p w14:paraId="0B6F7D3B">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0.1512 </w:t>
                  </w:r>
                </w:p>
              </w:tc>
              <w:tc>
                <w:tcPr>
                  <w:tcW w:w="975" w:type="dxa"/>
                  <w:vMerge w:val="restart"/>
                  <w:vAlign w:val="center"/>
                </w:tcPr>
                <w:p w14:paraId="3338C1A4">
                  <w:pPr>
                    <w:pStyle w:val="52"/>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975" w:type="dxa"/>
                  <w:vMerge w:val="restart"/>
                  <w:vAlign w:val="center"/>
                </w:tcPr>
                <w:p w14:paraId="391A1E5A">
                  <w:pPr>
                    <w:pStyle w:val="52"/>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化粪池</w:t>
                  </w:r>
                  <w:r>
                    <w:rPr>
                      <w:rFonts w:hint="default" w:ascii="Times New Roman" w:hAnsi="Times New Roman" w:cs="Times New Roman"/>
                      <w:color w:val="auto"/>
                      <w:sz w:val="21"/>
                      <w:szCs w:val="21"/>
                      <w:lang w:eastAsia="zh-CN"/>
                    </w:rPr>
                    <w:t>”</w:t>
                  </w:r>
                </w:p>
              </w:tc>
              <w:tc>
                <w:tcPr>
                  <w:tcW w:w="816" w:type="dxa"/>
                  <w:vAlign w:val="center"/>
                </w:tcPr>
                <w:p w14:paraId="12CC0D43">
                  <w:pPr>
                    <w:pStyle w:val="52"/>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1135" w:type="dxa"/>
                  <w:vMerge w:val="restart"/>
                  <w:vAlign w:val="center"/>
                </w:tcPr>
                <w:p w14:paraId="3FDC8D62">
                  <w:pPr>
                    <w:pStyle w:val="52"/>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是</w:t>
                  </w:r>
                </w:p>
              </w:tc>
              <w:tc>
                <w:tcPr>
                  <w:tcW w:w="976" w:type="dxa"/>
                  <w:vAlign w:val="center"/>
                </w:tcPr>
                <w:p w14:paraId="7B418198">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240</w:t>
                  </w:r>
                </w:p>
              </w:tc>
              <w:tc>
                <w:tcPr>
                  <w:tcW w:w="977" w:type="dxa"/>
                  <w:vAlign w:val="center"/>
                </w:tcPr>
                <w:p w14:paraId="53A9680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0.1210 </w:t>
                  </w:r>
                </w:p>
              </w:tc>
            </w:tr>
            <w:tr w14:paraId="043D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vAlign w:val="center"/>
                </w:tcPr>
                <w:p w14:paraId="178B0551">
                  <w:pPr>
                    <w:pStyle w:val="52"/>
                    <w:spacing w:line="240" w:lineRule="auto"/>
                    <w:rPr>
                      <w:rFonts w:hint="default" w:ascii="Times New Roman" w:hAnsi="Times New Roman" w:cs="Times New Roman"/>
                      <w:color w:val="auto"/>
                      <w:sz w:val="21"/>
                      <w:szCs w:val="21"/>
                    </w:rPr>
                  </w:pPr>
                </w:p>
              </w:tc>
              <w:tc>
                <w:tcPr>
                  <w:tcW w:w="1311" w:type="dxa"/>
                  <w:vAlign w:val="center"/>
                </w:tcPr>
                <w:p w14:paraId="0B99A07F">
                  <w:pPr>
                    <w:pStyle w:val="52"/>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BOD</w:t>
                  </w:r>
                  <w:r>
                    <w:rPr>
                      <w:rFonts w:hint="default" w:ascii="Times New Roman" w:hAnsi="Times New Roman" w:cs="Times New Roman"/>
                      <w:color w:val="auto"/>
                      <w:sz w:val="21"/>
                      <w:szCs w:val="21"/>
                      <w:vertAlign w:val="subscript"/>
                      <w:lang w:val="en-US" w:eastAsia="zh-CN"/>
                    </w:rPr>
                    <w:t>5</w:t>
                  </w:r>
                </w:p>
              </w:tc>
              <w:tc>
                <w:tcPr>
                  <w:tcW w:w="975" w:type="dxa"/>
                  <w:vAlign w:val="center"/>
                </w:tcPr>
                <w:p w14:paraId="5CF20EB5">
                  <w:pPr>
                    <w:pStyle w:val="52"/>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100</w:t>
                  </w:r>
                </w:p>
              </w:tc>
              <w:tc>
                <w:tcPr>
                  <w:tcW w:w="975" w:type="dxa"/>
                  <w:vAlign w:val="center"/>
                </w:tcPr>
                <w:p w14:paraId="7BDB10C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0.0504 </w:t>
                  </w:r>
                </w:p>
              </w:tc>
              <w:tc>
                <w:tcPr>
                  <w:tcW w:w="975" w:type="dxa"/>
                  <w:vMerge w:val="continue"/>
                  <w:vAlign w:val="center"/>
                </w:tcPr>
                <w:p w14:paraId="409570E9">
                  <w:pPr>
                    <w:pStyle w:val="52"/>
                    <w:spacing w:line="240" w:lineRule="auto"/>
                    <w:rPr>
                      <w:rFonts w:hint="default" w:ascii="Times New Roman" w:hAnsi="Times New Roman" w:cs="Times New Roman"/>
                      <w:color w:val="auto"/>
                      <w:sz w:val="21"/>
                      <w:szCs w:val="21"/>
                    </w:rPr>
                  </w:pPr>
                </w:p>
              </w:tc>
              <w:tc>
                <w:tcPr>
                  <w:tcW w:w="975" w:type="dxa"/>
                  <w:vMerge w:val="continue"/>
                  <w:vAlign w:val="center"/>
                </w:tcPr>
                <w:p w14:paraId="4A2939E5">
                  <w:pPr>
                    <w:pStyle w:val="52"/>
                    <w:spacing w:line="240" w:lineRule="auto"/>
                    <w:rPr>
                      <w:rFonts w:hint="default" w:ascii="Times New Roman" w:hAnsi="Times New Roman" w:cs="Times New Roman"/>
                      <w:color w:val="auto"/>
                      <w:sz w:val="21"/>
                      <w:szCs w:val="21"/>
                    </w:rPr>
                  </w:pPr>
                </w:p>
              </w:tc>
              <w:tc>
                <w:tcPr>
                  <w:tcW w:w="816" w:type="dxa"/>
                  <w:vAlign w:val="center"/>
                </w:tcPr>
                <w:p w14:paraId="4A61998B">
                  <w:pPr>
                    <w:pStyle w:val="52"/>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w:t>
                  </w:r>
                </w:p>
              </w:tc>
              <w:tc>
                <w:tcPr>
                  <w:tcW w:w="1135" w:type="dxa"/>
                  <w:vMerge w:val="continue"/>
                  <w:vAlign w:val="center"/>
                </w:tcPr>
                <w:p w14:paraId="031DAB43">
                  <w:pPr>
                    <w:pStyle w:val="52"/>
                    <w:spacing w:line="240" w:lineRule="auto"/>
                    <w:rPr>
                      <w:rFonts w:hint="default" w:ascii="Times New Roman" w:hAnsi="Times New Roman" w:cs="Times New Roman"/>
                      <w:color w:val="auto"/>
                      <w:sz w:val="21"/>
                      <w:szCs w:val="21"/>
                    </w:rPr>
                  </w:pPr>
                </w:p>
              </w:tc>
              <w:tc>
                <w:tcPr>
                  <w:tcW w:w="976" w:type="dxa"/>
                  <w:vAlign w:val="center"/>
                </w:tcPr>
                <w:p w14:paraId="37B3B727">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977" w:type="dxa"/>
                  <w:vAlign w:val="center"/>
                </w:tcPr>
                <w:p w14:paraId="50CBC2E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0.0454 </w:t>
                  </w:r>
                </w:p>
              </w:tc>
            </w:tr>
            <w:tr w14:paraId="26CC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vAlign w:val="center"/>
                </w:tcPr>
                <w:p w14:paraId="6044B1F9">
                  <w:pPr>
                    <w:pStyle w:val="52"/>
                    <w:spacing w:line="240" w:lineRule="auto"/>
                    <w:rPr>
                      <w:rFonts w:hint="default" w:ascii="Times New Roman" w:hAnsi="Times New Roman" w:cs="Times New Roman"/>
                      <w:color w:val="auto"/>
                      <w:sz w:val="21"/>
                      <w:szCs w:val="21"/>
                    </w:rPr>
                  </w:pPr>
                </w:p>
              </w:tc>
              <w:tc>
                <w:tcPr>
                  <w:tcW w:w="1311" w:type="dxa"/>
                  <w:vAlign w:val="center"/>
                </w:tcPr>
                <w:p w14:paraId="260A32AB">
                  <w:pPr>
                    <w:pStyle w:val="52"/>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SS</w:t>
                  </w:r>
                </w:p>
              </w:tc>
              <w:tc>
                <w:tcPr>
                  <w:tcW w:w="975" w:type="dxa"/>
                  <w:vAlign w:val="center"/>
                </w:tcPr>
                <w:p w14:paraId="403C14EF">
                  <w:pPr>
                    <w:pStyle w:val="52"/>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200</w:t>
                  </w:r>
                </w:p>
              </w:tc>
              <w:tc>
                <w:tcPr>
                  <w:tcW w:w="975" w:type="dxa"/>
                  <w:vAlign w:val="center"/>
                </w:tcPr>
                <w:p w14:paraId="2C0B698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0.1008 </w:t>
                  </w:r>
                </w:p>
              </w:tc>
              <w:tc>
                <w:tcPr>
                  <w:tcW w:w="975" w:type="dxa"/>
                  <w:vMerge w:val="continue"/>
                  <w:vAlign w:val="center"/>
                </w:tcPr>
                <w:p w14:paraId="4BCD366F">
                  <w:pPr>
                    <w:pStyle w:val="52"/>
                    <w:spacing w:line="240" w:lineRule="auto"/>
                    <w:rPr>
                      <w:rFonts w:hint="default" w:ascii="Times New Roman" w:hAnsi="Times New Roman" w:cs="Times New Roman"/>
                      <w:color w:val="auto"/>
                      <w:sz w:val="21"/>
                      <w:szCs w:val="21"/>
                    </w:rPr>
                  </w:pPr>
                </w:p>
              </w:tc>
              <w:tc>
                <w:tcPr>
                  <w:tcW w:w="975" w:type="dxa"/>
                  <w:vMerge w:val="continue"/>
                  <w:vAlign w:val="center"/>
                </w:tcPr>
                <w:p w14:paraId="33CB047C">
                  <w:pPr>
                    <w:pStyle w:val="52"/>
                    <w:spacing w:line="240" w:lineRule="auto"/>
                    <w:rPr>
                      <w:rFonts w:hint="default" w:ascii="Times New Roman" w:hAnsi="Times New Roman" w:cs="Times New Roman"/>
                      <w:color w:val="auto"/>
                      <w:sz w:val="21"/>
                      <w:szCs w:val="21"/>
                    </w:rPr>
                  </w:pPr>
                </w:p>
              </w:tc>
              <w:tc>
                <w:tcPr>
                  <w:tcW w:w="816" w:type="dxa"/>
                  <w:vAlign w:val="center"/>
                </w:tcPr>
                <w:p w14:paraId="3DD676E1">
                  <w:pPr>
                    <w:pStyle w:val="52"/>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1135" w:type="dxa"/>
                  <w:vMerge w:val="continue"/>
                  <w:vAlign w:val="center"/>
                </w:tcPr>
                <w:p w14:paraId="3B9F840B">
                  <w:pPr>
                    <w:pStyle w:val="52"/>
                    <w:spacing w:line="240" w:lineRule="auto"/>
                    <w:rPr>
                      <w:rFonts w:hint="default" w:ascii="Times New Roman" w:hAnsi="Times New Roman" w:cs="Times New Roman"/>
                      <w:color w:val="auto"/>
                      <w:sz w:val="21"/>
                      <w:szCs w:val="21"/>
                    </w:rPr>
                  </w:pPr>
                </w:p>
              </w:tc>
              <w:tc>
                <w:tcPr>
                  <w:tcW w:w="976" w:type="dxa"/>
                  <w:vAlign w:val="center"/>
                </w:tcPr>
                <w:p w14:paraId="5F63495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977" w:type="dxa"/>
                  <w:vAlign w:val="center"/>
                </w:tcPr>
                <w:p w14:paraId="2D81B30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0.0706 </w:t>
                  </w:r>
                </w:p>
              </w:tc>
            </w:tr>
            <w:tr w14:paraId="2D1BF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vAlign w:val="center"/>
                </w:tcPr>
                <w:p w14:paraId="1EE9930F">
                  <w:pPr>
                    <w:pStyle w:val="52"/>
                    <w:spacing w:line="240" w:lineRule="auto"/>
                    <w:rPr>
                      <w:rFonts w:hint="default" w:ascii="Times New Roman" w:hAnsi="Times New Roman" w:cs="Times New Roman"/>
                      <w:color w:val="auto"/>
                      <w:sz w:val="21"/>
                      <w:szCs w:val="21"/>
                    </w:rPr>
                  </w:pPr>
                </w:p>
              </w:tc>
              <w:tc>
                <w:tcPr>
                  <w:tcW w:w="1311" w:type="dxa"/>
                  <w:vAlign w:val="center"/>
                </w:tcPr>
                <w:p w14:paraId="6B046260">
                  <w:pPr>
                    <w:pStyle w:val="52"/>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w:t>
                  </w:r>
                </w:p>
              </w:tc>
              <w:tc>
                <w:tcPr>
                  <w:tcW w:w="975" w:type="dxa"/>
                  <w:vAlign w:val="center"/>
                </w:tcPr>
                <w:p w14:paraId="08D389D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975" w:type="dxa"/>
                  <w:vAlign w:val="center"/>
                </w:tcPr>
                <w:p w14:paraId="0C0B237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0.0126 </w:t>
                  </w:r>
                </w:p>
              </w:tc>
              <w:tc>
                <w:tcPr>
                  <w:tcW w:w="975" w:type="dxa"/>
                  <w:vMerge w:val="continue"/>
                  <w:vAlign w:val="center"/>
                </w:tcPr>
                <w:p w14:paraId="23D42869">
                  <w:pPr>
                    <w:pStyle w:val="52"/>
                    <w:spacing w:line="240" w:lineRule="auto"/>
                    <w:rPr>
                      <w:rFonts w:hint="default" w:ascii="Times New Roman" w:hAnsi="Times New Roman" w:cs="Times New Roman"/>
                      <w:color w:val="auto"/>
                      <w:sz w:val="21"/>
                      <w:szCs w:val="21"/>
                    </w:rPr>
                  </w:pPr>
                </w:p>
              </w:tc>
              <w:tc>
                <w:tcPr>
                  <w:tcW w:w="975" w:type="dxa"/>
                  <w:vMerge w:val="continue"/>
                  <w:vAlign w:val="center"/>
                </w:tcPr>
                <w:p w14:paraId="1C52A29E">
                  <w:pPr>
                    <w:pStyle w:val="52"/>
                    <w:spacing w:line="240" w:lineRule="auto"/>
                    <w:rPr>
                      <w:rFonts w:hint="default" w:ascii="Times New Roman" w:hAnsi="Times New Roman" w:cs="Times New Roman"/>
                      <w:color w:val="auto"/>
                      <w:sz w:val="21"/>
                      <w:szCs w:val="21"/>
                    </w:rPr>
                  </w:pPr>
                </w:p>
              </w:tc>
              <w:tc>
                <w:tcPr>
                  <w:tcW w:w="816" w:type="dxa"/>
                  <w:vAlign w:val="center"/>
                </w:tcPr>
                <w:p w14:paraId="341471EF">
                  <w:pPr>
                    <w:pStyle w:val="52"/>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1135" w:type="dxa"/>
                  <w:vMerge w:val="continue"/>
                  <w:vAlign w:val="center"/>
                </w:tcPr>
                <w:p w14:paraId="419CDB58">
                  <w:pPr>
                    <w:pStyle w:val="52"/>
                    <w:spacing w:line="240" w:lineRule="auto"/>
                    <w:rPr>
                      <w:rFonts w:hint="default" w:ascii="Times New Roman" w:hAnsi="Times New Roman" w:cs="Times New Roman"/>
                      <w:color w:val="auto"/>
                      <w:sz w:val="21"/>
                      <w:szCs w:val="21"/>
                    </w:rPr>
                  </w:pPr>
                </w:p>
              </w:tc>
              <w:tc>
                <w:tcPr>
                  <w:tcW w:w="976" w:type="dxa"/>
                  <w:vAlign w:val="center"/>
                </w:tcPr>
                <w:p w14:paraId="297EBF8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22.5</w:t>
                  </w:r>
                </w:p>
              </w:tc>
              <w:tc>
                <w:tcPr>
                  <w:tcW w:w="977" w:type="dxa"/>
                  <w:vAlign w:val="center"/>
                </w:tcPr>
                <w:p w14:paraId="6B35DDB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0.0113 </w:t>
                  </w:r>
                </w:p>
              </w:tc>
            </w:tr>
          </w:tbl>
          <w:p w14:paraId="32216CD3">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由表</w:t>
            </w:r>
            <w:r>
              <w:rPr>
                <w:rFonts w:hint="default"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lang w:val="en-US" w:eastAsia="zh-CN"/>
              </w:rPr>
              <w:t>可知，本项目运营期</w:t>
            </w:r>
            <w:r>
              <w:rPr>
                <w:rFonts w:hint="eastAsia" w:ascii="Times New Roman" w:hAnsi="Times New Roman" w:cs="Times New Roman"/>
                <w:color w:val="auto"/>
                <w:sz w:val="24"/>
                <w:szCs w:val="24"/>
                <w:lang w:val="en-US" w:eastAsia="zh-CN"/>
              </w:rPr>
              <w:t>职工生活污水依托园区现有“化粪池”处理后达到《污水综合排放标准》（GB8978-1996）表4中三级标准限值及泗县工业污水处理厂接管限值后排入泗县工业污水处理厂处理达《城镇污水处理厂污染物排放标准》（GB18918-2002）表1中一级标准A标准后排入石梁河。</w:t>
            </w:r>
          </w:p>
          <w:p w14:paraId="03FAFDBB">
            <w:pPr>
              <w:autoSpaceDE w:val="0"/>
              <w:autoSpaceDN w:val="0"/>
              <w:adjustRightIn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）依托污水处理设施的环境可行性评价</w:t>
            </w:r>
          </w:p>
          <w:p w14:paraId="092AC973">
            <w:pPr>
              <w:widowControl/>
              <w:spacing w:line="360" w:lineRule="auto"/>
              <w:ind w:firstLine="480" w:firstLineChars="200"/>
              <w:jc w:val="left"/>
              <w:rPr>
                <w:rFonts w:hint="eastAsia" w:ascii="Times New Roman" w:hAnsi="Times New Roman" w:cs="Times New Roman"/>
                <w:bCs/>
                <w:color w:val="auto"/>
                <w:sz w:val="24"/>
                <w:szCs w:val="24"/>
                <w:lang w:val="zh-CN"/>
              </w:rPr>
            </w:pPr>
            <w:r>
              <w:rPr>
                <w:rFonts w:hint="eastAsia" w:ascii="Times New Roman" w:hAnsi="Times New Roman" w:cs="Times New Roman"/>
                <w:bCs/>
                <w:color w:val="auto"/>
                <w:sz w:val="24"/>
                <w:szCs w:val="24"/>
                <w:lang w:val="zh-CN"/>
              </w:rPr>
              <w:t>①污水处理厂简介</w:t>
            </w:r>
          </w:p>
          <w:p w14:paraId="30E76067">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泗县工业污水处理厂位于石梁河东岸、南柳路南侧，一期处理能力为2万t/d，采用“预处理+水解酸化+ AO生化工艺+深度处理+二氧化氯消毒”工艺，处理后尾水满足《城镇污水处理厂污染物排放标准》（GB18918-2002）中一级A标准后，排入石梁河。泗县工业污水处理厂一期工程于2019年底正常运行。</w:t>
            </w:r>
          </w:p>
          <w:p w14:paraId="0D27A14A">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污水处理厂服务范围包括东至G343、南到新汴河、西至赤山路、北至古汴河。</w:t>
            </w:r>
          </w:p>
          <w:p w14:paraId="1647AA47">
            <w:pPr>
              <w:widowControl/>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②水质水量</w:t>
            </w:r>
          </w:p>
          <w:p w14:paraId="49E2CB0C">
            <w:pPr>
              <w:widowControl/>
              <w:spacing w:line="360" w:lineRule="auto"/>
              <w:ind w:firstLine="480" w:firstLineChars="20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本项目废水主要为生活污水，主要污染物为COD、BOD</w:t>
            </w:r>
            <w:r>
              <w:rPr>
                <w:rFonts w:hint="default" w:ascii="Times New Roman" w:hAnsi="Times New Roman" w:eastAsia="宋体" w:cs="Times New Roman"/>
                <w:color w:val="000000"/>
                <w:kern w:val="0"/>
                <w:sz w:val="24"/>
                <w:szCs w:val="24"/>
                <w:vertAlign w:val="subscript"/>
                <w:lang w:bidi="ar"/>
              </w:rPr>
              <w:t>5</w:t>
            </w:r>
            <w:r>
              <w:rPr>
                <w:rFonts w:hint="default" w:ascii="Times New Roman" w:hAnsi="Times New Roman" w:eastAsia="宋体" w:cs="Times New Roman"/>
                <w:color w:val="000000"/>
                <w:kern w:val="0"/>
                <w:sz w:val="24"/>
                <w:szCs w:val="24"/>
                <w:lang w:bidi="ar"/>
              </w:rPr>
              <w:t>、NH</w:t>
            </w:r>
            <w:r>
              <w:rPr>
                <w:rFonts w:hint="default" w:ascii="Times New Roman" w:hAnsi="Times New Roman" w:eastAsia="宋体" w:cs="Times New Roman"/>
                <w:color w:val="000000"/>
                <w:kern w:val="0"/>
                <w:sz w:val="24"/>
                <w:szCs w:val="24"/>
                <w:vertAlign w:val="subscript"/>
                <w:lang w:bidi="ar"/>
              </w:rPr>
              <w:t>3</w:t>
            </w:r>
            <w:r>
              <w:rPr>
                <w:rFonts w:hint="default" w:ascii="Times New Roman" w:hAnsi="Times New Roman" w:eastAsia="宋体" w:cs="Times New Roman"/>
                <w:color w:val="000000"/>
                <w:kern w:val="0"/>
                <w:sz w:val="24"/>
                <w:szCs w:val="24"/>
                <w:lang w:bidi="ar"/>
              </w:rPr>
              <w:t>-N、SS，水质较简单，不含重金属等有毒有害物质。根据工程分析，本项目生活污水经化粪池处理后</w:t>
            </w:r>
            <w:r>
              <w:rPr>
                <w:rFonts w:hint="default" w:ascii="Times New Roman" w:hAnsi="Times New Roman" w:eastAsia="宋体" w:cs="Times New Roman"/>
                <w:color w:val="000000"/>
                <w:kern w:val="0"/>
                <w:sz w:val="24"/>
                <w:szCs w:val="24"/>
                <w:lang w:val="en-US" w:eastAsia="zh-CN" w:bidi="ar"/>
              </w:rPr>
              <w:t>污染物浓度均能</w:t>
            </w:r>
            <w:r>
              <w:rPr>
                <w:rFonts w:hint="default" w:ascii="Times New Roman" w:hAnsi="Times New Roman" w:eastAsia="宋体" w:cs="Times New Roman"/>
                <w:color w:val="000000"/>
                <w:kern w:val="0"/>
                <w:sz w:val="24"/>
                <w:szCs w:val="24"/>
                <w:lang w:bidi="ar"/>
              </w:rPr>
              <w:t>达到《污水综合排放标准》（GB8978-1996）表4中的三级标准及泗县工业污水处理厂接管要求。本项目</w:t>
            </w:r>
            <w:r>
              <w:rPr>
                <w:rFonts w:hint="default" w:ascii="Times New Roman" w:hAnsi="Times New Roman" w:eastAsia="宋体" w:cs="Times New Roman"/>
                <w:color w:val="000000"/>
                <w:kern w:val="0"/>
                <w:sz w:val="24"/>
                <w:szCs w:val="24"/>
                <w:lang w:val="en-US" w:eastAsia="zh-CN" w:bidi="ar"/>
              </w:rPr>
              <w:t>排放</w:t>
            </w:r>
            <w:r>
              <w:rPr>
                <w:rFonts w:hint="default" w:ascii="Times New Roman" w:hAnsi="Times New Roman" w:eastAsia="宋体" w:cs="Times New Roman"/>
                <w:color w:val="000000"/>
                <w:kern w:val="0"/>
                <w:sz w:val="24"/>
                <w:szCs w:val="24"/>
                <w:lang w:bidi="ar"/>
              </w:rPr>
              <w:t>废水量约为</w:t>
            </w:r>
            <w:r>
              <w:rPr>
                <w:rFonts w:hint="eastAsia" w:ascii="Times New Roman" w:hAnsi="Times New Roman" w:eastAsia="宋体" w:cs="Times New Roman"/>
                <w:color w:val="000000"/>
                <w:kern w:val="0"/>
                <w:sz w:val="24"/>
                <w:szCs w:val="24"/>
                <w:lang w:val="en-US" w:eastAsia="zh-CN" w:bidi="ar"/>
              </w:rPr>
              <w:t>1.68</w:t>
            </w:r>
            <w:r>
              <w:rPr>
                <w:rFonts w:hint="default" w:ascii="Times New Roman" w:hAnsi="Times New Roman" w:eastAsia="宋体" w:cs="Times New Roman"/>
                <w:color w:val="000000"/>
                <w:kern w:val="0"/>
                <w:sz w:val="24"/>
                <w:szCs w:val="24"/>
                <w:lang w:bidi="ar"/>
              </w:rPr>
              <w:t>t</w:t>
            </w:r>
            <w:r>
              <w:rPr>
                <w:rFonts w:hint="default" w:ascii="Times New Roman" w:hAnsi="Times New Roman" w:eastAsia="宋体" w:cs="Times New Roman"/>
                <w:color w:val="000000"/>
                <w:kern w:val="0"/>
                <w:sz w:val="24"/>
                <w:szCs w:val="24"/>
                <w:lang w:val="en-US" w:eastAsia="zh-CN" w:bidi="ar"/>
              </w:rPr>
              <w:t>/d</w:t>
            </w:r>
            <w:r>
              <w:rPr>
                <w:rFonts w:hint="default" w:ascii="Times New Roman" w:hAnsi="Times New Roman" w:eastAsia="宋体" w:cs="Times New Roman"/>
                <w:color w:val="000000"/>
                <w:kern w:val="0"/>
                <w:sz w:val="24"/>
                <w:szCs w:val="24"/>
                <w:lang w:bidi="ar"/>
              </w:rPr>
              <w:t>，污水处理厂一期工程设计规模为2×10</w:t>
            </w:r>
            <w:r>
              <w:rPr>
                <w:rFonts w:hint="default" w:ascii="Times New Roman" w:hAnsi="Times New Roman" w:eastAsia="宋体" w:cs="Times New Roman"/>
                <w:color w:val="000000"/>
                <w:kern w:val="0"/>
                <w:sz w:val="24"/>
                <w:szCs w:val="24"/>
                <w:vertAlign w:val="superscript"/>
                <w:lang w:bidi="ar"/>
              </w:rPr>
              <w:t>4</w:t>
            </w:r>
            <w:r>
              <w:rPr>
                <w:rFonts w:hint="default" w:ascii="Times New Roman" w:hAnsi="Times New Roman" w:eastAsia="宋体" w:cs="Times New Roman"/>
                <w:color w:val="000000"/>
                <w:kern w:val="0"/>
                <w:sz w:val="24"/>
                <w:szCs w:val="24"/>
                <w:lang w:bidi="ar"/>
              </w:rPr>
              <w:t>m</w:t>
            </w:r>
            <w:r>
              <w:rPr>
                <w:rFonts w:hint="default" w:ascii="Times New Roman" w:hAnsi="Times New Roman" w:eastAsia="宋体" w:cs="Times New Roman"/>
                <w:color w:val="000000"/>
                <w:kern w:val="0"/>
                <w:sz w:val="24"/>
                <w:szCs w:val="24"/>
                <w:vertAlign w:val="superscript"/>
                <w:lang w:bidi="ar"/>
              </w:rPr>
              <w:t>3</w:t>
            </w:r>
            <w:r>
              <w:rPr>
                <w:rFonts w:hint="default" w:ascii="Times New Roman" w:hAnsi="Times New Roman" w:eastAsia="宋体" w:cs="Times New Roman"/>
                <w:color w:val="000000"/>
                <w:kern w:val="0"/>
                <w:sz w:val="24"/>
                <w:szCs w:val="24"/>
                <w:lang w:bidi="ar"/>
              </w:rPr>
              <w:t>/d，目前污水处理厂收水量远远小于设计规模，项目</w:t>
            </w:r>
            <w:r>
              <w:rPr>
                <w:rFonts w:hint="default" w:ascii="Times New Roman" w:hAnsi="Times New Roman" w:eastAsia="宋体" w:cs="Times New Roman"/>
                <w:color w:val="000000"/>
                <w:kern w:val="0"/>
                <w:sz w:val="24"/>
                <w:szCs w:val="24"/>
                <w:lang w:val="en-US" w:eastAsia="zh-CN" w:bidi="ar"/>
              </w:rPr>
              <w:t>废水</w:t>
            </w:r>
            <w:r>
              <w:rPr>
                <w:rFonts w:hint="default" w:ascii="Times New Roman" w:hAnsi="Times New Roman" w:eastAsia="宋体" w:cs="Times New Roman"/>
                <w:color w:val="000000"/>
                <w:kern w:val="0"/>
                <w:sz w:val="24"/>
                <w:szCs w:val="24"/>
                <w:lang w:bidi="ar"/>
              </w:rPr>
              <w:t>水质较简单，污染物含量浓度较低，且废水中各污染因子浓度均满足泗县工业污水处理厂接管要求，因此本项目废水进入污水处理厂处理对污水处理厂不造成冲击。</w:t>
            </w:r>
          </w:p>
          <w:p w14:paraId="55D31AEF">
            <w:pPr>
              <w:autoSpaceDE w:val="0"/>
              <w:autoSpaceDN w:val="0"/>
              <w:adjustRightIn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③服务范围</w:t>
            </w:r>
          </w:p>
          <w:p w14:paraId="15D3627F">
            <w:pPr>
              <w:autoSpaceDE w:val="0"/>
              <w:autoSpaceDN w:val="0"/>
              <w:adjustRightInd w:val="0"/>
              <w:spacing w:line="360" w:lineRule="auto"/>
              <w:ind w:firstLine="480" w:firstLineChars="200"/>
              <w:rPr>
                <w:rFonts w:hint="default" w:ascii="Times New Roman" w:hAnsi="Times New Roman" w:eastAsia="宋体" w:cs="Times New Roman"/>
                <w:bCs/>
                <w:color w:val="auto"/>
                <w:sz w:val="24"/>
                <w:szCs w:val="24"/>
                <w:highlight w:val="none"/>
                <w:lang w:val="zh-CN"/>
              </w:rPr>
            </w:pPr>
            <w:r>
              <w:rPr>
                <w:rFonts w:hint="default" w:ascii="Times New Roman" w:hAnsi="Times New Roman" w:eastAsia="宋体" w:cs="Times New Roman"/>
                <w:color w:val="000000"/>
                <w:kern w:val="0"/>
                <w:sz w:val="24"/>
                <w:szCs w:val="24"/>
                <w:lang w:bidi="ar"/>
              </w:rPr>
              <w:t>本项目位于泗县经济开发区，根据泗县工业</w:t>
            </w:r>
            <w:r>
              <w:rPr>
                <w:rFonts w:hint="default" w:ascii="Times New Roman" w:hAnsi="Times New Roman" w:eastAsia="宋体" w:cs="Times New Roman"/>
                <w:color w:val="000000"/>
                <w:kern w:val="0"/>
                <w:sz w:val="24"/>
                <w:szCs w:val="24"/>
                <w:highlight w:val="none"/>
                <w:lang w:bidi="ar"/>
              </w:rPr>
              <w:t>污水处理厂管网图，本项目所在位置污水管网已经建成，且在污水处理厂收水范围，废水通过污水管网进入泗县工业污水处理厂。</w:t>
            </w:r>
          </w:p>
          <w:p w14:paraId="055F872A">
            <w:pPr>
              <w:autoSpaceDE w:val="0"/>
              <w:autoSpaceDN w:val="0"/>
              <w:adjustRightInd w:val="0"/>
              <w:spacing w:line="360" w:lineRule="auto"/>
              <w:ind w:firstLine="480" w:firstLineChars="200"/>
              <w:rPr>
                <w:rFonts w:hint="eastAsia" w:ascii="Times New Roman" w:hAnsi="Times New Roman" w:cs="Times New Roman"/>
                <w:bCs/>
                <w:color w:val="auto"/>
                <w:sz w:val="24"/>
                <w:szCs w:val="24"/>
                <w:highlight w:val="none"/>
                <w:lang w:val="zh-CN"/>
              </w:rPr>
            </w:pPr>
            <w:r>
              <w:rPr>
                <w:rFonts w:hint="eastAsia" w:ascii="Times New Roman" w:hAnsi="Times New Roman" w:cs="Times New Roman"/>
                <w:bCs/>
                <w:color w:val="auto"/>
                <w:sz w:val="24"/>
                <w:szCs w:val="24"/>
                <w:highlight w:val="none"/>
                <w:lang w:val="zh-CN"/>
              </w:rPr>
              <w:t>综上，本项目外排废水水质、水量均满足</w:t>
            </w:r>
            <w:r>
              <w:rPr>
                <w:rFonts w:hint="default" w:ascii="Times New Roman" w:hAnsi="Times New Roman" w:eastAsia="宋体" w:cs="Times New Roman"/>
                <w:color w:val="000000"/>
                <w:kern w:val="0"/>
                <w:sz w:val="24"/>
                <w:szCs w:val="24"/>
                <w:highlight w:val="none"/>
                <w:lang w:bidi="ar"/>
              </w:rPr>
              <w:t>泗县工业污水处理厂</w:t>
            </w:r>
            <w:r>
              <w:rPr>
                <w:rFonts w:hint="eastAsia" w:ascii="Times New Roman" w:hAnsi="Times New Roman" w:cs="Times New Roman"/>
                <w:bCs/>
                <w:color w:val="auto"/>
                <w:sz w:val="24"/>
                <w:szCs w:val="24"/>
                <w:highlight w:val="none"/>
                <w:lang w:val="zh-CN"/>
              </w:rPr>
              <w:t>接管要求，不会对污水处理厂造成冲击负荷。因此本项目污水进入</w:t>
            </w:r>
            <w:r>
              <w:rPr>
                <w:rFonts w:hint="default" w:ascii="Times New Roman" w:hAnsi="Times New Roman" w:eastAsia="宋体" w:cs="Times New Roman"/>
                <w:color w:val="000000"/>
                <w:kern w:val="0"/>
                <w:sz w:val="24"/>
                <w:szCs w:val="24"/>
                <w:highlight w:val="none"/>
                <w:lang w:bidi="ar"/>
              </w:rPr>
              <w:t>泗县工业污水处理厂</w:t>
            </w:r>
            <w:r>
              <w:rPr>
                <w:rFonts w:hint="eastAsia" w:ascii="Times New Roman" w:hAnsi="Times New Roman" w:cs="Times New Roman"/>
                <w:bCs/>
                <w:color w:val="auto"/>
                <w:sz w:val="24"/>
                <w:szCs w:val="24"/>
                <w:highlight w:val="none"/>
                <w:lang w:val="zh-CN"/>
              </w:rPr>
              <w:t>处理是可行的。</w:t>
            </w:r>
          </w:p>
          <w:p w14:paraId="31AD72E9">
            <w:pPr>
              <w:autoSpaceDE w:val="0"/>
              <w:autoSpaceDN w:val="0"/>
              <w:adjustRightInd w:val="0"/>
              <w:spacing w:line="360" w:lineRule="auto"/>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3</w:t>
            </w:r>
            <w:r>
              <w:rPr>
                <w:rFonts w:ascii="Times New Roman" w:hAnsi="Times New Roman" w:cs="Times New Roman"/>
                <w:color w:val="auto"/>
                <w:sz w:val="24"/>
                <w:highlight w:val="none"/>
              </w:rPr>
              <w:t>）建设项目废水污染物排放信息表</w:t>
            </w:r>
          </w:p>
          <w:p w14:paraId="48EDD379">
            <w:pPr>
              <w:autoSpaceDE w:val="0"/>
              <w:autoSpaceDN w:val="0"/>
              <w:adjustRightInd w:val="0"/>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建设项目废水类别、污染物及污染治理设施信息表见表</w:t>
            </w:r>
            <w:r>
              <w:rPr>
                <w:rFonts w:hint="eastAsia" w:ascii="Times New Roman" w:hAnsi="Times New Roman" w:cs="Times New Roman"/>
                <w:color w:val="auto"/>
                <w:sz w:val="24"/>
              </w:rPr>
              <w:t>4.</w:t>
            </w:r>
            <w:r>
              <w:rPr>
                <w:rFonts w:hint="eastAsia" w:ascii="Times New Roman" w:hAnsi="Times New Roman" w:cs="Times New Roman"/>
                <w:color w:val="auto"/>
                <w:sz w:val="24"/>
                <w:lang w:val="en-US" w:eastAsia="zh-CN"/>
              </w:rPr>
              <w:t>10</w:t>
            </w:r>
            <w:r>
              <w:rPr>
                <w:rFonts w:ascii="Times New Roman" w:hAnsi="Times New Roman" w:cs="Times New Roman"/>
                <w:color w:val="auto"/>
                <w:sz w:val="24"/>
              </w:rPr>
              <w:t>。</w:t>
            </w:r>
          </w:p>
          <w:p w14:paraId="0532BB96">
            <w:pPr>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w:t>
            </w:r>
            <w:r>
              <w:rPr>
                <w:rFonts w:hint="eastAsia" w:ascii="Times New Roman" w:hAnsi="Times New Roman" w:cs="Times New Roman"/>
                <w:b/>
                <w:bCs/>
                <w:color w:val="auto"/>
                <w:sz w:val="21"/>
                <w:szCs w:val="21"/>
                <w:lang w:val="en-US" w:eastAsia="zh-CN"/>
              </w:rPr>
              <w:t>10</w:t>
            </w:r>
            <w:r>
              <w:rPr>
                <w:rFonts w:hint="default" w:ascii="Times New Roman" w:hAnsi="Times New Roman" w:cs="Times New Roman"/>
                <w:b/>
                <w:bCs/>
                <w:color w:val="auto"/>
                <w:sz w:val="21"/>
                <w:szCs w:val="21"/>
              </w:rPr>
              <w:t xml:space="preserve">  废水类别、污染物及治理设施信息表</w:t>
            </w:r>
          </w:p>
          <w:tbl>
            <w:tblPr>
              <w:tblStyle w:val="31"/>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885"/>
              <w:gridCol w:w="987"/>
              <w:gridCol w:w="886"/>
              <w:gridCol w:w="915"/>
              <w:gridCol w:w="953"/>
              <w:gridCol w:w="843"/>
              <w:gridCol w:w="785"/>
              <w:gridCol w:w="987"/>
              <w:gridCol w:w="847"/>
              <w:gridCol w:w="1218"/>
            </w:tblGrid>
            <w:tr w14:paraId="668D1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dxa"/>
                  <w:vMerge w:val="restart"/>
                  <w:noWrap w:val="0"/>
                  <w:vAlign w:val="center"/>
                </w:tcPr>
                <w:p w14:paraId="5121A208">
                  <w:pPr>
                    <w:pStyle w:val="5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960" w:type="dxa"/>
                  <w:vMerge w:val="restart"/>
                  <w:noWrap w:val="0"/>
                  <w:vAlign w:val="center"/>
                </w:tcPr>
                <w:p w14:paraId="2526AEA3">
                  <w:pPr>
                    <w:pStyle w:val="5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废水类别</w:t>
                  </w:r>
                  <w:r>
                    <w:rPr>
                      <w:rFonts w:hint="default" w:ascii="Times New Roman" w:hAnsi="Times New Roman" w:cs="Times New Roman"/>
                      <w:color w:val="auto"/>
                      <w:sz w:val="21"/>
                      <w:szCs w:val="21"/>
                      <w:vertAlign w:val="superscript"/>
                    </w:rPr>
                    <w:t>a</w:t>
                  </w:r>
                </w:p>
              </w:tc>
              <w:tc>
                <w:tcPr>
                  <w:tcW w:w="961" w:type="dxa"/>
                  <w:vMerge w:val="restart"/>
                  <w:noWrap w:val="0"/>
                  <w:vAlign w:val="center"/>
                </w:tcPr>
                <w:p w14:paraId="253128E8">
                  <w:pPr>
                    <w:pStyle w:val="5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污染物种类</w:t>
                  </w:r>
                  <w:r>
                    <w:rPr>
                      <w:rFonts w:hint="default" w:ascii="Times New Roman" w:hAnsi="Times New Roman" w:cs="Times New Roman"/>
                      <w:color w:val="auto"/>
                      <w:sz w:val="21"/>
                      <w:szCs w:val="21"/>
                      <w:vertAlign w:val="superscript"/>
                    </w:rPr>
                    <w:t>b</w:t>
                  </w:r>
                </w:p>
              </w:tc>
              <w:tc>
                <w:tcPr>
                  <w:tcW w:w="961" w:type="dxa"/>
                  <w:vMerge w:val="restart"/>
                  <w:noWrap w:val="0"/>
                  <w:vAlign w:val="center"/>
                </w:tcPr>
                <w:p w14:paraId="0D8F2F74">
                  <w:pPr>
                    <w:pStyle w:val="5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排放去向</w:t>
                  </w:r>
                  <w:r>
                    <w:rPr>
                      <w:rFonts w:hint="default" w:ascii="Times New Roman" w:hAnsi="Times New Roman" w:cs="Times New Roman"/>
                      <w:color w:val="auto"/>
                      <w:sz w:val="21"/>
                      <w:szCs w:val="21"/>
                      <w:vertAlign w:val="superscript"/>
                    </w:rPr>
                    <w:t>c</w:t>
                  </w:r>
                </w:p>
              </w:tc>
              <w:tc>
                <w:tcPr>
                  <w:tcW w:w="960" w:type="dxa"/>
                  <w:vMerge w:val="restart"/>
                  <w:noWrap w:val="0"/>
                  <w:vAlign w:val="center"/>
                </w:tcPr>
                <w:p w14:paraId="39C20766">
                  <w:pPr>
                    <w:pStyle w:val="5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排放规律</w:t>
                  </w:r>
                  <w:r>
                    <w:rPr>
                      <w:rFonts w:hint="default" w:ascii="Times New Roman" w:hAnsi="Times New Roman" w:cs="Times New Roman"/>
                      <w:color w:val="auto"/>
                      <w:sz w:val="21"/>
                      <w:szCs w:val="21"/>
                      <w:vertAlign w:val="superscript"/>
                    </w:rPr>
                    <w:t>d</w:t>
                  </w:r>
                </w:p>
              </w:tc>
              <w:tc>
                <w:tcPr>
                  <w:tcW w:w="2628" w:type="dxa"/>
                  <w:gridSpan w:val="3"/>
                  <w:noWrap w:val="0"/>
                  <w:vAlign w:val="center"/>
                </w:tcPr>
                <w:p w14:paraId="7D11E9F8">
                  <w:pPr>
                    <w:pStyle w:val="5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污染治理设施</w:t>
                  </w:r>
                </w:p>
              </w:tc>
              <w:tc>
                <w:tcPr>
                  <w:tcW w:w="570" w:type="dxa"/>
                  <w:vMerge w:val="restart"/>
                  <w:noWrap w:val="0"/>
                  <w:vAlign w:val="center"/>
                </w:tcPr>
                <w:p w14:paraId="78D3C483">
                  <w:pPr>
                    <w:pStyle w:val="5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排放口编号</w:t>
                  </w:r>
                  <w:r>
                    <w:rPr>
                      <w:rFonts w:hint="default" w:ascii="Times New Roman" w:hAnsi="Times New Roman" w:cs="Times New Roman"/>
                      <w:color w:val="auto"/>
                      <w:sz w:val="21"/>
                      <w:szCs w:val="21"/>
                      <w:vertAlign w:val="superscript"/>
                    </w:rPr>
                    <w:t>f</w:t>
                  </w:r>
                </w:p>
              </w:tc>
              <w:tc>
                <w:tcPr>
                  <w:tcW w:w="915" w:type="dxa"/>
                  <w:vMerge w:val="restart"/>
                  <w:noWrap w:val="0"/>
                  <w:vAlign w:val="center"/>
                </w:tcPr>
                <w:p w14:paraId="66EF6FD4">
                  <w:pPr>
                    <w:pStyle w:val="5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排放口设置是否符合要求</w:t>
                  </w:r>
                  <w:r>
                    <w:rPr>
                      <w:rFonts w:hint="default" w:ascii="Times New Roman" w:hAnsi="Times New Roman" w:cs="Times New Roman"/>
                      <w:color w:val="auto"/>
                      <w:sz w:val="21"/>
                      <w:szCs w:val="21"/>
                      <w:vertAlign w:val="superscript"/>
                    </w:rPr>
                    <w:t>g</w:t>
                  </w:r>
                </w:p>
              </w:tc>
              <w:tc>
                <w:tcPr>
                  <w:tcW w:w="1347" w:type="dxa"/>
                  <w:vMerge w:val="restart"/>
                  <w:noWrap w:val="0"/>
                  <w:vAlign w:val="center"/>
                </w:tcPr>
                <w:p w14:paraId="06A52C01">
                  <w:pPr>
                    <w:pStyle w:val="5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排放口类型</w:t>
                  </w:r>
                </w:p>
              </w:tc>
            </w:tr>
            <w:tr w14:paraId="1F5D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dxa"/>
                  <w:vMerge w:val="continue"/>
                  <w:noWrap w:val="0"/>
                  <w:vAlign w:val="center"/>
                </w:tcPr>
                <w:p w14:paraId="69FB65D1">
                  <w:pPr>
                    <w:pStyle w:val="52"/>
                    <w:spacing w:line="240" w:lineRule="auto"/>
                    <w:rPr>
                      <w:rFonts w:hint="default" w:ascii="Times New Roman" w:hAnsi="Times New Roman" w:cs="Times New Roman"/>
                      <w:color w:val="auto"/>
                      <w:sz w:val="21"/>
                      <w:szCs w:val="21"/>
                    </w:rPr>
                  </w:pPr>
                </w:p>
              </w:tc>
              <w:tc>
                <w:tcPr>
                  <w:tcW w:w="960" w:type="dxa"/>
                  <w:vMerge w:val="continue"/>
                  <w:noWrap w:val="0"/>
                  <w:vAlign w:val="center"/>
                </w:tcPr>
                <w:p w14:paraId="3BFF5A10">
                  <w:pPr>
                    <w:pStyle w:val="52"/>
                    <w:spacing w:line="240" w:lineRule="auto"/>
                    <w:rPr>
                      <w:rFonts w:hint="default" w:ascii="Times New Roman" w:hAnsi="Times New Roman" w:cs="Times New Roman"/>
                      <w:color w:val="auto"/>
                      <w:sz w:val="21"/>
                      <w:szCs w:val="21"/>
                    </w:rPr>
                  </w:pPr>
                </w:p>
              </w:tc>
              <w:tc>
                <w:tcPr>
                  <w:tcW w:w="961" w:type="dxa"/>
                  <w:vMerge w:val="continue"/>
                  <w:noWrap w:val="0"/>
                  <w:vAlign w:val="center"/>
                </w:tcPr>
                <w:p w14:paraId="44C0D0F2">
                  <w:pPr>
                    <w:pStyle w:val="52"/>
                    <w:spacing w:line="240" w:lineRule="auto"/>
                    <w:rPr>
                      <w:rFonts w:hint="default" w:ascii="Times New Roman" w:hAnsi="Times New Roman" w:cs="Times New Roman"/>
                      <w:color w:val="auto"/>
                      <w:sz w:val="21"/>
                      <w:szCs w:val="21"/>
                    </w:rPr>
                  </w:pPr>
                </w:p>
              </w:tc>
              <w:tc>
                <w:tcPr>
                  <w:tcW w:w="961" w:type="dxa"/>
                  <w:vMerge w:val="continue"/>
                  <w:noWrap w:val="0"/>
                  <w:vAlign w:val="center"/>
                </w:tcPr>
                <w:p w14:paraId="67E7D464">
                  <w:pPr>
                    <w:pStyle w:val="52"/>
                    <w:spacing w:line="240" w:lineRule="auto"/>
                    <w:rPr>
                      <w:rFonts w:hint="default" w:ascii="Times New Roman" w:hAnsi="Times New Roman" w:cs="Times New Roman"/>
                      <w:color w:val="auto"/>
                      <w:sz w:val="21"/>
                      <w:szCs w:val="21"/>
                    </w:rPr>
                  </w:pPr>
                </w:p>
              </w:tc>
              <w:tc>
                <w:tcPr>
                  <w:tcW w:w="960" w:type="dxa"/>
                  <w:vMerge w:val="continue"/>
                  <w:noWrap w:val="0"/>
                  <w:vAlign w:val="center"/>
                </w:tcPr>
                <w:p w14:paraId="4DCAA2CF">
                  <w:pPr>
                    <w:pStyle w:val="52"/>
                    <w:spacing w:line="240" w:lineRule="auto"/>
                    <w:rPr>
                      <w:rFonts w:hint="default" w:ascii="Times New Roman" w:hAnsi="Times New Roman" w:cs="Times New Roman"/>
                      <w:color w:val="auto"/>
                      <w:sz w:val="21"/>
                      <w:szCs w:val="21"/>
                    </w:rPr>
                  </w:pPr>
                </w:p>
              </w:tc>
              <w:tc>
                <w:tcPr>
                  <w:tcW w:w="908" w:type="dxa"/>
                  <w:noWrap w:val="0"/>
                  <w:vAlign w:val="center"/>
                </w:tcPr>
                <w:p w14:paraId="13CB2294">
                  <w:pPr>
                    <w:pStyle w:val="5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污染治理设施编号</w:t>
                  </w:r>
                </w:p>
              </w:tc>
              <w:tc>
                <w:tcPr>
                  <w:tcW w:w="911" w:type="dxa"/>
                  <w:noWrap w:val="0"/>
                  <w:vAlign w:val="center"/>
                </w:tcPr>
                <w:p w14:paraId="1C4C983F">
                  <w:pPr>
                    <w:pStyle w:val="5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污染治理设施名称</w:t>
                  </w:r>
                  <w:r>
                    <w:rPr>
                      <w:rFonts w:hint="default" w:ascii="Times New Roman" w:hAnsi="Times New Roman" w:cs="Times New Roman"/>
                      <w:color w:val="auto"/>
                      <w:sz w:val="21"/>
                      <w:szCs w:val="21"/>
                      <w:vertAlign w:val="superscript"/>
                    </w:rPr>
                    <w:t>e</w:t>
                  </w:r>
                </w:p>
              </w:tc>
              <w:tc>
                <w:tcPr>
                  <w:tcW w:w="809" w:type="dxa"/>
                  <w:noWrap w:val="0"/>
                  <w:vAlign w:val="center"/>
                </w:tcPr>
                <w:p w14:paraId="10180225">
                  <w:pPr>
                    <w:pStyle w:val="5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污染治理设施工艺</w:t>
                  </w:r>
                </w:p>
              </w:tc>
              <w:tc>
                <w:tcPr>
                  <w:tcW w:w="570" w:type="dxa"/>
                  <w:vMerge w:val="continue"/>
                  <w:noWrap w:val="0"/>
                  <w:vAlign w:val="center"/>
                </w:tcPr>
                <w:p w14:paraId="31745723">
                  <w:pPr>
                    <w:pStyle w:val="52"/>
                    <w:spacing w:line="240" w:lineRule="auto"/>
                    <w:rPr>
                      <w:rFonts w:hint="default" w:ascii="Times New Roman" w:hAnsi="Times New Roman" w:cs="Times New Roman"/>
                      <w:color w:val="auto"/>
                      <w:sz w:val="21"/>
                      <w:szCs w:val="21"/>
                    </w:rPr>
                  </w:pPr>
                </w:p>
              </w:tc>
              <w:tc>
                <w:tcPr>
                  <w:tcW w:w="915" w:type="dxa"/>
                  <w:vMerge w:val="continue"/>
                  <w:noWrap w:val="0"/>
                  <w:vAlign w:val="center"/>
                </w:tcPr>
                <w:p w14:paraId="761D9602">
                  <w:pPr>
                    <w:pStyle w:val="52"/>
                    <w:spacing w:line="240" w:lineRule="auto"/>
                    <w:rPr>
                      <w:rFonts w:hint="default" w:ascii="Times New Roman" w:hAnsi="Times New Roman" w:cs="Times New Roman"/>
                      <w:color w:val="auto"/>
                      <w:sz w:val="21"/>
                      <w:szCs w:val="21"/>
                    </w:rPr>
                  </w:pPr>
                </w:p>
              </w:tc>
              <w:tc>
                <w:tcPr>
                  <w:tcW w:w="1347" w:type="dxa"/>
                  <w:vMerge w:val="continue"/>
                  <w:noWrap w:val="0"/>
                  <w:vAlign w:val="center"/>
                </w:tcPr>
                <w:p w14:paraId="0B64EE43">
                  <w:pPr>
                    <w:pStyle w:val="52"/>
                    <w:spacing w:line="240" w:lineRule="auto"/>
                    <w:rPr>
                      <w:rFonts w:hint="default" w:ascii="Times New Roman" w:hAnsi="Times New Roman" w:cs="Times New Roman"/>
                      <w:color w:val="auto"/>
                      <w:sz w:val="21"/>
                      <w:szCs w:val="21"/>
                    </w:rPr>
                  </w:pPr>
                </w:p>
              </w:tc>
            </w:tr>
            <w:tr w14:paraId="0C9D6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dxa"/>
                  <w:noWrap w:val="0"/>
                  <w:vAlign w:val="center"/>
                </w:tcPr>
                <w:p w14:paraId="1135AA28">
                  <w:pPr>
                    <w:pStyle w:val="5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60" w:type="dxa"/>
                  <w:noWrap w:val="0"/>
                  <w:vAlign w:val="center"/>
                </w:tcPr>
                <w:p w14:paraId="32E673B3">
                  <w:pPr>
                    <w:pStyle w:val="52"/>
                    <w:spacing w:line="240" w:lineRule="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生活污水</w:t>
                  </w:r>
                </w:p>
              </w:tc>
              <w:tc>
                <w:tcPr>
                  <w:tcW w:w="961" w:type="dxa"/>
                  <w:noWrap w:val="0"/>
                  <w:vAlign w:val="center"/>
                </w:tcPr>
                <w:p w14:paraId="6E24D170">
                  <w:pPr>
                    <w:pStyle w:val="52"/>
                    <w:spacing w:line="240" w:lineRule="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COD、BOD</w:t>
                  </w:r>
                  <w:r>
                    <w:rPr>
                      <w:rFonts w:hint="eastAsia" w:ascii="Times New Roman" w:hAnsi="Times New Roman" w:cs="Times New Roman"/>
                      <w:color w:val="auto"/>
                      <w:sz w:val="21"/>
                      <w:szCs w:val="21"/>
                      <w:vertAlign w:val="subscript"/>
                      <w:lang w:val="en-US" w:eastAsia="zh-CN"/>
                    </w:rPr>
                    <w:t>5</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rPr>
                    <w:t>SS</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961" w:type="dxa"/>
                  <w:noWrap w:val="0"/>
                  <w:vAlign w:val="center"/>
                </w:tcPr>
                <w:p w14:paraId="2BF369B7">
                  <w:pPr>
                    <w:pStyle w:val="5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工业废水集中处理厂</w:t>
                  </w:r>
                </w:p>
              </w:tc>
              <w:tc>
                <w:tcPr>
                  <w:tcW w:w="960" w:type="dxa"/>
                  <w:noWrap w:val="0"/>
                  <w:vAlign w:val="center"/>
                </w:tcPr>
                <w:p w14:paraId="155E67D6">
                  <w:pPr>
                    <w:pStyle w:val="5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间断排放，排放期间流量稳定</w:t>
                  </w:r>
                </w:p>
              </w:tc>
              <w:tc>
                <w:tcPr>
                  <w:tcW w:w="908" w:type="dxa"/>
                  <w:noWrap w:val="0"/>
                  <w:vAlign w:val="center"/>
                </w:tcPr>
                <w:p w14:paraId="1BA96FB9">
                  <w:pPr>
                    <w:pStyle w:val="5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TW001</w:t>
                  </w:r>
                </w:p>
              </w:tc>
              <w:tc>
                <w:tcPr>
                  <w:tcW w:w="911" w:type="dxa"/>
                  <w:noWrap w:val="0"/>
                  <w:vAlign w:val="center"/>
                </w:tcPr>
                <w:p w14:paraId="0221884A">
                  <w:pPr>
                    <w:pStyle w:val="5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生活污水处理系统</w:t>
                  </w:r>
                </w:p>
              </w:tc>
              <w:tc>
                <w:tcPr>
                  <w:tcW w:w="809" w:type="dxa"/>
                  <w:noWrap w:val="0"/>
                  <w:vAlign w:val="center"/>
                </w:tcPr>
                <w:p w14:paraId="3CFEF1C0">
                  <w:pPr>
                    <w:pStyle w:val="52"/>
                    <w:spacing w:line="240" w:lineRule="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化粪池</w:t>
                  </w:r>
                  <w:r>
                    <w:rPr>
                      <w:rFonts w:hint="eastAsia" w:ascii="Times New Roman" w:hAnsi="Times New Roman" w:cs="Times New Roman"/>
                      <w:color w:val="auto"/>
                      <w:sz w:val="21"/>
                      <w:szCs w:val="21"/>
                      <w:lang w:eastAsia="zh-CN"/>
                    </w:rPr>
                    <w:t>”</w:t>
                  </w:r>
                </w:p>
              </w:tc>
              <w:tc>
                <w:tcPr>
                  <w:tcW w:w="570" w:type="dxa"/>
                  <w:noWrap w:val="0"/>
                  <w:vAlign w:val="center"/>
                </w:tcPr>
                <w:p w14:paraId="798815D0">
                  <w:pPr>
                    <w:pStyle w:val="52"/>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DW001</w:t>
                  </w:r>
                </w:p>
              </w:tc>
              <w:tc>
                <w:tcPr>
                  <w:tcW w:w="915" w:type="dxa"/>
                  <w:noWrap w:val="0"/>
                  <w:vAlign w:val="center"/>
                </w:tcPr>
                <w:p w14:paraId="3AAA59EB">
                  <w:pPr>
                    <w:pStyle w:val="52"/>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☑是</w:t>
                  </w:r>
                </w:p>
                <w:p w14:paraId="05AC4C74">
                  <w:pPr>
                    <w:pStyle w:val="52"/>
                    <w:spacing w:line="240" w:lineRule="auto"/>
                    <w:rPr>
                      <w:rFonts w:hint="default" w:ascii="Times New Roman" w:hAnsi="Times New Roman" w:cs="Times New Roman"/>
                      <w:color w:val="auto"/>
                      <w:sz w:val="21"/>
                      <w:szCs w:val="21"/>
                    </w:rPr>
                  </w:pPr>
                  <w:r>
                    <w:rPr>
                      <w:rFonts w:hint="eastAsia" w:ascii="宋体" w:hAnsi="宋体" w:eastAsia="宋体" w:cs="宋体"/>
                      <w:color w:val="auto"/>
                      <w:sz w:val="21"/>
                      <w:szCs w:val="21"/>
                    </w:rPr>
                    <w:t>□否</w:t>
                  </w:r>
                </w:p>
              </w:tc>
              <w:tc>
                <w:tcPr>
                  <w:tcW w:w="1347" w:type="dxa"/>
                  <w:noWrap w:val="0"/>
                  <w:vAlign w:val="center"/>
                </w:tcPr>
                <w:p w14:paraId="2F2C185E">
                  <w:pPr>
                    <w:pStyle w:val="52"/>
                    <w:spacing w:line="240" w:lineRule="auto"/>
                    <w:rPr>
                      <w:rFonts w:hint="eastAsia" w:ascii="宋体" w:hAnsi="宋体" w:eastAsia="宋体" w:cs="宋体"/>
                      <w:color w:val="auto"/>
                      <w:sz w:val="21"/>
                      <w:szCs w:val="21"/>
                    </w:rPr>
                  </w:pPr>
                  <w:r>
                    <w:rPr>
                      <w:rFonts w:hint="default" w:ascii="Times New Roman" w:hAnsi="Times New Roman" w:cs="Times New Roman"/>
                      <w:color w:val="auto"/>
                      <w:sz w:val="21"/>
                      <w:szCs w:val="21"/>
                    </w:rPr>
                    <w:t>☑企业</w:t>
                  </w:r>
                  <w:r>
                    <w:rPr>
                      <w:rFonts w:hint="eastAsia" w:ascii="宋体" w:hAnsi="宋体" w:eastAsia="宋体" w:cs="宋体"/>
                      <w:color w:val="auto"/>
                      <w:sz w:val="21"/>
                      <w:szCs w:val="21"/>
                    </w:rPr>
                    <w:t>排口</w:t>
                  </w:r>
                </w:p>
                <w:p w14:paraId="5C70FBCD">
                  <w:pPr>
                    <w:pStyle w:val="52"/>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□雨水排放</w:t>
                  </w:r>
                </w:p>
                <w:p w14:paraId="59CF6B5D">
                  <w:pPr>
                    <w:pStyle w:val="52"/>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□清净下水排放</w:t>
                  </w:r>
                </w:p>
                <w:p w14:paraId="128CE210">
                  <w:pPr>
                    <w:pStyle w:val="52"/>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□温排水排放</w:t>
                  </w:r>
                </w:p>
                <w:p w14:paraId="5EA5A335">
                  <w:pPr>
                    <w:pStyle w:val="52"/>
                    <w:spacing w:line="240" w:lineRule="auto"/>
                    <w:rPr>
                      <w:rFonts w:hint="eastAsia" w:ascii="Times New Roman" w:hAnsi="Times New Roman" w:cs="Times New Roman"/>
                      <w:color w:val="auto"/>
                      <w:sz w:val="21"/>
                      <w:szCs w:val="21"/>
                      <w:lang w:val="en-US" w:eastAsia="zh-CN"/>
                    </w:rPr>
                  </w:pPr>
                  <w:r>
                    <w:rPr>
                      <w:rFonts w:hint="eastAsia" w:ascii="宋体" w:hAnsi="宋体" w:eastAsia="宋体" w:cs="宋体"/>
                      <w:color w:val="auto"/>
                      <w:sz w:val="21"/>
                      <w:szCs w:val="21"/>
                    </w:rPr>
                    <w:t>□车间或车间处理设施排放口</w:t>
                  </w:r>
                </w:p>
              </w:tc>
            </w:tr>
            <w:tr w14:paraId="4322B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51" w:type="dxa"/>
                  <w:gridSpan w:val="11"/>
                  <w:noWrap w:val="0"/>
                  <w:vAlign w:val="center"/>
                </w:tcPr>
                <w:p w14:paraId="01F5EDFA">
                  <w:pPr>
                    <w:pStyle w:val="52"/>
                    <w:spacing w:line="240" w:lineRule="auto"/>
                    <w:ind w:firstLine="420" w:firstLineChars="200"/>
                    <w:jc w:val="both"/>
                    <w:rPr>
                      <w:rFonts w:hint="eastAsia" w:ascii="宋体" w:hAnsi="宋体" w:eastAsia="宋体" w:cs="宋体"/>
                      <w:color w:val="auto"/>
                      <w:sz w:val="21"/>
                      <w:szCs w:val="21"/>
                    </w:rPr>
                  </w:pPr>
                  <w:r>
                    <w:rPr>
                      <w:rFonts w:hint="default" w:ascii="Times New Roman" w:hAnsi="Times New Roman" w:eastAsia="宋体" w:cs="Times New Roman"/>
                      <w:color w:val="auto"/>
                      <w:sz w:val="21"/>
                      <w:szCs w:val="21"/>
                      <w:vertAlign w:val="superscript"/>
                    </w:rPr>
                    <w:t>a</w:t>
                  </w:r>
                  <w:r>
                    <w:rPr>
                      <w:rFonts w:hint="eastAsia" w:ascii="宋体" w:hAnsi="宋体" w:eastAsia="宋体" w:cs="宋体"/>
                      <w:color w:val="auto"/>
                      <w:sz w:val="21"/>
                      <w:szCs w:val="21"/>
                    </w:rPr>
                    <w:t>指产生废水的工艺、工序，或废水类型的名称。</w:t>
                  </w:r>
                </w:p>
                <w:p w14:paraId="579710D5">
                  <w:pPr>
                    <w:pStyle w:val="52"/>
                    <w:spacing w:line="240" w:lineRule="auto"/>
                    <w:ind w:firstLine="420" w:firstLineChars="200"/>
                    <w:jc w:val="both"/>
                    <w:rPr>
                      <w:rFonts w:hint="eastAsia" w:ascii="宋体" w:hAnsi="宋体" w:eastAsia="宋体" w:cs="宋体"/>
                      <w:color w:val="auto"/>
                      <w:sz w:val="21"/>
                      <w:szCs w:val="21"/>
                    </w:rPr>
                  </w:pPr>
                  <w:r>
                    <w:rPr>
                      <w:rFonts w:hint="default" w:ascii="Times New Roman" w:hAnsi="Times New Roman" w:eastAsia="宋体" w:cs="Times New Roman"/>
                      <w:color w:val="auto"/>
                      <w:sz w:val="21"/>
                      <w:szCs w:val="21"/>
                      <w:vertAlign w:val="superscript"/>
                    </w:rPr>
                    <w:t>b</w:t>
                  </w:r>
                  <w:r>
                    <w:rPr>
                      <w:rFonts w:hint="eastAsia" w:ascii="宋体" w:hAnsi="宋体" w:eastAsia="宋体" w:cs="宋体"/>
                      <w:color w:val="auto"/>
                      <w:sz w:val="21"/>
                      <w:szCs w:val="21"/>
                    </w:rPr>
                    <w:t>指产生的主要污染物类型，以相应排放标准中确定的污染因子为准。</w:t>
                  </w:r>
                </w:p>
                <w:p w14:paraId="2C9CAD87">
                  <w:pPr>
                    <w:pStyle w:val="52"/>
                    <w:spacing w:line="240" w:lineRule="auto"/>
                    <w:ind w:firstLine="420" w:firstLineChars="200"/>
                    <w:jc w:val="both"/>
                    <w:rPr>
                      <w:rFonts w:hint="eastAsia" w:ascii="宋体" w:hAnsi="宋体" w:eastAsia="宋体" w:cs="宋体"/>
                      <w:color w:val="auto"/>
                      <w:sz w:val="21"/>
                      <w:szCs w:val="21"/>
                    </w:rPr>
                  </w:pPr>
                  <w:r>
                    <w:rPr>
                      <w:rFonts w:hint="default" w:ascii="Times New Roman" w:hAnsi="Times New Roman" w:eastAsia="宋体" w:cs="Times New Roman"/>
                      <w:color w:val="auto"/>
                      <w:sz w:val="21"/>
                      <w:szCs w:val="21"/>
                      <w:vertAlign w:val="superscript"/>
                    </w:rPr>
                    <w:t>c</w:t>
                  </w:r>
                  <w:r>
                    <w:rPr>
                      <w:rFonts w:hint="eastAsia" w:ascii="宋体" w:hAnsi="宋体" w:eastAsia="宋体" w:cs="宋体"/>
                      <w:color w:val="auto"/>
                      <w:sz w:val="21"/>
                      <w:szCs w:val="21"/>
                    </w:rPr>
                    <w:t>包括不外排；排至厂内综合污水处理站；直接进入海域；直接进入江河、湖、库等水环境；进入城市下水道（再入江河、湖、库）；进入城市下水道（再入沿海海域）；进入城市污水处理厂；直接进入污灌农田；进入地渗或蒸发地；进入其他单位；工业废水集中处理厂；其他（包括回用等）。对于工艺、工序产生的废水，“不外排”指全部在工序内部循环使用，“排至厂内综合污水处理站”指工序废水经处理后排至综合处理站。对于综合污水处理站，“不外排”指全厂废水经处理后全部回用不排放。</w:t>
                  </w:r>
                </w:p>
                <w:p w14:paraId="0925E337">
                  <w:pPr>
                    <w:pStyle w:val="52"/>
                    <w:spacing w:line="240" w:lineRule="auto"/>
                    <w:ind w:firstLine="420" w:firstLineChars="200"/>
                    <w:jc w:val="both"/>
                    <w:rPr>
                      <w:rFonts w:hint="eastAsia" w:ascii="宋体" w:hAnsi="宋体" w:eastAsia="宋体" w:cs="宋体"/>
                      <w:color w:val="auto"/>
                      <w:sz w:val="21"/>
                      <w:szCs w:val="21"/>
                    </w:rPr>
                  </w:pPr>
                  <w:r>
                    <w:rPr>
                      <w:rFonts w:hint="default" w:ascii="Times New Roman" w:hAnsi="Times New Roman" w:eastAsia="宋体" w:cs="Times New Roman"/>
                      <w:color w:val="auto"/>
                      <w:sz w:val="21"/>
                      <w:szCs w:val="21"/>
                      <w:vertAlign w:val="superscript"/>
                    </w:rPr>
                    <w:t>d</w:t>
                  </w:r>
                  <w:r>
                    <w:rPr>
                      <w:rFonts w:hint="eastAsia" w:ascii="宋体" w:hAnsi="宋体" w:eastAsia="宋体" w:cs="宋体"/>
                      <w:color w:val="auto"/>
                      <w:sz w:val="21"/>
                      <w:szCs w:val="21"/>
                    </w:rPr>
                    <w:t>包括连续排放，流量稳定；连续排放，流量不稳定，但有周期性规律；连续排放，流量不稳定，但有规律，且不属于周期性规律；连续排放，流量不稳定，属于冲击型排放；连续排放，流量不稳定且无规律，但不属于冲击型排放；间断排放，排放期间流量稳定；间断排放，排放期间流量不稳定，但有周期性规律；间断排放，排放期间流量不稳定，但有规律，且不属于非周期性规律；间断排放，排放期间流量不稳定，属于冲击型排放；间断排放，排放期间流量不稳定且无规律，但不属于冲击型排放。</w:t>
                  </w:r>
                </w:p>
                <w:p w14:paraId="3CD79D3E">
                  <w:pPr>
                    <w:pStyle w:val="52"/>
                    <w:spacing w:line="240" w:lineRule="auto"/>
                    <w:ind w:firstLine="420" w:firstLineChars="200"/>
                    <w:jc w:val="both"/>
                    <w:rPr>
                      <w:rFonts w:hint="eastAsia" w:ascii="宋体" w:hAnsi="宋体" w:eastAsia="宋体" w:cs="宋体"/>
                      <w:color w:val="auto"/>
                      <w:sz w:val="21"/>
                      <w:szCs w:val="21"/>
                    </w:rPr>
                  </w:pPr>
                  <w:r>
                    <w:rPr>
                      <w:rFonts w:hint="default" w:ascii="Times New Roman" w:hAnsi="Times New Roman" w:eastAsia="宋体" w:cs="Times New Roman"/>
                      <w:color w:val="auto"/>
                      <w:sz w:val="21"/>
                      <w:szCs w:val="21"/>
                      <w:vertAlign w:val="superscript"/>
                    </w:rPr>
                    <w:t>e</w:t>
                  </w:r>
                  <w:r>
                    <w:rPr>
                      <w:rFonts w:hint="eastAsia" w:ascii="宋体" w:hAnsi="宋体" w:eastAsia="宋体" w:cs="宋体"/>
                      <w:color w:val="auto"/>
                      <w:sz w:val="21"/>
                      <w:szCs w:val="21"/>
                    </w:rPr>
                    <w:t>指主要污水处理设施名称，如“综合污水处理站”“生活污水处理系统”等。</w:t>
                  </w:r>
                </w:p>
                <w:p w14:paraId="05F50430">
                  <w:pPr>
                    <w:pStyle w:val="52"/>
                    <w:spacing w:line="240" w:lineRule="auto"/>
                    <w:ind w:firstLine="420" w:firstLineChars="200"/>
                    <w:jc w:val="both"/>
                    <w:rPr>
                      <w:rFonts w:hint="eastAsia" w:ascii="宋体" w:hAnsi="宋体" w:eastAsia="宋体" w:cs="宋体"/>
                      <w:color w:val="auto"/>
                      <w:sz w:val="21"/>
                      <w:szCs w:val="21"/>
                    </w:rPr>
                  </w:pPr>
                  <w:r>
                    <w:rPr>
                      <w:rFonts w:hint="default" w:ascii="Times New Roman" w:hAnsi="Times New Roman" w:eastAsia="宋体" w:cs="Times New Roman"/>
                      <w:color w:val="auto"/>
                      <w:sz w:val="21"/>
                      <w:szCs w:val="21"/>
                      <w:vertAlign w:val="superscript"/>
                    </w:rPr>
                    <w:t>f</w:t>
                  </w:r>
                  <w:r>
                    <w:rPr>
                      <w:rFonts w:hint="eastAsia" w:ascii="宋体" w:hAnsi="宋体" w:eastAsia="宋体" w:cs="宋体"/>
                      <w:color w:val="auto"/>
                      <w:sz w:val="21"/>
                      <w:szCs w:val="21"/>
                    </w:rPr>
                    <w:t>排放口编号可按地方环境管理部门现有编号进行填写或由企业根据国家相关规范进行编制。</w:t>
                  </w:r>
                </w:p>
                <w:p w14:paraId="519B67B0">
                  <w:pPr>
                    <w:pStyle w:val="52"/>
                    <w:spacing w:line="240" w:lineRule="auto"/>
                    <w:ind w:firstLine="420" w:firstLineChars="200"/>
                    <w:jc w:val="both"/>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vertAlign w:val="superscript"/>
                    </w:rPr>
                    <w:t>g</w:t>
                  </w:r>
                  <w:r>
                    <w:rPr>
                      <w:rFonts w:hint="eastAsia" w:ascii="宋体" w:hAnsi="宋体" w:eastAsia="宋体" w:cs="宋体"/>
                      <w:color w:val="auto"/>
                      <w:sz w:val="21"/>
                      <w:szCs w:val="21"/>
                    </w:rPr>
                    <w:t>指排放口设置是否符合排放口规范化整治技术要求等相关文件的规定。</w:t>
                  </w:r>
                </w:p>
              </w:tc>
            </w:tr>
          </w:tbl>
          <w:p w14:paraId="441C4183">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建设项目废水间接排放口基本情况表见表</w:t>
            </w:r>
            <w:r>
              <w:rPr>
                <w:rFonts w:hint="eastAsia" w:ascii="Times New Roman" w:hAnsi="Times New Roman" w:cs="Times New Roman"/>
                <w:color w:val="auto"/>
                <w:sz w:val="24"/>
              </w:rPr>
              <w:t>4.</w:t>
            </w:r>
            <w:r>
              <w:rPr>
                <w:rFonts w:hint="eastAsia" w:ascii="Times New Roman" w:hAnsi="Times New Roman" w:cs="Times New Roman"/>
                <w:color w:val="auto"/>
                <w:sz w:val="24"/>
                <w:lang w:val="en-US" w:eastAsia="zh-CN"/>
              </w:rPr>
              <w:t>11</w:t>
            </w:r>
            <w:r>
              <w:rPr>
                <w:rFonts w:ascii="Times New Roman" w:hAnsi="Times New Roman" w:cs="Times New Roman"/>
                <w:color w:val="auto"/>
                <w:sz w:val="24"/>
              </w:rPr>
              <w:t>。</w:t>
            </w:r>
          </w:p>
          <w:p w14:paraId="791590EF">
            <w:pPr>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w:t>
            </w:r>
            <w:r>
              <w:rPr>
                <w:rFonts w:hint="eastAsia" w:ascii="Times New Roman" w:hAnsi="Times New Roman" w:cs="Times New Roman"/>
                <w:b/>
                <w:bCs/>
                <w:color w:val="auto"/>
                <w:sz w:val="21"/>
                <w:szCs w:val="21"/>
              </w:rPr>
              <w:t>4.</w:t>
            </w:r>
            <w:r>
              <w:rPr>
                <w:rFonts w:hint="eastAsia" w:ascii="Times New Roman" w:hAnsi="Times New Roman" w:cs="Times New Roman"/>
                <w:b/>
                <w:bCs/>
                <w:color w:val="auto"/>
                <w:sz w:val="21"/>
                <w:szCs w:val="21"/>
                <w:lang w:val="en-US" w:eastAsia="zh-CN"/>
              </w:rPr>
              <w:t>11</w:t>
            </w:r>
            <w:r>
              <w:rPr>
                <w:rFonts w:ascii="Times New Roman" w:hAnsi="Times New Roman" w:cs="Times New Roman"/>
                <w:b/>
                <w:bCs/>
                <w:color w:val="auto"/>
                <w:sz w:val="21"/>
                <w:szCs w:val="21"/>
              </w:rPr>
              <w:t xml:space="preserve">  废水间接排放口基本情况表</w:t>
            </w:r>
          </w:p>
          <w:tbl>
            <w:tblPr>
              <w:tblStyle w:val="32"/>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987"/>
              <w:gridCol w:w="1037"/>
              <w:gridCol w:w="1030"/>
              <w:gridCol w:w="951"/>
              <w:gridCol w:w="744"/>
              <w:gridCol w:w="758"/>
              <w:gridCol w:w="665"/>
              <w:gridCol w:w="598"/>
              <w:gridCol w:w="1080"/>
              <w:gridCol w:w="1403"/>
            </w:tblGrid>
            <w:tr w14:paraId="14DDC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dxa"/>
                  <w:vMerge w:val="restart"/>
                  <w:vAlign w:val="center"/>
                </w:tcPr>
                <w:p w14:paraId="7E1B146D">
                  <w:pPr>
                    <w:pStyle w:val="52"/>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881" w:type="dxa"/>
                  <w:vMerge w:val="restart"/>
                  <w:vAlign w:val="center"/>
                </w:tcPr>
                <w:p w14:paraId="13E66D7A">
                  <w:pPr>
                    <w:pStyle w:val="52"/>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排放口编号</w:t>
                  </w:r>
                </w:p>
              </w:tc>
              <w:tc>
                <w:tcPr>
                  <w:tcW w:w="1856" w:type="dxa"/>
                  <w:gridSpan w:val="2"/>
                  <w:vAlign w:val="center"/>
                </w:tcPr>
                <w:p w14:paraId="38134F2D">
                  <w:pPr>
                    <w:pStyle w:val="52"/>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排放口地理坐标</w:t>
                  </w:r>
                  <w:r>
                    <w:rPr>
                      <w:rFonts w:ascii="Times New Roman" w:hAnsi="Times New Roman" w:cs="Times New Roman"/>
                      <w:color w:val="auto"/>
                      <w:sz w:val="21"/>
                      <w:szCs w:val="21"/>
                      <w:vertAlign w:val="superscript"/>
                    </w:rPr>
                    <w:t>a</w:t>
                  </w:r>
                </w:p>
              </w:tc>
              <w:tc>
                <w:tcPr>
                  <w:tcW w:w="842" w:type="dxa"/>
                  <w:vMerge w:val="restart"/>
                  <w:vAlign w:val="center"/>
                </w:tcPr>
                <w:p w14:paraId="5F1A4105">
                  <w:pPr>
                    <w:pStyle w:val="52"/>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废水排放量/（万t/a）</w:t>
                  </w:r>
                </w:p>
              </w:tc>
              <w:tc>
                <w:tcPr>
                  <w:tcW w:w="842" w:type="dxa"/>
                  <w:vMerge w:val="restart"/>
                  <w:vAlign w:val="center"/>
                </w:tcPr>
                <w:p w14:paraId="30B0796A">
                  <w:pPr>
                    <w:pStyle w:val="52"/>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排放去向</w:t>
                  </w:r>
                </w:p>
              </w:tc>
              <w:tc>
                <w:tcPr>
                  <w:tcW w:w="795" w:type="dxa"/>
                  <w:vMerge w:val="restart"/>
                  <w:vAlign w:val="center"/>
                </w:tcPr>
                <w:p w14:paraId="18D39D7F">
                  <w:pPr>
                    <w:pStyle w:val="52"/>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排放规律</w:t>
                  </w:r>
                </w:p>
              </w:tc>
              <w:tc>
                <w:tcPr>
                  <w:tcW w:w="738" w:type="dxa"/>
                  <w:vMerge w:val="restart"/>
                  <w:vAlign w:val="center"/>
                </w:tcPr>
                <w:p w14:paraId="78D0C824">
                  <w:pPr>
                    <w:pStyle w:val="52"/>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间歇排放时段</w:t>
                  </w:r>
                </w:p>
              </w:tc>
              <w:tc>
                <w:tcPr>
                  <w:tcW w:w="3276" w:type="dxa"/>
                  <w:gridSpan w:val="3"/>
                  <w:vAlign w:val="center"/>
                </w:tcPr>
                <w:p w14:paraId="58317FFC">
                  <w:pPr>
                    <w:pStyle w:val="52"/>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受纳污水处理厂信息</w:t>
                  </w:r>
                </w:p>
              </w:tc>
            </w:tr>
            <w:tr w14:paraId="479EF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dxa"/>
                  <w:vMerge w:val="continue"/>
                  <w:vAlign w:val="center"/>
                </w:tcPr>
                <w:p w14:paraId="690185DD">
                  <w:pPr>
                    <w:pStyle w:val="52"/>
                    <w:spacing w:line="240" w:lineRule="auto"/>
                    <w:rPr>
                      <w:rFonts w:ascii="Times New Roman" w:hAnsi="Times New Roman" w:cs="Times New Roman"/>
                      <w:color w:val="auto"/>
                      <w:sz w:val="21"/>
                      <w:szCs w:val="21"/>
                    </w:rPr>
                  </w:pPr>
                </w:p>
              </w:tc>
              <w:tc>
                <w:tcPr>
                  <w:tcW w:w="881" w:type="dxa"/>
                  <w:vMerge w:val="continue"/>
                  <w:vAlign w:val="center"/>
                </w:tcPr>
                <w:p w14:paraId="21333008">
                  <w:pPr>
                    <w:pStyle w:val="52"/>
                    <w:spacing w:line="240" w:lineRule="auto"/>
                    <w:rPr>
                      <w:rFonts w:ascii="Times New Roman" w:hAnsi="Times New Roman" w:cs="Times New Roman"/>
                      <w:color w:val="auto"/>
                      <w:sz w:val="21"/>
                      <w:szCs w:val="21"/>
                    </w:rPr>
                  </w:pPr>
                </w:p>
              </w:tc>
              <w:tc>
                <w:tcPr>
                  <w:tcW w:w="975" w:type="dxa"/>
                  <w:vAlign w:val="center"/>
                </w:tcPr>
                <w:p w14:paraId="7280E2D3">
                  <w:pPr>
                    <w:pStyle w:val="52"/>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经度</w:t>
                  </w:r>
                </w:p>
              </w:tc>
              <w:tc>
                <w:tcPr>
                  <w:tcW w:w="881" w:type="dxa"/>
                  <w:vAlign w:val="center"/>
                </w:tcPr>
                <w:p w14:paraId="5688122D">
                  <w:pPr>
                    <w:pStyle w:val="52"/>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纬度</w:t>
                  </w:r>
                </w:p>
              </w:tc>
              <w:tc>
                <w:tcPr>
                  <w:tcW w:w="842" w:type="dxa"/>
                  <w:vMerge w:val="continue"/>
                  <w:vAlign w:val="center"/>
                </w:tcPr>
                <w:p w14:paraId="6123E383">
                  <w:pPr>
                    <w:pStyle w:val="52"/>
                    <w:spacing w:line="240" w:lineRule="auto"/>
                    <w:rPr>
                      <w:rFonts w:ascii="Times New Roman" w:hAnsi="Times New Roman" w:cs="Times New Roman"/>
                      <w:color w:val="auto"/>
                      <w:sz w:val="21"/>
                      <w:szCs w:val="21"/>
                    </w:rPr>
                  </w:pPr>
                </w:p>
              </w:tc>
              <w:tc>
                <w:tcPr>
                  <w:tcW w:w="842" w:type="dxa"/>
                  <w:vMerge w:val="continue"/>
                  <w:vAlign w:val="center"/>
                </w:tcPr>
                <w:p w14:paraId="39A6FC7A">
                  <w:pPr>
                    <w:pStyle w:val="52"/>
                    <w:spacing w:line="240" w:lineRule="auto"/>
                    <w:rPr>
                      <w:rFonts w:ascii="Times New Roman" w:hAnsi="Times New Roman" w:cs="Times New Roman"/>
                      <w:color w:val="auto"/>
                      <w:sz w:val="21"/>
                      <w:szCs w:val="21"/>
                    </w:rPr>
                  </w:pPr>
                </w:p>
              </w:tc>
              <w:tc>
                <w:tcPr>
                  <w:tcW w:w="795" w:type="dxa"/>
                  <w:vMerge w:val="continue"/>
                  <w:vAlign w:val="center"/>
                </w:tcPr>
                <w:p w14:paraId="2EAA5E7F">
                  <w:pPr>
                    <w:pStyle w:val="52"/>
                    <w:spacing w:line="240" w:lineRule="auto"/>
                    <w:rPr>
                      <w:rFonts w:ascii="Times New Roman" w:hAnsi="Times New Roman" w:cs="Times New Roman"/>
                      <w:color w:val="auto"/>
                      <w:sz w:val="21"/>
                      <w:szCs w:val="21"/>
                    </w:rPr>
                  </w:pPr>
                </w:p>
              </w:tc>
              <w:tc>
                <w:tcPr>
                  <w:tcW w:w="738" w:type="dxa"/>
                  <w:vMerge w:val="continue"/>
                  <w:vAlign w:val="center"/>
                </w:tcPr>
                <w:p w14:paraId="33B48BEC">
                  <w:pPr>
                    <w:pStyle w:val="52"/>
                    <w:spacing w:line="240" w:lineRule="auto"/>
                    <w:rPr>
                      <w:rFonts w:ascii="Times New Roman" w:hAnsi="Times New Roman" w:cs="Times New Roman"/>
                      <w:color w:val="auto"/>
                      <w:sz w:val="21"/>
                      <w:szCs w:val="21"/>
                    </w:rPr>
                  </w:pPr>
                </w:p>
              </w:tc>
              <w:tc>
                <w:tcPr>
                  <w:tcW w:w="651" w:type="dxa"/>
                  <w:vAlign w:val="center"/>
                </w:tcPr>
                <w:p w14:paraId="75F46D02">
                  <w:pPr>
                    <w:pStyle w:val="52"/>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名称</w:t>
                  </w:r>
                  <w:r>
                    <w:rPr>
                      <w:rFonts w:ascii="Times New Roman" w:hAnsi="Times New Roman" w:cs="Times New Roman"/>
                      <w:color w:val="auto"/>
                      <w:sz w:val="21"/>
                      <w:szCs w:val="21"/>
                      <w:vertAlign w:val="superscript"/>
                    </w:rPr>
                    <w:t>b</w:t>
                  </w:r>
                </w:p>
              </w:tc>
              <w:tc>
                <w:tcPr>
                  <w:tcW w:w="1148" w:type="dxa"/>
                  <w:vAlign w:val="center"/>
                </w:tcPr>
                <w:p w14:paraId="5C637CB5">
                  <w:pPr>
                    <w:pStyle w:val="52"/>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污染物种类</w:t>
                  </w:r>
                </w:p>
              </w:tc>
              <w:tc>
                <w:tcPr>
                  <w:tcW w:w="1477" w:type="dxa"/>
                  <w:vAlign w:val="center"/>
                </w:tcPr>
                <w:p w14:paraId="7EF5607C">
                  <w:pPr>
                    <w:pStyle w:val="52"/>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国家或地方污染物排放标准浓度/（mg/L）</w:t>
                  </w:r>
                </w:p>
              </w:tc>
            </w:tr>
            <w:tr w14:paraId="664E6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521" w:type="dxa"/>
                  <w:vMerge w:val="restart"/>
                  <w:vAlign w:val="center"/>
                </w:tcPr>
                <w:p w14:paraId="7C5CC365">
                  <w:pPr>
                    <w:pStyle w:val="52"/>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881" w:type="dxa"/>
                  <w:vMerge w:val="restart"/>
                  <w:vAlign w:val="center"/>
                </w:tcPr>
                <w:p w14:paraId="1BCE474F">
                  <w:pPr>
                    <w:pStyle w:val="52"/>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DW001</w:t>
                  </w:r>
                </w:p>
              </w:tc>
              <w:tc>
                <w:tcPr>
                  <w:tcW w:w="975" w:type="dxa"/>
                  <w:vMerge w:val="restart"/>
                  <w:vAlign w:val="center"/>
                </w:tcPr>
                <w:p w14:paraId="1A4615B3">
                  <w:pPr>
                    <w:pStyle w:val="52"/>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117°</w:t>
                  </w:r>
                  <w:r>
                    <w:rPr>
                      <w:rFonts w:hint="eastAsia" w:ascii="Times New Roman" w:hAnsi="Times New Roman" w:cs="Times New Roman"/>
                      <w:color w:val="auto"/>
                      <w:sz w:val="21"/>
                      <w:szCs w:val="21"/>
                      <w:highlight w:val="none"/>
                      <w:lang w:val="en-US" w:eastAsia="zh-CN"/>
                    </w:rPr>
                    <w:t>54</w:t>
                  </w:r>
                  <w:r>
                    <w:rPr>
                      <w:rFonts w:hint="default" w:ascii="Times New Roman" w:hAnsi="Times New Roman" w:eastAsia="宋体" w:cs="Times New Roman"/>
                      <w:color w:val="auto"/>
                      <w:sz w:val="21"/>
                      <w:szCs w:val="21"/>
                      <w:highlight w:val="none"/>
                      <w:lang w:val="en-US" w:eastAsia="zh-CN"/>
                    </w:rPr>
                    <w:t>′</w:t>
                  </w:r>
                </w:p>
                <w:p w14:paraId="0525928D">
                  <w:pPr>
                    <w:pStyle w:val="52"/>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57.458</w:t>
                  </w:r>
                  <w:r>
                    <w:rPr>
                      <w:rFonts w:hint="default" w:ascii="Times New Roman" w:hAnsi="Times New Roman" w:eastAsia="宋体" w:cs="Times New Roman"/>
                      <w:color w:val="auto"/>
                      <w:sz w:val="21"/>
                      <w:szCs w:val="21"/>
                      <w:highlight w:val="none"/>
                      <w:lang w:val="en-US" w:eastAsia="zh-CN"/>
                    </w:rPr>
                    <w:t>″</w:t>
                  </w:r>
                </w:p>
              </w:tc>
              <w:tc>
                <w:tcPr>
                  <w:tcW w:w="881" w:type="dxa"/>
                  <w:vMerge w:val="restart"/>
                  <w:vAlign w:val="center"/>
                </w:tcPr>
                <w:p w14:paraId="567BBDEF">
                  <w:pPr>
                    <w:pStyle w:val="52"/>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eastAsia"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27</w:t>
                  </w:r>
                  <w:r>
                    <w:rPr>
                      <w:rFonts w:hint="default" w:ascii="Times New Roman" w:hAnsi="Times New Roman" w:eastAsia="宋体" w:cs="Times New Roman"/>
                      <w:color w:val="auto"/>
                      <w:sz w:val="21"/>
                      <w:szCs w:val="21"/>
                      <w:highlight w:val="none"/>
                      <w:lang w:val="en-US" w:eastAsia="zh-CN"/>
                    </w:rPr>
                    <w:t>′</w:t>
                  </w:r>
                </w:p>
                <w:p w14:paraId="5E8DEFDA">
                  <w:pPr>
                    <w:pStyle w:val="52"/>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29.203</w:t>
                  </w:r>
                  <w:r>
                    <w:rPr>
                      <w:rFonts w:hint="default" w:ascii="Times New Roman" w:hAnsi="Times New Roman" w:eastAsia="宋体" w:cs="Times New Roman"/>
                      <w:color w:val="auto"/>
                      <w:sz w:val="21"/>
                      <w:szCs w:val="21"/>
                      <w:highlight w:val="none"/>
                      <w:lang w:val="en-US" w:eastAsia="zh-CN"/>
                    </w:rPr>
                    <w:t>″</w:t>
                  </w:r>
                </w:p>
              </w:tc>
              <w:tc>
                <w:tcPr>
                  <w:tcW w:w="842" w:type="dxa"/>
                  <w:vMerge w:val="restart"/>
                  <w:vAlign w:val="center"/>
                </w:tcPr>
                <w:p w14:paraId="3042A969">
                  <w:pPr>
                    <w:pStyle w:val="52"/>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0.0504</w:t>
                  </w:r>
                </w:p>
              </w:tc>
              <w:tc>
                <w:tcPr>
                  <w:tcW w:w="842" w:type="dxa"/>
                  <w:vMerge w:val="restart"/>
                  <w:vAlign w:val="center"/>
                </w:tcPr>
                <w:p w14:paraId="5ABC5D5F">
                  <w:pPr>
                    <w:pStyle w:val="52"/>
                    <w:spacing w:line="240" w:lineRule="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进入</w:t>
                  </w:r>
                  <w:r>
                    <w:rPr>
                      <w:rFonts w:hint="eastAsia"/>
                      <w:bCs/>
                      <w:color w:val="auto"/>
                      <w:sz w:val="21"/>
                      <w:szCs w:val="21"/>
                      <w:lang w:val="en-US" w:eastAsia="zh-CN"/>
                    </w:rPr>
                    <w:t>泗县工业污水处理厂</w:t>
                  </w:r>
                </w:p>
              </w:tc>
              <w:tc>
                <w:tcPr>
                  <w:tcW w:w="795" w:type="dxa"/>
                  <w:vMerge w:val="restart"/>
                  <w:vAlign w:val="center"/>
                </w:tcPr>
                <w:p w14:paraId="503B7C50">
                  <w:pPr>
                    <w:pStyle w:val="52"/>
                    <w:spacing w:line="240" w:lineRule="auto"/>
                    <w:rPr>
                      <w:rFonts w:ascii="Times New Roman" w:hAnsi="Times New Roman" w:cs="Times New Roman"/>
                      <w:color w:val="auto"/>
                      <w:sz w:val="21"/>
                      <w:szCs w:val="21"/>
                    </w:rPr>
                  </w:pPr>
                  <w:r>
                    <w:rPr>
                      <w:rFonts w:hint="default" w:ascii="Times New Roman" w:hAnsi="Times New Roman" w:cs="Times New Roman"/>
                      <w:color w:val="auto"/>
                      <w:sz w:val="21"/>
                      <w:szCs w:val="21"/>
                    </w:rPr>
                    <w:t>间断排放，排放期间流量稳定</w:t>
                  </w:r>
                </w:p>
              </w:tc>
              <w:tc>
                <w:tcPr>
                  <w:tcW w:w="738" w:type="dxa"/>
                  <w:vMerge w:val="restart"/>
                  <w:vAlign w:val="center"/>
                </w:tcPr>
                <w:p w14:paraId="12B5B47F">
                  <w:pPr>
                    <w:pStyle w:val="52"/>
                    <w:spacing w:line="240" w:lineRule="auto"/>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651" w:type="dxa"/>
                  <w:vMerge w:val="restart"/>
                  <w:vAlign w:val="center"/>
                </w:tcPr>
                <w:p w14:paraId="755AF741">
                  <w:pPr>
                    <w:pStyle w:val="52"/>
                    <w:spacing w:line="240" w:lineRule="auto"/>
                    <w:rPr>
                      <w:rFonts w:ascii="Times New Roman" w:hAnsi="Times New Roman" w:cs="Times New Roman"/>
                      <w:color w:val="auto"/>
                      <w:sz w:val="21"/>
                      <w:szCs w:val="21"/>
                      <w:highlight w:val="none"/>
                    </w:rPr>
                  </w:pPr>
                  <w:r>
                    <w:rPr>
                      <w:rFonts w:hint="eastAsia"/>
                      <w:bCs/>
                      <w:color w:val="auto"/>
                      <w:sz w:val="21"/>
                      <w:szCs w:val="21"/>
                      <w:lang w:val="en-US" w:eastAsia="zh-CN"/>
                    </w:rPr>
                    <w:t>泗县工业污水处理厂</w:t>
                  </w:r>
                </w:p>
              </w:tc>
              <w:tc>
                <w:tcPr>
                  <w:tcW w:w="1148" w:type="dxa"/>
                  <w:vAlign w:val="center"/>
                </w:tcPr>
                <w:p w14:paraId="57517F16">
                  <w:pPr>
                    <w:pStyle w:val="52"/>
                    <w:spacing w:line="240" w:lineRule="auto"/>
                    <w:ind w:firstLine="0" w:firstLineChars="0"/>
                    <w:jc w:val="center"/>
                    <w:rPr>
                      <w:rFonts w:hint="default" w:ascii="Times New Roman" w:hAnsi="Times New Roman" w:cs="Times New Roman"/>
                      <w:color w:val="auto"/>
                      <w:sz w:val="21"/>
                      <w:szCs w:val="21"/>
                      <w:highlight w:val="none"/>
                      <w:vertAlign w:val="baseline"/>
                      <w:lang w:val="en-US"/>
                    </w:rPr>
                  </w:pPr>
                  <w:r>
                    <w:rPr>
                      <w:rFonts w:hint="default" w:ascii="Times New Roman" w:hAnsi="Times New Roman" w:cs="Times New Roman"/>
                      <w:color w:val="auto"/>
                      <w:sz w:val="21"/>
                      <w:szCs w:val="21"/>
                      <w:highlight w:val="none"/>
                    </w:rPr>
                    <w:t>pH</w:t>
                  </w:r>
                </w:p>
              </w:tc>
              <w:tc>
                <w:tcPr>
                  <w:tcW w:w="1477" w:type="dxa"/>
                  <w:vAlign w:val="center"/>
                </w:tcPr>
                <w:p w14:paraId="5F8EB7FB">
                  <w:pPr>
                    <w:pStyle w:val="52"/>
                    <w:spacing w:line="240" w:lineRule="auto"/>
                    <w:ind w:firstLine="0" w:firstLineChars="0"/>
                    <w:rPr>
                      <w:rFonts w:hint="eastAsia" w:ascii="Times New Roman" w:hAnsi="Times New Roman" w:eastAsia="宋体" w:cs="Times New Roman"/>
                      <w:color w:val="auto"/>
                      <w:sz w:val="21"/>
                      <w:szCs w:val="21"/>
                      <w:highlight w:val="none"/>
                      <w:lang w:val="en-US" w:eastAsia="zh-CN"/>
                    </w:rPr>
                  </w:pPr>
                  <w:r>
                    <w:rPr>
                      <w:rFonts w:ascii="Times New Roman" w:hAnsi="Times New Roman" w:cs="Times New Roman"/>
                      <w:color w:val="auto"/>
                      <w:sz w:val="21"/>
                      <w:szCs w:val="21"/>
                      <w:highlight w:val="none"/>
                    </w:rPr>
                    <w:t>6～9</w:t>
                  </w:r>
                  <w:r>
                    <w:rPr>
                      <w:rFonts w:hint="eastAsia" w:ascii="Times New Roman" w:hAnsi="Times New Roman" w:cs="Times New Roman"/>
                      <w:color w:val="auto"/>
                      <w:sz w:val="21"/>
                      <w:szCs w:val="21"/>
                      <w:highlight w:val="none"/>
                      <w:lang w:eastAsia="zh-CN"/>
                    </w:rPr>
                    <w:t>（无量纲）</w:t>
                  </w:r>
                </w:p>
              </w:tc>
            </w:tr>
            <w:tr w14:paraId="314F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1" w:type="dxa"/>
                  <w:vMerge w:val="continue"/>
                  <w:vAlign w:val="center"/>
                </w:tcPr>
                <w:p w14:paraId="3D5A2506">
                  <w:pPr>
                    <w:pStyle w:val="52"/>
                    <w:spacing w:line="240" w:lineRule="auto"/>
                    <w:ind w:firstLine="0" w:firstLineChars="0"/>
                    <w:jc w:val="center"/>
                  </w:pPr>
                </w:p>
              </w:tc>
              <w:tc>
                <w:tcPr>
                  <w:tcW w:w="881" w:type="dxa"/>
                  <w:vMerge w:val="continue"/>
                  <w:vAlign w:val="center"/>
                </w:tcPr>
                <w:p w14:paraId="4B21280C">
                  <w:pPr>
                    <w:pStyle w:val="52"/>
                    <w:spacing w:line="240" w:lineRule="auto"/>
                    <w:ind w:firstLine="0" w:firstLineChars="0"/>
                    <w:jc w:val="center"/>
                  </w:pPr>
                </w:p>
              </w:tc>
              <w:tc>
                <w:tcPr>
                  <w:tcW w:w="975" w:type="dxa"/>
                  <w:vMerge w:val="continue"/>
                  <w:vAlign w:val="center"/>
                </w:tcPr>
                <w:p w14:paraId="43CC2924">
                  <w:pPr>
                    <w:pStyle w:val="52"/>
                    <w:spacing w:line="240" w:lineRule="auto"/>
                    <w:ind w:firstLine="0" w:firstLineChars="0"/>
                    <w:jc w:val="center"/>
                  </w:pPr>
                </w:p>
              </w:tc>
              <w:tc>
                <w:tcPr>
                  <w:tcW w:w="881" w:type="dxa"/>
                  <w:vMerge w:val="continue"/>
                  <w:vAlign w:val="center"/>
                </w:tcPr>
                <w:p w14:paraId="7C238CB5">
                  <w:pPr>
                    <w:pStyle w:val="52"/>
                    <w:spacing w:line="240" w:lineRule="auto"/>
                    <w:ind w:firstLine="0" w:firstLineChars="0"/>
                    <w:jc w:val="center"/>
                  </w:pPr>
                </w:p>
              </w:tc>
              <w:tc>
                <w:tcPr>
                  <w:tcW w:w="842" w:type="dxa"/>
                  <w:vMerge w:val="continue"/>
                  <w:vAlign w:val="center"/>
                </w:tcPr>
                <w:p w14:paraId="21000B39">
                  <w:pPr>
                    <w:pStyle w:val="52"/>
                    <w:spacing w:line="240" w:lineRule="auto"/>
                    <w:ind w:firstLine="0" w:firstLineChars="0"/>
                    <w:jc w:val="center"/>
                  </w:pPr>
                </w:p>
              </w:tc>
              <w:tc>
                <w:tcPr>
                  <w:tcW w:w="842" w:type="dxa"/>
                  <w:vMerge w:val="continue"/>
                  <w:vAlign w:val="center"/>
                </w:tcPr>
                <w:p w14:paraId="05C76515">
                  <w:pPr>
                    <w:pStyle w:val="52"/>
                    <w:spacing w:line="240" w:lineRule="auto"/>
                    <w:ind w:firstLine="0" w:firstLineChars="0"/>
                    <w:jc w:val="center"/>
                  </w:pPr>
                </w:p>
              </w:tc>
              <w:tc>
                <w:tcPr>
                  <w:tcW w:w="795" w:type="dxa"/>
                  <w:vMerge w:val="continue"/>
                  <w:vAlign w:val="center"/>
                </w:tcPr>
                <w:p w14:paraId="6EC95D96">
                  <w:pPr>
                    <w:pStyle w:val="52"/>
                    <w:spacing w:line="240" w:lineRule="auto"/>
                    <w:ind w:firstLine="0" w:firstLineChars="0"/>
                    <w:jc w:val="center"/>
                  </w:pPr>
                </w:p>
              </w:tc>
              <w:tc>
                <w:tcPr>
                  <w:tcW w:w="738" w:type="dxa"/>
                  <w:vMerge w:val="continue"/>
                  <w:vAlign w:val="center"/>
                </w:tcPr>
                <w:p w14:paraId="54B1F965">
                  <w:pPr>
                    <w:pStyle w:val="52"/>
                    <w:spacing w:line="240" w:lineRule="auto"/>
                    <w:ind w:firstLine="0" w:firstLineChars="0"/>
                    <w:jc w:val="center"/>
                  </w:pPr>
                </w:p>
              </w:tc>
              <w:tc>
                <w:tcPr>
                  <w:tcW w:w="651" w:type="dxa"/>
                  <w:vMerge w:val="continue"/>
                  <w:vAlign w:val="center"/>
                </w:tcPr>
                <w:p w14:paraId="50027561">
                  <w:pPr>
                    <w:pStyle w:val="52"/>
                    <w:spacing w:line="240" w:lineRule="auto"/>
                    <w:ind w:firstLine="0" w:firstLineChars="0"/>
                    <w:jc w:val="center"/>
                    <w:rPr>
                      <w:highlight w:val="none"/>
                    </w:rPr>
                  </w:pPr>
                </w:p>
              </w:tc>
              <w:tc>
                <w:tcPr>
                  <w:tcW w:w="1148" w:type="dxa"/>
                  <w:vAlign w:val="center"/>
                </w:tcPr>
                <w:p w14:paraId="5E4A98A5">
                  <w:pPr>
                    <w:pStyle w:val="52"/>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p>
              </w:tc>
              <w:tc>
                <w:tcPr>
                  <w:tcW w:w="1477" w:type="dxa"/>
                  <w:vAlign w:val="center"/>
                </w:tcPr>
                <w:p w14:paraId="74C93B43">
                  <w:pPr>
                    <w:pStyle w:val="52"/>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r>
            <w:tr w14:paraId="634EC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1" w:type="dxa"/>
                  <w:vMerge w:val="continue"/>
                  <w:vAlign w:val="center"/>
                </w:tcPr>
                <w:p w14:paraId="1976550C">
                  <w:pPr>
                    <w:pStyle w:val="52"/>
                    <w:spacing w:line="240" w:lineRule="auto"/>
                    <w:ind w:firstLine="0" w:firstLineChars="0"/>
                    <w:jc w:val="center"/>
                    <w:rPr>
                      <w:rFonts w:hint="default" w:ascii="Times New Roman" w:hAnsi="Times New Roman" w:cs="Times New Roman"/>
                      <w:color w:val="auto"/>
                      <w:sz w:val="21"/>
                      <w:szCs w:val="21"/>
                      <w:highlight w:val="yellow"/>
                    </w:rPr>
                  </w:pPr>
                </w:p>
              </w:tc>
              <w:tc>
                <w:tcPr>
                  <w:tcW w:w="881" w:type="dxa"/>
                  <w:vMerge w:val="continue"/>
                  <w:vAlign w:val="center"/>
                </w:tcPr>
                <w:p w14:paraId="3C4D2B01">
                  <w:pPr>
                    <w:pStyle w:val="52"/>
                    <w:spacing w:line="240" w:lineRule="auto"/>
                    <w:ind w:firstLine="0" w:firstLineChars="0"/>
                    <w:jc w:val="center"/>
                    <w:rPr>
                      <w:rFonts w:hint="default" w:ascii="Times New Roman" w:hAnsi="Times New Roman" w:cs="Times New Roman"/>
                      <w:color w:val="auto"/>
                      <w:sz w:val="21"/>
                      <w:szCs w:val="21"/>
                      <w:highlight w:val="yellow"/>
                    </w:rPr>
                  </w:pPr>
                </w:p>
              </w:tc>
              <w:tc>
                <w:tcPr>
                  <w:tcW w:w="975" w:type="dxa"/>
                  <w:vMerge w:val="continue"/>
                  <w:vAlign w:val="center"/>
                </w:tcPr>
                <w:p w14:paraId="0227B343">
                  <w:pPr>
                    <w:pStyle w:val="52"/>
                    <w:spacing w:line="240" w:lineRule="auto"/>
                    <w:ind w:firstLine="0" w:firstLineChars="0"/>
                    <w:jc w:val="center"/>
                    <w:rPr>
                      <w:rFonts w:hint="default" w:ascii="Times New Roman" w:hAnsi="Times New Roman" w:cs="Times New Roman"/>
                      <w:color w:val="auto"/>
                      <w:sz w:val="21"/>
                      <w:szCs w:val="21"/>
                      <w:highlight w:val="yellow"/>
                    </w:rPr>
                  </w:pPr>
                </w:p>
              </w:tc>
              <w:tc>
                <w:tcPr>
                  <w:tcW w:w="881" w:type="dxa"/>
                  <w:vMerge w:val="continue"/>
                  <w:vAlign w:val="center"/>
                </w:tcPr>
                <w:p w14:paraId="3E6C1077">
                  <w:pPr>
                    <w:pStyle w:val="52"/>
                    <w:spacing w:line="240" w:lineRule="auto"/>
                    <w:ind w:firstLine="0" w:firstLineChars="0"/>
                    <w:jc w:val="center"/>
                    <w:rPr>
                      <w:rFonts w:hint="default" w:ascii="Times New Roman" w:hAnsi="Times New Roman" w:cs="Times New Roman"/>
                      <w:color w:val="auto"/>
                      <w:sz w:val="21"/>
                      <w:szCs w:val="21"/>
                      <w:highlight w:val="yellow"/>
                    </w:rPr>
                  </w:pPr>
                </w:p>
              </w:tc>
              <w:tc>
                <w:tcPr>
                  <w:tcW w:w="842" w:type="dxa"/>
                  <w:vMerge w:val="continue"/>
                  <w:vAlign w:val="center"/>
                </w:tcPr>
                <w:p w14:paraId="26EE8C21">
                  <w:pPr>
                    <w:pStyle w:val="52"/>
                    <w:spacing w:line="240" w:lineRule="auto"/>
                    <w:ind w:firstLine="0" w:firstLineChars="0"/>
                    <w:jc w:val="center"/>
                    <w:rPr>
                      <w:rFonts w:hint="default" w:ascii="Times New Roman" w:hAnsi="Times New Roman" w:cs="Times New Roman"/>
                      <w:color w:val="auto"/>
                      <w:sz w:val="21"/>
                      <w:szCs w:val="21"/>
                      <w:highlight w:val="yellow"/>
                    </w:rPr>
                  </w:pPr>
                </w:p>
              </w:tc>
              <w:tc>
                <w:tcPr>
                  <w:tcW w:w="842" w:type="dxa"/>
                  <w:vMerge w:val="continue"/>
                  <w:vAlign w:val="center"/>
                </w:tcPr>
                <w:p w14:paraId="2E80D85D">
                  <w:pPr>
                    <w:pStyle w:val="52"/>
                    <w:spacing w:line="240" w:lineRule="auto"/>
                    <w:ind w:firstLine="0" w:firstLineChars="0"/>
                    <w:jc w:val="center"/>
                    <w:rPr>
                      <w:rFonts w:hint="default" w:ascii="Times New Roman" w:hAnsi="Times New Roman" w:cs="Times New Roman"/>
                      <w:color w:val="auto"/>
                      <w:sz w:val="21"/>
                      <w:szCs w:val="21"/>
                      <w:highlight w:val="yellow"/>
                    </w:rPr>
                  </w:pPr>
                </w:p>
              </w:tc>
              <w:tc>
                <w:tcPr>
                  <w:tcW w:w="795" w:type="dxa"/>
                  <w:vMerge w:val="continue"/>
                  <w:vAlign w:val="center"/>
                </w:tcPr>
                <w:p w14:paraId="05C0F249">
                  <w:pPr>
                    <w:pStyle w:val="52"/>
                    <w:spacing w:line="240" w:lineRule="auto"/>
                    <w:ind w:firstLine="0" w:firstLineChars="0"/>
                    <w:jc w:val="center"/>
                    <w:rPr>
                      <w:rFonts w:hint="default" w:ascii="Times New Roman" w:hAnsi="Times New Roman" w:cs="Times New Roman"/>
                      <w:color w:val="auto"/>
                      <w:sz w:val="21"/>
                      <w:szCs w:val="21"/>
                      <w:highlight w:val="yellow"/>
                    </w:rPr>
                  </w:pPr>
                </w:p>
              </w:tc>
              <w:tc>
                <w:tcPr>
                  <w:tcW w:w="738" w:type="dxa"/>
                  <w:vMerge w:val="continue"/>
                  <w:vAlign w:val="center"/>
                </w:tcPr>
                <w:p w14:paraId="4B49F9C2">
                  <w:pPr>
                    <w:pStyle w:val="52"/>
                    <w:spacing w:line="240" w:lineRule="auto"/>
                    <w:ind w:firstLine="0" w:firstLineChars="0"/>
                    <w:jc w:val="center"/>
                    <w:rPr>
                      <w:rFonts w:hint="default" w:ascii="Times New Roman" w:hAnsi="Times New Roman" w:cs="Times New Roman"/>
                      <w:color w:val="auto"/>
                      <w:sz w:val="21"/>
                      <w:szCs w:val="21"/>
                      <w:highlight w:val="yellow"/>
                    </w:rPr>
                  </w:pPr>
                </w:p>
              </w:tc>
              <w:tc>
                <w:tcPr>
                  <w:tcW w:w="651" w:type="dxa"/>
                  <w:vMerge w:val="continue"/>
                  <w:vAlign w:val="center"/>
                </w:tcPr>
                <w:p w14:paraId="117611D9">
                  <w:pPr>
                    <w:pStyle w:val="52"/>
                    <w:spacing w:line="240" w:lineRule="auto"/>
                    <w:ind w:firstLine="0" w:firstLineChars="0"/>
                    <w:jc w:val="center"/>
                    <w:rPr>
                      <w:rFonts w:hint="default" w:ascii="Times New Roman" w:hAnsi="Times New Roman" w:cs="Times New Roman"/>
                      <w:color w:val="auto"/>
                      <w:sz w:val="21"/>
                      <w:szCs w:val="21"/>
                      <w:highlight w:val="none"/>
                    </w:rPr>
                  </w:pPr>
                </w:p>
              </w:tc>
              <w:tc>
                <w:tcPr>
                  <w:tcW w:w="1148" w:type="dxa"/>
                  <w:vAlign w:val="center"/>
                </w:tcPr>
                <w:p w14:paraId="22C3731C">
                  <w:pPr>
                    <w:pStyle w:val="52"/>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BOD</w:t>
                  </w:r>
                  <w:r>
                    <w:rPr>
                      <w:rFonts w:hint="eastAsia" w:ascii="Times New Roman" w:hAnsi="Times New Roman" w:cs="Times New Roman"/>
                      <w:color w:val="auto"/>
                      <w:sz w:val="21"/>
                      <w:szCs w:val="21"/>
                      <w:highlight w:val="none"/>
                      <w:vertAlign w:val="subscript"/>
                      <w:lang w:val="en-US" w:eastAsia="zh-CN"/>
                    </w:rPr>
                    <w:t>5</w:t>
                  </w:r>
                </w:p>
              </w:tc>
              <w:tc>
                <w:tcPr>
                  <w:tcW w:w="1477" w:type="dxa"/>
                  <w:vAlign w:val="center"/>
                </w:tcPr>
                <w:p w14:paraId="650E09E8">
                  <w:pPr>
                    <w:pStyle w:val="52"/>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r>
            <w:tr w14:paraId="30234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21" w:type="dxa"/>
                  <w:vMerge w:val="continue"/>
                  <w:vAlign w:val="center"/>
                </w:tcPr>
                <w:p w14:paraId="4F744F2E">
                  <w:pPr>
                    <w:pStyle w:val="52"/>
                    <w:spacing w:line="240" w:lineRule="auto"/>
                    <w:ind w:firstLine="0" w:firstLineChars="0"/>
                  </w:pPr>
                </w:p>
              </w:tc>
              <w:tc>
                <w:tcPr>
                  <w:tcW w:w="881" w:type="dxa"/>
                  <w:vMerge w:val="continue"/>
                  <w:vAlign w:val="center"/>
                </w:tcPr>
                <w:p w14:paraId="796B2691">
                  <w:pPr>
                    <w:pStyle w:val="52"/>
                    <w:spacing w:line="240" w:lineRule="auto"/>
                    <w:ind w:firstLine="0" w:firstLineChars="0"/>
                  </w:pPr>
                </w:p>
              </w:tc>
              <w:tc>
                <w:tcPr>
                  <w:tcW w:w="975" w:type="dxa"/>
                  <w:vMerge w:val="continue"/>
                  <w:vAlign w:val="center"/>
                </w:tcPr>
                <w:p w14:paraId="21C3BB09">
                  <w:pPr>
                    <w:pStyle w:val="52"/>
                    <w:spacing w:line="240" w:lineRule="auto"/>
                    <w:ind w:firstLine="0" w:firstLineChars="0"/>
                  </w:pPr>
                </w:p>
              </w:tc>
              <w:tc>
                <w:tcPr>
                  <w:tcW w:w="881" w:type="dxa"/>
                  <w:vMerge w:val="continue"/>
                  <w:vAlign w:val="center"/>
                </w:tcPr>
                <w:p w14:paraId="357007CC">
                  <w:pPr>
                    <w:pStyle w:val="52"/>
                    <w:spacing w:line="240" w:lineRule="auto"/>
                    <w:ind w:firstLine="0" w:firstLineChars="0"/>
                  </w:pPr>
                </w:p>
              </w:tc>
              <w:tc>
                <w:tcPr>
                  <w:tcW w:w="842" w:type="dxa"/>
                  <w:vMerge w:val="continue"/>
                  <w:vAlign w:val="center"/>
                </w:tcPr>
                <w:p w14:paraId="59304E18">
                  <w:pPr>
                    <w:pStyle w:val="52"/>
                    <w:spacing w:line="240" w:lineRule="auto"/>
                    <w:ind w:firstLine="0" w:firstLineChars="0"/>
                  </w:pPr>
                </w:p>
              </w:tc>
              <w:tc>
                <w:tcPr>
                  <w:tcW w:w="842" w:type="dxa"/>
                  <w:vMerge w:val="continue"/>
                  <w:vAlign w:val="center"/>
                </w:tcPr>
                <w:p w14:paraId="4214781B">
                  <w:pPr>
                    <w:pStyle w:val="52"/>
                    <w:spacing w:line="240" w:lineRule="auto"/>
                    <w:ind w:firstLine="0" w:firstLineChars="0"/>
                  </w:pPr>
                </w:p>
              </w:tc>
              <w:tc>
                <w:tcPr>
                  <w:tcW w:w="795" w:type="dxa"/>
                  <w:vMerge w:val="continue"/>
                  <w:vAlign w:val="center"/>
                </w:tcPr>
                <w:p w14:paraId="78E3A88D">
                  <w:pPr>
                    <w:pStyle w:val="52"/>
                    <w:spacing w:line="240" w:lineRule="auto"/>
                    <w:ind w:firstLine="0" w:firstLineChars="0"/>
                  </w:pPr>
                </w:p>
              </w:tc>
              <w:tc>
                <w:tcPr>
                  <w:tcW w:w="738" w:type="dxa"/>
                  <w:vMerge w:val="continue"/>
                  <w:vAlign w:val="center"/>
                </w:tcPr>
                <w:p w14:paraId="05E898EB">
                  <w:pPr>
                    <w:pStyle w:val="52"/>
                    <w:spacing w:line="240" w:lineRule="auto"/>
                    <w:ind w:firstLine="0" w:firstLineChars="0"/>
                  </w:pPr>
                </w:p>
              </w:tc>
              <w:tc>
                <w:tcPr>
                  <w:tcW w:w="651" w:type="dxa"/>
                  <w:vMerge w:val="continue"/>
                  <w:vAlign w:val="center"/>
                </w:tcPr>
                <w:p w14:paraId="7FB11ED3">
                  <w:pPr>
                    <w:pStyle w:val="52"/>
                    <w:spacing w:line="240" w:lineRule="auto"/>
                    <w:ind w:firstLine="0" w:firstLineChars="0"/>
                    <w:rPr>
                      <w:highlight w:val="none"/>
                    </w:rPr>
                  </w:pPr>
                </w:p>
              </w:tc>
              <w:tc>
                <w:tcPr>
                  <w:tcW w:w="1148" w:type="dxa"/>
                  <w:vAlign w:val="center"/>
                </w:tcPr>
                <w:p w14:paraId="26C3816F">
                  <w:pPr>
                    <w:pStyle w:val="52"/>
                    <w:spacing w:line="240" w:lineRule="auto"/>
                    <w:ind w:firstLine="0" w:firstLineChars="0"/>
                    <w:rPr>
                      <w:highlight w:val="none"/>
                    </w:rPr>
                  </w:pPr>
                  <w:r>
                    <w:rPr>
                      <w:rFonts w:hint="default" w:ascii="Times New Roman" w:hAnsi="Times New Roman" w:cs="Times New Roman"/>
                      <w:color w:val="auto"/>
                      <w:sz w:val="21"/>
                      <w:szCs w:val="21"/>
                      <w:highlight w:val="none"/>
                    </w:rPr>
                    <w:t>SS</w:t>
                  </w:r>
                </w:p>
              </w:tc>
              <w:tc>
                <w:tcPr>
                  <w:tcW w:w="1477" w:type="dxa"/>
                  <w:vAlign w:val="center"/>
                </w:tcPr>
                <w:p w14:paraId="6A5AEC17">
                  <w:pPr>
                    <w:pStyle w:val="52"/>
                    <w:spacing w:line="240" w:lineRule="auto"/>
                    <w:ind w:firstLine="0" w:firstLineChar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r>
            <w:tr w14:paraId="1E3A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21" w:type="dxa"/>
                  <w:vMerge w:val="continue"/>
                  <w:vAlign w:val="center"/>
                </w:tcPr>
                <w:p w14:paraId="50D71E55">
                  <w:pPr>
                    <w:pStyle w:val="52"/>
                    <w:spacing w:line="240" w:lineRule="auto"/>
                    <w:ind w:firstLine="0" w:firstLineChars="0"/>
                    <w:rPr>
                      <w:rFonts w:hint="eastAsia" w:ascii="Times New Roman" w:hAnsi="Times New Roman" w:cs="Times New Roman"/>
                      <w:color w:val="auto"/>
                      <w:sz w:val="21"/>
                      <w:szCs w:val="21"/>
                      <w:highlight w:val="yellow"/>
                      <w:lang w:val="en-US" w:eastAsia="zh-CN"/>
                    </w:rPr>
                  </w:pPr>
                </w:p>
              </w:tc>
              <w:tc>
                <w:tcPr>
                  <w:tcW w:w="881" w:type="dxa"/>
                  <w:vMerge w:val="continue"/>
                  <w:vAlign w:val="center"/>
                </w:tcPr>
                <w:p w14:paraId="358DBFC2">
                  <w:pPr>
                    <w:pStyle w:val="52"/>
                    <w:spacing w:line="240" w:lineRule="auto"/>
                    <w:ind w:firstLine="0" w:firstLineChars="0"/>
                    <w:rPr>
                      <w:rFonts w:hint="eastAsia" w:ascii="Times New Roman" w:hAnsi="Times New Roman" w:cs="Times New Roman"/>
                      <w:color w:val="auto"/>
                      <w:sz w:val="21"/>
                      <w:szCs w:val="21"/>
                      <w:highlight w:val="yellow"/>
                      <w:lang w:val="en-US" w:eastAsia="zh-CN"/>
                    </w:rPr>
                  </w:pPr>
                </w:p>
              </w:tc>
              <w:tc>
                <w:tcPr>
                  <w:tcW w:w="975" w:type="dxa"/>
                  <w:vMerge w:val="continue"/>
                  <w:vAlign w:val="center"/>
                </w:tcPr>
                <w:p w14:paraId="32AFEAB5">
                  <w:pPr>
                    <w:pStyle w:val="52"/>
                    <w:spacing w:line="240" w:lineRule="auto"/>
                    <w:ind w:firstLine="0" w:firstLineChars="0"/>
                    <w:rPr>
                      <w:rFonts w:hint="eastAsia" w:ascii="Times New Roman" w:hAnsi="Times New Roman" w:cs="Times New Roman"/>
                      <w:color w:val="auto"/>
                      <w:sz w:val="21"/>
                      <w:szCs w:val="21"/>
                      <w:highlight w:val="yellow"/>
                      <w:lang w:val="en-US" w:eastAsia="zh-CN"/>
                    </w:rPr>
                  </w:pPr>
                </w:p>
              </w:tc>
              <w:tc>
                <w:tcPr>
                  <w:tcW w:w="881" w:type="dxa"/>
                  <w:vMerge w:val="continue"/>
                  <w:vAlign w:val="center"/>
                </w:tcPr>
                <w:p w14:paraId="27CFF1D0">
                  <w:pPr>
                    <w:pStyle w:val="52"/>
                    <w:spacing w:line="240" w:lineRule="auto"/>
                    <w:ind w:firstLine="0" w:firstLineChars="0"/>
                    <w:rPr>
                      <w:rFonts w:hint="eastAsia" w:ascii="Times New Roman" w:hAnsi="Times New Roman" w:cs="Times New Roman"/>
                      <w:color w:val="auto"/>
                      <w:sz w:val="21"/>
                      <w:szCs w:val="21"/>
                      <w:highlight w:val="yellow"/>
                      <w:lang w:val="en-US" w:eastAsia="zh-CN"/>
                    </w:rPr>
                  </w:pPr>
                </w:p>
              </w:tc>
              <w:tc>
                <w:tcPr>
                  <w:tcW w:w="842" w:type="dxa"/>
                  <w:vMerge w:val="continue"/>
                  <w:vAlign w:val="center"/>
                </w:tcPr>
                <w:p w14:paraId="1EA68C0C">
                  <w:pPr>
                    <w:pStyle w:val="52"/>
                    <w:spacing w:line="240" w:lineRule="auto"/>
                    <w:ind w:firstLine="0" w:firstLineChars="0"/>
                    <w:rPr>
                      <w:rFonts w:hint="eastAsia" w:ascii="Times New Roman" w:hAnsi="Times New Roman" w:cs="Times New Roman"/>
                      <w:color w:val="auto"/>
                      <w:sz w:val="21"/>
                      <w:szCs w:val="21"/>
                      <w:highlight w:val="yellow"/>
                      <w:lang w:val="en-US" w:eastAsia="zh-CN"/>
                    </w:rPr>
                  </w:pPr>
                </w:p>
              </w:tc>
              <w:tc>
                <w:tcPr>
                  <w:tcW w:w="842" w:type="dxa"/>
                  <w:vMerge w:val="continue"/>
                  <w:vAlign w:val="center"/>
                </w:tcPr>
                <w:p w14:paraId="6B9E74F9">
                  <w:pPr>
                    <w:pStyle w:val="52"/>
                    <w:spacing w:line="240" w:lineRule="auto"/>
                    <w:ind w:firstLine="0" w:firstLineChars="0"/>
                    <w:rPr>
                      <w:rFonts w:hint="eastAsia" w:ascii="Times New Roman" w:hAnsi="Times New Roman" w:cs="Times New Roman"/>
                      <w:color w:val="auto"/>
                      <w:sz w:val="21"/>
                      <w:szCs w:val="21"/>
                      <w:highlight w:val="yellow"/>
                      <w:lang w:val="en-US" w:eastAsia="zh-CN"/>
                    </w:rPr>
                  </w:pPr>
                </w:p>
              </w:tc>
              <w:tc>
                <w:tcPr>
                  <w:tcW w:w="795" w:type="dxa"/>
                  <w:vMerge w:val="continue"/>
                  <w:vAlign w:val="center"/>
                </w:tcPr>
                <w:p w14:paraId="3E2EE0B0">
                  <w:pPr>
                    <w:pStyle w:val="52"/>
                    <w:spacing w:line="240" w:lineRule="auto"/>
                    <w:ind w:firstLine="0" w:firstLineChars="0"/>
                    <w:rPr>
                      <w:rFonts w:hint="eastAsia" w:ascii="Times New Roman" w:hAnsi="Times New Roman" w:cs="Times New Roman"/>
                      <w:color w:val="auto"/>
                      <w:sz w:val="21"/>
                      <w:szCs w:val="21"/>
                      <w:highlight w:val="yellow"/>
                      <w:lang w:val="en-US" w:eastAsia="zh-CN"/>
                    </w:rPr>
                  </w:pPr>
                </w:p>
              </w:tc>
              <w:tc>
                <w:tcPr>
                  <w:tcW w:w="738" w:type="dxa"/>
                  <w:vMerge w:val="continue"/>
                  <w:vAlign w:val="center"/>
                </w:tcPr>
                <w:p w14:paraId="6B1013AE">
                  <w:pPr>
                    <w:pStyle w:val="52"/>
                    <w:spacing w:line="240" w:lineRule="auto"/>
                    <w:ind w:firstLine="0" w:firstLineChars="0"/>
                    <w:rPr>
                      <w:rFonts w:hint="eastAsia" w:ascii="Times New Roman" w:hAnsi="Times New Roman" w:cs="Times New Roman"/>
                      <w:color w:val="auto"/>
                      <w:sz w:val="21"/>
                      <w:szCs w:val="21"/>
                      <w:highlight w:val="yellow"/>
                      <w:lang w:val="en-US" w:eastAsia="zh-CN"/>
                    </w:rPr>
                  </w:pPr>
                </w:p>
              </w:tc>
              <w:tc>
                <w:tcPr>
                  <w:tcW w:w="651" w:type="dxa"/>
                  <w:vMerge w:val="continue"/>
                  <w:vAlign w:val="center"/>
                </w:tcPr>
                <w:p w14:paraId="4F9BC820">
                  <w:pPr>
                    <w:pStyle w:val="52"/>
                    <w:spacing w:line="240" w:lineRule="auto"/>
                    <w:ind w:firstLine="0" w:firstLineChars="0"/>
                    <w:rPr>
                      <w:rFonts w:hint="eastAsia" w:ascii="Times New Roman" w:hAnsi="Times New Roman" w:cs="Times New Roman"/>
                      <w:color w:val="auto"/>
                      <w:sz w:val="21"/>
                      <w:szCs w:val="21"/>
                      <w:highlight w:val="none"/>
                      <w:lang w:val="en-US" w:eastAsia="zh-CN"/>
                    </w:rPr>
                  </w:pPr>
                </w:p>
              </w:tc>
              <w:tc>
                <w:tcPr>
                  <w:tcW w:w="1148" w:type="dxa"/>
                  <w:vAlign w:val="center"/>
                </w:tcPr>
                <w:p w14:paraId="535C2A8D">
                  <w:pPr>
                    <w:pStyle w:val="52"/>
                    <w:spacing w:line="240" w:lineRule="auto"/>
                    <w:ind w:firstLine="0" w:firstLineChars="0"/>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p>
              </w:tc>
              <w:tc>
                <w:tcPr>
                  <w:tcW w:w="1477" w:type="dxa"/>
                  <w:vAlign w:val="center"/>
                </w:tcPr>
                <w:p w14:paraId="00A9BD6E">
                  <w:pPr>
                    <w:pStyle w:val="52"/>
                    <w:spacing w:line="240" w:lineRule="auto"/>
                    <w:ind w:firstLine="0" w:firstLineChars="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r>
            <w:tr w14:paraId="1F30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51" w:type="dxa"/>
                  <w:gridSpan w:val="11"/>
                  <w:vAlign w:val="center"/>
                </w:tcPr>
                <w:p w14:paraId="50BA025F">
                  <w:pPr>
                    <w:pStyle w:val="52"/>
                    <w:spacing w:line="240" w:lineRule="auto"/>
                    <w:ind w:firstLine="420" w:firstLineChars="200"/>
                    <w:jc w:val="both"/>
                    <w:rPr>
                      <w:rFonts w:ascii="Times New Roman" w:hAnsi="Times New Roman" w:cs="Times New Roman"/>
                      <w:color w:val="auto"/>
                      <w:sz w:val="21"/>
                      <w:szCs w:val="21"/>
                    </w:rPr>
                  </w:pPr>
                  <w:r>
                    <w:rPr>
                      <w:rFonts w:ascii="Times New Roman" w:hAnsi="Times New Roman" w:cs="Times New Roman"/>
                      <w:color w:val="auto"/>
                      <w:sz w:val="21"/>
                      <w:szCs w:val="21"/>
                      <w:vertAlign w:val="superscript"/>
                    </w:rPr>
                    <w:t>a</w:t>
                  </w:r>
                  <w:r>
                    <w:rPr>
                      <w:rFonts w:ascii="Times New Roman" w:hAnsi="Times New Roman" w:cs="Times New Roman"/>
                      <w:color w:val="auto"/>
                      <w:sz w:val="21"/>
                      <w:szCs w:val="21"/>
                    </w:rPr>
                    <w:t>对于排至厂外公共污水处理系统的排放口，指废水排出厂界处经纬度坐标。</w:t>
                  </w:r>
                </w:p>
                <w:p w14:paraId="411C2D57">
                  <w:pPr>
                    <w:pStyle w:val="52"/>
                    <w:spacing w:line="240" w:lineRule="auto"/>
                    <w:ind w:firstLine="420" w:firstLineChars="200"/>
                    <w:jc w:val="both"/>
                    <w:rPr>
                      <w:rFonts w:ascii="Times New Roman" w:hAnsi="Times New Roman" w:cs="Times New Roman"/>
                      <w:color w:val="auto"/>
                      <w:sz w:val="21"/>
                      <w:szCs w:val="21"/>
                    </w:rPr>
                  </w:pPr>
                  <w:r>
                    <w:rPr>
                      <w:rFonts w:ascii="Times New Roman" w:hAnsi="Times New Roman" w:cs="Times New Roman"/>
                      <w:color w:val="auto"/>
                      <w:sz w:val="21"/>
                      <w:szCs w:val="21"/>
                      <w:vertAlign w:val="superscript"/>
                    </w:rPr>
                    <w:t>b</w:t>
                  </w:r>
                  <w:r>
                    <w:rPr>
                      <w:rFonts w:hint="eastAsia" w:ascii="宋体" w:hAnsi="宋体" w:eastAsia="宋体" w:cs="宋体"/>
                      <w:color w:val="auto"/>
                      <w:sz w:val="21"/>
                      <w:szCs w:val="21"/>
                    </w:rPr>
                    <w:t>指厂外城镇或工业污水集中处理设施名称，如</w:t>
                  </w:r>
                  <w:r>
                    <w:rPr>
                      <w:rFonts w:hint="default" w:ascii="Times New Roman" w:hAnsi="Times New Roman" w:eastAsia="宋体" w:cs="Times New Roman"/>
                      <w:color w:val="auto"/>
                      <w:sz w:val="21"/>
                      <w:szCs w:val="21"/>
                    </w:rPr>
                    <w:t>×××</w:t>
                  </w:r>
                  <w:r>
                    <w:rPr>
                      <w:rFonts w:hint="eastAsia" w:ascii="宋体" w:hAnsi="宋体" w:eastAsia="宋体" w:cs="宋体"/>
                      <w:color w:val="auto"/>
                      <w:sz w:val="21"/>
                      <w:szCs w:val="21"/>
                    </w:rPr>
                    <w:t>生活污水处理厂、</w:t>
                  </w:r>
                  <w:r>
                    <w:rPr>
                      <w:rFonts w:hint="default" w:ascii="Times New Roman" w:hAnsi="Times New Roman" w:eastAsia="宋体" w:cs="Times New Roman"/>
                      <w:color w:val="auto"/>
                      <w:sz w:val="21"/>
                      <w:szCs w:val="21"/>
                    </w:rPr>
                    <w:t>×××</w:t>
                  </w:r>
                  <w:r>
                    <w:rPr>
                      <w:rFonts w:hint="eastAsia" w:ascii="宋体" w:hAnsi="宋体" w:eastAsia="宋体" w:cs="宋体"/>
                      <w:color w:val="auto"/>
                      <w:sz w:val="21"/>
                      <w:szCs w:val="21"/>
                    </w:rPr>
                    <w:t>化工园区污水处理厂等。</w:t>
                  </w:r>
                </w:p>
              </w:tc>
            </w:tr>
          </w:tbl>
          <w:p w14:paraId="4D3046C5">
            <w:pPr>
              <w:spacing w:line="360" w:lineRule="auto"/>
              <w:ind w:firstLine="480" w:firstLineChars="200"/>
              <w:rPr>
                <w:rFonts w:ascii="Times New Roman" w:hAnsi="Times New Roman" w:cs="Times New Roman"/>
                <w:color w:val="auto"/>
                <w:sz w:val="24"/>
              </w:rPr>
            </w:pPr>
            <w:r>
              <w:rPr>
                <w:rFonts w:ascii="Times New Roman" w:hAnsi="Times New Roman" w:cs="Times New Roman"/>
                <w:color w:val="auto"/>
                <w:sz w:val="24"/>
              </w:rPr>
              <w:t>建设项目废水污染物排放执行标准表见表</w:t>
            </w:r>
            <w:r>
              <w:rPr>
                <w:rFonts w:hint="eastAsia" w:ascii="Times New Roman" w:hAnsi="Times New Roman" w:cs="Times New Roman"/>
                <w:color w:val="auto"/>
                <w:sz w:val="24"/>
              </w:rPr>
              <w:t>4.</w:t>
            </w:r>
            <w:r>
              <w:rPr>
                <w:rFonts w:hint="eastAsia" w:ascii="Times New Roman" w:hAnsi="Times New Roman" w:cs="Times New Roman"/>
                <w:color w:val="auto"/>
                <w:sz w:val="24"/>
                <w:lang w:val="en-US" w:eastAsia="zh-CN"/>
              </w:rPr>
              <w:t>12</w:t>
            </w:r>
            <w:r>
              <w:rPr>
                <w:rFonts w:ascii="Times New Roman" w:hAnsi="Times New Roman" w:cs="Times New Roman"/>
                <w:color w:val="auto"/>
                <w:sz w:val="24"/>
              </w:rPr>
              <w:t>。</w:t>
            </w:r>
          </w:p>
          <w:p w14:paraId="1025FB72">
            <w:pPr>
              <w:spacing w:line="240" w:lineRule="auto"/>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w:t>
            </w:r>
            <w:r>
              <w:rPr>
                <w:rFonts w:hint="eastAsia" w:ascii="Times New Roman" w:hAnsi="Times New Roman" w:cs="Times New Roman"/>
                <w:b/>
                <w:bCs/>
                <w:color w:val="auto"/>
                <w:sz w:val="21"/>
                <w:szCs w:val="21"/>
              </w:rPr>
              <w:t>4.</w:t>
            </w:r>
            <w:r>
              <w:rPr>
                <w:rFonts w:hint="eastAsia" w:ascii="Times New Roman" w:hAnsi="Times New Roman" w:cs="Times New Roman"/>
                <w:b/>
                <w:bCs/>
                <w:color w:val="auto"/>
                <w:sz w:val="21"/>
                <w:szCs w:val="21"/>
                <w:lang w:val="en-US" w:eastAsia="zh-CN"/>
              </w:rPr>
              <w:t>12</w:t>
            </w:r>
            <w:r>
              <w:rPr>
                <w:rFonts w:ascii="Times New Roman" w:hAnsi="Times New Roman" w:cs="Times New Roman"/>
                <w:b/>
                <w:bCs/>
                <w:color w:val="auto"/>
                <w:sz w:val="21"/>
                <w:szCs w:val="21"/>
              </w:rPr>
              <w:t xml:space="preserve">  废水污染物排放执行标准表</w:t>
            </w:r>
          </w:p>
          <w:tbl>
            <w:tblPr>
              <w:tblStyle w:val="32"/>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1"/>
              <w:gridCol w:w="1920"/>
              <w:gridCol w:w="1917"/>
              <w:gridCol w:w="2088"/>
              <w:gridCol w:w="1925"/>
            </w:tblGrid>
            <w:tr w14:paraId="1C35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9" w:type="dxa"/>
                  <w:vMerge w:val="restart"/>
                  <w:vAlign w:val="center"/>
                </w:tcPr>
                <w:p w14:paraId="1D08C0EC">
                  <w:pPr>
                    <w:pStyle w:val="38"/>
                    <w:spacing w:line="240" w:lineRule="auto"/>
                    <w:jc w:val="center"/>
                    <w:rPr>
                      <w:b w:val="0"/>
                      <w:bCs/>
                      <w:color w:val="auto"/>
                      <w:kern w:val="0"/>
                      <w:sz w:val="21"/>
                      <w:szCs w:val="21"/>
                    </w:rPr>
                  </w:pPr>
                  <w:r>
                    <w:rPr>
                      <w:b w:val="0"/>
                      <w:bCs/>
                      <w:color w:val="auto"/>
                      <w:kern w:val="0"/>
                      <w:sz w:val="21"/>
                      <w:szCs w:val="21"/>
                    </w:rPr>
                    <w:t>序号</w:t>
                  </w:r>
                </w:p>
              </w:tc>
              <w:tc>
                <w:tcPr>
                  <w:tcW w:w="1950" w:type="dxa"/>
                  <w:vMerge w:val="restart"/>
                  <w:vAlign w:val="center"/>
                </w:tcPr>
                <w:p w14:paraId="4EA29E68">
                  <w:pPr>
                    <w:pStyle w:val="38"/>
                    <w:spacing w:line="240" w:lineRule="auto"/>
                    <w:jc w:val="center"/>
                    <w:rPr>
                      <w:b w:val="0"/>
                      <w:bCs/>
                      <w:color w:val="auto"/>
                      <w:kern w:val="0"/>
                      <w:sz w:val="21"/>
                      <w:szCs w:val="21"/>
                    </w:rPr>
                  </w:pPr>
                  <w:r>
                    <w:rPr>
                      <w:b w:val="0"/>
                      <w:bCs/>
                      <w:color w:val="auto"/>
                      <w:kern w:val="0"/>
                      <w:sz w:val="21"/>
                      <w:szCs w:val="21"/>
                    </w:rPr>
                    <w:t>排放口编号</w:t>
                  </w:r>
                </w:p>
              </w:tc>
              <w:tc>
                <w:tcPr>
                  <w:tcW w:w="1952" w:type="dxa"/>
                  <w:vMerge w:val="restart"/>
                  <w:vAlign w:val="center"/>
                </w:tcPr>
                <w:p w14:paraId="09BE6F86">
                  <w:pPr>
                    <w:pStyle w:val="38"/>
                    <w:spacing w:line="240" w:lineRule="auto"/>
                    <w:jc w:val="center"/>
                    <w:rPr>
                      <w:b w:val="0"/>
                      <w:bCs/>
                      <w:color w:val="auto"/>
                      <w:kern w:val="0"/>
                      <w:sz w:val="21"/>
                      <w:szCs w:val="21"/>
                    </w:rPr>
                  </w:pPr>
                  <w:r>
                    <w:rPr>
                      <w:b w:val="0"/>
                      <w:bCs/>
                      <w:color w:val="auto"/>
                      <w:kern w:val="0"/>
                      <w:sz w:val="21"/>
                      <w:szCs w:val="21"/>
                    </w:rPr>
                    <w:t>污染物种类</w:t>
                  </w:r>
                </w:p>
              </w:tc>
              <w:tc>
                <w:tcPr>
                  <w:tcW w:w="3900" w:type="dxa"/>
                  <w:gridSpan w:val="2"/>
                  <w:vAlign w:val="center"/>
                </w:tcPr>
                <w:p w14:paraId="18C93400">
                  <w:pPr>
                    <w:pStyle w:val="38"/>
                    <w:spacing w:line="240" w:lineRule="auto"/>
                    <w:jc w:val="center"/>
                    <w:rPr>
                      <w:b w:val="0"/>
                      <w:bCs/>
                      <w:color w:val="auto"/>
                      <w:kern w:val="0"/>
                      <w:sz w:val="21"/>
                      <w:szCs w:val="21"/>
                    </w:rPr>
                  </w:pPr>
                  <w:r>
                    <w:rPr>
                      <w:b w:val="0"/>
                      <w:bCs/>
                      <w:color w:val="auto"/>
                      <w:kern w:val="0"/>
                      <w:sz w:val="21"/>
                      <w:szCs w:val="21"/>
                    </w:rPr>
                    <w:t>国家或地方污染物排放标准及其他按规定商定的排放协议</w:t>
                  </w:r>
                  <w:r>
                    <w:rPr>
                      <w:b w:val="0"/>
                      <w:bCs/>
                      <w:color w:val="auto"/>
                      <w:kern w:val="0"/>
                      <w:sz w:val="21"/>
                      <w:szCs w:val="21"/>
                      <w:vertAlign w:val="superscript"/>
                    </w:rPr>
                    <w:t>a</w:t>
                  </w:r>
                </w:p>
              </w:tc>
            </w:tr>
            <w:tr w14:paraId="16675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9" w:type="dxa"/>
                  <w:vMerge w:val="continue"/>
                  <w:vAlign w:val="center"/>
                </w:tcPr>
                <w:p w14:paraId="29172C4E">
                  <w:pPr>
                    <w:pStyle w:val="38"/>
                    <w:spacing w:line="240" w:lineRule="auto"/>
                    <w:jc w:val="center"/>
                    <w:rPr>
                      <w:b w:val="0"/>
                      <w:bCs/>
                      <w:color w:val="auto"/>
                      <w:kern w:val="0"/>
                      <w:sz w:val="21"/>
                      <w:szCs w:val="21"/>
                    </w:rPr>
                  </w:pPr>
                </w:p>
              </w:tc>
              <w:tc>
                <w:tcPr>
                  <w:tcW w:w="1950" w:type="dxa"/>
                  <w:vMerge w:val="continue"/>
                  <w:vAlign w:val="center"/>
                </w:tcPr>
                <w:p w14:paraId="12DBAA9C">
                  <w:pPr>
                    <w:pStyle w:val="38"/>
                    <w:spacing w:line="240" w:lineRule="auto"/>
                    <w:jc w:val="center"/>
                    <w:rPr>
                      <w:b w:val="0"/>
                      <w:bCs/>
                      <w:color w:val="auto"/>
                      <w:kern w:val="0"/>
                      <w:sz w:val="21"/>
                      <w:szCs w:val="21"/>
                    </w:rPr>
                  </w:pPr>
                </w:p>
              </w:tc>
              <w:tc>
                <w:tcPr>
                  <w:tcW w:w="1952" w:type="dxa"/>
                  <w:vMerge w:val="continue"/>
                  <w:vAlign w:val="center"/>
                </w:tcPr>
                <w:p w14:paraId="31DFB47B">
                  <w:pPr>
                    <w:pStyle w:val="38"/>
                    <w:spacing w:line="240" w:lineRule="auto"/>
                    <w:jc w:val="center"/>
                    <w:rPr>
                      <w:b w:val="0"/>
                      <w:bCs/>
                      <w:color w:val="auto"/>
                      <w:kern w:val="0"/>
                      <w:sz w:val="21"/>
                      <w:szCs w:val="21"/>
                    </w:rPr>
                  </w:pPr>
                </w:p>
              </w:tc>
              <w:tc>
                <w:tcPr>
                  <w:tcW w:w="1950" w:type="dxa"/>
                  <w:vAlign w:val="center"/>
                </w:tcPr>
                <w:p w14:paraId="320D8DFC">
                  <w:pPr>
                    <w:pStyle w:val="38"/>
                    <w:spacing w:line="240" w:lineRule="auto"/>
                    <w:jc w:val="center"/>
                    <w:rPr>
                      <w:b w:val="0"/>
                      <w:bCs/>
                      <w:color w:val="auto"/>
                      <w:kern w:val="0"/>
                      <w:sz w:val="21"/>
                      <w:szCs w:val="21"/>
                    </w:rPr>
                  </w:pPr>
                  <w:r>
                    <w:rPr>
                      <w:b w:val="0"/>
                      <w:bCs/>
                      <w:color w:val="auto"/>
                      <w:kern w:val="0"/>
                      <w:sz w:val="21"/>
                      <w:szCs w:val="21"/>
                    </w:rPr>
                    <w:t>名称</w:t>
                  </w:r>
                </w:p>
              </w:tc>
              <w:tc>
                <w:tcPr>
                  <w:tcW w:w="1950" w:type="dxa"/>
                  <w:vAlign w:val="center"/>
                </w:tcPr>
                <w:p w14:paraId="11FA8394">
                  <w:pPr>
                    <w:pStyle w:val="38"/>
                    <w:spacing w:line="240" w:lineRule="auto"/>
                    <w:jc w:val="center"/>
                    <w:rPr>
                      <w:b w:val="0"/>
                      <w:bCs/>
                      <w:color w:val="auto"/>
                      <w:kern w:val="0"/>
                      <w:sz w:val="21"/>
                      <w:szCs w:val="21"/>
                    </w:rPr>
                  </w:pPr>
                  <w:r>
                    <w:rPr>
                      <w:b w:val="0"/>
                      <w:bCs/>
                      <w:color w:val="auto"/>
                      <w:kern w:val="0"/>
                      <w:sz w:val="21"/>
                      <w:szCs w:val="21"/>
                    </w:rPr>
                    <w:t>浓度限值/（mg/L）</w:t>
                  </w:r>
                </w:p>
              </w:tc>
            </w:tr>
            <w:tr w14:paraId="72CB8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9" w:type="dxa"/>
                  <w:vMerge w:val="restart"/>
                  <w:vAlign w:val="center"/>
                </w:tcPr>
                <w:p w14:paraId="7A68A4C3">
                  <w:pPr>
                    <w:pStyle w:val="38"/>
                    <w:spacing w:line="240" w:lineRule="auto"/>
                    <w:jc w:val="center"/>
                    <w:rPr>
                      <w:b w:val="0"/>
                      <w:bCs/>
                      <w:color w:val="auto"/>
                      <w:kern w:val="0"/>
                      <w:sz w:val="21"/>
                      <w:szCs w:val="21"/>
                    </w:rPr>
                  </w:pPr>
                  <w:r>
                    <w:rPr>
                      <w:b w:val="0"/>
                      <w:bCs/>
                      <w:color w:val="auto"/>
                      <w:kern w:val="0"/>
                      <w:sz w:val="21"/>
                      <w:szCs w:val="21"/>
                    </w:rPr>
                    <w:t>1</w:t>
                  </w:r>
                </w:p>
              </w:tc>
              <w:tc>
                <w:tcPr>
                  <w:tcW w:w="1950" w:type="dxa"/>
                  <w:vMerge w:val="restart"/>
                  <w:vAlign w:val="center"/>
                </w:tcPr>
                <w:p w14:paraId="71AA5EDB">
                  <w:pPr>
                    <w:pStyle w:val="38"/>
                    <w:spacing w:line="240" w:lineRule="auto"/>
                    <w:jc w:val="center"/>
                    <w:rPr>
                      <w:b w:val="0"/>
                      <w:bCs/>
                      <w:color w:val="auto"/>
                      <w:kern w:val="0"/>
                      <w:sz w:val="21"/>
                      <w:szCs w:val="21"/>
                    </w:rPr>
                  </w:pPr>
                  <w:r>
                    <w:rPr>
                      <w:b w:val="0"/>
                      <w:bCs/>
                      <w:color w:val="auto"/>
                      <w:kern w:val="0"/>
                      <w:sz w:val="21"/>
                      <w:szCs w:val="21"/>
                    </w:rPr>
                    <w:t>DW001</w:t>
                  </w:r>
                </w:p>
              </w:tc>
              <w:tc>
                <w:tcPr>
                  <w:tcW w:w="1952" w:type="dxa"/>
                  <w:vAlign w:val="center"/>
                </w:tcPr>
                <w:p w14:paraId="66A9FEE6">
                  <w:pPr>
                    <w:pStyle w:val="38"/>
                    <w:spacing w:line="240" w:lineRule="auto"/>
                    <w:jc w:val="center"/>
                    <w:rPr>
                      <w:b w:val="0"/>
                      <w:bCs/>
                      <w:color w:val="auto"/>
                      <w:kern w:val="0"/>
                      <w:sz w:val="21"/>
                      <w:szCs w:val="21"/>
                    </w:rPr>
                  </w:pPr>
                  <w:r>
                    <w:rPr>
                      <w:b w:val="0"/>
                      <w:bCs/>
                      <w:color w:val="auto"/>
                      <w:kern w:val="0"/>
                      <w:sz w:val="21"/>
                      <w:szCs w:val="21"/>
                    </w:rPr>
                    <w:t>pH</w:t>
                  </w:r>
                </w:p>
              </w:tc>
              <w:tc>
                <w:tcPr>
                  <w:tcW w:w="1950" w:type="dxa"/>
                  <w:vMerge w:val="restart"/>
                  <w:vAlign w:val="center"/>
                </w:tcPr>
                <w:p w14:paraId="4F08C9DB">
                  <w:pPr>
                    <w:pStyle w:val="38"/>
                    <w:spacing w:line="240" w:lineRule="auto"/>
                    <w:jc w:val="center"/>
                    <w:rPr>
                      <w:rFonts w:hint="eastAsia" w:eastAsia="宋体"/>
                      <w:b w:val="0"/>
                      <w:bCs/>
                      <w:color w:val="auto"/>
                      <w:kern w:val="0"/>
                      <w:sz w:val="21"/>
                      <w:szCs w:val="21"/>
                      <w:lang w:eastAsia="zh-CN"/>
                    </w:rPr>
                  </w:pPr>
                  <w:r>
                    <w:rPr>
                      <w:b w:val="0"/>
                      <w:bCs/>
                      <w:color w:val="auto"/>
                      <w:sz w:val="21"/>
                      <w:szCs w:val="21"/>
                    </w:rPr>
                    <w:t>《污水综合排放标准》（GB8978-1996）表4中三级标准</w:t>
                  </w:r>
                  <w:r>
                    <w:rPr>
                      <w:rFonts w:hint="eastAsia"/>
                      <w:b w:val="0"/>
                      <w:bCs/>
                      <w:color w:val="auto"/>
                      <w:sz w:val="21"/>
                      <w:szCs w:val="21"/>
                      <w:lang w:eastAsia="zh-CN"/>
                    </w:rPr>
                    <w:t>及</w:t>
                  </w:r>
                  <w:r>
                    <w:rPr>
                      <w:rFonts w:hint="eastAsia"/>
                      <w:bCs/>
                      <w:color w:val="auto"/>
                      <w:sz w:val="21"/>
                      <w:szCs w:val="21"/>
                      <w:lang w:val="en-US" w:eastAsia="zh-CN"/>
                    </w:rPr>
                    <w:t>泗县工业污水处理厂</w:t>
                  </w:r>
                  <w:r>
                    <w:rPr>
                      <w:rFonts w:hint="eastAsia" w:ascii="Times New Roman" w:hAnsi="Times New Roman" w:cs="Times New Roman"/>
                      <w:color w:val="auto"/>
                      <w:sz w:val="21"/>
                      <w:szCs w:val="21"/>
                      <w:lang w:eastAsia="zh-CN"/>
                    </w:rPr>
                    <w:t>接管限值</w:t>
                  </w:r>
                </w:p>
              </w:tc>
              <w:tc>
                <w:tcPr>
                  <w:tcW w:w="1950" w:type="dxa"/>
                  <w:vAlign w:val="center"/>
                </w:tcPr>
                <w:p w14:paraId="5780666A">
                  <w:pPr>
                    <w:pStyle w:val="38"/>
                    <w:spacing w:line="240" w:lineRule="auto"/>
                    <w:jc w:val="center"/>
                    <w:rPr>
                      <w:rFonts w:hint="eastAsia" w:eastAsia="宋体"/>
                      <w:b w:val="0"/>
                      <w:bCs/>
                      <w:color w:val="auto"/>
                      <w:kern w:val="0"/>
                      <w:sz w:val="21"/>
                      <w:szCs w:val="21"/>
                      <w:lang w:eastAsia="zh-CN"/>
                    </w:rPr>
                  </w:pPr>
                  <w:r>
                    <w:rPr>
                      <w:b w:val="0"/>
                      <w:bCs/>
                      <w:color w:val="auto"/>
                      <w:kern w:val="0"/>
                      <w:sz w:val="21"/>
                      <w:szCs w:val="21"/>
                    </w:rPr>
                    <w:t>6～9</w:t>
                  </w:r>
                  <w:r>
                    <w:rPr>
                      <w:rFonts w:hint="eastAsia"/>
                      <w:b w:val="0"/>
                      <w:bCs/>
                      <w:color w:val="auto"/>
                      <w:kern w:val="0"/>
                      <w:sz w:val="21"/>
                      <w:szCs w:val="21"/>
                      <w:lang w:eastAsia="zh-CN"/>
                    </w:rPr>
                    <w:t>（</w:t>
                  </w:r>
                  <w:r>
                    <w:rPr>
                      <w:rFonts w:hint="eastAsia"/>
                      <w:b w:val="0"/>
                      <w:bCs/>
                      <w:color w:val="auto"/>
                      <w:kern w:val="0"/>
                      <w:sz w:val="21"/>
                      <w:szCs w:val="21"/>
                      <w:lang w:val="en-US" w:eastAsia="zh-CN"/>
                    </w:rPr>
                    <w:t>无量纲</w:t>
                  </w:r>
                  <w:r>
                    <w:rPr>
                      <w:rFonts w:hint="eastAsia"/>
                      <w:b w:val="0"/>
                      <w:bCs/>
                      <w:color w:val="auto"/>
                      <w:kern w:val="0"/>
                      <w:sz w:val="21"/>
                      <w:szCs w:val="21"/>
                      <w:lang w:eastAsia="zh-CN"/>
                    </w:rPr>
                    <w:t>）</w:t>
                  </w:r>
                </w:p>
              </w:tc>
            </w:tr>
            <w:tr w14:paraId="4F61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49" w:type="dxa"/>
                  <w:vMerge w:val="continue"/>
                  <w:vAlign w:val="center"/>
                </w:tcPr>
                <w:p w14:paraId="6351B91F">
                  <w:pPr>
                    <w:pStyle w:val="38"/>
                    <w:spacing w:line="240" w:lineRule="auto"/>
                    <w:jc w:val="center"/>
                    <w:rPr>
                      <w:b w:val="0"/>
                      <w:bCs/>
                      <w:color w:val="auto"/>
                      <w:kern w:val="0"/>
                      <w:sz w:val="21"/>
                      <w:szCs w:val="21"/>
                    </w:rPr>
                  </w:pPr>
                </w:p>
              </w:tc>
              <w:tc>
                <w:tcPr>
                  <w:tcW w:w="1950" w:type="dxa"/>
                  <w:vMerge w:val="continue"/>
                  <w:vAlign w:val="center"/>
                </w:tcPr>
                <w:p w14:paraId="0B304AF9">
                  <w:pPr>
                    <w:pStyle w:val="38"/>
                    <w:spacing w:line="240" w:lineRule="auto"/>
                    <w:jc w:val="center"/>
                    <w:rPr>
                      <w:b w:val="0"/>
                      <w:bCs/>
                      <w:color w:val="auto"/>
                      <w:kern w:val="0"/>
                      <w:sz w:val="21"/>
                      <w:szCs w:val="21"/>
                    </w:rPr>
                  </w:pPr>
                </w:p>
              </w:tc>
              <w:tc>
                <w:tcPr>
                  <w:tcW w:w="1952" w:type="dxa"/>
                  <w:vAlign w:val="center"/>
                </w:tcPr>
                <w:p w14:paraId="0FA94E9D">
                  <w:pPr>
                    <w:pStyle w:val="38"/>
                    <w:spacing w:line="240" w:lineRule="auto"/>
                    <w:jc w:val="center"/>
                    <w:rPr>
                      <w:b w:val="0"/>
                      <w:bCs/>
                      <w:color w:val="auto"/>
                      <w:kern w:val="0"/>
                      <w:sz w:val="21"/>
                      <w:szCs w:val="21"/>
                    </w:rPr>
                  </w:pPr>
                  <w:r>
                    <w:rPr>
                      <w:b w:val="0"/>
                      <w:bCs/>
                      <w:color w:val="auto"/>
                      <w:kern w:val="0"/>
                      <w:sz w:val="21"/>
                      <w:szCs w:val="21"/>
                    </w:rPr>
                    <w:t>COD</w:t>
                  </w:r>
                </w:p>
              </w:tc>
              <w:tc>
                <w:tcPr>
                  <w:tcW w:w="1950" w:type="dxa"/>
                  <w:vMerge w:val="continue"/>
                  <w:vAlign w:val="center"/>
                </w:tcPr>
                <w:p w14:paraId="7842A3E9">
                  <w:pPr>
                    <w:pStyle w:val="38"/>
                    <w:spacing w:line="240" w:lineRule="auto"/>
                    <w:jc w:val="center"/>
                    <w:rPr>
                      <w:b w:val="0"/>
                      <w:bCs/>
                      <w:color w:val="auto"/>
                      <w:kern w:val="0"/>
                      <w:sz w:val="21"/>
                      <w:szCs w:val="21"/>
                    </w:rPr>
                  </w:pPr>
                </w:p>
              </w:tc>
              <w:tc>
                <w:tcPr>
                  <w:tcW w:w="1950" w:type="dxa"/>
                  <w:vAlign w:val="center"/>
                </w:tcPr>
                <w:p w14:paraId="4F356F5C">
                  <w:pPr>
                    <w:pStyle w:val="38"/>
                    <w:spacing w:line="240" w:lineRule="auto"/>
                    <w:jc w:val="center"/>
                    <w:rPr>
                      <w:rFonts w:hint="default" w:eastAsia="宋体"/>
                      <w:b w:val="0"/>
                      <w:bCs/>
                      <w:color w:val="auto"/>
                      <w:kern w:val="0"/>
                      <w:sz w:val="21"/>
                      <w:szCs w:val="21"/>
                      <w:highlight w:val="none"/>
                      <w:lang w:val="en-US" w:eastAsia="zh-CN"/>
                    </w:rPr>
                  </w:pPr>
                  <w:r>
                    <w:rPr>
                      <w:rFonts w:hint="eastAsia"/>
                      <w:b w:val="0"/>
                      <w:bCs/>
                      <w:color w:val="auto"/>
                      <w:kern w:val="0"/>
                      <w:sz w:val="21"/>
                      <w:szCs w:val="21"/>
                      <w:highlight w:val="none"/>
                      <w:lang w:val="en-US" w:eastAsia="zh-CN"/>
                    </w:rPr>
                    <w:t>400（接管限值）</w:t>
                  </w:r>
                </w:p>
              </w:tc>
            </w:tr>
            <w:tr w14:paraId="58D15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9" w:type="dxa"/>
                  <w:vMerge w:val="continue"/>
                  <w:vAlign w:val="center"/>
                </w:tcPr>
                <w:p w14:paraId="159DEFA7">
                  <w:pPr>
                    <w:pStyle w:val="38"/>
                    <w:spacing w:line="240" w:lineRule="auto"/>
                    <w:jc w:val="center"/>
                    <w:rPr>
                      <w:b w:val="0"/>
                      <w:bCs/>
                      <w:color w:val="auto"/>
                      <w:kern w:val="0"/>
                      <w:sz w:val="21"/>
                      <w:szCs w:val="21"/>
                    </w:rPr>
                  </w:pPr>
                </w:p>
              </w:tc>
              <w:tc>
                <w:tcPr>
                  <w:tcW w:w="1950" w:type="dxa"/>
                  <w:vMerge w:val="continue"/>
                  <w:vAlign w:val="center"/>
                </w:tcPr>
                <w:p w14:paraId="64747E47">
                  <w:pPr>
                    <w:pStyle w:val="38"/>
                    <w:spacing w:line="240" w:lineRule="auto"/>
                    <w:jc w:val="center"/>
                    <w:rPr>
                      <w:b w:val="0"/>
                      <w:bCs/>
                      <w:color w:val="auto"/>
                      <w:kern w:val="0"/>
                      <w:sz w:val="21"/>
                      <w:szCs w:val="21"/>
                    </w:rPr>
                  </w:pPr>
                </w:p>
              </w:tc>
              <w:tc>
                <w:tcPr>
                  <w:tcW w:w="1952" w:type="dxa"/>
                  <w:vAlign w:val="center"/>
                </w:tcPr>
                <w:p w14:paraId="03BC1203">
                  <w:pPr>
                    <w:pStyle w:val="38"/>
                    <w:spacing w:line="240" w:lineRule="auto"/>
                    <w:jc w:val="center"/>
                    <w:rPr>
                      <w:b w:val="0"/>
                      <w:bCs/>
                      <w:color w:val="auto"/>
                      <w:kern w:val="0"/>
                      <w:sz w:val="21"/>
                      <w:szCs w:val="21"/>
                      <w:vertAlign w:val="subscript"/>
                    </w:rPr>
                  </w:pPr>
                  <w:r>
                    <w:rPr>
                      <w:b w:val="0"/>
                      <w:bCs/>
                      <w:color w:val="auto"/>
                      <w:kern w:val="0"/>
                      <w:sz w:val="21"/>
                      <w:szCs w:val="21"/>
                    </w:rPr>
                    <w:t>BOD</w:t>
                  </w:r>
                  <w:r>
                    <w:rPr>
                      <w:b w:val="0"/>
                      <w:bCs/>
                      <w:color w:val="auto"/>
                      <w:kern w:val="0"/>
                      <w:sz w:val="21"/>
                      <w:szCs w:val="21"/>
                      <w:vertAlign w:val="subscript"/>
                    </w:rPr>
                    <w:t>5</w:t>
                  </w:r>
                </w:p>
              </w:tc>
              <w:tc>
                <w:tcPr>
                  <w:tcW w:w="1950" w:type="dxa"/>
                  <w:vMerge w:val="continue"/>
                  <w:vAlign w:val="center"/>
                </w:tcPr>
                <w:p w14:paraId="40DE9CA6">
                  <w:pPr>
                    <w:pStyle w:val="38"/>
                    <w:spacing w:line="240" w:lineRule="auto"/>
                    <w:jc w:val="center"/>
                    <w:rPr>
                      <w:b w:val="0"/>
                      <w:bCs/>
                      <w:color w:val="auto"/>
                      <w:kern w:val="0"/>
                      <w:sz w:val="21"/>
                      <w:szCs w:val="21"/>
                    </w:rPr>
                  </w:pPr>
                </w:p>
              </w:tc>
              <w:tc>
                <w:tcPr>
                  <w:tcW w:w="1950" w:type="dxa"/>
                  <w:vAlign w:val="center"/>
                </w:tcPr>
                <w:p w14:paraId="31ECBF53">
                  <w:pPr>
                    <w:pStyle w:val="38"/>
                    <w:spacing w:line="240" w:lineRule="auto"/>
                    <w:jc w:val="center"/>
                    <w:rPr>
                      <w:rFonts w:hint="default" w:eastAsia="宋体"/>
                      <w:b w:val="0"/>
                      <w:bCs/>
                      <w:color w:val="auto"/>
                      <w:kern w:val="0"/>
                      <w:sz w:val="21"/>
                      <w:szCs w:val="21"/>
                      <w:highlight w:val="none"/>
                      <w:lang w:val="en-US" w:eastAsia="zh-CN"/>
                    </w:rPr>
                  </w:pPr>
                  <w:r>
                    <w:rPr>
                      <w:rFonts w:hint="eastAsia"/>
                      <w:b w:val="0"/>
                      <w:bCs/>
                      <w:color w:val="auto"/>
                      <w:kern w:val="0"/>
                      <w:sz w:val="21"/>
                      <w:szCs w:val="21"/>
                      <w:highlight w:val="none"/>
                      <w:lang w:val="en-US" w:eastAsia="zh-CN"/>
                    </w:rPr>
                    <w:t>180（接管限值）</w:t>
                  </w:r>
                </w:p>
              </w:tc>
            </w:tr>
            <w:tr w14:paraId="52143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9" w:type="dxa"/>
                  <w:vMerge w:val="continue"/>
                  <w:vAlign w:val="center"/>
                </w:tcPr>
                <w:p w14:paraId="12C2F77D">
                  <w:pPr>
                    <w:pStyle w:val="38"/>
                    <w:spacing w:line="240" w:lineRule="auto"/>
                    <w:jc w:val="center"/>
                    <w:rPr>
                      <w:b w:val="0"/>
                      <w:bCs/>
                      <w:color w:val="auto"/>
                      <w:kern w:val="0"/>
                      <w:sz w:val="21"/>
                      <w:szCs w:val="21"/>
                    </w:rPr>
                  </w:pPr>
                </w:p>
              </w:tc>
              <w:tc>
                <w:tcPr>
                  <w:tcW w:w="1950" w:type="dxa"/>
                  <w:vMerge w:val="continue"/>
                  <w:vAlign w:val="center"/>
                </w:tcPr>
                <w:p w14:paraId="51602AD9">
                  <w:pPr>
                    <w:pStyle w:val="38"/>
                    <w:spacing w:line="240" w:lineRule="auto"/>
                    <w:jc w:val="center"/>
                    <w:rPr>
                      <w:b w:val="0"/>
                      <w:bCs/>
                      <w:color w:val="auto"/>
                      <w:kern w:val="0"/>
                      <w:sz w:val="21"/>
                      <w:szCs w:val="21"/>
                    </w:rPr>
                  </w:pPr>
                </w:p>
              </w:tc>
              <w:tc>
                <w:tcPr>
                  <w:tcW w:w="1952" w:type="dxa"/>
                  <w:vAlign w:val="center"/>
                </w:tcPr>
                <w:p w14:paraId="2ADBEB85">
                  <w:pPr>
                    <w:pStyle w:val="38"/>
                    <w:spacing w:line="240" w:lineRule="auto"/>
                    <w:jc w:val="center"/>
                    <w:rPr>
                      <w:b w:val="0"/>
                      <w:bCs/>
                      <w:color w:val="auto"/>
                      <w:kern w:val="0"/>
                      <w:sz w:val="21"/>
                      <w:szCs w:val="21"/>
                    </w:rPr>
                  </w:pPr>
                  <w:r>
                    <w:rPr>
                      <w:b w:val="0"/>
                      <w:bCs/>
                      <w:color w:val="auto"/>
                      <w:kern w:val="0"/>
                      <w:sz w:val="21"/>
                      <w:szCs w:val="21"/>
                    </w:rPr>
                    <w:t>SS</w:t>
                  </w:r>
                </w:p>
              </w:tc>
              <w:tc>
                <w:tcPr>
                  <w:tcW w:w="1950" w:type="dxa"/>
                  <w:vMerge w:val="continue"/>
                  <w:vAlign w:val="center"/>
                </w:tcPr>
                <w:p w14:paraId="396DB2CB">
                  <w:pPr>
                    <w:pStyle w:val="38"/>
                    <w:spacing w:line="240" w:lineRule="auto"/>
                    <w:jc w:val="center"/>
                    <w:rPr>
                      <w:b w:val="0"/>
                      <w:bCs/>
                      <w:color w:val="auto"/>
                      <w:kern w:val="0"/>
                      <w:sz w:val="21"/>
                      <w:szCs w:val="21"/>
                    </w:rPr>
                  </w:pPr>
                </w:p>
              </w:tc>
              <w:tc>
                <w:tcPr>
                  <w:tcW w:w="1950" w:type="dxa"/>
                  <w:vAlign w:val="center"/>
                </w:tcPr>
                <w:p w14:paraId="1EB47EA5">
                  <w:pPr>
                    <w:pStyle w:val="38"/>
                    <w:spacing w:line="240" w:lineRule="auto"/>
                    <w:jc w:val="center"/>
                    <w:rPr>
                      <w:rFonts w:hint="eastAsia"/>
                      <w:b w:val="0"/>
                      <w:bCs/>
                      <w:color w:val="auto"/>
                      <w:kern w:val="0"/>
                      <w:sz w:val="21"/>
                      <w:szCs w:val="21"/>
                      <w:highlight w:val="none"/>
                      <w:lang w:val="en-US" w:eastAsia="zh-CN"/>
                    </w:rPr>
                  </w:pPr>
                  <w:r>
                    <w:rPr>
                      <w:rFonts w:hint="eastAsia"/>
                      <w:b w:val="0"/>
                      <w:bCs/>
                      <w:color w:val="auto"/>
                      <w:kern w:val="0"/>
                      <w:sz w:val="21"/>
                      <w:szCs w:val="21"/>
                      <w:highlight w:val="none"/>
                      <w:lang w:val="en-US" w:eastAsia="zh-CN"/>
                    </w:rPr>
                    <w:t>200（接管限值）</w:t>
                  </w:r>
                </w:p>
              </w:tc>
            </w:tr>
            <w:tr w14:paraId="58B8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9" w:type="dxa"/>
                  <w:vMerge w:val="continue"/>
                  <w:vAlign w:val="center"/>
                </w:tcPr>
                <w:p w14:paraId="29C5EE72">
                  <w:pPr>
                    <w:pStyle w:val="38"/>
                    <w:spacing w:line="240" w:lineRule="auto"/>
                    <w:jc w:val="center"/>
                    <w:rPr>
                      <w:b w:val="0"/>
                      <w:bCs/>
                      <w:color w:val="auto"/>
                      <w:kern w:val="0"/>
                      <w:sz w:val="21"/>
                      <w:szCs w:val="21"/>
                    </w:rPr>
                  </w:pPr>
                </w:p>
              </w:tc>
              <w:tc>
                <w:tcPr>
                  <w:tcW w:w="1950" w:type="dxa"/>
                  <w:vMerge w:val="continue"/>
                  <w:vAlign w:val="center"/>
                </w:tcPr>
                <w:p w14:paraId="1375A797">
                  <w:pPr>
                    <w:pStyle w:val="38"/>
                    <w:spacing w:line="240" w:lineRule="auto"/>
                    <w:jc w:val="center"/>
                    <w:rPr>
                      <w:b w:val="0"/>
                      <w:bCs/>
                      <w:color w:val="auto"/>
                      <w:kern w:val="0"/>
                      <w:sz w:val="21"/>
                      <w:szCs w:val="21"/>
                    </w:rPr>
                  </w:pPr>
                </w:p>
              </w:tc>
              <w:tc>
                <w:tcPr>
                  <w:tcW w:w="1952" w:type="dxa"/>
                  <w:vAlign w:val="center"/>
                </w:tcPr>
                <w:p w14:paraId="7D6C2B83">
                  <w:pPr>
                    <w:pStyle w:val="38"/>
                    <w:spacing w:line="240" w:lineRule="auto"/>
                    <w:jc w:val="center"/>
                    <w:rPr>
                      <w:b w:val="0"/>
                      <w:bCs/>
                      <w:color w:val="auto"/>
                      <w:kern w:val="0"/>
                      <w:sz w:val="21"/>
                      <w:szCs w:val="21"/>
                    </w:rPr>
                  </w:pPr>
                  <w:r>
                    <w:rPr>
                      <w:b w:val="0"/>
                      <w:bCs/>
                      <w:color w:val="auto"/>
                      <w:kern w:val="0"/>
                      <w:sz w:val="21"/>
                      <w:szCs w:val="21"/>
                    </w:rPr>
                    <w:t>NH</w:t>
                  </w:r>
                  <w:r>
                    <w:rPr>
                      <w:b w:val="0"/>
                      <w:bCs/>
                      <w:color w:val="auto"/>
                      <w:kern w:val="0"/>
                      <w:sz w:val="21"/>
                      <w:szCs w:val="21"/>
                      <w:vertAlign w:val="subscript"/>
                    </w:rPr>
                    <w:t>3</w:t>
                  </w:r>
                  <w:r>
                    <w:rPr>
                      <w:b w:val="0"/>
                      <w:bCs/>
                      <w:color w:val="auto"/>
                      <w:kern w:val="0"/>
                      <w:sz w:val="21"/>
                      <w:szCs w:val="21"/>
                    </w:rPr>
                    <w:t>-N</w:t>
                  </w:r>
                </w:p>
              </w:tc>
              <w:tc>
                <w:tcPr>
                  <w:tcW w:w="1950" w:type="dxa"/>
                  <w:vMerge w:val="continue"/>
                  <w:vAlign w:val="center"/>
                </w:tcPr>
                <w:p w14:paraId="75395A31">
                  <w:pPr>
                    <w:pStyle w:val="38"/>
                    <w:spacing w:line="240" w:lineRule="auto"/>
                    <w:jc w:val="center"/>
                    <w:rPr>
                      <w:b w:val="0"/>
                      <w:bCs/>
                      <w:color w:val="auto"/>
                      <w:kern w:val="0"/>
                      <w:sz w:val="21"/>
                      <w:szCs w:val="21"/>
                    </w:rPr>
                  </w:pPr>
                </w:p>
              </w:tc>
              <w:tc>
                <w:tcPr>
                  <w:tcW w:w="1950" w:type="dxa"/>
                  <w:vAlign w:val="center"/>
                </w:tcPr>
                <w:p w14:paraId="7DF5234F">
                  <w:pPr>
                    <w:pStyle w:val="38"/>
                    <w:spacing w:line="240" w:lineRule="auto"/>
                    <w:jc w:val="center"/>
                    <w:rPr>
                      <w:rFonts w:hint="default" w:eastAsia="宋体"/>
                      <w:b w:val="0"/>
                      <w:bCs/>
                      <w:color w:val="auto"/>
                      <w:kern w:val="0"/>
                      <w:sz w:val="21"/>
                      <w:szCs w:val="21"/>
                      <w:highlight w:val="none"/>
                      <w:lang w:val="en-US" w:eastAsia="zh-CN"/>
                    </w:rPr>
                  </w:pPr>
                  <w:r>
                    <w:rPr>
                      <w:rFonts w:hint="eastAsia"/>
                      <w:b w:val="0"/>
                      <w:bCs/>
                      <w:color w:val="auto"/>
                      <w:kern w:val="0"/>
                      <w:sz w:val="21"/>
                      <w:szCs w:val="21"/>
                      <w:highlight w:val="none"/>
                      <w:lang w:val="en-US" w:eastAsia="zh-CN"/>
                    </w:rPr>
                    <w:t>25（接管限值）</w:t>
                  </w:r>
                </w:p>
              </w:tc>
            </w:tr>
            <w:tr w14:paraId="5995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51" w:type="dxa"/>
                  <w:gridSpan w:val="5"/>
                  <w:vAlign w:val="center"/>
                </w:tcPr>
                <w:p w14:paraId="154C95CC">
                  <w:pPr>
                    <w:pStyle w:val="38"/>
                    <w:spacing w:line="240" w:lineRule="auto"/>
                    <w:ind w:firstLine="420" w:firstLineChars="200"/>
                    <w:rPr>
                      <w:b w:val="0"/>
                      <w:bCs/>
                      <w:color w:val="auto"/>
                      <w:kern w:val="0"/>
                      <w:sz w:val="21"/>
                      <w:szCs w:val="21"/>
                    </w:rPr>
                  </w:pPr>
                  <w:r>
                    <w:rPr>
                      <w:b w:val="0"/>
                      <w:bCs/>
                      <w:color w:val="auto"/>
                      <w:kern w:val="0"/>
                      <w:sz w:val="21"/>
                      <w:szCs w:val="21"/>
                      <w:vertAlign w:val="superscript"/>
                    </w:rPr>
                    <w:t>a</w:t>
                  </w:r>
                  <w:r>
                    <w:rPr>
                      <w:b w:val="0"/>
                      <w:bCs/>
                      <w:color w:val="auto"/>
                      <w:kern w:val="0"/>
                      <w:sz w:val="21"/>
                      <w:szCs w:val="21"/>
                    </w:rPr>
                    <w:t>指对应排放口需执行的国家或地方污染物排放标准以及其他按规定商定建设项目水污染物排放控制要求的协议，据此确定的排放浓度限值。</w:t>
                  </w:r>
                </w:p>
              </w:tc>
            </w:tr>
          </w:tbl>
          <w:p w14:paraId="5325395E">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（4）废水排放监测</w:t>
            </w:r>
          </w:p>
          <w:p w14:paraId="3052BB79">
            <w:pPr>
              <w:adjustRightInd w:val="0"/>
              <w:snapToGrid w:val="0"/>
              <w:spacing w:line="360" w:lineRule="auto"/>
              <w:ind w:firstLine="480" w:firstLineChars="200"/>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废水排放监测点位、监测指标及最低监测频次一览表</w:t>
            </w:r>
            <w:r>
              <w:rPr>
                <w:rFonts w:hint="default" w:ascii="Times New Roman" w:hAnsi="Times New Roman" w:cs="Times New Roman"/>
                <w:color w:val="auto"/>
                <w:sz w:val="24"/>
                <w:lang w:val="en-US" w:eastAsia="zh-CN"/>
              </w:rPr>
              <w:t>见表4.</w:t>
            </w:r>
            <w:r>
              <w:rPr>
                <w:rFonts w:hint="eastAsia" w:ascii="Times New Roman" w:hAnsi="Times New Roman" w:cs="Times New Roman"/>
                <w:color w:val="auto"/>
                <w:sz w:val="24"/>
                <w:lang w:val="en-US" w:eastAsia="zh-CN"/>
              </w:rPr>
              <w:t>13</w:t>
            </w:r>
            <w:r>
              <w:rPr>
                <w:rFonts w:hint="default" w:ascii="Times New Roman" w:hAnsi="Times New Roman" w:cs="Times New Roman"/>
                <w:color w:val="auto"/>
                <w:sz w:val="24"/>
                <w:lang w:val="en-US" w:eastAsia="zh-CN"/>
              </w:rPr>
              <w:t>。</w:t>
            </w:r>
          </w:p>
          <w:p w14:paraId="2883070E">
            <w:pPr>
              <w:adjustRightInd w:val="0"/>
              <w:snapToGrid w:val="0"/>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w:t>
            </w:r>
            <w:r>
              <w:rPr>
                <w:rFonts w:hint="eastAsia" w:ascii="Times New Roman" w:hAnsi="Times New Roman" w:cs="Times New Roman"/>
                <w:b/>
                <w:bCs/>
                <w:color w:val="auto"/>
                <w:sz w:val="21"/>
                <w:szCs w:val="21"/>
                <w:lang w:val="en-US" w:eastAsia="zh-CN"/>
              </w:rPr>
              <w:t>13</w:t>
            </w:r>
            <w:r>
              <w:rPr>
                <w:rFonts w:hint="default" w:ascii="Times New Roman" w:hAnsi="Times New Roman" w:cs="Times New Roman"/>
                <w:b/>
                <w:bCs/>
                <w:color w:val="auto"/>
                <w:sz w:val="21"/>
                <w:szCs w:val="21"/>
                <w:lang w:val="en-US" w:eastAsia="zh-CN"/>
              </w:rPr>
              <w:t xml:space="preserve">  废水</w:t>
            </w:r>
            <w:r>
              <w:rPr>
                <w:rFonts w:hint="eastAsia" w:ascii="Times New Roman" w:hAnsi="Times New Roman" w:cs="Times New Roman"/>
                <w:b/>
                <w:bCs/>
                <w:color w:val="auto"/>
                <w:sz w:val="21"/>
                <w:szCs w:val="21"/>
                <w:lang w:val="en-US" w:eastAsia="zh-CN"/>
              </w:rPr>
              <w:t>监测点位、监测指标及最低监测频次一览表</w:t>
            </w:r>
          </w:p>
          <w:tbl>
            <w:tblPr>
              <w:tblStyle w:val="32"/>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2"/>
              <w:gridCol w:w="2087"/>
              <w:gridCol w:w="1255"/>
              <w:gridCol w:w="4587"/>
            </w:tblGrid>
            <w:tr w14:paraId="4243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2" w:type="dxa"/>
                  <w:vAlign w:val="center"/>
                </w:tcPr>
                <w:p w14:paraId="1A3E3B85">
                  <w:pPr>
                    <w:pStyle w:val="52"/>
                    <w:spacing w:line="240" w:lineRule="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监测点位</w:t>
                  </w:r>
                </w:p>
              </w:tc>
              <w:tc>
                <w:tcPr>
                  <w:tcW w:w="2087" w:type="dxa"/>
                  <w:vAlign w:val="center"/>
                </w:tcPr>
                <w:p w14:paraId="03B34F1D">
                  <w:pPr>
                    <w:pStyle w:val="52"/>
                    <w:spacing w:line="240" w:lineRule="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监测指标</w:t>
                  </w:r>
                </w:p>
              </w:tc>
              <w:tc>
                <w:tcPr>
                  <w:tcW w:w="1255" w:type="dxa"/>
                  <w:vAlign w:val="center"/>
                </w:tcPr>
                <w:p w14:paraId="5B8C1128">
                  <w:pPr>
                    <w:pStyle w:val="52"/>
                    <w:spacing w:line="240" w:lineRule="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监测频次</w:t>
                  </w:r>
                </w:p>
              </w:tc>
              <w:tc>
                <w:tcPr>
                  <w:tcW w:w="4587" w:type="dxa"/>
                  <w:vAlign w:val="center"/>
                </w:tcPr>
                <w:p w14:paraId="7A6B59A3">
                  <w:pPr>
                    <w:pStyle w:val="52"/>
                    <w:spacing w:line="240" w:lineRule="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监测依据</w:t>
                  </w:r>
                </w:p>
              </w:tc>
            </w:tr>
            <w:tr w14:paraId="6107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2" w:type="dxa"/>
                  <w:vAlign w:val="center"/>
                </w:tcPr>
                <w:p w14:paraId="13555223">
                  <w:pPr>
                    <w:pStyle w:val="52"/>
                    <w:spacing w:line="240" w:lineRule="auto"/>
                    <w:rPr>
                      <w:rFonts w:ascii="Times New Roman" w:hAnsi="Times New Roman" w:cs="Times New Roman"/>
                      <w:color w:val="auto"/>
                      <w:sz w:val="21"/>
                      <w:szCs w:val="21"/>
                    </w:rPr>
                  </w:pPr>
                  <w:r>
                    <w:rPr>
                      <w:rFonts w:hint="eastAsia" w:ascii="Times New Roman" w:hAnsi="Times New Roman" w:cs="Times New Roman"/>
                      <w:color w:val="auto"/>
                      <w:sz w:val="21"/>
                      <w:szCs w:val="21"/>
                    </w:rPr>
                    <w:t>废水总排放口（</w:t>
                  </w:r>
                  <w:r>
                    <w:rPr>
                      <w:rFonts w:ascii="Times New Roman" w:hAnsi="Times New Roman" w:cs="Times New Roman"/>
                      <w:color w:val="auto"/>
                      <w:sz w:val="21"/>
                      <w:szCs w:val="21"/>
                    </w:rPr>
                    <w:t>DW001</w:t>
                  </w:r>
                  <w:r>
                    <w:rPr>
                      <w:rFonts w:hint="eastAsia" w:ascii="Times New Roman" w:hAnsi="Times New Roman" w:cs="Times New Roman"/>
                      <w:color w:val="auto"/>
                      <w:sz w:val="21"/>
                      <w:szCs w:val="21"/>
                    </w:rPr>
                    <w:t>）</w:t>
                  </w:r>
                </w:p>
              </w:tc>
              <w:tc>
                <w:tcPr>
                  <w:tcW w:w="2087" w:type="dxa"/>
                  <w:vAlign w:val="center"/>
                </w:tcPr>
                <w:p w14:paraId="2D3BF527">
                  <w:pPr>
                    <w:pStyle w:val="52"/>
                    <w:spacing w:line="240" w:lineRule="auto"/>
                    <w:rPr>
                      <w:rFonts w:hint="default" w:ascii="Times New Roman" w:hAnsi="Times New Roman" w:eastAsia="宋体" w:cs="Times New Roman"/>
                      <w:color w:val="auto"/>
                      <w:sz w:val="21"/>
                      <w:szCs w:val="21"/>
                      <w:lang w:val="en-US" w:eastAsia="zh-CN"/>
                    </w:rPr>
                  </w:pPr>
                  <w:r>
                    <w:rPr>
                      <w:rFonts w:ascii="Times New Roman" w:hAnsi="Times New Roman" w:cs="Times New Roman"/>
                      <w:color w:val="auto"/>
                      <w:sz w:val="21"/>
                      <w:szCs w:val="21"/>
                    </w:rPr>
                    <w:t>pH、COD、BOD</w:t>
                  </w:r>
                  <w:r>
                    <w:rPr>
                      <w:rFonts w:ascii="Times New Roman" w:hAnsi="Times New Roman" w:cs="Times New Roman"/>
                      <w:color w:val="auto"/>
                      <w:sz w:val="21"/>
                      <w:szCs w:val="21"/>
                      <w:vertAlign w:val="subscript"/>
                    </w:rPr>
                    <w:t>5</w:t>
                  </w:r>
                  <w:r>
                    <w:rPr>
                      <w:rFonts w:ascii="Times New Roman" w:hAnsi="Times New Roman" w:cs="Times New Roman"/>
                      <w:color w:val="auto"/>
                      <w:sz w:val="21"/>
                      <w:szCs w:val="21"/>
                    </w:rPr>
                    <w:t>、SS、NH</w:t>
                  </w:r>
                  <w:r>
                    <w:rPr>
                      <w:rFonts w:ascii="Times New Roman" w:hAnsi="Times New Roman" w:cs="Times New Roman"/>
                      <w:color w:val="auto"/>
                      <w:sz w:val="21"/>
                      <w:szCs w:val="21"/>
                      <w:vertAlign w:val="subscript"/>
                    </w:rPr>
                    <w:t>3</w:t>
                  </w:r>
                  <w:r>
                    <w:rPr>
                      <w:rFonts w:ascii="Times New Roman" w:hAnsi="Times New Roman" w:cs="Times New Roman"/>
                      <w:color w:val="auto"/>
                      <w:sz w:val="21"/>
                      <w:szCs w:val="21"/>
                    </w:rPr>
                    <w:t>-N</w:t>
                  </w:r>
                </w:p>
              </w:tc>
              <w:tc>
                <w:tcPr>
                  <w:tcW w:w="1255" w:type="dxa"/>
                  <w:vAlign w:val="center"/>
                </w:tcPr>
                <w:p w14:paraId="735E9D2A">
                  <w:pPr>
                    <w:pStyle w:val="52"/>
                    <w:spacing w:line="240" w:lineRule="auto"/>
                    <w:rPr>
                      <w:rFonts w:ascii="Times New Roman" w:hAnsi="Times New Roman" w:cs="Times New Roman"/>
                      <w:color w:val="auto"/>
                      <w:sz w:val="21"/>
                      <w:szCs w:val="21"/>
                    </w:rPr>
                  </w:pPr>
                  <w:r>
                    <w:rPr>
                      <w:rFonts w:hint="eastAsia" w:ascii="Times New Roman" w:hAnsi="Times New Roman" w:cs="Times New Roman"/>
                      <w:color w:val="auto"/>
                      <w:sz w:val="21"/>
                      <w:szCs w:val="21"/>
                    </w:rPr>
                    <w:t>1次/年</w:t>
                  </w:r>
                </w:p>
              </w:tc>
              <w:tc>
                <w:tcPr>
                  <w:tcW w:w="4587" w:type="dxa"/>
                  <w:vAlign w:val="center"/>
                </w:tcPr>
                <w:p w14:paraId="2A0DC385">
                  <w:pPr>
                    <w:pStyle w:val="52"/>
                    <w:spacing w:line="240" w:lineRule="auto"/>
                    <w:rPr>
                      <w:rFonts w:hint="eastAsia" w:ascii="Times New Roman" w:hAnsi="Times New Roman" w:eastAsia="宋体" w:cs="Times New Roman"/>
                      <w:color w:val="auto"/>
                      <w:sz w:val="21"/>
                      <w:szCs w:val="21"/>
                      <w:lang w:eastAsia="zh-CN"/>
                    </w:rPr>
                  </w:pPr>
                  <w:r>
                    <w:rPr>
                      <w:rFonts w:hint="default" w:ascii="Times New Roman" w:hAnsi="Times New Roman" w:cs="Times New Roman"/>
                      <w:b w:val="0"/>
                      <w:bCs/>
                      <w:color w:val="auto"/>
                      <w:sz w:val="21"/>
                      <w:szCs w:val="21"/>
                    </w:rPr>
                    <w:t>《</w:t>
                  </w:r>
                  <w:r>
                    <w:rPr>
                      <w:rFonts w:hint="eastAsia" w:ascii="Times New Roman" w:hAnsi="Times New Roman" w:cs="Times New Roman"/>
                      <w:b w:val="0"/>
                      <w:bCs/>
                      <w:color w:val="auto"/>
                      <w:sz w:val="21"/>
                      <w:szCs w:val="21"/>
                      <w:lang w:eastAsia="zh-CN"/>
                    </w:rPr>
                    <w:t>排污单位自行监测技术指南</w:t>
                  </w:r>
                  <w:r>
                    <w:rPr>
                      <w:rFonts w:hint="default" w:ascii="Times New Roman" w:hAnsi="Times New Roman" w:cs="Times New Roman"/>
                      <w:b w:val="0"/>
                      <w:bCs/>
                      <w:color w:val="auto"/>
                      <w:sz w:val="21"/>
                      <w:szCs w:val="21"/>
                    </w:rPr>
                    <w:t>-总则》（HJ819-2017）</w:t>
                  </w:r>
                </w:p>
              </w:tc>
            </w:tr>
          </w:tbl>
          <w:p w14:paraId="7874E500">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3、噪声</w:t>
            </w:r>
          </w:p>
          <w:p w14:paraId="6A9E18B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auto"/>
                <w:sz w:val="24"/>
                <w:lang w:val="zh-CN"/>
              </w:rPr>
            </w:pPr>
            <w:r>
              <w:rPr>
                <w:rFonts w:hint="default" w:ascii="Times New Roman" w:hAnsi="Times New Roman" w:cs="Times New Roman"/>
                <w:color w:val="auto"/>
                <w:sz w:val="24"/>
                <w:lang w:val="en-US" w:eastAsia="zh-CN"/>
              </w:rPr>
              <w:t>3.1</w:t>
            </w:r>
            <w:r>
              <w:rPr>
                <w:rFonts w:hint="default" w:ascii="Times New Roman" w:hAnsi="Times New Roman" w:cs="Times New Roman"/>
                <w:color w:val="auto"/>
                <w:sz w:val="24"/>
                <w:lang w:val="zh-CN"/>
              </w:rPr>
              <w:t>噪声源</w:t>
            </w:r>
          </w:p>
          <w:p w14:paraId="7873088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rPr>
              <w:t>拟建项目主要噪</w:t>
            </w:r>
            <w:r>
              <w:rPr>
                <w:rFonts w:hint="default" w:ascii="Times New Roman" w:hAnsi="Times New Roman" w:cs="Times New Roman"/>
                <w:color w:val="auto"/>
                <w:sz w:val="24"/>
                <w:szCs w:val="24"/>
              </w:rPr>
              <w:t>声设备为</w:t>
            </w:r>
            <w:r>
              <w:rPr>
                <w:rFonts w:hint="eastAsia" w:ascii="Times New Roman" w:hAnsi="Times New Roman" w:cs="Times New Roman"/>
                <w:color w:val="auto"/>
                <w:sz w:val="24"/>
                <w:szCs w:val="24"/>
                <w:lang w:val="en-US" w:eastAsia="zh-CN"/>
              </w:rPr>
              <w:t>热压成型机、磨边机、空压机、</w:t>
            </w:r>
            <w:r>
              <w:rPr>
                <w:rFonts w:hint="default" w:ascii="Times New Roman" w:hAnsi="Times New Roman" w:cs="Times New Roman"/>
                <w:color w:val="auto"/>
                <w:sz w:val="24"/>
                <w:szCs w:val="24"/>
                <w:lang w:val="en-US" w:eastAsia="zh-CN"/>
              </w:rPr>
              <w:t>风机</w:t>
            </w:r>
            <w:r>
              <w:rPr>
                <w:rFonts w:hint="default" w:ascii="Times New Roman" w:hAnsi="Times New Roman" w:cs="Times New Roman"/>
                <w:color w:val="auto"/>
                <w:sz w:val="24"/>
                <w:szCs w:val="24"/>
              </w:rPr>
              <w:t>等</w:t>
            </w:r>
            <w:r>
              <w:rPr>
                <w:rFonts w:hint="default" w:ascii="Times New Roman" w:hAnsi="Times New Roman" w:cs="Times New Roman"/>
                <w:color w:val="auto"/>
                <w:sz w:val="24"/>
                <w:szCs w:val="24"/>
                <w:lang w:eastAsia="zh-CN"/>
              </w:rPr>
              <w:t>。噪声源调查表</w:t>
            </w:r>
            <w:r>
              <w:rPr>
                <w:rFonts w:hint="default" w:ascii="Times New Roman" w:hAnsi="Times New Roman" w:cs="Times New Roman"/>
                <w:color w:val="auto"/>
                <w:sz w:val="24"/>
                <w:szCs w:val="24"/>
              </w:rPr>
              <w:t>见表</w:t>
            </w:r>
            <w:r>
              <w:rPr>
                <w:rFonts w:hint="default"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val="en-US" w:eastAsia="zh-CN"/>
              </w:rPr>
              <w:t>14</w:t>
            </w:r>
            <w:r>
              <w:rPr>
                <w:rFonts w:hint="default" w:ascii="Times New Roman" w:hAnsi="Times New Roman" w:cs="Times New Roman"/>
                <w:color w:val="auto"/>
                <w:sz w:val="24"/>
                <w:szCs w:val="24"/>
                <w:lang w:val="en-US" w:eastAsia="zh-CN"/>
              </w:rPr>
              <w:t>和表4.</w:t>
            </w:r>
            <w:r>
              <w:rPr>
                <w:rFonts w:hint="eastAsia"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rPr>
              <w:t>。</w:t>
            </w:r>
          </w:p>
          <w:p w14:paraId="03D47E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b/>
                <w:bCs/>
                <w:color w:val="auto"/>
                <w:sz w:val="21"/>
                <w:szCs w:val="21"/>
                <w:lang w:val="zh-CN"/>
              </w:rPr>
              <w:t>表</w:t>
            </w:r>
            <w:r>
              <w:rPr>
                <w:rFonts w:hint="default" w:ascii="Times New Roman" w:hAnsi="Times New Roman" w:cs="Times New Roman"/>
                <w:b/>
                <w:bCs/>
                <w:color w:val="auto"/>
                <w:sz w:val="21"/>
                <w:szCs w:val="21"/>
                <w:lang w:val="en-US" w:eastAsia="zh-CN"/>
              </w:rPr>
              <w:t>4.</w:t>
            </w:r>
            <w:r>
              <w:rPr>
                <w:rFonts w:hint="eastAsia" w:ascii="Times New Roman" w:hAnsi="Times New Roman" w:cs="Times New Roman"/>
                <w:b/>
                <w:bCs/>
                <w:color w:val="auto"/>
                <w:sz w:val="21"/>
                <w:szCs w:val="21"/>
                <w:lang w:val="en-US" w:eastAsia="zh-CN"/>
              </w:rPr>
              <w:t>14</w:t>
            </w:r>
            <w:r>
              <w:rPr>
                <w:rFonts w:hint="default" w:ascii="Times New Roman" w:hAnsi="Times New Roman" w:cs="Times New Roman"/>
                <w:b/>
                <w:bCs/>
                <w:color w:val="auto"/>
                <w:sz w:val="21"/>
                <w:szCs w:val="21"/>
                <w:lang w:val="en-US" w:eastAsia="zh-CN"/>
              </w:rPr>
              <w:t xml:space="preserve">  工业企业噪声源强调查清单（室内声源）</w:t>
            </w:r>
          </w:p>
          <w:tbl>
            <w:tblPr>
              <w:tblStyle w:val="32"/>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1122"/>
              <w:gridCol w:w="1020"/>
              <w:gridCol w:w="1035"/>
              <w:gridCol w:w="473"/>
              <w:gridCol w:w="668"/>
              <w:gridCol w:w="613"/>
              <w:gridCol w:w="696"/>
              <w:gridCol w:w="750"/>
              <w:gridCol w:w="586"/>
              <w:gridCol w:w="732"/>
              <w:gridCol w:w="733"/>
              <w:gridCol w:w="736"/>
            </w:tblGrid>
            <w:tr w14:paraId="2F411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vMerge w:val="restart"/>
                  <w:vAlign w:val="center"/>
                </w:tcPr>
                <w:p w14:paraId="67744442">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建筑物名称</w:t>
                  </w:r>
                </w:p>
              </w:tc>
              <w:tc>
                <w:tcPr>
                  <w:tcW w:w="1122" w:type="dxa"/>
                  <w:vMerge w:val="restart"/>
                  <w:vAlign w:val="center"/>
                </w:tcPr>
                <w:p w14:paraId="65015B1D">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声源名称</w:t>
                  </w:r>
                </w:p>
              </w:tc>
              <w:tc>
                <w:tcPr>
                  <w:tcW w:w="1020" w:type="dxa"/>
                  <w:vAlign w:val="center"/>
                </w:tcPr>
                <w:p w14:paraId="75E8D585">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声源源强</w:t>
                  </w:r>
                </w:p>
              </w:tc>
              <w:tc>
                <w:tcPr>
                  <w:tcW w:w="1035" w:type="dxa"/>
                  <w:vMerge w:val="restart"/>
                  <w:vAlign w:val="center"/>
                </w:tcPr>
                <w:p w14:paraId="3A4DA840">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声源控制措施</w:t>
                  </w:r>
                </w:p>
              </w:tc>
              <w:tc>
                <w:tcPr>
                  <w:tcW w:w="1754" w:type="dxa"/>
                  <w:gridSpan w:val="3"/>
                  <w:vAlign w:val="center"/>
                </w:tcPr>
                <w:p w14:paraId="21EB56B7">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zh-CN"/>
                    </w:rPr>
                    <w:t>空间相对位置</w:t>
                  </w:r>
                  <w:r>
                    <w:rPr>
                      <w:rFonts w:hint="default" w:ascii="Times New Roman" w:hAnsi="Times New Roman" w:cs="Times New Roman"/>
                      <w:color w:val="auto"/>
                      <w:sz w:val="21"/>
                      <w:szCs w:val="21"/>
                      <w:lang w:val="en-US" w:eastAsia="zh-CN"/>
                    </w:rPr>
                    <w:t>/m</w:t>
                  </w:r>
                </w:p>
              </w:tc>
              <w:tc>
                <w:tcPr>
                  <w:tcW w:w="696" w:type="dxa"/>
                  <w:vMerge w:val="restart"/>
                  <w:vAlign w:val="center"/>
                </w:tcPr>
                <w:p w14:paraId="39457F58">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zh-CN"/>
                    </w:rPr>
                    <w:t>距室内边界距离</w:t>
                  </w:r>
                  <w:r>
                    <w:rPr>
                      <w:rFonts w:hint="default" w:ascii="Times New Roman" w:hAnsi="Times New Roman" w:cs="Times New Roman"/>
                      <w:color w:val="auto"/>
                      <w:sz w:val="21"/>
                      <w:szCs w:val="21"/>
                      <w:lang w:val="en-US" w:eastAsia="zh-CN"/>
                    </w:rPr>
                    <w:t>/m</w:t>
                  </w:r>
                </w:p>
              </w:tc>
              <w:tc>
                <w:tcPr>
                  <w:tcW w:w="750" w:type="dxa"/>
                  <w:vMerge w:val="restart"/>
                  <w:vAlign w:val="center"/>
                </w:tcPr>
                <w:p w14:paraId="4E3007AA">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zh-CN"/>
                    </w:rPr>
                    <w:t>室内边界声级</w:t>
                  </w:r>
                  <w:r>
                    <w:rPr>
                      <w:rFonts w:hint="default" w:ascii="Times New Roman" w:hAnsi="Times New Roman" w:cs="Times New Roman"/>
                      <w:color w:val="auto"/>
                      <w:sz w:val="21"/>
                      <w:szCs w:val="21"/>
                      <w:lang w:val="en-US" w:eastAsia="zh-CN"/>
                    </w:rPr>
                    <w:t>/dB（A）</w:t>
                  </w:r>
                </w:p>
              </w:tc>
              <w:tc>
                <w:tcPr>
                  <w:tcW w:w="586" w:type="dxa"/>
                  <w:vMerge w:val="restart"/>
                  <w:vAlign w:val="center"/>
                </w:tcPr>
                <w:p w14:paraId="66F1CFF0">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运行时段</w:t>
                  </w:r>
                </w:p>
              </w:tc>
              <w:tc>
                <w:tcPr>
                  <w:tcW w:w="732" w:type="dxa"/>
                  <w:vMerge w:val="restart"/>
                  <w:vAlign w:val="center"/>
                </w:tcPr>
                <w:p w14:paraId="55765923">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zh-CN"/>
                    </w:rPr>
                    <w:t>建筑物插入损失</w:t>
                  </w:r>
                  <w:r>
                    <w:rPr>
                      <w:rFonts w:hint="default" w:ascii="Times New Roman" w:hAnsi="Times New Roman" w:cs="Times New Roman"/>
                      <w:color w:val="auto"/>
                      <w:sz w:val="21"/>
                      <w:szCs w:val="21"/>
                      <w:lang w:val="en-US" w:eastAsia="zh-CN"/>
                    </w:rPr>
                    <w:t>/dB（A）</w:t>
                  </w:r>
                </w:p>
              </w:tc>
              <w:tc>
                <w:tcPr>
                  <w:tcW w:w="1469" w:type="dxa"/>
                  <w:gridSpan w:val="2"/>
                  <w:vAlign w:val="center"/>
                </w:tcPr>
                <w:p w14:paraId="7A806BBA">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建筑物外噪声</w:t>
                  </w:r>
                </w:p>
              </w:tc>
            </w:tr>
            <w:tr w14:paraId="5F90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vMerge w:val="continue"/>
                  <w:vAlign w:val="center"/>
                </w:tcPr>
                <w:p w14:paraId="2C74D422">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p>
              </w:tc>
              <w:tc>
                <w:tcPr>
                  <w:tcW w:w="1122" w:type="dxa"/>
                  <w:vMerge w:val="continue"/>
                  <w:vAlign w:val="center"/>
                </w:tcPr>
                <w:p w14:paraId="11069164">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p>
              </w:tc>
              <w:tc>
                <w:tcPr>
                  <w:tcW w:w="1020" w:type="dxa"/>
                  <w:vAlign w:val="center"/>
                </w:tcPr>
                <w:p w14:paraId="5310ACC5">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zh-CN"/>
                    </w:rPr>
                    <w:t>（声压级</w:t>
                  </w:r>
                  <w:r>
                    <w:rPr>
                      <w:rFonts w:hint="default" w:ascii="Times New Roman" w:hAnsi="Times New Roman" w:cs="Times New Roman"/>
                      <w:color w:val="auto"/>
                      <w:sz w:val="21"/>
                      <w:szCs w:val="21"/>
                      <w:lang w:val="en-US" w:eastAsia="zh-CN"/>
                    </w:rPr>
                    <w:t>/距声源距离</w:t>
                  </w:r>
                  <w:r>
                    <w:rPr>
                      <w:rFonts w:hint="default" w:ascii="Times New Roman" w:hAnsi="Times New Roman" w:cs="Times New Roman"/>
                      <w:color w:val="auto"/>
                      <w:sz w:val="21"/>
                      <w:szCs w:val="21"/>
                      <w:lang w:val="zh-CN"/>
                    </w:rPr>
                    <w:t>）</w:t>
                  </w:r>
                  <w:r>
                    <w:rPr>
                      <w:rFonts w:hint="default" w:ascii="Times New Roman" w:hAnsi="Times New Roman" w:cs="Times New Roman"/>
                      <w:color w:val="auto"/>
                      <w:sz w:val="21"/>
                      <w:szCs w:val="21"/>
                      <w:lang w:val="en-US" w:eastAsia="zh-CN"/>
                    </w:rPr>
                    <w:t>/（dB（A）/m）</w:t>
                  </w:r>
                </w:p>
              </w:tc>
              <w:tc>
                <w:tcPr>
                  <w:tcW w:w="1035" w:type="dxa"/>
                  <w:vMerge w:val="continue"/>
                  <w:vAlign w:val="center"/>
                </w:tcPr>
                <w:p w14:paraId="13C8F458">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p>
              </w:tc>
              <w:tc>
                <w:tcPr>
                  <w:tcW w:w="473" w:type="dxa"/>
                  <w:vAlign w:val="center"/>
                </w:tcPr>
                <w:p w14:paraId="14074AE5">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X</w:t>
                  </w:r>
                </w:p>
              </w:tc>
              <w:tc>
                <w:tcPr>
                  <w:tcW w:w="668" w:type="dxa"/>
                  <w:vAlign w:val="center"/>
                </w:tcPr>
                <w:p w14:paraId="7AC1EDA5">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Y</w:t>
                  </w:r>
                </w:p>
              </w:tc>
              <w:tc>
                <w:tcPr>
                  <w:tcW w:w="613" w:type="dxa"/>
                  <w:vAlign w:val="center"/>
                </w:tcPr>
                <w:p w14:paraId="44A7578D">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Z</w:t>
                  </w:r>
                </w:p>
              </w:tc>
              <w:tc>
                <w:tcPr>
                  <w:tcW w:w="696" w:type="dxa"/>
                  <w:vMerge w:val="continue"/>
                  <w:vAlign w:val="center"/>
                </w:tcPr>
                <w:p w14:paraId="12FC2E4E">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p>
              </w:tc>
              <w:tc>
                <w:tcPr>
                  <w:tcW w:w="750" w:type="dxa"/>
                  <w:vMerge w:val="continue"/>
                  <w:vAlign w:val="center"/>
                </w:tcPr>
                <w:p w14:paraId="24699804">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p>
              </w:tc>
              <w:tc>
                <w:tcPr>
                  <w:tcW w:w="586" w:type="dxa"/>
                  <w:vMerge w:val="continue"/>
                  <w:vAlign w:val="center"/>
                </w:tcPr>
                <w:p w14:paraId="5D7EDF94">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p>
              </w:tc>
              <w:tc>
                <w:tcPr>
                  <w:tcW w:w="732" w:type="dxa"/>
                  <w:vMerge w:val="continue"/>
                  <w:vAlign w:val="center"/>
                </w:tcPr>
                <w:p w14:paraId="597BABF6">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p>
              </w:tc>
              <w:tc>
                <w:tcPr>
                  <w:tcW w:w="733" w:type="dxa"/>
                  <w:vAlign w:val="center"/>
                </w:tcPr>
                <w:p w14:paraId="12FDF20C">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zh-CN"/>
                    </w:rPr>
                    <w:t>声压级</w:t>
                  </w:r>
                  <w:r>
                    <w:rPr>
                      <w:rFonts w:hint="default" w:ascii="Times New Roman" w:hAnsi="Times New Roman" w:cs="Times New Roman"/>
                      <w:color w:val="auto"/>
                      <w:sz w:val="21"/>
                      <w:szCs w:val="21"/>
                      <w:lang w:val="en-US" w:eastAsia="zh-CN"/>
                    </w:rPr>
                    <w:t>/dB（A）</w:t>
                  </w:r>
                </w:p>
              </w:tc>
              <w:tc>
                <w:tcPr>
                  <w:tcW w:w="736" w:type="dxa"/>
                  <w:vAlign w:val="center"/>
                </w:tcPr>
                <w:p w14:paraId="79A72EEA">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建筑物距离</w:t>
                  </w:r>
                </w:p>
              </w:tc>
            </w:tr>
            <w:tr w14:paraId="4C89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vAlign w:val="center"/>
                </w:tcPr>
                <w:p w14:paraId="11C113FE">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生产车间</w:t>
                  </w:r>
                </w:p>
              </w:tc>
              <w:tc>
                <w:tcPr>
                  <w:tcW w:w="1122" w:type="dxa"/>
                  <w:shd w:val="clear" w:color="auto" w:fill="auto"/>
                  <w:vAlign w:val="center"/>
                </w:tcPr>
                <w:p w14:paraId="20F26B42">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单色热压成型机</w:t>
                  </w:r>
                </w:p>
              </w:tc>
              <w:tc>
                <w:tcPr>
                  <w:tcW w:w="1020" w:type="dxa"/>
                  <w:vAlign w:val="center"/>
                </w:tcPr>
                <w:p w14:paraId="33EE7A55">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85</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w:t>
                  </w:r>
                </w:p>
              </w:tc>
              <w:tc>
                <w:tcPr>
                  <w:tcW w:w="1035" w:type="dxa"/>
                  <w:vMerge w:val="restart"/>
                  <w:vAlign w:val="center"/>
                </w:tcPr>
                <w:p w14:paraId="398F5851">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zh-CN" w:eastAsia="zh-CN"/>
                    </w:rPr>
                  </w:pPr>
                  <w:r>
                    <w:rPr>
                      <w:rFonts w:hint="default" w:ascii="Times New Roman" w:hAnsi="Times New Roman" w:cs="Times New Roman"/>
                      <w:color w:val="auto"/>
                      <w:sz w:val="21"/>
                      <w:szCs w:val="21"/>
                    </w:rPr>
                    <w:t>选用低噪声设备，设置减振基座，厂房隔声</w:t>
                  </w:r>
                  <w:r>
                    <w:rPr>
                      <w:rFonts w:hint="default" w:ascii="Times New Roman" w:hAnsi="Times New Roman" w:cs="Times New Roman"/>
                      <w:color w:val="auto"/>
                      <w:sz w:val="21"/>
                      <w:szCs w:val="21"/>
                      <w:lang w:eastAsia="zh-CN"/>
                    </w:rPr>
                    <w:t>等</w:t>
                  </w:r>
                </w:p>
              </w:tc>
              <w:tc>
                <w:tcPr>
                  <w:tcW w:w="473" w:type="dxa"/>
                  <w:vAlign w:val="center"/>
                </w:tcPr>
                <w:p w14:paraId="34C6CC94">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668" w:type="dxa"/>
                  <w:vAlign w:val="center"/>
                </w:tcPr>
                <w:p w14:paraId="3FD97E49">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613" w:type="dxa"/>
                  <w:vAlign w:val="center"/>
                </w:tcPr>
                <w:p w14:paraId="2630A75D">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696" w:type="dxa"/>
                  <w:vAlign w:val="center"/>
                </w:tcPr>
                <w:p w14:paraId="5A4B586B">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750" w:type="dxa"/>
                  <w:vAlign w:val="center"/>
                </w:tcPr>
                <w:p w14:paraId="1042CD74">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71.0</w:t>
                  </w:r>
                </w:p>
              </w:tc>
              <w:tc>
                <w:tcPr>
                  <w:tcW w:w="586" w:type="dxa"/>
                  <w:vMerge w:val="restart"/>
                  <w:vAlign w:val="center"/>
                </w:tcPr>
                <w:p w14:paraId="5A6D32C6">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zh-CN" w:eastAsia="zh-CN"/>
                    </w:rPr>
                  </w:pPr>
                  <w:r>
                    <w:rPr>
                      <w:rFonts w:hint="default" w:ascii="Times New Roman" w:hAnsi="Times New Roman" w:cs="Times New Roman"/>
                      <w:color w:val="auto"/>
                      <w:sz w:val="21"/>
                      <w:szCs w:val="21"/>
                      <w:lang w:val="zh-CN" w:eastAsia="zh-CN"/>
                    </w:rPr>
                    <w:t>昼</w:t>
                  </w:r>
                  <w:r>
                    <w:rPr>
                      <w:rFonts w:hint="eastAsia" w:ascii="Times New Roman" w:hAnsi="Times New Roman" w:cs="Times New Roman"/>
                      <w:color w:val="auto"/>
                      <w:sz w:val="21"/>
                      <w:szCs w:val="21"/>
                      <w:lang w:val="en-US" w:eastAsia="zh-CN"/>
                    </w:rPr>
                    <w:t>夜</w:t>
                  </w:r>
                  <w:r>
                    <w:rPr>
                      <w:rFonts w:hint="default" w:ascii="Times New Roman" w:hAnsi="Times New Roman" w:cs="Times New Roman"/>
                      <w:color w:val="auto"/>
                      <w:sz w:val="21"/>
                      <w:szCs w:val="21"/>
                      <w:lang w:val="zh-CN" w:eastAsia="zh-CN"/>
                    </w:rPr>
                    <w:t>运行</w:t>
                  </w:r>
                </w:p>
              </w:tc>
              <w:tc>
                <w:tcPr>
                  <w:tcW w:w="732" w:type="dxa"/>
                  <w:vAlign w:val="center"/>
                </w:tcPr>
                <w:p w14:paraId="41DABFE7">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733" w:type="dxa"/>
                  <w:vAlign w:val="center"/>
                </w:tcPr>
                <w:p w14:paraId="08EEC415">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51.0</w:t>
                  </w:r>
                </w:p>
              </w:tc>
              <w:tc>
                <w:tcPr>
                  <w:tcW w:w="736" w:type="dxa"/>
                  <w:vAlign w:val="center"/>
                </w:tcPr>
                <w:p w14:paraId="15FD6A8F">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14:paraId="7A904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vAlign w:val="center"/>
                </w:tcPr>
                <w:p w14:paraId="13B8E654">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en-US" w:eastAsia="zh-CN"/>
                    </w:rPr>
                    <w:t>生产车间</w:t>
                  </w:r>
                </w:p>
              </w:tc>
              <w:tc>
                <w:tcPr>
                  <w:tcW w:w="1122" w:type="dxa"/>
                  <w:shd w:val="clear" w:color="auto" w:fill="auto"/>
                  <w:vAlign w:val="center"/>
                </w:tcPr>
                <w:p w14:paraId="79DF3DF3">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双色热压成型机</w:t>
                  </w:r>
                </w:p>
              </w:tc>
              <w:tc>
                <w:tcPr>
                  <w:tcW w:w="1020" w:type="dxa"/>
                  <w:vAlign w:val="center"/>
                </w:tcPr>
                <w:p w14:paraId="4C94927B">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85</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w:t>
                  </w:r>
                </w:p>
              </w:tc>
              <w:tc>
                <w:tcPr>
                  <w:tcW w:w="1035" w:type="dxa"/>
                  <w:vMerge w:val="continue"/>
                  <w:vAlign w:val="center"/>
                </w:tcPr>
                <w:p w14:paraId="3898F7FD">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p>
              </w:tc>
              <w:tc>
                <w:tcPr>
                  <w:tcW w:w="473" w:type="dxa"/>
                  <w:vAlign w:val="center"/>
                </w:tcPr>
                <w:p w14:paraId="19C70D56">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668" w:type="dxa"/>
                  <w:vAlign w:val="center"/>
                </w:tcPr>
                <w:p w14:paraId="0B5F221E">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48</w:t>
                  </w:r>
                </w:p>
              </w:tc>
              <w:tc>
                <w:tcPr>
                  <w:tcW w:w="613" w:type="dxa"/>
                  <w:vAlign w:val="center"/>
                </w:tcPr>
                <w:p w14:paraId="1F25830C">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696" w:type="dxa"/>
                  <w:vAlign w:val="center"/>
                </w:tcPr>
                <w:p w14:paraId="4EA56521">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750" w:type="dxa"/>
                  <w:vAlign w:val="center"/>
                </w:tcPr>
                <w:p w14:paraId="2ADFF83C">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71.0</w:t>
                  </w:r>
                </w:p>
              </w:tc>
              <w:tc>
                <w:tcPr>
                  <w:tcW w:w="586" w:type="dxa"/>
                  <w:vMerge w:val="continue"/>
                  <w:vAlign w:val="center"/>
                </w:tcPr>
                <w:p w14:paraId="273023AD">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p>
              </w:tc>
              <w:tc>
                <w:tcPr>
                  <w:tcW w:w="732" w:type="dxa"/>
                  <w:vAlign w:val="center"/>
                </w:tcPr>
                <w:p w14:paraId="38AE586A">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733" w:type="dxa"/>
                  <w:vAlign w:val="center"/>
                </w:tcPr>
                <w:p w14:paraId="005BED3B">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51.0</w:t>
                  </w:r>
                </w:p>
              </w:tc>
              <w:tc>
                <w:tcPr>
                  <w:tcW w:w="736" w:type="dxa"/>
                  <w:vAlign w:val="center"/>
                </w:tcPr>
                <w:p w14:paraId="70A4774E">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14:paraId="32827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vAlign w:val="center"/>
                </w:tcPr>
                <w:p w14:paraId="045D56FA">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en-US" w:eastAsia="zh-CN"/>
                    </w:rPr>
                    <w:t>生产车间</w:t>
                  </w:r>
                </w:p>
              </w:tc>
              <w:tc>
                <w:tcPr>
                  <w:tcW w:w="1122" w:type="dxa"/>
                  <w:shd w:val="clear" w:color="auto" w:fill="auto"/>
                  <w:vAlign w:val="center"/>
                </w:tcPr>
                <w:p w14:paraId="45DED95E">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双色热压成型机</w:t>
                  </w:r>
                </w:p>
              </w:tc>
              <w:tc>
                <w:tcPr>
                  <w:tcW w:w="1020" w:type="dxa"/>
                  <w:vAlign w:val="center"/>
                </w:tcPr>
                <w:p w14:paraId="403BDE53">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r>
                    <w:rPr>
                      <w:rFonts w:hint="eastAsia" w:ascii="Times New Roman" w:hAnsi="Times New Roman" w:cs="Times New Roman"/>
                      <w:color w:val="auto"/>
                      <w:sz w:val="21"/>
                      <w:szCs w:val="21"/>
                      <w:lang w:val="en-US" w:eastAsia="zh-CN"/>
                    </w:rPr>
                    <w:t>85</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w:t>
                  </w:r>
                </w:p>
              </w:tc>
              <w:tc>
                <w:tcPr>
                  <w:tcW w:w="1035" w:type="dxa"/>
                  <w:vMerge w:val="continue"/>
                  <w:vAlign w:val="center"/>
                </w:tcPr>
                <w:p w14:paraId="10B39182">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p>
              </w:tc>
              <w:tc>
                <w:tcPr>
                  <w:tcW w:w="473" w:type="dxa"/>
                  <w:vAlign w:val="center"/>
                </w:tcPr>
                <w:p w14:paraId="5BDC5399">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668" w:type="dxa"/>
                  <w:vAlign w:val="center"/>
                </w:tcPr>
                <w:p w14:paraId="4CDF2C7E">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613" w:type="dxa"/>
                  <w:vAlign w:val="center"/>
                </w:tcPr>
                <w:p w14:paraId="2B2649A5">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696" w:type="dxa"/>
                  <w:vAlign w:val="center"/>
                </w:tcPr>
                <w:p w14:paraId="142961A6">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750" w:type="dxa"/>
                  <w:vAlign w:val="center"/>
                </w:tcPr>
                <w:p w14:paraId="44182933">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71.0</w:t>
                  </w:r>
                </w:p>
              </w:tc>
              <w:tc>
                <w:tcPr>
                  <w:tcW w:w="586" w:type="dxa"/>
                  <w:vMerge w:val="continue"/>
                  <w:vAlign w:val="center"/>
                </w:tcPr>
                <w:p w14:paraId="30B3D4B6">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p>
              </w:tc>
              <w:tc>
                <w:tcPr>
                  <w:tcW w:w="732" w:type="dxa"/>
                  <w:vAlign w:val="center"/>
                </w:tcPr>
                <w:p w14:paraId="623DC3CA">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733" w:type="dxa"/>
                  <w:shd w:val="clear" w:color="auto" w:fill="auto"/>
                  <w:vAlign w:val="center"/>
                </w:tcPr>
                <w:p w14:paraId="0811DF18">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51.0</w:t>
                  </w:r>
                </w:p>
              </w:tc>
              <w:tc>
                <w:tcPr>
                  <w:tcW w:w="736" w:type="dxa"/>
                  <w:vAlign w:val="center"/>
                </w:tcPr>
                <w:p w14:paraId="1677C5B7">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14:paraId="4A232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vAlign w:val="center"/>
                </w:tcPr>
                <w:p w14:paraId="74D27834">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en-US" w:eastAsia="zh-CN"/>
                    </w:rPr>
                    <w:t>生产车间</w:t>
                  </w:r>
                </w:p>
              </w:tc>
              <w:tc>
                <w:tcPr>
                  <w:tcW w:w="1122" w:type="dxa"/>
                  <w:shd w:val="clear" w:color="auto" w:fill="auto"/>
                  <w:vAlign w:val="center"/>
                </w:tcPr>
                <w:p w14:paraId="1B79D0A6">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双色热压成型机</w:t>
                  </w:r>
                </w:p>
              </w:tc>
              <w:tc>
                <w:tcPr>
                  <w:tcW w:w="1020" w:type="dxa"/>
                  <w:vAlign w:val="center"/>
                </w:tcPr>
                <w:p w14:paraId="0EBED4D4">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r>
                    <w:rPr>
                      <w:rFonts w:hint="eastAsia" w:ascii="Times New Roman" w:hAnsi="Times New Roman" w:cs="Times New Roman"/>
                      <w:color w:val="auto"/>
                      <w:sz w:val="21"/>
                      <w:szCs w:val="21"/>
                      <w:lang w:val="en-US" w:eastAsia="zh-CN"/>
                    </w:rPr>
                    <w:t>85</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w:t>
                  </w:r>
                </w:p>
              </w:tc>
              <w:tc>
                <w:tcPr>
                  <w:tcW w:w="1035" w:type="dxa"/>
                  <w:vMerge w:val="continue"/>
                  <w:vAlign w:val="center"/>
                </w:tcPr>
                <w:p w14:paraId="5F05DF2B">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p>
              </w:tc>
              <w:tc>
                <w:tcPr>
                  <w:tcW w:w="473" w:type="dxa"/>
                  <w:vAlign w:val="center"/>
                </w:tcPr>
                <w:p w14:paraId="0BBD9A2E">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668" w:type="dxa"/>
                  <w:vAlign w:val="center"/>
                </w:tcPr>
                <w:p w14:paraId="0594AAA8">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w:t>
                  </w:r>
                </w:p>
              </w:tc>
              <w:tc>
                <w:tcPr>
                  <w:tcW w:w="613" w:type="dxa"/>
                  <w:shd w:val="clear" w:color="auto" w:fill="auto"/>
                  <w:vAlign w:val="center"/>
                </w:tcPr>
                <w:p w14:paraId="1B1B048E">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w:t>
                  </w:r>
                </w:p>
              </w:tc>
              <w:tc>
                <w:tcPr>
                  <w:tcW w:w="696" w:type="dxa"/>
                  <w:vAlign w:val="center"/>
                </w:tcPr>
                <w:p w14:paraId="2E8D0F68">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750" w:type="dxa"/>
                  <w:vAlign w:val="center"/>
                </w:tcPr>
                <w:p w14:paraId="6BA6F028">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71.0</w:t>
                  </w:r>
                </w:p>
              </w:tc>
              <w:tc>
                <w:tcPr>
                  <w:tcW w:w="586" w:type="dxa"/>
                  <w:vMerge w:val="continue"/>
                  <w:vAlign w:val="center"/>
                </w:tcPr>
                <w:p w14:paraId="4AF1B50D">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p>
              </w:tc>
              <w:tc>
                <w:tcPr>
                  <w:tcW w:w="732" w:type="dxa"/>
                  <w:vAlign w:val="center"/>
                </w:tcPr>
                <w:p w14:paraId="1B6F2505">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733" w:type="dxa"/>
                  <w:shd w:val="clear" w:color="auto" w:fill="auto"/>
                  <w:vAlign w:val="center"/>
                </w:tcPr>
                <w:p w14:paraId="50F1412D">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51.0</w:t>
                  </w:r>
                </w:p>
              </w:tc>
              <w:tc>
                <w:tcPr>
                  <w:tcW w:w="736" w:type="dxa"/>
                  <w:vAlign w:val="center"/>
                </w:tcPr>
                <w:p w14:paraId="346A4B88">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r>
            <w:tr w14:paraId="2AC49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vAlign w:val="center"/>
                </w:tcPr>
                <w:p w14:paraId="37F2F62D">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生产车间</w:t>
                  </w:r>
                </w:p>
              </w:tc>
              <w:tc>
                <w:tcPr>
                  <w:tcW w:w="1122" w:type="dxa"/>
                  <w:shd w:val="clear" w:color="auto" w:fill="auto"/>
                  <w:vAlign w:val="center"/>
                </w:tcPr>
                <w:p w14:paraId="05C03179">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双色热压成型机</w:t>
                  </w:r>
                </w:p>
              </w:tc>
              <w:tc>
                <w:tcPr>
                  <w:tcW w:w="1020" w:type="dxa"/>
                  <w:vAlign w:val="center"/>
                </w:tcPr>
                <w:p w14:paraId="07C3D68A">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85</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w:t>
                  </w:r>
                </w:p>
              </w:tc>
              <w:tc>
                <w:tcPr>
                  <w:tcW w:w="1035" w:type="dxa"/>
                  <w:vMerge w:val="continue"/>
                  <w:vAlign w:val="center"/>
                </w:tcPr>
                <w:p w14:paraId="2866FBD1">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p>
              </w:tc>
              <w:tc>
                <w:tcPr>
                  <w:tcW w:w="473" w:type="dxa"/>
                  <w:shd w:val="clear" w:color="auto" w:fill="auto"/>
                  <w:vAlign w:val="center"/>
                </w:tcPr>
                <w:p w14:paraId="5B8D7ADF">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w:t>
                  </w:r>
                </w:p>
              </w:tc>
              <w:tc>
                <w:tcPr>
                  <w:tcW w:w="668" w:type="dxa"/>
                  <w:shd w:val="clear" w:color="auto" w:fill="auto"/>
                  <w:vAlign w:val="center"/>
                </w:tcPr>
                <w:p w14:paraId="25101B9C">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35</w:t>
                  </w:r>
                </w:p>
              </w:tc>
              <w:tc>
                <w:tcPr>
                  <w:tcW w:w="613" w:type="dxa"/>
                  <w:shd w:val="clear" w:color="auto" w:fill="auto"/>
                  <w:vAlign w:val="center"/>
                </w:tcPr>
                <w:p w14:paraId="2C792FC3">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w:t>
                  </w:r>
                </w:p>
              </w:tc>
              <w:tc>
                <w:tcPr>
                  <w:tcW w:w="696" w:type="dxa"/>
                  <w:vAlign w:val="center"/>
                </w:tcPr>
                <w:p w14:paraId="45502E5D">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750" w:type="dxa"/>
                  <w:vAlign w:val="center"/>
                </w:tcPr>
                <w:p w14:paraId="312ED121">
                  <w:pPr>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71.0</w:t>
                  </w:r>
                </w:p>
              </w:tc>
              <w:tc>
                <w:tcPr>
                  <w:tcW w:w="586" w:type="dxa"/>
                  <w:vMerge w:val="continue"/>
                  <w:vAlign w:val="center"/>
                </w:tcPr>
                <w:p w14:paraId="36401CD2">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p>
              </w:tc>
              <w:tc>
                <w:tcPr>
                  <w:tcW w:w="732" w:type="dxa"/>
                  <w:shd w:val="clear" w:color="auto" w:fill="auto"/>
                  <w:vAlign w:val="center"/>
                </w:tcPr>
                <w:p w14:paraId="54BDACA9">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20</w:t>
                  </w:r>
                </w:p>
              </w:tc>
              <w:tc>
                <w:tcPr>
                  <w:tcW w:w="733" w:type="dxa"/>
                  <w:shd w:val="clear" w:color="auto" w:fill="auto"/>
                  <w:vAlign w:val="center"/>
                </w:tcPr>
                <w:p w14:paraId="042DD1BF">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51.0</w:t>
                  </w:r>
                </w:p>
              </w:tc>
              <w:tc>
                <w:tcPr>
                  <w:tcW w:w="736" w:type="dxa"/>
                  <w:shd w:val="clear" w:color="auto" w:fill="auto"/>
                  <w:vAlign w:val="center"/>
                </w:tcPr>
                <w:p w14:paraId="72289B29">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p>
              </w:tc>
            </w:tr>
            <w:tr w14:paraId="59CE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vAlign w:val="center"/>
                </w:tcPr>
                <w:p w14:paraId="75E6B27F">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生产车间</w:t>
                  </w:r>
                </w:p>
              </w:tc>
              <w:tc>
                <w:tcPr>
                  <w:tcW w:w="1122" w:type="dxa"/>
                  <w:shd w:val="clear" w:color="auto" w:fill="auto"/>
                  <w:vAlign w:val="center"/>
                </w:tcPr>
                <w:p w14:paraId="0023BB83">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高周波</w:t>
                  </w:r>
                </w:p>
              </w:tc>
              <w:tc>
                <w:tcPr>
                  <w:tcW w:w="1020" w:type="dxa"/>
                  <w:vAlign w:val="center"/>
                </w:tcPr>
                <w:p w14:paraId="2646DDFE">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80</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w:t>
                  </w:r>
                </w:p>
              </w:tc>
              <w:tc>
                <w:tcPr>
                  <w:tcW w:w="1035" w:type="dxa"/>
                  <w:vMerge w:val="continue"/>
                  <w:vAlign w:val="center"/>
                </w:tcPr>
                <w:p w14:paraId="2A5BE932">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rPr>
                  </w:pPr>
                </w:p>
              </w:tc>
              <w:tc>
                <w:tcPr>
                  <w:tcW w:w="473" w:type="dxa"/>
                  <w:shd w:val="clear" w:color="auto" w:fill="auto"/>
                  <w:vAlign w:val="center"/>
                </w:tcPr>
                <w:p w14:paraId="732964FA">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668" w:type="dxa"/>
                  <w:shd w:val="clear" w:color="auto" w:fill="auto"/>
                  <w:vAlign w:val="center"/>
                </w:tcPr>
                <w:p w14:paraId="568BF823">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613" w:type="dxa"/>
                  <w:shd w:val="clear" w:color="auto" w:fill="auto"/>
                  <w:vAlign w:val="center"/>
                </w:tcPr>
                <w:p w14:paraId="083544F2">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1.0</w:t>
                  </w:r>
                </w:p>
              </w:tc>
              <w:tc>
                <w:tcPr>
                  <w:tcW w:w="696" w:type="dxa"/>
                  <w:vAlign w:val="center"/>
                </w:tcPr>
                <w:p w14:paraId="60E970D5">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750" w:type="dxa"/>
                  <w:vAlign w:val="center"/>
                </w:tcPr>
                <w:p w14:paraId="06760499">
                  <w:pPr>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61.9</w:t>
                  </w:r>
                </w:p>
              </w:tc>
              <w:tc>
                <w:tcPr>
                  <w:tcW w:w="586" w:type="dxa"/>
                  <w:vMerge w:val="continue"/>
                  <w:vAlign w:val="center"/>
                </w:tcPr>
                <w:p w14:paraId="13C69738">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p>
              </w:tc>
              <w:tc>
                <w:tcPr>
                  <w:tcW w:w="732" w:type="dxa"/>
                  <w:shd w:val="clear" w:color="auto" w:fill="auto"/>
                  <w:vAlign w:val="center"/>
                </w:tcPr>
                <w:p w14:paraId="082875DE">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20</w:t>
                  </w:r>
                </w:p>
              </w:tc>
              <w:tc>
                <w:tcPr>
                  <w:tcW w:w="733" w:type="dxa"/>
                  <w:shd w:val="clear" w:color="auto" w:fill="auto"/>
                  <w:vAlign w:val="center"/>
                </w:tcPr>
                <w:p w14:paraId="332C0364">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41.9</w:t>
                  </w:r>
                </w:p>
              </w:tc>
              <w:tc>
                <w:tcPr>
                  <w:tcW w:w="736" w:type="dxa"/>
                  <w:shd w:val="clear" w:color="auto" w:fill="auto"/>
                  <w:vAlign w:val="center"/>
                </w:tcPr>
                <w:p w14:paraId="6082A434">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14:paraId="599BB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87" w:type="dxa"/>
                  <w:shd w:val="clear" w:color="auto" w:fill="auto"/>
                  <w:vAlign w:val="center"/>
                </w:tcPr>
                <w:p w14:paraId="2718003A">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生产车间</w:t>
                  </w:r>
                </w:p>
              </w:tc>
              <w:tc>
                <w:tcPr>
                  <w:tcW w:w="1122" w:type="dxa"/>
                  <w:shd w:val="clear" w:color="auto" w:fill="auto"/>
                  <w:vAlign w:val="center"/>
                </w:tcPr>
                <w:p w14:paraId="31B7B8D9">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高周波</w:t>
                  </w:r>
                </w:p>
              </w:tc>
              <w:tc>
                <w:tcPr>
                  <w:tcW w:w="1020" w:type="dxa"/>
                  <w:vAlign w:val="center"/>
                </w:tcPr>
                <w:p w14:paraId="56441B4C">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80</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w:t>
                  </w:r>
                </w:p>
              </w:tc>
              <w:tc>
                <w:tcPr>
                  <w:tcW w:w="1035" w:type="dxa"/>
                  <w:vMerge w:val="continue"/>
                  <w:vAlign w:val="center"/>
                </w:tcPr>
                <w:p w14:paraId="73C042BF">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rPr>
                  </w:pPr>
                </w:p>
              </w:tc>
              <w:tc>
                <w:tcPr>
                  <w:tcW w:w="473" w:type="dxa"/>
                  <w:shd w:val="clear" w:color="auto" w:fill="auto"/>
                  <w:vAlign w:val="center"/>
                </w:tcPr>
                <w:p w14:paraId="66680770">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668" w:type="dxa"/>
                  <w:shd w:val="clear" w:color="auto" w:fill="auto"/>
                  <w:vAlign w:val="center"/>
                </w:tcPr>
                <w:p w14:paraId="0B807865">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613" w:type="dxa"/>
                  <w:vAlign w:val="center"/>
                </w:tcPr>
                <w:p w14:paraId="463177A0">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696" w:type="dxa"/>
                  <w:vAlign w:val="center"/>
                </w:tcPr>
                <w:p w14:paraId="3F77F322">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750" w:type="dxa"/>
                  <w:vAlign w:val="center"/>
                </w:tcPr>
                <w:p w14:paraId="6DE33067">
                  <w:pPr>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61.9</w:t>
                  </w:r>
                </w:p>
              </w:tc>
              <w:tc>
                <w:tcPr>
                  <w:tcW w:w="586" w:type="dxa"/>
                  <w:vMerge w:val="continue"/>
                  <w:vAlign w:val="center"/>
                </w:tcPr>
                <w:p w14:paraId="795F569C">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p>
              </w:tc>
              <w:tc>
                <w:tcPr>
                  <w:tcW w:w="732" w:type="dxa"/>
                  <w:shd w:val="clear" w:color="auto" w:fill="auto"/>
                  <w:vAlign w:val="center"/>
                </w:tcPr>
                <w:p w14:paraId="3A7BBA2D">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20</w:t>
                  </w:r>
                </w:p>
              </w:tc>
              <w:tc>
                <w:tcPr>
                  <w:tcW w:w="733" w:type="dxa"/>
                  <w:shd w:val="clear" w:color="auto" w:fill="auto"/>
                  <w:vAlign w:val="center"/>
                </w:tcPr>
                <w:p w14:paraId="2BD95CF0">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41.9</w:t>
                  </w:r>
                </w:p>
              </w:tc>
              <w:tc>
                <w:tcPr>
                  <w:tcW w:w="736" w:type="dxa"/>
                  <w:shd w:val="clear" w:color="auto" w:fill="auto"/>
                  <w:vAlign w:val="center"/>
                </w:tcPr>
                <w:p w14:paraId="404B99A4">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14:paraId="4ABBB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shd w:val="clear" w:color="auto" w:fill="auto"/>
                  <w:vAlign w:val="center"/>
                </w:tcPr>
                <w:p w14:paraId="3FFFB0DC">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生产车间</w:t>
                  </w:r>
                </w:p>
              </w:tc>
              <w:tc>
                <w:tcPr>
                  <w:tcW w:w="1122" w:type="dxa"/>
                  <w:shd w:val="clear" w:color="auto" w:fill="auto"/>
                  <w:vAlign w:val="center"/>
                </w:tcPr>
                <w:p w14:paraId="77BC715E">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四工位自动磨边机</w:t>
                  </w:r>
                </w:p>
              </w:tc>
              <w:tc>
                <w:tcPr>
                  <w:tcW w:w="1020" w:type="dxa"/>
                  <w:vAlign w:val="center"/>
                </w:tcPr>
                <w:p w14:paraId="679E11F0">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85</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w:t>
                  </w:r>
                </w:p>
              </w:tc>
              <w:tc>
                <w:tcPr>
                  <w:tcW w:w="1035" w:type="dxa"/>
                  <w:vMerge w:val="continue"/>
                  <w:vAlign w:val="center"/>
                </w:tcPr>
                <w:p w14:paraId="49B3937A">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rPr>
                  </w:pPr>
                </w:p>
              </w:tc>
              <w:tc>
                <w:tcPr>
                  <w:tcW w:w="473" w:type="dxa"/>
                  <w:shd w:val="clear" w:color="auto" w:fill="auto"/>
                  <w:vAlign w:val="center"/>
                </w:tcPr>
                <w:p w14:paraId="0E693F94">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668" w:type="dxa"/>
                  <w:shd w:val="clear" w:color="auto" w:fill="auto"/>
                  <w:vAlign w:val="center"/>
                </w:tcPr>
                <w:p w14:paraId="0EA19816">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46</w:t>
                  </w:r>
                </w:p>
              </w:tc>
              <w:tc>
                <w:tcPr>
                  <w:tcW w:w="613" w:type="dxa"/>
                  <w:vAlign w:val="center"/>
                </w:tcPr>
                <w:p w14:paraId="5CD384BB">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696" w:type="dxa"/>
                  <w:vAlign w:val="center"/>
                </w:tcPr>
                <w:p w14:paraId="248AA0E4">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750" w:type="dxa"/>
                  <w:vAlign w:val="center"/>
                </w:tcPr>
                <w:p w14:paraId="0E113E25">
                  <w:pPr>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66.9</w:t>
                  </w:r>
                </w:p>
              </w:tc>
              <w:tc>
                <w:tcPr>
                  <w:tcW w:w="586" w:type="dxa"/>
                  <w:vMerge w:val="continue"/>
                  <w:vAlign w:val="center"/>
                </w:tcPr>
                <w:p w14:paraId="63238280">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p>
              </w:tc>
              <w:tc>
                <w:tcPr>
                  <w:tcW w:w="732" w:type="dxa"/>
                  <w:shd w:val="clear" w:color="auto" w:fill="auto"/>
                  <w:vAlign w:val="center"/>
                </w:tcPr>
                <w:p w14:paraId="2640DEA0">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20</w:t>
                  </w:r>
                </w:p>
              </w:tc>
              <w:tc>
                <w:tcPr>
                  <w:tcW w:w="733" w:type="dxa"/>
                  <w:shd w:val="clear" w:color="auto" w:fill="auto"/>
                  <w:vAlign w:val="center"/>
                </w:tcPr>
                <w:p w14:paraId="411D0A8E">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46.9</w:t>
                  </w:r>
                </w:p>
              </w:tc>
              <w:tc>
                <w:tcPr>
                  <w:tcW w:w="736" w:type="dxa"/>
                  <w:shd w:val="clear" w:color="auto" w:fill="auto"/>
                  <w:vAlign w:val="center"/>
                </w:tcPr>
                <w:p w14:paraId="4C74F6F7">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14:paraId="207A2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shd w:val="clear" w:color="auto" w:fill="auto"/>
                  <w:vAlign w:val="center"/>
                </w:tcPr>
                <w:p w14:paraId="31779462">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生产车间</w:t>
                  </w:r>
                </w:p>
              </w:tc>
              <w:tc>
                <w:tcPr>
                  <w:tcW w:w="1122" w:type="dxa"/>
                  <w:shd w:val="clear" w:color="auto" w:fill="auto"/>
                  <w:vAlign w:val="center"/>
                </w:tcPr>
                <w:p w14:paraId="4EC5458C">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半自动磨边机</w:t>
                  </w:r>
                </w:p>
              </w:tc>
              <w:tc>
                <w:tcPr>
                  <w:tcW w:w="1020" w:type="dxa"/>
                  <w:vAlign w:val="center"/>
                </w:tcPr>
                <w:p w14:paraId="378377A6">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85</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w:t>
                  </w:r>
                </w:p>
              </w:tc>
              <w:tc>
                <w:tcPr>
                  <w:tcW w:w="1035" w:type="dxa"/>
                  <w:vMerge w:val="continue"/>
                  <w:vAlign w:val="center"/>
                </w:tcPr>
                <w:p w14:paraId="323E8137">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rPr>
                  </w:pPr>
                </w:p>
              </w:tc>
              <w:tc>
                <w:tcPr>
                  <w:tcW w:w="473" w:type="dxa"/>
                  <w:shd w:val="clear" w:color="auto" w:fill="auto"/>
                  <w:vAlign w:val="center"/>
                </w:tcPr>
                <w:p w14:paraId="07A4DEA1">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668" w:type="dxa"/>
                  <w:shd w:val="clear" w:color="auto" w:fill="auto"/>
                  <w:vAlign w:val="center"/>
                </w:tcPr>
                <w:p w14:paraId="5734429B">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613" w:type="dxa"/>
                  <w:vAlign w:val="center"/>
                </w:tcPr>
                <w:p w14:paraId="59200672">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c>
                <w:tcPr>
                  <w:tcW w:w="696" w:type="dxa"/>
                  <w:vAlign w:val="center"/>
                </w:tcPr>
                <w:p w14:paraId="529EEA79">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750" w:type="dxa"/>
                  <w:shd w:val="clear" w:color="auto" w:fill="auto"/>
                  <w:vAlign w:val="center"/>
                </w:tcPr>
                <w:p w14:paraId="6F62B101">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71.0</w:t>
                  </w:r>
                </w:p>
              </w:tc>
              <w:tc>
                <w:tcPr>
                  <w:tcW w:w="586" w:type="dxa"/>
                  <w:vMerge w:val="continue"/>
                  <w:vAlign w:val="center"/>
                </w:tcPr>
                <w:p w14:paraId="3A3E99D0">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p>
              </w:tc>
              <w:tc>
                <w:tcPr>
                  <w:tcW w:w="732" w:type="dxa"/>
                  <w:shd w:val="clear" w:color="auto" w:fill="auto"/>
                  <w:vAlign w:val="center"/>
                </w:tcPr>
                <w:p w14:paraId="3D7B20F3">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20</w:t>
                  </w:r>
                </w:p>
              </w:tc>
              <w:tc>
                <w:tcPr>
                  <w:tcW w:w="733" w:type="dxa"/>
                  <w:shd w:val="clear" w:color="auto" w:fill="auto"/>
                  <w:vAlign w:val="center"/>
                </w:tcPr>
                <w:p w14:paraId="5A738054">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51.0</w:t>
                  </w:r>
                </w:p>
              </w:tc>
              <w:tc>
                <w:tcPr>
                  <w:tcW w:w="736" w:type="dxa"/>
                  <w:shd w:val="clear" w:color="auto" w:fill="auto"/>
                  <w:vAlign w:val="center"/>
                </w:tcPr>
                <w:p w14:paraId="4015C907">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14:paraId="3B26B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shd w:val="clear" w:color="auto" w:fill="auto"/>
                  <w:vAlign w:val="center"/>
                </w:tcPr>
                <w:p w14:paraId="6DDA5B86">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生产车间</w:t>
                  </w:r>
                </w:p>
              </w:tc>
              <w:tc>
                <w:tcPr>
                  <w:tcW w:w="1122" w:type="dxa"/>
                  <w:shd w:val="clear" w:color="auto" w:fill="auto"/>
                  <w:vAlign w:val="center"/>
                </w:tcPr>
                <w:p w14:paraId="05821E8C">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空压机</w:t>
                  </w:r>
                </w:p>
              </w:tc>
              <w:tc>
                <w:tcPr>
                  <w:tcW w:w="1020" w:type="dxa"/>
                  <w:vAlign w:val="center"/>
                </w:tcPr>
                <w:p w14:paraId="0A9C7D9B">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85</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w:t>
                  </w:r>
                </w:p>
              </w:tc>
              <w:tc>
                <w:tcPr>
                  <w:tcW w:w="1035" w:type="dxa"/>
                  <w:vMerge w:val="continue"/>
                  <w:vAlign w:val="center"/>
                </w:tcPr>
                <w:p w14:paraId="35AD6AEF">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rPr>
                  </w:pPr>
                </w:p>
              </w:tc>
              <w:tc>
                <w:tcPr>
                  <w:tcW w:w="473" w:type="dxa"/>
                  <w:shd w:val="clear" w:color="auto" w:fill="auto"/>
                  <w:vAlign w:val="center"/>
                </w:tcPr>
                <w:p w14:paraId="1683A7C6">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668" w:type="dxa"/>
                  <w:shd w:val="clear" w:color="auto" w:fill="auto"/>
                  <w:vAlign w:val="center"/>
                </w:tcPr>
                <w:p w14:paraId="39FC1507">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52</w:t>
                  </w:r>
                </w:p>
              </w:tc>
              <w:tc>
                <w:tcPr>
                  <w:tcW w:w="613" w:type="dxa"/>
                  <w:vAlign w:val="center"/>
                </w:tcPr>
                <w:p w14:paraId="4550A215">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c>
                <w:tcPr>
                  <w:tcW w:w="696" w:type="dxa"/>
                  <w:vAlign w:val="center"/>
                </w:tcPr>
                <w:p w14:paraId="7D04F126">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750" w:type="dxa"/>
                  <w:shd w:val="clear" w:color="auto" w:fill="auto"/>
                  <w:vAlign w:val="center"/>
                </w:tcPr>
                <w:p w14:paraId="17EE5156">
                  <w:pPr>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71.0</w:t>
                  </w:r>
                </w:p>
              </w:tc>
              <w:tc>
                <w:tcPr>
                  <w:tcW w:w="586" w:type="dxa"/>
                  <w:vMerge w:val="continue"/>
                  <w:vAlign w:val="center"/>
                </w:tcPr>
                <w:p w14:paraId="144B0E50">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p>
              </w:tc>
              <w:tc>
                <w:tcPr>
                  <w:tcW w:w="732" w:type="dxa"/>
                  <w:shd w:val="clear" w:color="auto" w:fill="auto"/>
                  <w:vAlign w:val="center"/>
                </w:tcPr>
                <w:p w14:paraId="65D495DF">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733" w:type="dxa"/>
                  <w:shd w:val="clear" w:color="auto" w:fill="auto"/>
                  <w:vAlign w:val="center"/>
                </w:tcPr>
                <w:p w14:paraId="3E2B8307">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51.0</w:t>
                  </w:r>
                </w:p>
              </w:tc>
              <w:tc>
                <w:tcPr>
                  <w:tcW w:w="736" w:type="dxa"/>
                  <w:shd w:val="clear" w:color="auto" w:fill="auto"/>
                  <w:vAlign w:val="center"/>
                </w:tcPr>
                <w:p w14:paraId="37C56F99">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14:paraId="56A45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shd w:val="clear" w:color="auto" w:fill="auto"/>
                  <w:vAlign w:val="center"/>
                </w:tcPr>
                <w:p w14:paraId="4870817A">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生产车间</w:t>
                  </w:r>
                </w:p>
              </w:tc>
              <w:tc>
                <w:tcPr>
                  <w:tcW w:w="1122" w:type="dxa"/>
                  <w:shd w:val="clear" w:color="auto" w:fill="auto"/>
                  <w:vAlign w:val="center"/>
                </w:tcPr>
                <w:p w14:paraId="760F932C">
                  <w:pPr>
                    <w:keepNext w:val="0"/>
                    <w:keepLines w:val="0"/>
                    <w:pageBreakBefore w:val="0"/>
                    <w:widowControl/>
                    <w:suppressLineNumbers w:val="0"/>
                    <w:kinsoku/>
                    <w:wordWrap/>
                    <w:overflowPunct/>
                    <w:topLinePunct w:val="0"/>
                    <w:autoSpaceDE/>
                    <w:autoSpaceDN/>
                    <w:bidi w:val="0"/>
                    <w:adjustRightInd/>
                    <w:snapToGrid/>
                    <w:spacing w:line="240" w:lineRule="auto"/>
                    <w:ind w:left="-105" w:leftChars="-50" w:right="-105" w:rightChars="-5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风机</w:t>
                  </w:r>
                </w:p>
              </w:tc>
              <w:tc>
                <w:tcPr>
                  <w:tcW w:w="1020" w:type="dxa"/>
                  <w:shd w:val="clear" w:color="auto" w:fill="auto"/>
                  <w:vAlign w:val="center"/>
                </w:tcPr>
                <w:p w14:paraId="0EBEFC61">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85/1</w:t>
                  </w:r>
                </w:p>
              </w:tc>
              <w:tc>
                <w:tcPr>
                  <w:tcW w:w="1035" w:type="dxa"/>
                  <w:shd w:val="clear" w:color="auto" w:fill="auto"/>
                  <w:vAlign w:val="center"/>
                </w:tcPr>
                <w:p w14:paraId="5473DFDB">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eastAsia="宋体" w:cs="Times New Roman"/>
                      <w:color w:val="auto"/>
                      <w:kern w:val="2"/>
                      <w:sz w:val="21"/>
                      <w:szCs w:val="21"/>
                      <w:lang w:val="zh-CN" w:eastAsia="zh-CN" w:bidi="ar-SA"/>
                    </w:rPr>
                  </w:pPr>
                  <w:r>
                    <w:rPr>
                      <w:rFonts w:hint="default" w:ascii="Times New Roman" w:hAnsi="Times New Roman" w:cs="Times New Roman"/>
                      <w:color w:val="auto"/>
                      <w:sz w:val="21"/>
                      <w:szCs w:val="21"/>
                    </w:rPr>
                    <w:t>风机安装消声器</w:t>
                  </w:r>
                  <w:r>
                    <w:rPr>
                      <w:rFonts w:hint="default" w:ascii="Times New Roman" w:hAnsi="Times New Roman" w:cs="Times New Roman"/>
                      <w:color w:val="auto"/>
                      <w:sz w:val="21"/>
                      <w:szCs w:val="21"/>
                      <w:lang w:eastAsia="zh-CN"/>
                    </w:rPr>
                    <w:t>；减振基础、机房隔声、消声器、软连接</w:t>
                  </w:r>
                  <w:r>
                    <w:rPr>
                      <w:rFonts w:hint="default" w:ascii="Times New Roman" w:hAnsi="Times New Roman" w:cs="Times New Roman"/>
                      <w:color w:val="auto"/>
                      <w:sz w:val="21"/>
                      <w:szCs w:val="21"/>
                      <w:lang w:val="en-US" w:eastAsia="zh-CN"/>
                    </w:rPr>
                    <w:t>等</w:t>
                  </w:r>
                </w:p>
              </w:tc>
              <w:tc>
                <w:tcPr>
                  <w:tcW w:w="473" w:type="dxa"/>
                  <w:shd w:val="clear" w:color="auto" w:fill="auto"/>
                  <w:vAlign w:val="center"/>
                </w:tcPr>
                <w:p w14:paraId="0DA4FD5E">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668" w:type="dxa"/>
                  <w:shd w:val="clear" w:color="auto" w:fill="auto"/>
                  <w:vAlign w:val="center"/>
                </w:tcPr>
                <w:p w14:paraId="352D99F1">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52</w:t>
                  </w:r>
                </w:p>
              </w:tc>
              <w:tc>
                <w:tcPr>
                  <w:tcW w:w="613" w:type="dxa"/>
                  <w:vAlign w:val="center"/>
                </w:tcPr>
                <w:p w14:paraId="6F8A922D">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c>
                <w:tcPr>
                  <w:tcW w:w="696" w:type="dxa"/>
                  <w:vAlign w:val="center"/>
                </w:tcPr>
                <w:p w14:paraId="6B5DCA05">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750" w:type="dxa"/>
                  <w:vAlign w:val="center"/>
                </w:tcPr>
                <w:p w14:paraId="3AF786AB">
                  <w:pPr>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71.0</w:t>
                  </w:r>
                </w:p>
              </w:tc>
              <w:tc>
                <w:tcPr>
                  <w:tcW w:w="586" w:type="dxa"/>
                  <w:vMerge w:val="continue"/>
                  <w:vAlign w:val="center"/>
                </w:tcPr>
                <w:p w14:paraId="21D5AED6">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zh-CN"/>
                    </w:rPr>
                  </w:pPr>
                </w:p>
              </w:tc>
              <w:tc>
                <w:tcPr>
                  <w:tcW w:w="732" w:type="dxa"/>
                  <w:shd w:val="clear" w:color="auto" w:fill="auto"/>
                  <w:vAlign w:val="center"/>
                </w:tcPr>
                <w:p w14:paraId="26029A87">
                  <w:pPr>
                    <w:keepNext w:val="0"/>
                    <w:keepLines w:val="0"/>
                    <w:pageBreakBefore w:val="0"/>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733" w:type="dxa"/>
                  <w:shd w:val="clear" w:color="auto" w:fill="auto"/>
                  <w:vAlign w:val="center"/>
                </w:tcPr>
                <w:p w14:paraId="0ECE1339">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51.0</w:t>
                  </w:r>
                </w:p>
              </w:tc>
              <w:tc>
                <w:tcPr>
                  <w:tcW w:w="736" w:type="dxa"/>
                  <w:shd w:val="clear" w:color="auto" w:fill="auto"/>
                  <w:vAlign w:val="center"/>
                </w:tcPr>
                <w:p w14:paraId="7A97D2C9">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r>
            <w:tr w14:paraId="0B179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51" w:type="dxa"/>
                  <w:gridSpan w:val="13"/>
                  <w:vAlign w:val="center"/>
                </w:tcPr>
                <w:p w14:paraId="52C5C131">
                  <w:pPr>
                    <w:pStyle w:val="52"/>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lang w:val="zh-CN"/>
                    </w:rPr>
                    <w:t>注：</w:t>
                  </w:r>
                  <w:r>
                    <w:rPr>
                      <w:rFonts w:hint="default" w:ascii="Times New Roman" w:hAnsi="Times New Roman" w:eastAsia="宋体" w:cs="Times New Roman"/>
                      <w:b w:val="0"/>
                      <w:bCs w:val="0"/>
                      <w:color w:val="auto"/>
                      <w:sz w:val="21"/>
                      <w:szCs w:val="21"/>
                      <w:lang w:val="zh-CN"/>
                    </w:rPr>
                    <w:t>①</w:t>
                  </w:r>
                  <w:r>
                    <w:rPr>
                      <w:rFonts w:hint="default" w:ascii="Times New Roman" w:hAnsi="Times New Roman" w:eastAsia="宋体" w:cs="Times New Roman"/>
                      <w:color w:val="auto"/>
                      <w:sz w:val="21"/>
                      <w:szCs w:val="21"/>
                      <w:lang w:val="zh-CN"/>
                    </w:rPr>
                    <w:t>以</w:t>
                  </w:r>
                  <w:r>
                    <w:rPr>
                      <w:rFonts w:hint="default" w:ascii="Times New Roman" w:hAnsi="Times New Roman" w:cs="Times New Roman"/>
                      <w:color w:val="auto"/>
                      <w:sz w:val="21"/>
                      <w:szCs w:val="21"/>
                      <w:lang w:val="en-US" w:eastAsia="zh-CN"/>
                    </w:rPr>
                    <w:t>厂区</w:t>
                  </w:r>
                  <w:r>
                    <w:rPr>
                      <w:rFonts w:hint="default" w:ascii="Times New Roman" w:hAnsi="Times New Roman" w:eastAsia="宋体" w:cs="Times New Roman"/>
                      <w:color w:val="auto"/>
                      <w:sz w:val="21"/>
                      <w:szCs w:val="21"/>
                      <w:lang w:val="en-US" w:eastAsia="zh-CN"/>
                    </w:rPr>
                    <w:t>西南角为坐标</w:t>
                  </w:r>
                  <w:r>
                    <w:rPr>
                      <w:rFonts w:hint="default" w:ascii="Times New Roman" w:hAnsi="Times New Roman" w:eastAsia="宋体" w:cs="Times New Roman"/>
                      <w:color w:val="auto"/>
                      <w:sz w:val="21"/>
                      <w:szCs w:val="21"/>
                      <w:highlight w:val="none"/>
                      <w:lang w:val="en-US" w:eastAsia="zh-CN"/>
                    </w:rPr>
                    <w:t>圆点（0,0），X轴正向为正东方向，Y轴正向为正北方向。</w:t>
                  </w:r>
                </w:p>
                <w:p w14:paraId="741F1941">
                  <w:pPr>
                    <w:pStyle w:val="52"/>
                    <w:keepNext w:val="0"/>
                    <w:keepLines w:val="0"/>
                    <w:pageBreakBefore w:val="0"/>
                    <w:kinsoku/>
                    <w:wordWrap/>
                    <w:overflowPunct/>
                    <w:topLinePunct w:val="0"/>
                    <w:autoSpaceDE/>
                    <w:autoSpaceDN/>
                    <w:bidi w:val="0"/>
                    <w:adjustRightInd/>
                    <w:snapToGrid/>
                    <w:spacing w:line="240" w:lineRule="auto"/>
                    <w:ind w:left="-105" w:leftChars="-50" w:right="-105" w:rightChars="-50" w:firstLine="0" w:firstLineChars="0"/>
                    <w:jc w:val="left"/>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cs="Times New Roman"/>
                      <w:color w:val="auto"/>
                      <w:sz w:val="21"/>
                      <w:szCs w:val="21"/>
                      <w:highlight w:val="none"/>
                      <w:lang w:val="en-US" w:eastAsia="zh-CN"/>
                    </w:rPr>
                    <w:t>主要生产设备噪声源声压级</w:t>
                  </w:r>
                  <w:r>
                    <w:rPr>
                      <w:rFonts w:hint="default" w:ascii="Times New Roman" w:hAnsi="Times New Roman" w:cs="Times New Roman"/>
                      <w:b/>
                      <w:bCs/>
                      <w:color w:val="auto"/>
                      <w:sz w:val="21"/>
                      <w:szCs w:val="21"/>
                      <w:highlight w:val="none"/>
                      <w:lang w:val="en-US" w:eastAsia="zh-CN"/>
                    </w:rPr>
                    <w:t>参考</w:t>
                  </w:r>
                  <w:r>
                    <w:rPr>
                      <w:rFonts w:hint="default" w:ascii="Times New Roman" w:hAnsi="Times New Roman" w:cs="Times New Roman"/>
                      <w:color w:val="auto"/>
                      <w:sz w:val="21"/>
                      <w:szCs w:val="21"/>
                      <w:highlight w:val="none"/>
                      <w:lang w:val="en-US" w:eastAsia="zh-CN"/>
                    </w:rPr>
                    <w:t>《污染源源强核算技术指南-</w:t>
                  </w:r>
                  <w:r>
                    <w:rPr>
                      <w:rFonts w:hint="eastAsia" w:ascii="Times New Roman" w:hAnsi="Times New Roman" w:cs="Times New Roman"/>
                      <w:color w:val="auto"/>
                      <w:sz w:val="21"/>
                      <w:szCs w:val="21"/>
                      <w:highlight w:val="none"/>
                      <w:lang w:val="en-US" w:eastAsia="zh-CN"/>
                    </w:rPr>
                    <w:t>陶瓷制品制造</w:t>
                  </w:r>
                  <w:r>
                    <w:rPr>
                      <w:rFonts w:hint="default" w:ascii="Times New Roman" w:hAnsi="Times New Roman" w:cs="Times New Roman"/>
                      <w:color w:val="auto"/>
                      <w:sz w:val="21"/>
                      <w:szCs w:val="21"/>
                      <w:highlight w:val="none"/>
                      <w:lang w:val="en-US" w:eastAsia="zh-CN"/>
                    </w:rPr>
                    <w:t>》（HJ</w:t>
                  </w:r>
                  <w:r>
                    <w:rPr>
                      <w:rFonts w:hint="eastAsia" w:ascii="Times New Roman" w:hAnsi="Times New Roman" w:cs="Times New Roman"/>
                      <w:color w:val="auto"/>
                      <w:sz w:val="21"/>
                      <w:szCs w:val="21"/>
                      <w:highlight w:val="none"/>
                      <w:lang w:val="en-US" w:eastAsia="zh-CN"/>
                    </w:rPr>
                    <w:t>1096</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2020</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附录J  陶瓷制品制造主要噪声源声压级</w:t>
                  </w:r>
                  <w:r>
                    <w:rPr>
                      <w:rFonts w:hint="default" w:ascii="Times New Roman" w:hAnsi="Times New Roman" w:cs="Times New Roman"/>
                      <w:color w:val="auto"/>
                      <w:sz w:val="21"/>
                      <w:szCs w:val="21"/>
                      <w:highlight w:val="none"/>
                      <w:lang w:val="en-US" w:eastAsia="zh-CN"/>
                    </w:rPr>
                    <w:t>”；降噪效果</w:t>
                  </w:r>
                  <w:r>
                    <w:rPr>
                      <w:rFonts w:hint="default" w:ascii="Times New Roman" w:hAnsi="Times New Roman" w:cs="Times New Roman"/>
                      <w:b/>
                      <w:bCs/>
                      <w:color w:val="auto"/>
                      <w:sz w:val="21"/>
                      <w:szCs w:val="21"/>
                      <w:highlight w:val="none"/>
                      <w:lang w:val="en-US" w:eastAsia="zh-CN"/>
                    </w:rPr>
                    <w:t>参考</w:t>
                  </w:r>
                  <w:r>
                    <w:rPr>
                      <w:rFonts w:hint="default" w:ascii="Times New Roman" w:hAnsi="Times New Roman" w:cs="Times New Roman"/>
                      <w:color w:val="auto"/>
                      <w:sz w:val="21"/>
                      <w:szCs w:val="21"/>
                      <w:highlight w:val="none"/>
                      <w:lang w:val="en-US" w:eastAsia="zh-CN"/>
                    </w:rPr>
                    <w:t>《污染源源强核算技术指南-</w:t>
                  </w:r>
                  <w:r>
                    <w:rPr>
                      <w:rFonts w:hint="eastAsia" w:ascii="Times New Roman" w:hAnsi="Times New Roman" w:cs="Times New Roman"/>
                      <w:color w:val="auto"/>
                      <w:sz w:val="21"/>
                      <w:szCs w:val="21"/>
                      <w:highlight w:val="none"/>
                      <w:lang w:val="en-US" w:eastAsia="zh-CN"/>
                    </w:rPr>
                    <w:t>陶瓷制品制造</w:t>
                  </w:r>
                  <w:r>
                    <w:rPr>
                      <w:rFonts w:hint="default" w:ascii="Times New Roman" w:hAnsi="Times New Roman" w:cs="Times New Roman"/>
                      <w:color w:val="auto"/>
                      <w:sz w:val="21"/>
                      <w:szCs w:val="21"/>
                      <w:highlight w:val="none"/>
                      <w:lang w:val="en-US" w:eastAsia="zh-CN"/>
                    </w:rPr>
                    <w:t>》（HJ</w:t>
                  </w:r>
                  <w:r>
                    <w:rPr>
                      <w:rFonts w:hint="eastAsia" w:ascii="Times New Roman" w:hAnsi="Times New Roman" w:cs="Times New Roman"/>
                      <w:color w:val="auto"/>
                      <w:sz w:val="21"/>
                      <w:szCs w:val="21"/>
                      <w:highlight w:val="none"/>
                      <w:lang w:val="en-US" w:eastAsia="zh-CN"/>
                    </w:rPr>
                    <w:t>1096</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2020</w:t>
                  </w:r>
                  <w:r>
                    <w:rPr>
                      <w:rFonts w:hint="default" w:ascii="Times New Roman" w:hAnsi="Times New Roman" w:cs="Times New Roman"/>
                      <w:color w:val="auto"/>
                      <w:sz w:val="21"/>
                      <w:szCs w:val="21"/>
                      <w:highlight w:val="none"/>
                      <w:lang w:val="en-US" w:eastAsia="zh-CN"/>
                    </w:rPr>
                    <w:t>）：“表 E.3 陶瓷制品制造噪声污染防治技术及效果”。</w:t>
                  </w:r>
                </w:p>
              </w:tc>
            </w:tr>
          </w:tbl>
          <w:p w14:paraId="2C372A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w:t>
            </w:r>
            <w:r>
              <w:rPr>
                <w:rFonts w:hint="eastAsia" w:ascii="Times New Roman" w:hAnsi="Times New Roman" w:cs="Times New Roman"/>
                <w:b/>
                <w:bCs/>
                <w:color w:val="auto"/>
                <w:sz w:val="21"/>
                <w:szCs w:val="21"/>
                <w:lang w:val="en-US" w:eastAsia="zh-CN"/>
              </w:rPr>
              <w:t>15</w:t>
            </w:r>
            <w:r>
              <w:rPr>
                <w:rFonts w:hint="default" w:ascii="Times New Roman" w:hAnsi="Times New Roman" w:cs="Times New Roman"/>
                <w:b/>
                <w:bCs/>
                <w:color w:val="auto"/>
                <w:sz w:val="21"/>
                <w:szCs w:val="21"/>
                <w:lang w:val="en-US" w:eastAsia="zh-CN"/>
              </w:rPr>
              <w:t xml:space="preserve">  工业企业噪声源强调查清单（室外声源）</w:t>
            </w:r>
          </w:p>
          <w:tbl>
            <w:tblPr>
              <w:tblStyle w:val="32"/>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999"/>
              <w:gridCol w:w="870"/>
              <w:gridCol w:w="825"/>
              <w:gridCol w:w="720"/>
              <w:gridCol w:w="1995"/>
              <w:gridCol w:w="2916"/>
              <w:gridCol w:w="866"/>
            </w:tblGrid>
            <w:tr w14:paraId="0636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dxa"/>
                  <w:vMerge w:val="restart"/>
                  <w:vAlign w:val="center"/>
                </w:tcPr>
                <w:p w14:paraId="62DB0E40">
                  <w:pPr>
                    <w:pStyle w:val="52"/>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999" w:type="dxa"/>
                  <w:vMerge w:val="restart"/>
                  <w:vAlign w:val="center"/>
                </w:tcPr>
                <w:p w14:paraId="7E5DA300">
                  <w:pPr>
                    <w:pStyle w:val="52"/>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声源名称</w:t>
                  </w:r>
                </w:p>
              </w:tc>
              <w:tc>
                <w:tcPr>
                  <w:tcW w:w="2415" w:type="dxa"/>
                  <w:gridSpan w:val="3"/>
                  <w:vAlign w:val="center"/>
                </w:tcPr>
                <w:p w14:paraId="03302014">
                  <w:pPr>
                    <w:pStyle w:val="52"/>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空间相对位置/m</w:t>
                  </w:r>
                </w:p>
              </w:tc>
              <w:tc>
                <w:tcPr>
                  <w:tcW w:w="1995" w:type="dxa"/>
                  <w:vAlign w:val="center"/>
                </w:tcPr>
                <w:p w14:paraId="3CABEF39">
                  <w:pPr>
                    <w:pStyle w:val="52"/>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声源源强</w:t>
                  </w:r>
                </w:p>
              </w:tc>
              <w:tc>
                <w:tcPr>
                  <w:tcW w:w="2916" w:type="dxa"/>
                  <w:vMerge w:val="restart"/>
                  <w:vAlign w:val="center"/>
                </w:tcPr>
                <w:p w14:paraId="1EA3F2D4">
                  <w:pPr>
                    <w:pStyle w:val="52"/>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声源控制措施</w:t>
                  </w:r>
                </w:p>
              </w:tc>
              <w:tc>
                <w:tcPr>
                  <w:tcW w:w="866" w:type="dxa"/>
                  <w:vMerge w:val="restart"/>
                  <w:vAlign w:val="center"/>
                </w:tcPr>
                <w:p w14:paraId="69DD4EB6">
                  <w:pPr>
                    <w:pStyle w:val="52"/>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运行时段</w:t>
                  </w:r>
                </w:p>
              </w:tc>
            </w:tr>
            <w:tr w14:paraId="59B8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dxa"/>
                  <w:vMerge w:val="continue"/>
                  <w:vAlign w:val="center"/>
                </w:tcPr>
                <w:p w14:paraId="563334EB">
                  <w:pPr>
                    <w:pStyle w:val="52"/>
                    <w:spacing w:line="240" w:lineRule="auto"/>
                    <w:rPr>
                      <w:rFonts w:hint="default" w:ascii="Times New Roman" w:hAnsi="Times New Roman" w:cs="Times New Roman"/>
                      <w:color w:val="auto"/>
                      <w:sz w:val="21"/>
                      <w:szCs w:val="21"/>
                      <w:lang w:val="en-US" w:eastAsia="zh-CN"/>
                    </w:rPr>
                  </w:pPr>
                </w:p>
              </w:tc>
              <w:tc>
                <w:tcPr>
                  <w:tcW w:w="999" w:type="dxa"/>
                  <w:vMerge w:val="continue"/>
                  <w:vAlign w:val="center"/>
                </w:tcPr>
                <w:p w14:paraId="1C98C77E">
                  <w:pPr>
                    <w:pStyle w:val="52"/>
                    <w:spacing w:line="240" w:lineRule="auto"/>
                    <w:rPr>
                      <w:rFonts w:hint="default" w:ascii="Times New Roman" w:hAnsi="Times New Roman" w:cs="Times New Roman"/>
                      <w:color w:val="auto"/>
                      <w:sz w:val="21"/>
                      <w:szCs w:val="21"/>
                      <w:lang w:val="en-US" w:eastAsia="zh-CN"/>
                    </w:rPr>
                  </w:pPr>
                </w:p>
              </w:tc>
              <w:tc>
                <w:tcPr>
                  <w:tcW w:w="870" w:type="dxa"/>
                  <w:vAlign w:val="center"/>
                </w:tcPr>
                <w:p w14:paraId="00D73F1B">
                  <w:pPr>
                    <w:pStyle w:val="52"/>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X</w:t>
                  </w:r>
                </w:p>
              </w:tc>
              <w:tc>
                <w:tcPr>
                  <w:tcW w:w="825" w:type="dxa"/>
                  <w:vAlign w:val="center"/>
                </w:tcPr>
                <w:p w14:paraId="3CBBE9C9">
                  <w:pPr>
                    <w:pStyle w:val="52"/>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Y</w:t>
                  </w:r>
                </w:p>
              </w:tc>
              <w:tc>
                <w:tcPr>
                  <w:tcW w:w="720" w:type="dxa"/>
                  <w:vAlign w:val="center"/>
                </w:tcPr>
                <w:p w14:paraId="1AEE060D">
                  <w:pPr>
                    <w:pStyle w:val="52"/>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Z</w:t>
                  </w:r>
                </w:p>
              </w:tc>
              <w:tc>
                <w:tcPr>
                  <w:tcW w:w="1995" w:type="dxa"/>
                  <w:vAlign w:val="center"/>
                </w:tcPr>
                <w:p w14:paraId="4BD15A94">
                  <w:pPr>
                    <w:pStyle w:val="52"/>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zh-CN"/>
                    </w:rPr>
                    <w:t>（声压级</w:t>
                  </w:r>
                  <w:r>
                    <w:rPr>
                      <w:rFonts w:hint="default" w:ascii="Times New Roman" w:hAnsi="Times New Roman" w:cs="Times New Roman"/>
                      <w:color w:val="auto"/>
                      <w:sz w:val="21"/>
                      <w:szCs w:val="21"/>
                      <w:lang w:val="en-US" w:eastAsia="zh-CN"/>
                    </w:rPr>
                    <w:t>/距声源距离</w:t>
                  </w:r>
                  <w:r>
                    <w:rPr>
                      <w:rFonts w:hint="default" w:ascii="Times New Roman" w:hAnsi="Times New Roman" w:cs="Times New Roman"/>
                      <w:color w:val="auto"/>
                      <w:sz w:val="21"/>
                      <w:szCs w:val="21"/>
                      <w:lang w:val="zh-CN"/>
                    </w:rPr>
                    <w:t>）</w:t>
                  </w:r>
                  <w:r>
                    <w:rPr>
                      <w:rFonts w:hint="default" w:ascii="Times New Roman" w:hAnsi="Times New Roman" w:cs="Times New Roman"/>
                      <w:color w:val="auto"/>
                      <w:sz w:val="21"/>
                      <w:szCs w:val="21"/>
                      <w:lang w:val="en-US" w:eastAsia="zh-CN"/>
                    </w:rPr>
                    <w:t>/（dB（A）/m）</w:t>
                  </w:r>
                </w:p>
              </w:tc>
              <w:tc>
                <w:tcPr>
                  <w:tcW w:w="2916" w:type="dxa"/>
                  <w:vMerge w:val="continue"/>
                  <w:vAlign w:val="center"/>
                </w:tcPr>
                <w:p w14:paraId="7F9A5046">
                  <w:pPr>
                    <w:pStyle w:val="52"/>
                    <w:spacing w:line="240" w:lineRule="auto"/>
                    <w:rPr>
                      <w:rFonts w:hint="default" w:ascii="Times New Roman" w:hAnsi="Times New Roman" w:cs="Times New Roman"/>
                      <w:color w:val="auto"/>
                      <w:sz w:val="21"/>
                      <w:szCs w:val="21"/>
                      <w:lang w:val="en-US" w:eastAsia="zh-CN"/>
                    </w:rPr>
                  </w:pPr>
                </w:p>
              </w:tc>
              <w:tc>
                <w:tcPr>
                  <w:tcW w:w="866" w:type="dxa"/>
                  <w:vMerge w:val="continue"/>
                  <w:vAlign w:val="center"/>
                </w:tcPr>
                <w:p w14:paraId="58BDC5EC">
                  <w:pPr>
                    <w:pStyle w:val="52"/>
                    <w:spacing w:line="240" w:lineRule="auto"/>
                    <w:rPr>
                      <w:rFonts w:hint="default" w:ascii="Times New Roman" w:hAnsi="Times New Roman" w:cs="Times New Roman"/>
                      <w:color w:val="auto"/>
                      <w:sz w:val="21"/>
                      <w:szCs w:val="21"/>
                      <w:lang w:val="en-US" w:eastAsia="zh-CN"/>
                    </w:rPr>
                  </w:pPr>
                </w:p>
              </w:tc>
            </w:tr>
            <w:tr w14:paraId="19EE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dxa"/>
                  <w:vAlign w:val="center"/>
                </w:tcPr>
                <w:p w14:paraId="1CF9C5AD">
                  <w:pPr>
                    <w:pStyle w:val="52"/>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999" w:type="dxa"/>
                  <w:vAlign w:val="center"/>
                </w:tcPr>
                <w:p w14:paraId="298D3F0C">
                  <w:pPr>
                    <w:keepNext w:val="0"/>
                    <w:keepLines w:val="0"/>
                    <w:widowControl/>
                    <w:suppressLineNumbers w:val="0"/>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风机</w:t>
                  </w:r>
                </w:p>
              </w:tc>
              <w:tc>
                <w:tcPr>
                  <w:tcW w:w="870" w:type="dxa"/>
                  <w:vAlign w:val="center"/>
                </w:tcPr>
                <w:p w14:paraId="66D1EE6F">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17</w:t>
                  </w:r>
                </w:p>
              </w:tc>
              <w:tc>
                <w:tcPr>
                  <w:tcW w:w="825" w:type="dxa"/>
                  <w:vAlign w:val="center"/>
                </w:tcPr>
                <w:p w14:paraId="65850C1C">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42</w:t>
                  </w:r>
                </w:p>
              </w:tc>
              <w:tc>
                <w:tcPr>
                  <w:tcW w:w="720" w:type="dxa"/>
                  <w:vAlign w:val="center"/>
                </w:tcPr>
                <w:p w14:paraId="559F6C1D">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w:t>
                  </w:r>
                </w:p>
              </w:tc>
              <w:tc>
                <w:tcPr>
                  <w:tcW w:w="1995" w:type="dxa"/>
                  <w:vAlign w:val="center"/>
                </w:tcPr>
                <w:p w14:paraId="45AFEA76">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85</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w:t>
                  </w:r>
                </w:p>
              </w:tc>
              <w:tc>
                <w:tcPr>
                  <w:tcW w:w="2916" w:type="dxa"/>
                  <w:vAlign w:val="center"/>
                </w:tcPr>
                <w:p w14:paraId="4BC57C99">
                  <w:pPr>
                    <w:pStyle w:val="52"/>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风机减速机加装隔声罩，风机安装消声器</w:t>
                  </w:r>
                  <w:r>
                    <w:rPr>
                      <w:rFonts w:hint="default" w:ascii="Times New Roman" w:hAnsi="Times New Roman" w:cs="Times New Roman"/>
                      <w:color w:val="auto"/>
                      <w:sz w:val="21"/>
                      <w:szCs w:val="21"/>
                      <w:lang w:eastAsia="zh-CN"/>
                    </w:rPr>
                    <w:t>；减振基座、机房隔声、消声器、软连接</w:t>
                  </w:r>
                  <w:r>
                    <w:rPr>
                      <w:rFonts w:hint="default" w:ascii="Times New Roman" w:hAnsi="Times New Roman" w:cs="Times New Roman"/>
                      <w:color w:val="auto"/>
                      <w:sz w:val="21"/>
                      <w:szCs w:val="21"/>
                      <w:lang w:val="en-US" w:eastAsia="zh-CN"/>
                    </w:rPr>
                    <w:t>等</w:t>
                  </w:r>
                </w:p>
              </w:tc>
              <w:tc>
                <w:tcPr>
                  <w:tcW w:w="866" w:type="dxa"/>
                  <w:vAlign w:val="center"/>
                </w:tcPr>
                <w:p w14:paraId="3C3E3573">
                  <w:pPr>
                    <w:pStyle w:val="52"/>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昼</w:t>
                  </w:r>
                  <w:r>
                    <w:rPr>
                      <w:rFonts w:hint="eastAsia" w:ascii="Times New Roman" w:hAnsi="Times New Roman" w:cs="Times New Roman"/>
                      <w:color w:val="auto"/>
                      <w:sz w:val="21"/>
                      <w:szCs w:val="21"/>
                      <w:lang w:val="en-US" w:eastAsia="zh-CN"/>
                    </w:rPr>
                    <w:t>夜</w:t>
                  </w:r>
                  <w:r>
                    <w:rPr>
                      <w:rFonts w:hint="default" w:ascii="Times New Roman" w:hAnsi="Times New Roman" w:cs="Times New Roman"/>
                      <w:color w:val="auto"/>
                      <w:sz w:val="21"/>
                      <w:szCs w:val="21"/>
                    </w:rPr>
                    <w:t>连续运行</w:t>
                  </w:r>
                </w:p>
              </w:tc>
            </w:tr>
            <w:tr w14:paraId="6095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51" w:type="dxa"/>
                  <w:gridSpan w:val="8"/>
                  <w:vAlign w:val="center"/>
                </w:tcPr>
                <w:p w14:paraId="480AD612">
                  <w:pPr>
                    <w:pStyle w:val="52"/>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zh-CN"/>
                    </w:rPr>
                    <w:t>注：</w:t>
                  </w:r>
                  <w:r>
                    <w:rPr>
                      <w:rFonts w:hint="default" w:ascii="Times New Roman" w:hAnsi="Times New Roman" w:eastAsia="宋体" w:cs="Times New Roman"/>
                      <w:b w:val="0"/>
                      <w:bCs w:val="0"/>
                      <w:color w:val="auto"/>
                      <w:sz w:val="21"/>
                      <w:szCs w:val="21"/>
                      <w:lang w:val="zh-CN"/>
                    </w:rPr>
                    <w:t>①</w:t>
                  </w:r>
                  <w:r>
                    <w:rPr>
                      <w:rFonts w:hint="default" w:ascii="Times New Roman" w:hAnsi="Times New Roman" w:eastAsia="宋体" w:cs="Times New Roman"/>
                      <w:color w:val="auto"/>
                      <w:sz w:val="21"/>
                      <w:szCs w:val="21"/>
                      <w:lang w:val="zh-CN"/>
                    </w:rPr>
                    <w:t>以</w:t>
                  </w:r>
                  <w:r>
                    <w:rPr>
                      <w:rFonts w:hint="default" w:ascii="Times New Roman" w:hAnsi="Times New Roman" w:cs="Times New Roman"/>
                      <w:color w:val="auto"/>
                      <w:sz w:val="21"/>
                      <w:szCs w:val="21"/>
                      <w:lang w:val="en-US" w:eastAsia="zh-CN"/>
                    </w:rPr>
                    <w:t>厂区</w:t>
                  </w:r>
                  <w:r>
                    <w:rPr>
                      <w:rFonts w:hint="default" w:ascii="Times New Roman" w:hAnsi="Times New Roman" w:eastAsia="宋体" w:cs="Times New Roman"/>
                      <w:color w:val="auto"/>
                      <w:sz w:val="21"/>
                      <w:szCs w:val="21"/>
                      <w:lang w:val="en-US" w:eastAsia="zh-CN"/>
                    </w:rPr>
                    <w:t>西南角为坐标圆点（0,0），X轴正向为正东方向，Y轴正向为正北方向。</w:t>
                  </w:r>
                </w:p>
                <w:p w14:paraId="436C74BA">
                  <w:pPr>
                    <w:pStyle w:val="52"/>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②主要生产设备噪声源声压级</w:t>
                  </w:r>
                  <w:r>
                    <w:rPr>
                      <w:rFonts w:hint="default" w:ascii="Times New Roman" w:hAnsi="Times New Roman" w:eastAsia="宋体" w:cs="Times New Roman"/>
                      <w:color w:val="auto"/>
                      <w:sz w:val="21"/>
                      <w:szCs w:val="21"/>
                      <w:highlight w:val="none"/>
                      <w:lang w:val="en-US" w:eastAsia="zh-CN"/>
                    </w:rPr>
                    <w:t>参考《污染源源强核算技术指南-陶瓷制品制造》（HJ1096-2020）：“附录J  陶瓷制品制造主要噪声源声压级”；降噪效果参考《污染源源强核算技术指南-陶瓷制品制造》（HJ1096-2020）：“表 E.3 陶瓷制品制造噪声污染防治技术及效果”。</w:t>
                  </w:r>
                </w:p>
              </w:tc>
            </w:tr>
          </w:tbl>
          <w:p w14:paraId="441A6F0B">
            <w:pPr>
              <w:tabs>
                <w:tab w:val="left" w:pos="432"/>
              </w:tabs>
              <w:spacing w:line="360" w:lineRule="auto"/>
              <w:ind w:firstLine="480" w:firstLineChars="2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z w:val="24"/>
                <w:szCs w:val="24"/>
                <w:lang w:val="en-US" w:eastAsia="zh-CN"/>
              </w:rPr>
              <w:t>3.2</w:t>
            </w:r>
            <w:r>
              <w:rPr>
                <w:rFonts w:hint="default" w:ascii="Times New Roman" w:hAnsi="Times New Roman" w:eastAsia="宋体" w:cs="Times New Roman"/>
                <w:bCs/>
                <w:color w:val="auto"/>
                <w:sz w:val="24"/>
                <w:szCs w:val="24"/>
                <w:lang w:eastAsia="zh-CN"/>
              </w:rPr>
              <w:t>噪声预测</w:t>
            </w:r>
          </w:p>
          <w:p w14:paraId="1E5EFE64">
            <w:pPr>
              <w:spacing w:line="360" w:lineRule="auto"/>
              <w:ind w:firstLine="472" w:firstLineChars="200"/>
              <w:rPr>
                <w:rFonts w:hint="default" w:ascii="Times New Roman" w:hAnsi="Times New Roman" w:cs="Times New Roman"/>
                <w:color w:val="auto"/>
                <w:spacing w:val="-2"/>
                <w:kern w:val="0"/>
                <w:sz w:val="24"/>
                <w:szCs w:val="24"/>
              </w:rPr>
            </w:pPr>
            <w:r>
              <w:rPr>
                <w:rFonts w:hint="default" w:ascii="Times New Roman" w:hAnsi="Times New Roman" w:cs="Times New Roman"/>
                <w:color w:val="auto"/>
                <w:spacing w:val="-2"/>
                <w:kern w:val="0"/>
                <w:sz w:val="24"/>
                <w:szCs w:val="24"/>
                <w:lang w:eastAsia="zh-CN"/>
              </w:rPr>
              <w:t>（</w:t>
            </w:r>
            <w:r>
              <w:rPr>
                <w:rFonts w:hint="default" w:ascii="Times New Roman" w:hAnsi="Times New Roman" w:cs="Times New Roman"/>
                <w:color w:val="auto"/>
                <w:spacing w:val="-2"/>
                <w:kern w:val="0"/>
                <w:sz w:val="24"/>
                <w:szCs w:val="24"/>
                <w:lang w:val="en-US" w:eastAsia="zh-CN"/>
              </w:rPr>
              <w:t>1</w:t>
            </w:r>
            <w:r>
              <w:rPr>
                <w:rFonts w:hint="default" w:ascii="Times New Roman" w:hAnsi="Times New Roman" w:cs="Times New Roman"/>
                <w:color w:val="auto"/>
                <w:spacing w:val="-2"/>
                <w:kern w:val="0"/>
                <w:sz w:val="24"/>
                <w:szCs w:val="24"/>
                <w:lang w:eastAsia="zh-CN"/>
              </w:rPr>
              <w:t>）</w:t>
            </w:r>
            <w:r>
              <w:rPr>
                <w:rFonts w:hint="default" w:ascii="Times New Roman" w:hAnsi="Times New Roman" w:cs="Times New Roman"/>
                <w:color w:val="auto"/>
                <w:spacing w:val="-2"/>
                <w:kern w:val="0"/>
                <w:sz w:val="24"/>
                <w:szCs w:val="24"/>
              </w:rPr>
              <w:t>室外声源</w:t>
            </w:r>
          </w:p>
          <w:p w14:paraId="1FFD40C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无指向性点声源几何发散衰减的基本公式是。</w:t>
            </w:r>
          </w:p>
          <w:p w14:paraId="657F538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2571750" cy="285750"/>
                  <wp:effectExtent l="0" t="0" r="0" b="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14"/>
                          <a:stretch>
                            <a:fillRect/>
                          </a:stretch>
                        </pic:blipFill>
                        <pic:spPr>
                          <a:xfrm>
                            <a:off x="0" y="0"/>
                            <a:ext cx="2571750" cy="285750"/>
                          </a:xfrm>
                          <a:prstGeom prst="rect">
                            <a:avLst/>
                          </a:prstGeom>
                          <a:noFill/>
                          <a:ln>
                            <a:noFill/>
                          </a:ln>
                        </pic:spPr>
                      </pic:pic>
                    </a:graphicData>
                  </a:graphic>
                </wp:inline>
              </w:drawing>
            </w:r>
          </w:p>
          <w:p w14:paraId="6841D8CD">
            <w:pPr>
              <w:keepNext w:val="0"/>
              <w:keepLines w:val="0"/>
              <w:widowControl w:val="0"/>
              <w:suppressLineNumbers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
                <w:sz w:val="24"/>
                <w:szCs w:val="24"/>
                <w:lang w:val="en-US" w:eastAsia="zh-CN" w:bidi="ar"/>
              </w:rPr>
              <w:t>式中：L</w:t>
            </w:r>
            <w:r>
              <w:rPr>
                <w:rFonts w:hint="default" w:ascii="Times New Roman" w:hAnsi="Times New Roman" w:eastAsia="宋体" w:cs="Times New Roman"/>
                <w:color w:val="auto"/>
                <w:kern w:val="2"/>
                <w:sz w:val="24"/>
                <w:szCs w:val="24"/>
                <w:vertAlign w:val="subscript"/>
                <w:lang w:val="en-US" w:eastAsia="zh-CN" w:bidi="ar"/>
              </w:rPr>
              <w:t>p</w:t>
            </w:r>
            <w:r>
              <w:rPr>
                <w:rFonts w:hint="default" w:ascii="Times New Roman" w:hAnsi="Times New Roman" w:eastAsia="宋体" w:cs="Times New Roman"/>
                <w:color w:val="auto"/>
                <w:kern w:val="2"/>
                <w:sz w:val="24"/>
                <w:szCs w:val="24"/>
                <w:lang w:val="en-US" w:eastAsia="zh-CN" w:bidi="ar"/>
              </w:rPr>
              <w:t xml:space="preserve">（r）——预测点处的声压级，dB； </w:t>
            </w:r>
          </w:p>
          <w:p w14:paraId="3A356F2D">
            <w:pPr>
              <w:keepNext w:val="0"/>
              <w:keepLines w:val="0"/>
              <w:widowControl w:val="0"/>
              <w:suppressLineNumbers w:val="0"/>
              <w:spacing w:line="360" w:lineRule="auto"/>
              <w:ind w:firstLine="1200" w:firstLineChars="5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
                <w:sz w:val="24"/>
                <w:szCs w:val="24"/>
                <w:lang w:val="en-US" w:eastAsia="zh-CN" w:bidi="ar"/>
              </w:rPr>
              <w:t>L</w:t>
            </w:r>
            <w:r>
              <w:rPr>
                <w:rFonts w:hint="default" w:ascii="Times New Roman" w:hAnsi="Times New Roman" w:eastAsia="宋体" w:cs="Times New Roman"/>
                <w:color w:val="auto"/>
                <w:kern w:val="2"/>
                <w:sz w:val="24"/>
                <w:szCs w:val="24"/>
                <w:vertAlign w:val="subscript"/>
                <w:lang w:val="en-US" w:eastAsia="zh-CN" w:bidi="ar"/>
              </w:rPr>
              <w:t>p</w:t>
            </w:r>
            <w:r>
              <w:rPr>
                <w:rFonts w:hint="default" w:ascii="Times New Roman" w:hAnsi="Times New Roman" w:eastAsia="宋体" w:cs="Times New Roman"/>
                <w:color w:val="auto"/>
                <w:kern w:val="2"/>
                <w:sz w:val="24"/>
                <w:szCs w:val="24"/>
                <w:lang w:val="en-US" w:eastAsia="zh-CN" w:bidi="ar"/>
              </w:rPr>
              <w:t>（r</w:t>
            </w:r>
            <w:r>
              <w:rPr>
                <w:rFonts w:hint="default" w:ascii="Times New Roman" w:hAnsi="Times New Roman" w:eastAsia="宋体" w:cs="Times New Roman"/>
                <w:color w:val="auto"/>
                <w:kern w:val="2"/>
                <w:sz w:val="24"/>
                <w:szCs w:val="24"/>
                <w:vertAlign w:val="subscript"/>
                <w:lang w:val="en-US" w:eastAsia="zh-CN" w:bidi="ar"/>
              </w:rPr>
              <w:t>0</w:t>
            </w:r>
            <w:r>
              <w:rPr>
                <w:rFonts w:hint="default" w:ascii="Times New Roman" w:hAnsi="Times New Roman" w:eastAsia="宋体" w:cs="Times New Roman"/>
                <w:color w:val="auto"/>
                <w:kern w:val="2"/>
                <w:sz w:val="24"/>
                <w:szCs w:val="24"/>
                <w:lang w:val="en-US" w:eastAsia="zh-CN" w:bidi="ar"/>
              </w:rPr>
              <w:t>）——参考位置r</w:t>
            </w:r>
            <w:r>
              <w:rPr>
                <w:rFonts w:hint="default" w:ascii="Times New Roman" w:hAnsi="Times New Roman" w:eastAsia="宋体" w:cs="Times New Roman"/>
                <w:color w:val="auto"/>
                <w:kern w:val="2"/>
                <w:sz w:val="24"/>
                <w:szCs w:val="24"/>
                <w:vertAlign w:val="subscript"/>
                <w:lang w:val="en-US" w:eastAsia="zh-CN" w:bidi="ar"/>
              </w:rPr>
              <w:t>0</w:t>
            </w:r>
            <w:r>
              <w:rPr>
                <w:rFonts w:hint="default" w:ascii="Times New Roman" w:hAnsi="Times New Roman" w:eastAsia="宋体" w:cs="Times New Roman"/>
                <w:color w:val="auto"/>
                <w:kern w:val="2"/>
                <w:sz w:val="24"/>
                <w:szCs w:val="24"/>
                <w:lang w:val="en-US" w:eastAsia="zh-CN" w:bidi="ar"/>
              </w:rPr>
              <w:t xml:space="preserve">处的声压级，dB； </w:t>
            </w:r>
          </w:p>
          <w:p w14:paraId="7AB3200C">
            <w:pPr>
              <w:keepNext w:val="0"/>
              <w:keepLines w:val="0"/>
              <w:widowControl w:val="0"/>
              <w:suppressLineNumbers w:val="0"/>
              <w:spacing w:line="360" w:lineRule="auto"/>
              <w:ind w:firstLine="1200" w:firstLineChars="5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2"/>
                <w:sz w:val="24"/>
                <w:szCs w:val="24"/>
                <w:lang w:val="en-US" w:eastAsia="zh-CN" w:bidi="ar"/>
              </w:rPr>
              <w:t>r——预测点距声源的距离，m；</w:t>
            </w:r>
          </w:p>
          <w:p w14:paraId="25F75A78">
            <w:pPr>
              <w:keepNext w:val="0"/>
              <w:keepLines w:val="0"/>
              <w:pageBreakBefore w:val="0"/>
              <w:widowControl w:val="0"/>
              <w:kinsoku/>
              <w:wordWrap/>
              <w:overflowPunct/>
              <w:topLinePunct w:val="0"/>
              <w:autoSpaceDE/>
              <w:autoSpaceDN/>
              <w:bidi w:val="0"/>
              <w:adjustRightInd w:val="0"/>
              <w:snapToGrid/>
              <w:spacing w:line="360" w:lineRule="auto"/>
              <w:ind w:firstLine="1200" w:firstLineChars="5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kern w:val="2"/>
                <w:sz w:val="24"/>
                <w:szCs w:val="24"/>
                <w:lang w:val="en-US" w:eastAsia="zh-CN" w:bidi="ar"/>
              </w:rPr>
              <w:t>r</w:t>
            </w:r>
            <w:r>
              <w:rPr>
                <w:rFonts w:hint="default" w:ascii="Times New Roman" w:hAnsi="Times New Roman" w:eastAsia="宋体" w:cs="Times New Roman"/>
                <w:color w:val="auto"/>
                <w:kern w:val="2"/>
                <w:sz w:val="24"/>
                <w:szCs w:val="24"/>
                <w:vertAlign w:val="subscript"/>
                <w:lang w:val="en-US" w:eastAsia="zh-CN" w:bidi="ar"/>
              </w:rPr>
              <w:t>0</w:t>
            </w:r>
            <w:r>
              <w:rPr>
                <w:rFonts w:hint="default" w:ascii="Times New Roman" w:hAnsi="Times New Roman" w:eastAsia="宋体" w:cs="Times New Roman"/>
                <w:color w:val="auto"/>
                <w:kern w:val="2"/>
                <w:sz w:val="24"/>
                <w:szCs w:val="24"/>
                <w:lang w:val="en-US" w:eastAsia="zh-CN" w:bidi="ar"/>
              </w:rPr>
              <w:t>——参考点距声源的距离，m；r</w:t>
            </w:r>
            <w:r>
              <w:rPr>
                <w:rFonts w:hint="default" w:ascii="Times New Roman" w:hAnsi="Times New Roman" w:eastAsia="宋体" w:cs="Times New Roman"/>
                <w:color w:val="auto"/>
                <w:kern w:val="2"/>
                <w:sz w:val="24"/>
                <w:szCs w:val="24"/>
                <w:vertAlign w:val="subscript"/>
                <w:lang w:val="en-US" w:eastAsia="zh-CN" w:bidi="ar"/>
              </w:rPr>
              <w:t>0</w:t>
            </w:r>
            <w:r>
              <w:rPr>
                <w:rFonts w:hint="default" w:ascii="Times New Roman" w:hAnsi="Times New Roman" w:eastAsia="宋体" w:cs="Times New Roman"/>
                <w:color w:val="auto"/>
                <w:kern w:val="2"/>
                <w:sz w:val="24"/>
                <w:szCs w:val="24"/>
                <w:lang w:val="en-US" w:eastAsia="zh-CN" w:bidi="ar"/>
              </w:rPr>
              <w:t>取1m。</w:t>
            </w:r>
          </w:p>
          <w:p w14:paraId="1BB25955">
            <w:pPr>
              <w:adjustRightInd w:val="0"/>
              <w:spacing w:line="360" w:lineRule="auto"/>
              <w:ind w:firstLine="472" w:firstLineChars="200"/>
              <w:rPr>
                <w:rFonts w:hint="default" w:ascii="Times New Roman" w:hAnsi="Times New Roman" w:cs="Times New Roman"/>
                <w:color w:val="auto"/>
                <w:spacing w:val="-2"/>
                <w:kern w:val="0"/>
                <w:sz w:val="24"/>
                <w:szCs w:val="24"/>
                <w:lang w:eastAsia="zh-CN"/>
              </w:rPr>
            </w:pPr>
            <w:r>
              <w:rPr>
                <w:rFonts w:hint="default" w:ascii="Times New Roman" w:hAnsi="Times New Roman" w:cs="Times New Roman"/>
                <w:color w:val="auto"/>
                <w:spacing w:val="-2"/>
                <w:kern w:val="0"/>
                <w:sz w:val="24"/>
                <w:szCs w:val="24"/>
                <w:lang w:eastAsia="zh-CN"/>
              </w:rPr>
              <w:t>如果声源处于半自由声场，则上式等效为下式。</w:t>
            </w:r>
          </w:p>
          <w:p w14:paraId="38629CDD">
            <w:pPr>
              <w:adjustRightInd w:val="0"/>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2181225" cy="314325"/>
                  <wp:effectExtent l="0" t="0" r="9525" b="952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5"/>
                          <a:stretch>
                            <a:fillRect/>
                          </a:stretch>
                        </pic:blipFill>
                        <pic:spPr>
                          <a:xfrm>
                            <a:off x="0" y="0"/>
                            <a:ext cx="2181225" cy="314325"/>
                          </a:xfrm>
                          <a:prstGeom prst="rect">
                            <a:avLst/>
                          </a:prstGeom>
                          <a:noFill/>
                          <a:ln>
                            <a:noFill/>
                          </a:ln>
                        </pic:spPr>
                      </pic:pic>
                    </a:graphicData>
                  </a:graphic>
                </wp:inline>
              </w:drawing>
            </w:r>
          </w:p>
          <w:p w14:paraId="7FD0522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i w:val="0"/>
                <w:iCs w:val="0"/>
                <w:color w:val="auto"/>
                <w:sz w:val="24"/>
                <w:szCs w:val="24"/>
              </w:rPr>
            </w:pPr>
            <w:r>
              <w:rPr>
                <w:rFonts w:hint="default" w:ascii="Times New Roman" w:hAnsi="Times New Roman" w:eastAsia="宋体" w:cs="Times New Roman"/>
                <w:b w:val="0"/>
                <w:bCs w:val="0"/>
                <w:i w:val="0"/>
                <w:iCs w:val="0"/>
                <w:color w:val="auto"/>
                <w:sz w:val="24"/>
                <w:szCs w:val="24"/>
              </w:rPr>
              <w:t>式中：L</w:t>
            </w:r>
            <w:r>
              <w:rPr>
                <w:rFonts w:hint="default" w:ascii="Times New Roman" w:hAnsi="Times New Roman" w:eastAsia="宋体" w:cs="Times New Roman"/>
                <w:b w:val="0"/>
                <w:bCs w:val="0"/>
                <w:i w:val="0"/>
                <w:iCs w:val="0"/>
                <w:color w:val="auto"/>
                <w:sz w:val="24"/>
                <w:szCs w:val="24"/>
                <w:vertAlign w:val="subscript"/>
              </w:rPr>
              <w:t>p</w:t>
            </w:r>
            <w:r>
              <w:rPr>
                <w:rFonts w:hint="default" w:ascii="Times New Roman" w:hAnsi="Times New Roman" w:eastAsia="宋体" w:cs="Times New Roman"/>
                <w:b w:val="0"/>
                <w:bCs w:val="0"/>
                <w:i w:val="0"/>
                <w:iCs w:val="0"/>
                <w:color w:val="auto"/>
                <w:sz w:val="24"/>
                <w:szCs w:val="24"/>
                <w:lang w:eastAsia="zh-CN"/>
              </w:rPr>
              <w:t>（</w:t>
            </w:r>
            <w:r>
              <w:rPr>
                <w:rFonts w:hint="default" w:ascii="Times New Roman" w:hAnsi="Times New Roman" w:eastAsia="宋体" w:cs="Times New Roman"/>
                <w:b w:val="0"/>
                <w:bCs w:val="0"/>
                <w:i w:val="0"/>
                <w:iCs w:val="0"/>
                <w:color w:val="auto"/>
                <w:sz w:val="24"/>
                <w:szCs w:val="24"/>
                <w:lang w:val="en-US" w:eastAsia="zh-CN"/>
              </w:rPr>
              <w:t>r</w:t>
            </w:r>
            <w:r>
              <w:rPr>
                <w:rFonts w:hint="default" w:ascii="Times New Roman" w:hAnsi="Times New Roman" w:eastAsia="宋体" w:cs="Times New Roman"/>
                <w:b w:val="0"/>
                <w:bCs w:val="0"/>
                <w:i w:val="0"/>
                <w:iCs w:val="0"/>
                <w:color w:val="auto"/>
                <w:sz w:val="24"/>
                <w:szCs w:val="24"/>
                <w:lang w:eastAsia="zh-CN"/>
              </w:rPr>
              <w:t>）</w:t>
            </w:r>
            <w:r>
              <w:rPr>
                <w:rFonts w:hint="default" w:ascii="Times New Roman" w:hAnsi="Times New Roman" w:eastAsia="宋体" w:cs="Times New Roman"/>
                <w:b w:val="0"/>
                <w:bCs w:val="0"/>
                <w:i w:val="0"/>
                <w:iCs w:val="0"/>
                <w:color w:val="auto"/>
                <w:sz w:val="24"/>
                <w:szCs w:val="24"/>
              </w:rPr>
              <w:t>——预测点处声压级，dB；</w:t>
            </w:r>
          </w:p>
          <w:p w14:paraId="65FAD3F3">
            <w:pPr>
              <w:keepNext w:val="0"/>
              <w:keepLines w:val="0"/>
              <w:pageBreakBefore w:val="0"/>
              <w:widowControl w:val="0"/>
              <w:kinsoku/>
              <w:wordWrap/>
              <w:overflowPunct/>
              <w:topLinePunct w:val="0"/>
              <w:autoSpaceDE/>
              <w:autoSpaceDN/>
              <w:bidi w:val="0"/>
              <w:adjustRightInd w:val="0"/>
              <w:snapToGrid/>
              <w:spacing w:line="360" w:lineRule="auto"/>
              <w:ind w:firstLine="1200" w:firstLineChars="500"/>
              <w:jc w:val="both"/>
              <w:textAlignment w:val="auto"/>
              <w:rPr>
                <w:rFonts w:hint="default" w:ascii="Times New Roman" w:hAnsi="Times New Roman" w:eastAsia="宋体" w:cs="Times New Roman"/>
                <w:b w:val="0"/>
                <w:bCs w:val="0"/>
                <w:i w:val="0"/>
                <w:iCs w:val="0"/>
                <w:color w:val="auto"/>
                <w:sz w:val="24"/>
                <w:szCs w:val="24"/>
              </w:rPr>
            </w:pPr>
            <w:r>
              <w:rPr>
                <w:rFonts w:hint="default" w:ascii="Times New Roman" w:hAnsi="Times New Roman" w:eastAsia="宋体" w:cs="Times New Roman"/>
                <w:b w:val="0"/>
                <w:bCs w:val="0"/>
                <w:i w:val="0"/>
                <w:iCs w:val="0"/>
                <w:color w:val="auto"/>
                <w:sz w:val="24"/>
                <w:szCs w:val="24"/>
              </w:rPr>
              <w:t>L</w:t>
            </w:r>
            <w:r>
              <w:rPr>
                <w:rFonts w:hint="default" w:ascii="Times New Roman" w:hAnsi="Times New Roman" w:eastAsia="宋体" w:cs="Times New Roman"/>
                <w:b w:val="0"/>
                <w:bCs w:val="0"/>
                <w:i w:val="0"/>
                <w:iCs w:val="0"/>
                <w:color w:val="auto"/>
                <w:sz w:val="24"/>
                <w:szCs w:val="24"/>
                <w:vertAlign w:val="subscript"/>
              </w:rPr>
              <w:t>w</w:t>
            </w:r>
            <w:r>
              <w:rPr>
                <w:rFonts w:hint="default" w:ascii="Times New Roman" w:hAnsi="Times New Roman" w:eastAsia="宋体" w:cs="Times New Roman"/>
                <w:b w:val="0"/>
                <w:bCs w:val="0"/>
                <w:i w:val="0"/>
                <w:iCs w:val="0"/>
                <w:color w:val="auto"/>
                <w:sz w:val="24"/>
                <w:szCs w:val="24"/>
              </w:rPr>
              <w:t>——由点声源产生的倍频带声功率级，dB；</w:t>
            </w:r>
          </w:p>
          <w:p w14:paraId="0AB1DB1A">
            <w:pPr>
              <w:keepNext w:val="0"/>
              <w:keepLines w:val="0"/>
              <w:pageBreakBefore w:val="0"/>
              <w:widowControl w:val="0"/>
              <w:kinsoku/>
              <w:wordWrap/>
              <w:overflowPunct/>
              <w:topLinePunct w:val="0"/>
              <w:autoSpaceDE/>
              <w:autoSpaceDN/>
              <w:bidi w:val="0"/>
              <w:adjustRightInd w:val="0"/>
              <w:snapToGrid/>
              <w:spacing w:line="360" w:lineRule="auto"/>
              <w:ind w:firstLine="1200" w:firstLineChars="500"/>
              <w:jc w:val="both"/>
              <w:textAlignment w:val="auto"/>
              <w:rPr>
                <w:rFonts w:hint="default" w:ascii="Times New Roman" w:hAnsi="Times New Roman" w:cs="Times New Roman"/>
                <w:i w:val="0"/>
                <w:iCs w:val="0"/>
                <w:color w:val="auto"/>
                <w:sz w:val="24"/>
                <w:szCs w:val="24"/>
                <w:lang w:eastAsia="zh-CN"/>
              </w:rPr>
            </w:pPr>
            <w:r>
              <w:rPr>
                <w:rFonts w:hint="default" w:ascii="Times New Roman" w:hAnsi="Times New Roman" w:eastAsia="宋体" w:cs="Times New Roman"/>
                <w:b w:val="0"/>
                <w:bCs w:val="0"/>
                <w:i w:val="0"/>
                <w:iCs w:val="0"/>
                <w:color w:val="auto"/>
                <w:sz w:val="24"/>
                <w:szCs w:val="24"/>
              </w:rPr>
              <w:t>r——预测点距声源的距离。</w:t>
            </w:r>
          </w:p>
          <w:p w14:paraId="2A75254A">
            <w:pPr>
              <w:adjustRightInd w:val="0"/>
              <w:spacing w:line="360" w:lineRule="auto"/>
              <w:ind w:firstLine="472" w:firstLineChars="200"/>
              <w:rPr>
                <w:rFonts w:hint="default" w:ascii="Times New Roman" w:hAnsi="Times New Roman" w:cs="Times New Roman"/>
                <w:color w:val="auto"/>
                <w:spacing w:val="-2"/>
                <w:kern w:val="0"/>
                <w:sz w:val="24"/>
                <w:szCs w:val="24"/>
              </w:rPr>
            </w:pPr>
            <w:r>
              <w:rPr>
                <w:rFonts w:hint="default" w:ascii="Times New Roman" w:hAnsi="Times New Roman" w:cs="Times New Roman"/>
                <w:color w:val="auto"/>
                <w:spacing w:val="-2"/>
                <w:kern w:val="0"/>
                <w:sz w:val="24"/>
                <w:szCs w:val="24"/>
                <w:lang w:eastAsia="zh-CN"/>
              </w:rPr>
              <w:t>（</w:t>
            </w:r>
            <w:r>
              <w:rPr>
                <w:rFonts w:hint="default" w:ascii="Times New Roman" w:hAnsi="Times New Roman" w:cs="Times New Roman"/>
                <w:color w:val="auto"/>
                <w:spacing w:val="-2"/>
                <w:kern w:val="0"/>
                <w:sz w:val="24"/>
                <w:szCs w:val="24"/>
                <w:lang w:val="en-US" w:eastAsia="zh-CN"/>
              </w:rPr>
              <w:t>2</w:t>
            </w:r>
            <w:r>
              <w:rPr>
                <w:rFonts w:hint="default" w:ascii="Times New Roman" w:hAnsi="Times New Roman" w:cs="Times New Roman"/>
                <w:color w:val="auto"/>
                <w:spacing w:val="-2"/>
                <w:kern w:val="0"/>
                <w:sz w:val="24"/>
                <w:szCs w:val="24"/>
                <w:lang w:eastAsia="zh-CN"/>
              </w:rPr>
              <w:t>）</w:t>
            </w:r>
            <w:r>
              <w:rPr>
                <w:rFonts w:hint="default" w:ascii="Times New Roman" w:hAnsi="Times New Roman" w:cs="Times New Roman"/>
                <w:color w:val="auto"/>
                <w:spacing w:val="-2"/>
                <w:kern w:val="0"/>
                <w:sz w:val="24"/>
                <w:szCs w:val="24"/>
              </w:rPr>
              <w:t>室内声源</w:t>
            </w:r>
          </w:p>
          <w:p w14:paraId="4F1AACA9">
            <w:pPr>
              <w:adjustRightInd w:val="0"/>
              <w:spacing w:line="360" w:lineRule="auto"/>
              <w:ind w:firstLine="472"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pacing w:val="-2"/>
                <w:kern w:val="0"/>
                <w:sz w:val="24"/>
                <w:szCs w:val="24"/>
              </w:rPr>
              <w:t>①</w:t>
            </w:r>
            <w:r>
              <w:rPr>
                <w:rFonts w:hint="default" w:ascii="Times New Roman" w:hAnsi="Times New Roman" w:eastAsia="宋体" w:cs="Times New Roman"/>
                <w:b w:val="0"/>
                <w:bCs w:val="0"/>
                <w:i w:val="0"/>
                <w:iCs w:val="0"/>
                <w:color w:val="auto"/>
                <w:sz w:val="24"/>
                <w:szCs w:val="24"/>
              </w:rPr>
              <w:t>某一室内声源靠近围护结构处产生的倍频带声压级或A声级</w:t>
            </w:r>
            <w:r>
              <w:rPr>
                <w:rFonts w:hint="default" w:ascii="Times New Roman" w:hAnsi="Times New Roman" w:eastAsia="宋体" w:cs="Times New Roman"/>
                <w:color w:val="auto"/>
                <w:sz w:val="24"/>
                <w:szCs w:val="24"/>
                <w:lang w:eastAsia="zh-CN"/>
              </w:rPr>
              <w:t>。</w:t>
            </w:r>
          </w:p>
          <w:p w14:paraId="0893697F">
            <w:pPr>
              <w:adjustRightInd w:val="0"/>
              <w:spacing w:line="360" w:lineRule="auto"/>
              <w:jc w:val="center"/>
              <w:rPr>
                <w:rFonts w:hint="default" w:ascii="Times New Roman" w:hAnsi="Times New Roman" w:cs="Times New Roman"/>
                <w:color w:val="auto"/>
                <w:spacing w:val="-2"/>
                <w:kern w:val="0"/>
                <w:sz w:val="24"/>
                <w:szCs w:val="24"/>
              </w:rPr>
            </w:pPr>
            <w:r>
              <w:rPr>
                <w:rFonts w:hint="default" w:ascii="Times New Roman" w:hAnsi="Times New Roman" w:cs="Times New Roman"/>
                <w:color w:val="auto"/>
                <w:sz w:val="24"/>
                <w:szCs w:val="24"/>
              </w:rPr>
              <w:drawing>
                <wp:inline distT="0" distB="0" distL="114300" distR="114300">
                  <wp:extent cx="2952750" cy="600075"/>
                  <wp:effectExtent l="0" t="0" r="0" b="952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16"/>
                          <a:stretch>
                            <a:fillRect/>
                          </a:stretch>
                        </pic:blipFill>
                        <pic:spPr>
                          <a:xfrm>
                            <a:off x="0" y="0"/>
                            <a:ext cx="2952750" cy="600075"/>
                          </a:xfrm>
                          <a:prstGeom prst="rect">
                            <a:avLst/>
                          </a:prstGeom>
                          <a:noFill/>
                          <a:ln>
                            <a:noFill/>
                          </a:ln>
                        </pic:spPr>
                      </pic:pic>
                    </a:graphicData>
                  </a:graphic>
                </wp:inline>
              </w:drawing>
            </w:r>
          </w:p>
          <w:p w14:paraId="67C0D4CA">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w:t>
            </w:r>
            <w:r>
              <w:rPr>
                <w:rFonts w:hint="default" w:ascii="Times New Roman" w:hAnsi="Times New Roman" w:cs="Times New Roman"/>
                <w:color w:val="auto"/>
                <w:sz w:val="24"/>
                <w:szCs w:val="24"/>
                <w:vertAlign w:val="subscript"/>
              </w:rPr>
              <w:t>p1</w:t>
            </w:r>
            <w:r>
              <w:rPr>
                <w:rFonts w:hint="default" w:ascii="Times New Roman" w:hAnsi="Times New Roman" w:cs="Times New Roman"/>
                <w:color w:val="auto"/>
                <w:sz w:val="24"/>
                <w:szCs w:val="24"/>
              </w:rPr>
              <w:t>——靠近开口处（或窗户）室内某倍频带的声压级或A声级，dB；</w:t>
            </w:r>
          </w:p>
          <w:p w14:paraId="760929A1">
            <w:pPr>
              <w:tabs>
                <w:tab w:val="left" w:pos="900"/>
              </w:tabs>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w</w:t>
            </w:r>
            <w:r>
              <w:rPr>
                <w:rFonts w:hint="default" w:ascii="Times New Roman" w:hAnsi="Times New Roman" w:cs="Times New Roman"/>
                <w:color w:val="auto"/>
                <w:sz w:val="24"/>
                <w:szCs w:val="24"/>
              </w:rPr>
              <w:t>——点声源声功率级（A计权或倍频带），dB；</w:t>
            </w:r>
          </w:p>
          <w:p w14:paraId="5FD5074F">
            <w:pPr>
              <w:tabs>
                <w:tab w:val="left" w:pos="900"/>
              </w:tabs>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Q——指向性因数；通常对无指向性声源，当声源放在房间中心时，Q=1；当放在一面墙的中心时，Q=2；当放在两面墙夹角处时，Q=4；当放在三面墙夹角处时，Q=8；</w:t>
            </w:r>
          </w:p>
          <w:p w14:paraId="20D5AE74">
            <w:pPr>
              <w:tabs>
                <w:tab w:val="left" w:pos="900"/>
              </w:tabs>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R——房间常数；RS/</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α</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1，S为房间内表面面积，m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；α为平均吸声系数；</w:t>
            </w:r>
          </w:p>
          <w:p w14:paraId="5F4D33B9">
            <w:pPr>
              <w:tabs>
                <w:tab w:val="left" w:pos="900"/>
              </w:tabs>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r——声源到靠近围护结构某点处的距离，m。</w:t>
            </w:r>
          </w:p>
          <w:p w14:paraId="479255DD">
            <w:pPr>
              <w:pStyle w:val="15"/>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3286125" cy="1507490"/>
                  <wp:effectExtent l="0" t="0" r="9525" b="1651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17"/>
                          <a:stretch>
                            <a:fillRect/>
                          </a:stretch>
                        </pic:blipFill>
                        <pic:spPr>
                          <a:xfrm>
                            <a:off x="0" y="0"/>
                            <a:ext cx="3286125" cy="1507490"/>
                          </a:xfrm>
                          <a:prstGeom prst="rect">
                            <a:avLst/>
                          </a:prstGeom>
                          <a:noFill/>
                          <a:ln>
                            <a:noFill/>
                          </a:ln>
                        </pic:spPr>
                      </pic:pic>
                    </a:graphicData>
                  </a:graphic>
                </wp:inline>
              </w:drawing>
            </w:r>
          </w:p>
          <w:p w14:paraId="12AD34C1">
            <w:pPr>
              <w:pStyle w:val="22"/>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eastAsia="zh-CN"/>
              </w:rPr>
              <w:t>图</w:t>
            </w:r>
            <w:r>
              <w:rPr>
                <w:rFonts w:hint="default" w:ascii="Times New Roman" w:hAnsi="Times New Roman" w:cs="Times New Roman"/>
                <w:color w:val="auto"/>
                <w:sz w:val="21"/>
                <w:szCs w:val="21"/>
                <w:lang w:val="en-US" w:eastAsia="zh-CN"/>
              </w:rPr>
              <w:t>4.</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val="en-US" w:eastAsia="zh-CN"/>
              </w:rPr>
              <w:t xml:space="preserve">  室内声源等效为室外声源图例</w:t>
            </w:r>
          </w:p>
          <w:p w14:paraId="6B263070">
            <w:pPr>
              <w:pStyle w:val="15"/>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②然后按下式计算出所有室内声源在围护结构处产生的i倍频带叠加声压级。</w:t>
            </w:r>
          </w:p>
          <w:p w14:paraId="67FC68B0">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2857500" cy="657225"/>
                  <wp:effectExtent l="0" t="0" r="0" b="952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8"/>
                          <a:stretch>
                            <a:fillRect/>
                          </a:stretch>
                        </pic:blipFill>
                        <pic:spPr>
                          <a:xfrm>
                            <a:off x="0" y="0"/>
                            <a:ext cx="2857500" cy="657225"/>
                          </a:xfrm>
                          <a:prstGeom prst="rect">
                            <a:avLst/>
                          </a:prstGeom>
                          <a:noFill/>
                          <a:ln>
                            <a:noFill/>
                          </a:ln>
                        </pic:spPr>
                      </pic:pic>
                    </a:graphicData>
                  </a:graphic>
                </wp:inline>
              </w:drawing>
            </w:r>
          </w:p>
          <w:p w14:paraId="3A8CFC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w:t>
            </w:r>
            <w:r>
              <w:rPr>
                <w:rFonts w:hint="default" w:ascii="Times New Roman" w:hAnsi="Times New Roman" w:cs="Times New Roman"/>
                <w:color w:val="auto"/>
                <w:sz w:val="24"/>
                <w:szCs w:val="24"/>
                <w:vertAlign w:val="subscript"/>
                <w:lang w:val="en-US" w:eastAsia="zh-CN"/>
              </w:rPr>
              <w:t>pli</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——靠近围护结构处室内N个声源i倍频带的叠加声压级，dB；</w:t>
            </w:r>
          </w:p>
          <w:p w14:paraId="0DA7C761">
            <w:pPr>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p</w:t>
            </w:r>
            <w:r>
              <w:rPr>
                <w:rFonts w:hint="default" w:ascii="Times New Roman" w:hAnsi="Times New Roman" w:cs="Times New Roman"/>
                <w:color w:val="auto"/>
                <w:sz w:val="24"/>
                <w:szCs w:val="24"/>
                <w:vertAlign w:val="subscript"/>
                <w:lang w:val="en-US" w:eastAsia="zh-CN"/>
              </w:rPr>
              <w:t>l</w:t>
            </w:r>
            <w:r>
              <w:rPr>
                <w:rFonts w:hint="default" w:ascii="Times New Roman" w:hAnsi="Times New Roman" w:cs="Times New Roman"/>
                <w:color w:val="auto"/>
                <w:sz w:val="24"/>
                <w:szCs w:val="24"/>
                <w:vertAlign w:val="subscript"/>
              </w:rPr>
              <w:t xml:space="preserve">i </w:t>
            </w:r>
            <w:r>
              <w:rPr>
                <w:rFonts w:hint="default" w:ascii="Times New Roman" w:hAnsi="Times New Roman" w:cs="Times New Roman"/>
                <w:color w:val="auto"/>
                <w:sz w:val="24"/>
                <w:szCs w:val="24"/>
              </w:rPr>
              <w:t>——室内j声源i倍频带的声压级，dB；</w:t>
            </w:r>
          </w:p>
          <w:p w14:paraId="0855B764">
            <w:pPr>
              <w:spacing w:line="360" w:lineRule="auto"/>
              <w:ind w:firstLine="1200" w:firstLineChars="5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N——室内声源总数。</w:t>
            </w:r>
          </w:p>
          <w:p w14:paraId="02DFDCEE">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③在室内近似为扩散声场时，按</w:t>
            </w:r>
            <w:r>
              <w:rPr>
                <w:rFonts w:hint="default" w:ascii="Times New Roman" w:hAnsi="Times New Roman" w:cs="Times New Roman"/>
                <w:color w:val="auto"/>
                <w:sz w:val="24"/>
                <w:szCs w:val="24"/>
                <w:lang w:eastAsia="zh-CN"/>
              </w:rPr>
              <w:t>下式</w:t>
            </w:r>
            <w:r>
              <w:rPr>
                <w:rFonts w:hint="default" w:ascii="Times New Roman" w:hAnsi="Times New Roman" w:cs="Times New Roman"/>
                <w:color w:val="auto"/>
                <w:sz w:val="24"/>
                <w:szCs w:val="24"/>
              </w:rPr>
              <w:t>计算出靠近室外围护结构处的声压级</w:t>
            </w:r>
            <w:r>
              <w:rPr>
                <w:rFonts w:hint="default" w:ascii="Times New Roman" w:hAnsi="Times New Roman" w:cs="Times New Roman"/>
                <w:color w:val="auto"/>
                <w:sz w:val="24"/>
                <w:szCs w:val="24"/>
                <w:lang w:eastAsia="zh-CN"/>
              </w:rPr>
              <w:t>。</w:t>
            </w:r>
          </w:p>
          <w:p w14:paraId="4EA645A4">
            <w:pPr>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2733675" cy="352425"/>
                  <wp:effectExtent l="0" t="0" r="9525" b="952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9"/>
                          <a:stretch>
                            <a:fillRect/>
                          </a:stretch>
                        </pic:blipFill>
                        <pic:spPr>
                          <a:xfrm>
                            <a:off x="0" y="0"/>
                            <a:ext cx="2733675" cy="352425"/>
                          </a:xfrm>
                          <a:prstGeom prst="rect">
                            <a:avLst/>
                          </a:prstGeom>
                          <a:noFill/>
                          <a:ln>
                            <a:noFill/>
                          </a:ln>
                        </pic:spPr>
                      </pic:pic>
                    </a:graphicData>
                  </a:graphic>
                </wp:inline>
              </w:drawing>
            </w:r>
          </w:p>
          <w:p w14:paraId="464EBB63">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式中：L</w:t>
            </w:r>
            <w:r>
              <w:rPr>
                <w:rFonts w:hint="default" w:ascii="Times New Roman" w:hAnsi="Times New Roman" w:cs="Times New Roman"/>
                <w:color w:val="auto"/>
                <w:sz w:val="24"/>
                <w:szCs w:val="24"/>
                <w:vertAlign w:val="subscript"/>
                <w:lang w:val="en-US" w:eastAsia="zh-CN"/>
              </w:rPr>
              <w:t>p2i</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——靠近围护结构处室外N个声源i倍频带的叠加声压级，dB；</w:t>
            </w:r>
          </w:p>
          <w:p w14:paraId="6C52FE06">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lang w:val="en-US" w:eastAsia="zh-CN"/>
              </w:rPr>
              <w:t>pli</w:t>
            </w:r>
            <w:r>
              <w:rPr>
                <w:rFonts w:hint="default" w:ascii="Times New Roman" w:hAnsi="Times New Roman" w:cs="Times New Roman"/>
                <w:color w:val="auto"/>
                <w:sz w:val="24"/>
                <w:szCs w:val="24"/>
                <w:lang w:val="en-US" w:eastAsia="zh-CN"/>
              </w:rPr>
              <w:t>（T）</w:t>
            </w:r>
            <w:r>
              <w:rPr>
                <w:rFonts w:hint="default" w:ascii="Times New Roman" w:hAnsi="Times New Roman" w:cs="Times New Roman"/>
                <w:color w:val="auto"/>
                <w:sz w:val="24"/>
                <w:szCs w:val="24"/>
              </w:rPr>
              <w:t>——靠近围护结构处室内N个声源i倍频带的叠加声压级，dB；</w:t>
            </w:r>
          </w:p>
          <w:p w14:paraId="4125B7C5">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TL</w:t>
            </w:r>
            <w:r>
              <w:rPr>
                <w:rFonts w:hint="default" w:ascii="Times New Roman" w:hAnsi="Times New Roman" w:cs="Times New Roman"/>
                <w:color w:val="auto"/>
                <w:sz w:val="24"/>
                <w:szCs w:val="24"/>
                <w:vertAlign w:val="subscript"/>
              </w:rPr>
              <w:t>i</w:t>
            </w:r>
            <w:r>
              <w:rPr>
                <w:rFonts w:hint="default" w:ascii="Times New Roman" w:hAnsi="Times New Roman" w:cs="Times New Roman"/>
                <w:color w:val="auto"/>
                <w:sz w:val="24"/>
                <w:szCs w:val="24"/>
              </w:rPr>
              <w:t>——围护结构i倍频带的隔声量，dB。</w:t>
            </w:r>
          </w:p>
          <w:p w14:paraId="478E5C0B">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val="0"/>
                <w:bCs w:val="0"/>
                <w:i w:val="0"/>
                <w:iCs w:val="0"/>
                <w:color w:val="auto"/>
                <w:sz w:val="24"/>
                <w:szCs w:val="24"/>
              </w:rPr>
              <w:t>④然后按</w:t>
            </w:r>
            <w:r>
              <w:rPr>
                <w:rFonts w:hint="default" w:ascii="Times New Roman" w:hAnsi="Times New Roman" w:eastAsia="宋体" w:cs="Times New Roman"/>
                <w:b w:val="0"/>
                <w:bCs w:val="0"/>
                <w:i w:val="0"/>
                <w:iCs w:val="0"/>
                <w:color w:val="auto"/>
                <w:sz w:val="24"/>
                <w:szCs w:val="24"/>
                <w:lang w:eastAsia="zh-CN"/>
              </w:rPr>
              <w:t>下式</w:t>
            </w:r>
            <w:r>
              <w:rPr>
                <w:rFonts w:hint="default" w:ascii="Times New Roman" w:hAnsi="Times New Roman" w:eastAsia="宋体" w:cs="Times New Roman"/>
                <w:b w:val="0"/>
                <w:bCs w:val="0"/>
                <w:i w:val="0"/>
                <w:iCs w:val="0"/>
                <w:color w:val="auto"/>
                <w:sz w:val="24"/>
                <w:szCs w:val="24"/>
              </w:rPr>
              <w:t>将室外声源的声压级和透过面积换算成等效的室外声源，计算出中心位置位于透声面积（</w:t>
            </w:r>
            <w:r>
              <w:rPr>
                <w:rFonts w:hint="default" w:ascii="Times New Roman" w:hAnsi="Times New Roman" w:eastAsia="宋体" w:cs="Times New Roman"/>
                <w:b w:val="0"/>
                <w:bCs w:val="0"/>
                <w:i w:val="0"/>
                <w:iCs w:val="0"/>
                <w:color w:val="auto"/>
                <w:sz w:val="24"/>
                <w:szCs w:val="24"/>
                <w:lang w:val="en-US" w:eastAsia="zh-CN"/>
              </w:rPr>
              <w:t>S</w:t>
            </w:r>
            <w:r>
              <w:rPr>
                <w:rFonts w:hint="default" w:ascii="Times New Roman" w:hAnsi="Times New Roman" w:eastAsia="宋体" w:cs="Times New Roman"/>
                <w:b w:val="0"/>
                <w:bCs w:val="0"/>
                <w:i w:val="0"/>
                <w:iCs w:val="0"/>
                <w:color w:val="auto"/>
                <w:sz w:val="24"/>
                <w:szCs w:val="24"/>
              </w:rPr>
              <w:t>）处的等效声源的倍频带声功率级。</w:t>
            </w:r>
          </w:p>
          <w:p w14:paraId="2C56AE31">
            <w:pPr>
              <w:spacing w:line="36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drawing>
                <wp:inline distT="0" distB="0" distL="114300" distR="114300">
                  <wp:extent cx="2095500" cy="295275"/>
                  <wp:effectExtent l="0" t="0" r="0" b="9525"/>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0"/>
                          <a:stretch>
                            <a:fillRect/>
                          </a:stretch>
                        </pic:blipFill>
                        <pic:spPr>
                          <a:xfrm>
                            <a:off x="0" y="0"/>
                            <a:ext cx="2095500" cy="295275"/>
                          </a:xfrm>
                          <a:prstGeom prst="rect">
                            <a:avLst/>
                          </a:prstGeom>
                          <a:noFill/>
                          <a:ln>
                            <a:noFill/>
                          </a:ln>
                        </pic:spPr>
                      </pic:pic>
                    </a:graphicData>
                  </a:graphic>
                </wp:inline>
              </w:drawing>
            </w:r>
          </w:p>
          <w:p w14:paraId="1627A91B">
            <w:pPr>
              <w:spacing w:line="360" w:lineRule="auto"/>
              <w:ind w:firstLine="480" w:firstLineChars="200"/>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式中：L</w:t>
            </w:r>
            <w:r>
              <w:rPr>
                <w:rFonts w:hint="default" w:ascii="Times New Roman" w:hAnsi="Times New Roman" w:eastAsia="宋体" w:cs="Times New Roman"/>
                <w:b w:val="0"/>
                <w:bCs w:val="0"/>
                <w:i w:val="0"/>
                <w:iCs w:val="0"/>
                <w:color w:val="auto"/>
                <w:sz w:val="24"/>
                <w:szCs w:val="24"/>
                <w:vertAlign w:val="subscript"/>
                <w:lang w:val="en-US" w:eastAsia="zh-CN"/>
              </w:rPr>
              <w:t>w</w:t>
            </w:r>
            <w:r>
              <w:rPr>
                <w:rFonts w:hint="default" w:ascii="Times New Roman" w:hAnsi="Times New Roman" w:eastAsia="宋体" w:cs="Times New Roman"/>
                <w:b w:val="0"/>
                <w:bCs w:val="0"/>
                <w:i w:val="0"/>
                <w:iCs w:val="0"/>
                <w:color w:val="auto"/>
                <w:sz w:val="24"/>
                <w:szCs w:val="24"/>
                <w:lang w:val="en-US" w:eastAsia="zh-CN"/>
              </w:rPr>
              <w:t>——中心位置位于透声面积（S）处的等效声源的倍频带声功率级，dB；</w:t>
            </w:r>
          </w:p>
          <w:p w14:paraId="5EDB4C04">
            <w:pPr>
              <w:spacing w:line="360" w:lineRule="auto"/>
              <w:ind w:firstLine="1200" w:firstLineChars="500"/>
              <w:rPr>
                <w:rFonts w:hint="default" w:ascii="Times New Roman" w:hAnsi="Times New Roman" w:eastAsia="宋体" w:cs="Times New Roman"/>
                <w:b w:val="0"/>
                <w:bCs w:val="0"/>
                <w:i w:val="0"/>
                <w:iCs w:val="0"/>
                <w:color w:val="auto"/>
                <w:sz w:val="24"/>
                <w:szCs w:val="24"/>
                <w:lang w:val="en-US" w:eastAsia="zh-CN"/>
              </w:rPr>
            </w:pPr>
            <w:r>
              <w:rPr>
                <w:rFonts w:hint="default" w:ascii="Times New Roman" w:hAnsi="Times New Roman" w:eastAsia="宋体" w:cs="Times New Roman"/>
                <w:b w:val="0"/>
                <w:bCs w:val="0"/>
                <w:i w:val="0"/>
                <w:iCs w:val="0"/>
                <w:color w:val="auto"/>
                <w:sz w:val="24"/>
                <w:szCs w:val="24"/>
                <w:lang w:val="en-US" w:eastAsia="zh-CN"/>
              </w:rPr>
              <w:t>L</w:t>
            </w:r>
            <w:r>
              <w:rPr>
                <w:rFonts w:hint="default" w:ascii="Times New Roman" w:hAnsi="Times New Roman" w:eastAsia="宋体" w:cs="Times New Roman"/>
                <w:b w:val="0"/>
                <w:bCs w:val="0"/>
                <w:i w:val="0"/>
                <w:iCs w:val="0"/>
                <w:color w:val="auto"/>
                <w:sz w:val="24"/>
                <w:szCs w:val="24"/>
                <w:vertAlign w:val="subscript"/>
                <w:lang w:val="en-US" w:eastAsia="zh-CN"/>
              </w:rPr>
              <w:t>p2</w:t>
            </w:r>
            <w:r>
              <w:rPr>
                <w:rFonts w:hint="default" w:ascii="Times New Roman" w:hAnsi="Times New Roman" w:eastAsia="宋体" w:cs="Times New Roman"/>
                <w:b w:val="0"/>
                <w:bCs w:val="0"/>
                <w:i w:val="0"/>
                <w:iCs w:val="0"/>
                <w:color w:val="auto"/>
                <w:sz w:val="24"/>
                <w:szCs w:val="24"/>
                <w:lang w:val="en-US" w:eastAsia="zh-CN"/>
              </w:rPr>
              <w:t>（T）——靠近围护结构处室外声源的声压级，dB；</w:t>
            </w:r>
          </w:p>
          <w:p w14:paraId="0740D300">
            <w:pPr>
              <w:spacing w:line="360" w:lineRule="auto"/>
              <w:ind w:firstLine="1200" w:firstLineChars="500"/>
              <w:rPr>
                <w:rFonts w:hint="default" w:ascii="Times New Roman" w:hAnsi="Times New Roman" w:eastAsia="宋体" w:cs="Times New Roman"/>
                <w:b w:val="0"/>
                <w:bCs w:val="0"/>
                <w:i w:val="0"/>
                <w:iCs w:val="0"/>
                <w:color w:val="auto"/>
                <w:sz w:val="24"/>
                <w:szCs w:val="24"/>
              </w:rPr>
            </w:pPr>
            <w:r>
              <w:rPr>
                <w:rFonts w:hint="default" w:ascii="Times New Roman" w:hAnsi="Times New Roman" w:eastAsia="宋体" w:cs="Times New Roman"/>
                <w:b w:val="0"/>
                <w:bCs w:val="0"/>
                <w:i w:val="0"/>
                <w:iCs w:val="0"/>
                <w:color w:val="auto"/>
                <w:sz w:val="24"/>
                <w:szCs w:val="24"/>
                <w:lang w:val="en-US" w:eastAsia="zh-CN"/>
              </w:rPr>
              <w:t>S——透声面积，m</w:t>
            </w:r>
            <w:r>
              <w:rPr>
                <w:rFonts w:hint="default" w:ascii="Times New Roman" w:hAnsi="Times New Roman" w:eastAsia="宋体" w:cs="Times New Roman"/>
                <w:b w:val="0"/>
                <w:bCs w:val="0"/>
                <w:i w:val="0"/>
                <w:iCs w:val="0"/>
                <w:color w:val="auto"/>
                <w:sz w:val="24"/>
                <w:szCs w:val="24"/>
                <w:vertAlign w:val="superscript"/>
                <w:lang w:val="en-US" w:eastAsia="zh-CN"/>
              </w:rPr>
              <w:t>2</w:t>
            </w:r>
            <w:r>
              <w:rPr>
                <w:rFonts w:hint="default" w:ascii="Times New Roman" w:hAnsi="Times New Roman" w:eastAsia="宋体" w:cs="Times New Roman"/>
                <w:b w:val="0"/>
                <w:bCs w:val="0"/>
                <w:i w:val="0"/>
                <w:iCs w:val="0"/>
                <w:color w:val="auto"/>
                <w:sz w:val="24"/>
                <w:szCs w:val="24"/>
                <w:lang w:val="en-US" w:eastAsia="zh-CN"/>
              </w:rPr>
              <w:t>。</w:t>
            </w:r>
          </w:p>
          <w:p w14:paraId="5980E4A9">
            <w:pPr>
              <w:pStyle w:val="82"/>
              <w:snapToGrid/>
              <w:spacing w:line="360" w:lineRule="auto"/>
              <w:rPr>
                <w:rFonts w:hint="default" w:ascii="Times New Roman" w:hAnsi="Times New Roman" w:eastAsia="宋体" w:cs="Times New Roman"/>
                <w:i w:val="0"/>
                <w:iCs w:val="0"/>
                <w:color w:val="auto"/>
                <w:kern w:val="2"/>
                <w:sz w:val="24"/>
                <w:szCs w:val="24"/>
              </w:rPr>
            </w:pPr>
            <w:r>
              <w:rPr>
                <w:rFonts w:hint="default" w:ascii="Times New Roman" w:hAnsi="Times New Roman" w:eastAsia="宋体" w:cs="Times New Roman"/>
                <w:b w:val="0"/>
                <w:bCs w:val="0"/>
                <w:i w:val="0"/>
                <w:iCs w:val="0"/>
                <w:color w:val="auto"/>
                <w:kern w:val="2"/>
                <w:sz w:val="24"/>
                <w:szCs w:val="24"/>
                <w:lang w:val="en-US" w:eastAsia="zh-CN" w:bidi="ar-SA"/>
              </w:rPr>
              <w:t>⑤</w:t>
            </w:r>
            <w:r>
              <w:rPr>
                <w:rFonts w:hint="default" w:ascii="Times New Roman" w:hAnsi="Times New Roman" w:eastAsia="宋体" w:cs="Times New Roman"/>
                <w:b w:val="0"/>
                <w:bCs w:val="0"/>
                <w:i w:val="0"/>
                <w:iCs w:val="0"/>
                <w:color w:val="auto"/>
                <w:sz w:val="24"/>
                <w:szCs w:val="24"/>
              </w:rPr>
              <w:t>设第i个室外声源在预测点产生的A声级为L</w:t>
            </w:r>
            <w:r>
              <w:rPr>
                <w:rFonts w:hint="default" w:ascii="Times New Roman" w:hAnsi="Times New Roman" w:eastAsia="宋体" w:cs="Times New Roman"/>
                <w:b w:val="0"/>
                <w:bCs w:val="0"/>
                <w:i w:val="0"/>
                <w:iCs w:val="0"/>
                <w:color w:val="auto"/>
                <w:sz w:val="24"/>
                <w:szCs w:val="24"/>
                <w:vertAlign w:val="subscript"/>
              </w:rPr>
              <w:t>Ai</w:t>
            </w:r>
            <w:r>
              <w:rPr>
                <w:rFonts w:hint="default" w:ascii="Times New Roman" w:hAnsi="Times New Roman" w:eastAsia="宋体" w:cs="Times New Roman"/>
                <w:b w:val="0"/>
                <w:bCs w:val="0"/>
                <w:i w:val="0"/>
                <w:iCs w:val="0"/>
                <w:color w:val="auto"/>
                <w:sz w:val="24"/>
                <w:szCs w:val="24"/>
              </w:rPr>
              <w:t>，在T时间内该声源工作时间为t</w:t>
            </w:r>
            <w:r>
              <w:rPr>
                <w:rFonts w:hint="default" w:ascii="Times New Roman" w:hAnsi="Times New Roman" w:eastAsia="宋体" w:cs="Times New Roman"/>
                <w:b w:val="0"/>
                <w:bCs w:val="0"/>
                <w:i w:val="0"/>
                <w:iCs w:val="0"/>
                <w:color w:val="auto"/>
                <w:sz w:val="24"/>
                <w:szCs w:val="24"/>
                <w:vertAlign w:val="subscript"/>
              </w:rPr>
              <w:t>i</w:t>
            </w:r>
            <w:r>
              <w:rPr>
                <w:rFonts w:hint="default" w:ascii="Times New Roman" w:hAnsi="Times New Roman" w:eastAsia="宋体" w:cs="Times New Roman"/>
                <w:b w:val="0"/>
                <w:bCs w:val="0"/>
                <w:i w:val="0"/>
                <w:iCs w:val="0"/>
                <w:color w:val="auto"/>
                <w:sz w:val="24"/>
                <w:szCs w:val="24"/>
              </w:rPr>
              <w:t>；第j个等效室外声源在预测点产生的A声级为L</w:t>
            </w:r>
            <w:r>
              <w:rPr>
                <w:rFonts w:hint="default" w:ascii="Times New Roman" w:hAnsi="Times New Roman" w:eastAsia="宋体" w:cs="Times New Roman"/>
                <w:b w:val="0"/>
                <w:bCs w:val="0"/>
                <w:i w:val="0"/>
                <w:iCs w:val="0"/>
                <w:color w:val="auto"/>
                <w:sz w:val="24"/>
                <w:szCs w:val="24"/>
                <w:vertAlign w:val="subscript"/>
              </w:rPr>
              <w:t>Aj</w:t>
            </w:r>
            <w:r>
              <w:rPr>
                <w:rFonts w:hint="default" w:ascii="Times New Roman" w:hAnsi="Times New Roman" w:eastAsia="宋体" w:cs="Times New Roman"/>
                <w:b w:val="0"/>
                <w:bCs w:val="0"/>
                <w:i w:val="0"/>
                <w:iCs w:val="0"/>
                <w:color w:val="auto"/>
                <w:sz w:val="24"/>
                <w:szCs w:val="24"/>
              </w:rPr>
              <w:t>，在T时间内该声源工作时间为t</w:t>
            </w:r>
            <w:r>
              <w:rPr>
                <w:rFonts w:hint="default" w:ascii="Times New Roman" w:hAnsi="Times New Roman" w:eastAsia="宋体" w:cs="Times New Roman"/>
                <w:b w:val="0"/>
                <w:bCs w:val="0"/>
                <w:i w:val="0"/>
                <w:iCs w:val="0"/>
                <w:color w:val="auto"/>
                <w:sz w:val="24"/>
                <w:szCs w:val="24"/>
                <w:vertAlign w:val="subscript"/>
              </w:rPr>
              <w:t>j</w:t>
            </w:r>
            <w:r>
              <w:rPr>
                <w:rFonts w:hint="default" w:ascii="Times New Roman" w:hAnsi="Times New Roman" w:eastAsia="宋体" w:cs="Times New Roman"/>
                <w:b w:val="0"/>
                <w:bCs w:val="0"/>
                <w:i w:val="0"/>
                <w:iCs w:val="0"/>
                <w:color w:val="auto"/>
                <w:sz w:val="24"/>
                <w:szCs w:val="24"/>
              </w:rPr>
              <w:t>，则拟建工程声源对预测点产生的贡献值（Leqg）为</w:t>
            </w:r>
            <w:r>
              <w:rPr>
                <w:rFonts w:hint="default" w:ascii="Times New Roman" w:hAnsi="Times New Roman" w:eastAsia="宋体" w:cs="Times New Roman"/>
                <w:i w:val="0"/>
                <w:iCs w:val="0"/>
                <w:color w:val="auto"/>
                <w:kern w:val="2"/>
                <w:sz w:val="24"/>
                <w:szCs w:val="24"/>
              </w:rPr>
              <w:t>：</w:t>
            </w:r>
          </w:p>
          <w:p w14:paraId="700AE875">
            <w:pPr>
              <w:pStyle w:val="82"/>
              <w:snapToGrid/>
              <w:spacing w:line="360" w:lineRule="auto"/>
              <w:ind w:left="0" w:leftChars="0" w:firstLine="0" w:firstLineChars="0"/>
              <w:jc w:val="center"/>
              <w:rPr>
                <w:rFonts w:hint="default" w:ascii="Times New Roman" w:hAnsi="Times New Roman" w:eastAsia="宋体" w:cs="Times New Roman"/>
                <w:color w:val="auto"/>
                <w:kern w:val="2"/>
                <w:sz w:val="24"/>
                <w:szCs w:val="24"/>
                <w:vertAlign w:val="subscript"/>
              </w:rPr>
            </w:pPr>
            <w:r>
              <w:rPr>
                <w:rFonts w:hint="default" w:ascii="Times New Roman" w:hAnsi="Times New Roman" w:cs="Times New Roman"/>
                <w:color w:val="auto"/>
                <w:sz w:val="24"/>
                <w:szCs w:val="24"/>
              </w:rPr>
              <w:drawing>
                <wp:inline distT="0" distB="0" distL="114300" distR="114300">
                  <wp:extent cx="3038475" cy="609600"/>
                  <wp:effectExtent l="0" t="0" r="9525" b="0"/>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21"/>
                          <a:stretch>
                            <a:fillRect/>
                          </a:stretch>
                        </pic:blipFill>
                        <pic:spPr>
                          <a:xfrm>
                            <a:off x="0" y="0"/>
                            <a:ext cx="3038475" cy="609600"/>
                          </a:xfrm>
                          <a:prstGeom prst="rect">
                            <a:avLst/>
                          </a:prstGeom>
                          <a:noFill/>
                          <a:ln>
                            <a:noFill/>
                          </a:ln>
                        </pic:spPr>
                      </pic:pic>
                    </a:graphicData>
                  </a:graphic>
                </wp:inline>
              </w:drawing>
            </w:r>
          </w:p>
          <w:p w14:paraId="671D789F">
            <w:pPr>
              <w:spacing w:line="360" w:lineRule="auto"/>
              <w:ind w:left="1439" w:leftChars="228" w:hanging="960" w:hangingChars="400"/>
              <w:rPr>
                <w:rFonts w:hint="default" w:ascii="Times New Roman" w:hAnsi="Times New Roman" w:eastAsia="宋体" w:cs="Times New Roman"/>
                <w:b w:val="0"/>
                <w:bCs w:val="0"/>
                <w:i w:val="0"/>
                <w:iCs w:val="0"/>
                <w:color w:val="auto"/>
                <w:sz w:val="24"/>
                <w:szCs w:val="24"/>
              </w:rPr>
            </w:pPr>
            <w:r>
              <w:rPr>
                <w:rFonts w:hint="default" w:ascii="Times New Roman" w:hAnsi="Times New Roman" w:eastAsia="宋体" w:cs="Times New Roman"/>
                <w:b w:val="0"/>
                <w:bCs w:val="0"/>
                <w:i w:val="0"/>
                <w:iCs w:val="0"/>
                <w:color w:val="auto"/>
                <w:sz w:val="24"/>
                <w:szCs w:val="24"/>
              </w:rPr>
              <w:t>式中：L</w:t>
            </w:r>
            <w:r>
              <w:rPr>
                <w:rFonts w:hint="default" w:ascii="Times New Roman" w:hAnsi="Times New Roman" w:eastAsia="宋体" w:cs="Times New Roman"/>
                <w:b w:val="0"/>
                <w:bCs w:val="0"/>
                <w:i w:val="0"/>
                <w:iCs w:val="0"/>
                <w:color w:val="auto"/>
                <w:sz w:val="24"/>
                <w:szCs w:val="24"/>
                <w:vertAlign w:val="subscript"/>
              </w:rPr>
              <w:t>eqg</w:t>
            </w:r>
            <w:r>
              <w:rPr>
                <w:rFonts w:hint="default" w:ascii="Times New Roman" w:hAnsi="Times New Roman" w:eastAsia="宋体" w:cs="Times New Roman"/>
                <w:b w:val="0"/>
                <w:bCs w:val="0"/>
                <w:i w:val="0"/>
                <w:iCs w:val="0"/>
                <w:color w:val="auto"/>
                <w:sz w:val="24"/>
                <w:szCs w:val="24"/>
              </w:rPr>
              <w:t>——建设项目声源在预测点产生的噪声贡献值，dB；</w:t>
            </w:r>
          </w:p>
          <w:p w14:paraId="72A280FB">
            <w:pPr>
              <w:spacing w:line="360" w:lineRule="auto"/>
              <w:ind w:left="1437" w:leftChars="570" w:hanging="240" w:hangingChars="100"/>
              <w:rPr>
                <w:rFonts w:hint="default" w:ascii="Times New Roman" w:hAnsi="Times New Roman" w:eastAsia="宋体" w:cs="Times New Roman"/>
                <w:b w:val="0"/>
                <w:bCs w:val="0"/>
                <w:i w:val="0"/>
                <w:iCs w:val="0"/>
                <w:color w:val="auto"/>
                <w:sz w:val="24"/>
                <w:szCs w:val="24"/>
              </w:rPr>
            </w:pPr>
            <w:r>
              <w:rPr>
                <w:rFonts w:hint="default" w:ascii="Times New Roman" w:hAnsi="Times New Roman" w:eastAsia="宋体" w:cs="Times New Roman"/>
                <w:b w:val="0"/>
                <w:bCs w:val="0"/>
                <w:i w:val="0"/>
                <w:iCs w:val="0"/>
                <w:color w:val="auto"/>
                <w:sz w:val="24"/>
                <w:szCs w:val="24"/>
              </w:rPr>
              <w:t>T——用于计算等效声级的时间，s；</w:t>
            </w:r>
          </w:p>
          <w:p w14:paraId="36ADE94B">
            <w:pPr>
              <w:spacing w:line="360" w:lineRule="auto"/>
              <w:ind w:left="1437" w:leftChars="570" w:hanging="240" w:hangingChars="100"/>
              <w:rPr>
                <w:rFonts w:hint="default" w:ascii="Times New Roman" w:hAnsi="Times New Roman" w:eastAsia="宋体" w:cs="Times New Roman"/>
                <w:b w:val="0"/>
                <w:bCs w:val="0"/>
                <w:i w:val="0"/>
                <w:iCs w:val="0"/>
                <w:color w:val="auto"/>
                <w:sz w:val="24"/>
                <w:szCs w:val="24"/>
              </w:rPr>
            </w:pPr>
            <w:r>
              <w:rPr>
                <w:rFonts w:hint="default" w:ascii="Times New Roman" w:hAnsi="Times New Roman" w:eastAsia="宋体" w:cs="Times New Roman"/>
                <w:b w:val="0"/>
                <w:bCs w:val="0"/>
                <w:i w:val="0"/>
                <w:iCs w:val="0"/>
                <w:color w:val="auto"/>
                <w:sz w:val="24"/>
                <w:szCs w:val="24"/>
              </w:rPr>
              <w:t>N——室外声源个数；</w:t>
            </w:r>
          </w:p>
          <w:p w14:paraId="5D21680E">
            <w:pPr>
              <w:spacing w:line="360" w:lineRule="auto"/>
              <w:ind w:left="1437" w:leftChars="570" w:hanging="240" w:hangingChars="100"/>
              <w:rPr>
                <w:rFonts w:hint="default" w:ascii="Times New Roman" w:hAnsi="Times New Roman" w:eastAsia="宋体" w:cs="Times New Roman"/>
                <w:b w:val="0"/>
                <w:bCs w:val="0"/>
                <w:i w:val="0"/>
                <w:iCs w:val="0"/>
                <w:color w:val="auto"/>
                <w:sz w:val="24"/>
                <w:szCs w:val="24"/>
              </w:rPr>
            </w:pPr>
            <w:r>
              <w:rPr>
                <w:rFonts w:hint="default" w:ascii="Times New Roman" w:hAnsi="Times New Roman" w:eastAsia="宋体" w:cs="Times New Roman"/>
                <w:b w:val="0"/>
                <w:bCs w:val="0"/>
                <w:i w:val="0"/>
                <w:iCs w:val="0"/>
                <w:color w:val="auto"/>
                <w:sz w:val="24"/>
                <w:szCs w:val="24"/>
              </w:rPr>
              <w:t>t</w:t>
            </w:r>
            <w:r>
              <w:rPr>
                <w:rFonts w:hint="default" w:ascii="Times New Roman" w:hAnsi="Times New Roman" w:eastAsia="宋体" w:cs="Times New Roman"/>
                <w:b w:val="0"/>
                <w:bCs w:val="0"/>
                <w:i w:val="0"/>
                <w:iCs w:val="0"/>
                <w:color w:val="auto"/>
                <w:sz w:val="24"/>
                <w:szCs w:val="24"/>
                <w:vertAlign w:val="subscript"/>
              </w:rPr>
              <w:t>i</w:t>
            </w:r>
            <w:r>
              <w:rPr>
                <w:rFonts w:hint="default" w:ascii="Times New Roman" w:hAnsi="Times New Roman" w:eastAsia="宋体" w:cs="Times New Roman"/>
                <w:b w:val="0"/>
                <w:bCs w:val="0"/>
                <w:i w:val="0"/>
                <w:iCs w:val="0"/>
                <w:color w:val="auto"/>
                <w:sz w:val="24"/>
                <w:szCs w:val="24"/>
              </w:rPr>
              <w:t>——在T时间内i声源工作时间，s；</w:t>
            </w:r>
          </w:p>
          <w:p w14:paraId="23D4A306">
            <w:pPr>
              <w:spacing w:line="360" w:lineRule="auto"/>
              <w:ind w:left="1437" w:leftChars="570" w:hanging="240" w:hangingChars="100"/>
              <w:rPr>
                <w:rFonts w:hint="default" w:ascii="Times New Roman" w:hAnsi="Times New Roman" w:eastAsia="宋体" w:cs="Times New Roman"/>
                <w:b w:val="0"/>
                <w:bCs w:val="0"/>
                <w:i w:val="0"/>
                <w:iCs w:val="0"/>
                <w:color w:val="auto"/>
                <w:sz w:val="24"/>
                <w:szCs w:val="24"/>
              </w:rPr>
            </w:pPr>
            <w:r>
              <w:rPr>
                <w:rFonts w:hint="default" w:ascii="Times New Roman" w:hAnsi="Times New Roman" w:eastAsia="宋体" w:cs="Times New Roman"/>
                <w:b w:val="0"/>
                <w:bCs w:val="0"/>
                <w:i w:val="0"/>
                <w:iCs w:val="0"/>
                <w:color w:val="auto"/>
                <w:sz w:val="24"/>
                <w:szCs w:val="24"/>
              </w:rPr>
              <w:t>M——等效室外声源个数；</w:t>
            </w:r>
          </w:p>
          <w:p w14:paraId="026FC466">
            <w:pPr>
              <w:spacing w:line="360" w:lineRule="auto"/>
              <w:ind w:left="1437" w:leftChars="570" w:hanging="240" w:hangingChars="100"/>
              <w:rPr>
                <w:rFonts w:hint="default" w:ascii="Times New Roman" w:hAnsi="Times New Roman" w:eastAsia="宋体" w:cs="Times New Roman"/>
                <w:b w:val="0"/>
                <w:bCs w:val="0"/>
                <w:i w:val="0"/>
                <w:iCs w:val="0"/>
                <w:color w:val="auto"/>
                <w:sz w:val="24"/>
                <w:szCs w:val="24"/>
              </w:rPr>
            </w:pPr>
            <w:r>
              <w:rPr>
                <w:rFonts w:hint="default" w:ascii="Times New Roman" w:hAnsi="Times New Roman" w:eastAsia="宋体" w:cs="Times New Roman"/>
                <w:b w:val="0"/>
                <w:bCs w:val="0"/>
                <w:i w:val="0"/>
                <w:iCs w:val="0"/>
                <w:color w:val="auto"/>
                <w:sz w:val="24"/>
                <w:szCs w:val="24"/>
              </w:rPr>
              <w:t>t</w:t>
            </w:r>
            <w:r>
              <w:rPr>
                <w:rFonts w:hint="default" w:ascii="Times New Roman" w:hAnsi="Times New Roman" w:eastAsia="宋体" w:cs="Times New Roman"/>
                <w:b w:val="0"/>
                <w:bCs w:val="0"/>
                <w:i w:val="0"/>
                <w:iCs w:val="0"/>
                <w:color w:val="auto"/>
                <w:sz w:val="24"/>
                <w:szCs w:val="24"/>
                <w:vertAlign w:val="subscript"/>
              </w:rPr>
              <w:t>j</w:t>
            </w:r>
            <w:r>
              <w:rPr>
                <w:rFonts w:hint="default" w:ascii="Times New Roman" w:hAnsi="Times New Roman" w:eastAsia="宋体" w:cs="Times New Roman"/>
                <w:b w:val="0"/>
                <w:bCs w:val="0"/>
                <w:i w:val="0"/>
                <w:iCs w:val="0"/>
                <w:color w:val="auto"/>
                <w:sz w:val="24"/>
                <w:szCs w:val="24"/>
              </w:rPr>
              <w:t>——在T时间内j声源工作时间，s。</w:t>
            </w:r>
          </w:p>
          <w:p w14:paraId="7EDB04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b w:val="0"/>
                <w:bCs w:val="0"/>
                <w:i w:val="0"/>
                <w:iCs w:val="0"/>
                <w:color w:val="auto"/>
                <w:kern w:val="2"/>
                <w:sz w:val="24"/>
                <w:szCs w:val="24"/>
                <w:lang w:val="en-US" w:eastAsia="zh-CN" w:bidi="ar-SA"/>
              </w:rPr>
              <w:t>⑥</w:t>
            </w:r>
            <w:r>
              <w:rPr>
                <w:rFonts w:hint="default" w:ascii="Times New Roman" w:hAnsi="Times New Roman" w:cs="Times New Roman"/>
                <w:bCs/>
                <w:color w:val="auto"/>
                <w:sz w:val="24"/>
                <w:szCs w:val="24"/>
                <w:highlight w:val="none"/>
              </w:rPr>
              <w:t>预测点的噪声预测值</w:t>
            </w:r>
          </w:p>
          <w:p w14:paraId="368C3D2C">
            <w:pPr>
              <w:adjustRightInd w:val="0"/>
              <w:snapToGrid w:val="0"/>
              <w:spacing w:line="360" w:lineRule="auto"/>
              <w:ind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为预测项目噪声源对周围声环境的影响情况，首先预测噪声源随距离的衰减，然后将噪声源产生的噪声值与区域噪声背景值叠加，即可以预测不同距离的噪声值</w:t>
            </w:r>
            <w:r>
              <w:rPr>
                <w:rFonts w:hint="default" w:ascii="Times New Roman" w:hAnsi="Times New Roman" w:cs="Times New Roman"/>
                <w:bCs/>
                <w:color w:val="auto"/>
                <w:sz w:val="24"/>
                <w:szCs w:val="24"/>
                <w:highlight w:val="none"/>
                <w:lang w:eastAsia="zh-CN"/>
              </w:rPr>
              <w:t>（即预测点的贡献值和背景值按能量叠加方法计算得到的声级）。</w:t>
            </w:r>
            <w:r>
              <w:rPr>
                <w:rFonts w:hint="default" w:ascii="Times New Roman" w:hAnsi="Times New Roman" w:cs="Times New Roman"/>
                <w:bCs/>
                <w:color w:val="auto"/>
                <w:sz w:val="24"/>
                <w:szCs w:val="24"/>
                <w:highlight w:val="none"/>
              </w:rPr>
              <w:t>噪声预测值（L</w:t>
            </w:r>
            <w:r>
              <w:rPr>
                <w:rFonts w:hint="default" w:ascii="Times New Roman" w:hAnsi="Times New Roman" w:cs="Times New Roman"/>
                <w:bCs/>
                <w:color w:val="auto"/>
                <w:sz w:val="24"/>
                <w:szCs w:val="24"/>
                <w:highlight w:val="none"/>
                <w:vertAlign w:val="subscript"/>
              </w:rPr>
              <w:t>eq</w:t>
            </w:r>
            <w:r>
              <w:rPr>
                <w:rFonts w:hint="default" w:ascii="Times New Roman" w:hAnsi="Times New Roman" w:cs="Times New Roman"/>
                <w:bCs/>
                <w:color w:val="auto"/>
                <w:sz w:val="24"/>
                <w:szCs w:val="24"/>
                <w:highlight w:val="none"/>
              </w:rPr>
              <w:t>）计算公式为：</w:t>
            </w:r>
          </w:p>
          <w:p w14:paraId="0921C15A">
            <w:pPr>
              <w:adjustRightInd w:val="0"/>
              <w:snapToGrid w:val="0"/>
              <w:spacing w:line="360" w:lineRule="auto"/>
              <w:ind w:firstLine="480" w:firstLineChars="200"/>
              <w:jc w:val="center"/>
              <w:rPr>
                <w:rFonts w:hint="default" w:ascii="Times New Roman" w:hAnsi="Times New Roman" w:cs="Times New Roman"/>
                <w:bCs/>
                <w:color w:val="auto"/>
                <w:spacing w:val="-10"/>
                <w:sz w:val="24"/>
                <w:szCs w:val="24"/>
                <w:highlight w:val="none"/>
              </w:rPr>
            </w:pPr>
            <w:r>
              <w:rPr>
                <w:rFonts w:hint="default" w:ascii="Times New Roman" w:hAnsi="Times New Roman" w:cs="Times New Roman"/>
                <w:color w:val="auto"/>
                <w:sz w:val="24"/>
                <w:szCs w:val="24"/>
                <w:highlight w:val="none"/>
              </w:rPr>
              <w:drawing>
                <wp:inline distT="0" distB="0" distL="114300" distR="114300">
                  <wp:extent cx="2428875" cy="304800"/>
                  <wp:effectExtent l="0" t="0" r="9525" b="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22"/>
                          <a:stretch>
                            <a:fillRect/>
                          </a:stretch>
                        </pic:blipFill>
                        <pic:spPr>
                          <a:xfrm>
                            <a:off x="0" y="0"/>
                            <a:ext cx="2428875" cy="304800"/>
                          </a:xfrm>
                          <a:prstGeom prst="rect">
                            <a:avLst/>
                          </a:prstGeom>
                          <a:noFill/>
                          <a:ln>
                            <a:noFill/>
                          </a:ln>
                        </pic:spPr>
                      </pic:pic>
                    </a:graphicData>
                  </a:graphic>
                </wp:inline>
              </w:drawing>
            </w:r>
          </w:p>
          <w:p w14:paraId="48B273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式中：L</w:t>
            </w:r>
            <w:r>
              <w:rPr>
                <w:rFonts w:hint="default" w:ascii="Times New Roman" w:hAnsi="Times New Roman" w:cs="Times New Roman"/>
                <w:bCs/>
                <w:color w:val="auto"/>
                <w:sz w:val="24"/>
                <w:szCs w:val="24"/>
                <w:highlight w:val="none"/>
                <w:vertAlign w:val="subscript"/>
              </w:rPr>
              <w:t>eq</w:t>
            </w:r>
            <w:r>
              <w:rPr>
                <w:rFonts w:hint="default" w:ascii="Times New Roman" w:hAnsi="Times New Roman" w:cs="Times New Roman"/>
                <w:color w:val="auto"/>
                <w:sz w:val="24"/>
                <w:szCs w:val="24"/>
                <w:highlight w:val="none"/>
              </w:rPr>
              <w:t>——</w:t>
            </w:r>
            <w:r>
              <w:rPr>
                <w:rFonts w:hint="default" w:ascii="Times New Roman" w:hAnsi="Times New Roman" w:cs="Times New Roman"/>
                <w:bCs/>
                <w:color w:val="auto"/>
                <w:sz w:val="24"/>
                <w:szCs w:val="24"/>
                <w:highlight w:val="none"/>
              </w:rPr>
              <w:t>预测点的噪声预测值，dB；</w:t>
            </w:r>
          </w:p>
          <w:p w14:paraId="5845D66F">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L</w:t>
            </w:r>
            <w:r>
              <w:rPr>
                <w:rFonts w:hint="default" w:ascii="Times New Roman" w:hAnsi="Times New Roman" w:cs="Times New Roman"/>
                <w:bCs/>
                <w:color w:val="auto"/>
                <w:sz w:val="24"/>
                <w:szCs w:val="24"/>
                <w:highlight w:val="none"/>
                <w:vertAlign w:val="subscript"/>
              </w:rPr>
              <w:t>eqg</w:t>
            </w:r>
            <w:r>
              <w:rPr>
                <w:rFonts w:hint="default" w:ascii="Times New Roman" w:hAnsi="Times New Roman" w:cs="Times New Roman"/>
                <w:color w:val="auto"/>
                <w:sz w:val="24"/>
                <w:szCs w:val="24"/>
                <w:highlight w:val="none"/>
              </w:rPr>
              <w:t>——</w:t>
            </w:r>
            <w:r>
              <w:rPr>
                <w:rFonts w:hint="default" w:ascii="Times New Roman" w:hAnsi="Times New Roman" w:cs="Times New Roman"/>
                <w:bCs/>
                <w:color w:val="auto"/>
                <w:sz w:val="24"/>
                <w:szCs w:val="24"/>
                <w:highlight w:val="none"/>
              </w:rPr>
              <w:t>建设项目声源在预测点产生的噪声贡献值，dB；</w:t>
            </w:r>
          </w:p>
          <w:p w14:paraId="7270B11D">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L</w:t>
            </w:r>
            <w:r>
              <w:rPr>
                <w:rFonts w:hint="default" w:ascii="Times New Roman" w:hAnsi="Times New Roman" w:cs="Times New Roman"/>
                <w:bCs/>
                <w:color w:val="auto"/>
                <w:sz w:val="24"/>
                <w:szCs w:val="24"/>
                <w:highlight w:val="none"/>
                <w:vertAlign w:val="subscript"/>
              </w:rPr>
              <w:t>eqb</w:t>
            </w:r>
            <w:r>
              <w:rPr>
                <w:rFonts w:hint="default" w:ascii="Times New Roman" w:hAnsi="Times New Roman" w:cs="Times New Roman"/>
                <w:color w:val="auto"/>
                <w:sz w:val="24"/>
                <w:szCs w:val="24"/>
                <w:highlight w:val="none"/>
              </w:rPr>
              <w:t>——</w:t>
            </w:r>
            <w:r>
              <w:rPr>
                <w:rFonts w:hint="default" w:ascii="Times New Roman" w:hAnsi="Times New Roman" w:cs="Times New Roman"/>
                <w:bCs/>
                <w:color w:val="auto"/>
                <w:sz w:val="24"/>
                <w:szCs w:val="24"/>
                <w:highlight w:val="none"/>
              </w:rPr>
              <w:t>预测点的背景噪声值，dB。</w:t>
            </w:r>
          </w:p>
          <w:p w14:paraId="21191272">
            <w:pPr>
              <w:spacing w:line="360" w:lineRule="auto"/>
              <w:ind w:firstLine="480" w:firstLineChars="200"/>
              <w:rPr>
                <w:rFonts w:hint="default" w:ascii="Times New Roman" w:hAnsi="Times New Roman" w:cs="Times New Roman"/>
                <w:color w:val="auto"/>
                <w:sz w:val="24"/>
                <w:szCs w:val="24"/>
                <w:lang w:val="zh-CN"/>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zh-CN"/>
              </w:rPr>
              <w:t>预测结果评价</w:t>
            </w:r>
          </w:p>
          <w:p w14:paraId="496317A9">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根据《环境影响评价技术导则</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声环境》（HJ2.4-20</w:t>
            </w:r>
            <w:r>
              <w:rPr>
                <w:rFonts w:hint="default" w:ascii="Times New Roman" w:hAnsi="Times New Roman" w:cs="Times New Roman"/>
                <w:color w:val="auto"/>
                <w:sz w:val="24"/>
                <w:szCs w:val="24"/>
                <w:highlight w:val="none"/>
                <w:lang w:val="en-US" w:eastAsia="zh-CN"/>
              </w:rPr>
              <w:t>21</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8.5预测和评价内容-8.5.1预测建设项目在施工期和运营期所有声环境保护目标处的噪声</w:t>
            </w:r>
            <w:r>
              <w:rPr>
                <w:rFonts w:hint="default" w:ascii="Times New Roman" w:hAnsi="Times New Roman" w:cs="Times New Roman"/>
                <w:b/>
                <w:bCs/>
                <w:color w:val="auto"/>
                <w:sz w:val="24"/>
                <w:szCs w:val="24"/>
                <w:highlight w:val="none"/>
                <w:lang w:val="en-US" w:eastAsia="zh-CN"/>
              </w:rPr>
              <w:t>贡献值和预测值</w:t>
            </w:r>
            <w:r>
              <w:rPr>
                <w:rFonts w:hint="default" w:ascii="Times New Roman" w:hAnsi="Times New Roman" w:cs="Times New Roman"/>
                <w:color w:val="auto"/>
                <w:sz w:val="24"/>
                <w:szCs w:val="24"/>
                <w:highlight w:val="none"/>
                <w:lang w:val="en-US" w:eastAsia="zh-CN"/>
              </w:rPr>
              <w:t>，评价其超标和达标情况。8.5.2预测和评价建设项目在施工期和运营期厂界（场界、边界）噪声</w:t>
            </w:r>
            <w:r>
              <w:rPr>
                <w:rFonts w:hint="default" w:ascii="Times New Roman" w:hAnsi="Times New Roman" w:cs="Times New Roman"/>
                <w:b/>
                <w:bCs/>
                <w:color w:val="auto"/>
                <w:sz w:val="24"/>
                <w:szCs w:val="24"/>
                <w:highlight w:val="none"/>
                <w:lang w:val="en-US" w:eastAsia="zh-CN"/>
              </w:rPr>
              <w:t>贡献值</w:t>
            </w:r>
            <w:r>
              <w:rPr>
                <w:rFonts w:hint="default" w:ascii="Times New Roman" w:hAnsi="Times New Roman" w:cs="Times New Roman"/>
                <w:color w:val="auto"/>
                <w:sz w:val="24"/>
                <w:szCs w:val="24"/>
                <w:highlight w:val="none"/>
                <w:lang w:val="en-US" w:eastAsia="zh-CN"/>
              </w:rPr>
              <w:t>，评价其超标和达标情况。</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具体预测结果详见下表</w:t>
            </w:r>
            <w:r>
              <w:rPr>
                <w:rFonts w:hint="default"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16</w:t>
            </w:r>
            <w:r>
              <w:rPr>
                <w:rFonts w:hint="default" w:ascii="Times New Roman" w:hAnsi="Times New Roman" w:cs="Times New Roman"/>
                <w:color w:val="auto"/>
                <w:sz w:val="24"/>
                <w:szCs w:val="24"/>
                <w:highlight w:val="none"/>
              </w:rPr>
              <w:t>。</w:t>
            </w:r>
          </w:p>
          <w:p w14:paraId="05DACF4F">
            <w:pPr>
              <w:spacing w:line="240" w:lineRule="auto"/>
              <w:ind w:firstLine="422"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4.</w:t>
            </w:r>
            <w:r>
              <w:rPr>
                <w:rFonts w:hint="eastAsia" w:ascii="Times New Roman" w:hAnsi="Times New Roman" w:cs="Times New Roman"/>
                <w:b/>
                <w:bCs/>
                <w:color w:val="auto"/>
                <w:sz w:val="21"/>
                <w:szCs w:val="21"/>
                <w:highlight w:val="none"/>
                <w:lang w:val="en-US" w:eastAsia="zh-CN"/>
              </w:rPr>
              <w:t>16</w:t>
            </w:r>
            <w:r>
              <w:rPr>
                <w:rFonts w:hint="default" w:ascii="Times New Roman" w:hAnsi="Times New Roman" w:cs="Times New Roman"/>
                <w:b/>
                <w:bCs/>
                <w:color w:val="auto"/>
                <w:sz w:val="21"/>
                <w:szCs w:val="21"/>
                <w:highlight w:val="none"/>
              </w:rPr>
              <w:t xml:space="preserve">  厂界噪声预测结果一览表</w:t>
            </w:r>
          </w:p>
          <w:tbl>
            <w:tblPr>
              <w:tblStyle w:val="31"/>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2"/>
              <w:gridCol w:w="739"/>
              <w:gridCol w:w="739"/>
              <w:gridCol w:w="739"/>
              <w:gridCol w:w="739"/>
              <w:gridCol w:w="739"/>
              <w:gridCol w:w="739"/>
              <w:gridCol w:w="739"/>
              <w:gridCol w:w="741"/>
              <w:gridCol w:w="1785"/>
            </w:tblGrid>
            <w:tr w14:paraId="0FE0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2" w:type="dxa"/>
                  <w:vMerge w:val="restart"/>
                  <w:noWrap w:val="0"/>
                  <w:vAlign w:val="center"/>
                </w:tcPr>
                <w:p w14:paraId="522DBC12">
                  <w:pPr>
                    <w:spacing w:line="240" w:lineRule="auto"/>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厂界</w:t>
                  </w:r>
                </w:p>
              </w:tc>
              <w:tc>
                <w:tcPr>
                  <w:tcW w:w="1478" w:type="dxa"/>
                  <w:gridSpan w:val="2"/>
                  <w:noWrap w:val="0"/>
                  <w:vAlign w:val="center"/>
                </w:tcPr>
                <w:p w14:paraId="7D036AF3">
                  <w:pPr>
                    <w:spacing w:line="240" w:lineRule="auto"/>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贡献值</w:t>
                  </w:r>
                </w:p>
              </w:tc>
              <w:tc>
                <w:tcPr>
                  <w:tcW w:w="1478" w:type="dxa"/>
                  <w:gridSpan w:val="2"/>
                  <w:noWrap w:val="0"/>
                  <w:vAlign w:val="center"/>
                </w:tcPr>
                <w:p w14:paraId="4028E7D7">
                  <w:pPr>
                    <w:spacing w:line="240" w:lineRule="auto"/>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val="en-US" w:eastAsia="zh-CN"/>
                    </w:rPr>
                    <w:t>背景值</w:t>
                  </w:r>
                </w:p>
              </w:tc>
              <w:tc>
                <w:tcPr>
                  <w:tcW w:w="1478" w:type="dxa"/>
                  <w:gridSpan w:val="2"/>
                  <w:noWrap w:val="0"/>
                  <w:vAlign w:val="center"/>
                </w:tcPr>
                <w:p w14:paraId="64CEDBBD">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预测值</w:t>
                  </w:r>
                </w:p>
              </w:tc>
              <w:tc>
                <w:tcPr>
                  <w:tcW w:w="1480" w:type="dxa"/>
                  <w:gridSpan w:val="2"/>
                  <w:noWrap w:val="0"/>
                  <w:vAlign w:val="center"/>
                </w:tcPr>
                <w:p w14:paraId="0E5F1275">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执行标准</w:t>
                  </w:r>
                </w:p>
              </w:tc>
              <w:tc>
                <w:tcPr>
                  <w:tcW w:w="1785" w:type="dxa"/>
                  <w:vMerge w:val="restart"/>
                  <w:noWrap w:val="0"/>
                  <w:vAlign w:val="center"/>
                </w:tcPr>
                <w:p w14:paraId="670971A0">
                  <w:pPr>
                    <w:spacing w:line="240" w:lineRule="auto"/>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eastAsia="zh-CN"/>
                    </w:rPr>
                    <w:t>达标情况</w:t>
                  </w:r>
                </w:p>
              </w:tc>
            </w:tr>
            <w:tr w14:paraId="08BB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2" w:type="dxa"/>
                  <w:vMerge w:val="continue"/>
                  <w:noWrap w:val="0"/>
                  <w:vAlign w:val="center"/>
                </w:tcPr>
                <w:p w14:paraId="5C9960B2">
                  <w:pPr>
                    <w:spacing w:line="240" w:lineRule="auto"/>
                    <w:jc w:val="center"/>
                    <w:rPr>
                      <w:rFonts w:hint="default" w:ascii="Times New Roman" w:hAnsi="Times New Roman" w:cs="Times New Roman"/>
                      <w:color w:val="auto"/>
                      <w:sz w:val="21"/>
                      <w:szCs w:val="21"/>
                      <w:highlight w:val="none"/>
                    </w:rPr>
                  </w:pPr>
                </w:p>
              </w:tc>
              <w:tc>
                <w:tcPr>
                  <w:tcW w:w="739" w:type="dxa"/>
                  <w:noWrap w:val="0"/>
                  <w:vAlign w:val="center"/>
                </w:tcPr>
                <w:p w14:paraId="401C0A18">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739" w:type="dxa"/>
                  <w:noWrap w:val="0"/>
                  <w:vAlign w:val="center"/>
                </w:tcPr>
                <w:p w14:paraId="03D92B4A">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739" w:type="dxa"/>
                  <w:noWrap w:val="0"/>
                  <w:vAlign w:val="center"/>
                </w:tcPr>
                <w:p w14:paraId="5A4CD45E">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739" w:type="dxa"/>
                  <w:noWrap w:val="0"/>
                  <w:vAlign w:val="center"/>
                </w:tcPr>
                <w:p w14:paraId="27634BD6">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739" w:type="dxa"/>
                  <w:noWrap w:val="0"/>
                  <w:vAlign w:val="center"/>
                </w:tcPr>
                <w:p w14:paraId="1919283C">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739" w:type="dxa"/>
                  <w:noWrap w:val="0"/>
                  <w:vAlign w:val="center"/>
                </w:tcPr>
                <w:p w14:paraId="794C2176">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739" w:type="dxa"/>
                  <w:noWrap w:val="0"/>
                  <w:vAlign w:val="center"/>
                </w:tcPr>
                <w:p w14:paraId="0488A36B">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741" w:type="dxa"/>
                  <w:noWrap w:val="0"/>
                  <w:vAlign w:val="center"/>
                </w:tcPr>
                <w:p w14:paraId="4F7EF522">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1785" w:type="dxa"/>
                  <w:vMerge w:val="continue"/>
                  <w:noWrap w:val="0"/>
                  <w:vAlign w:val="center"/>
                </w:tcPr>
                <w:p w14:paraId="4A236E8C">
                  <w:pPr>
                    <w:spacing w:line="240" w:lineRule="auto"/>
                    <w:jc w:val="center"/>
                    <w:rPr>
                      <w:rFonts w:hint="default" w:ascii="Times New Roman" w:hAnsi="Times New Roman" w:cs="Times New Roman"/>
                      <w:color w:val="auto"/>
                      <w:sz w:val="21"/>
                      <w:szCs w:val="21"/>
                      <w:highlight w:val="none"/>
                    </w:rPr>
                  </w:pPr>
                </w:p>
              </w:tc>
            </w:tr>
            <w:tr w14:paraId="5EE5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2" w:type="dxa"/>
                  <w:noWrap w:val="0"/>
                  <w:vAlign w:val="center"/>
                </w:tcPr>
                <w:p w14:paraId="6C2797AE">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厂界东侧</w:t>
                  </w:r>
                </w:p>
              </w:tc>
              <w:tc>
                <w:tcPr>
                  <w:tcW w:w="739" w:type="dxa"/>
                  <w:shd w:val="clear" w:color="auto" w:fill="auto"/>
                  <w:noWrap w:val="0"/>
                  <w:vAlign w:val="center"/>
                </w:tcPr>
                <w:p w14:paraId="341E56AD">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54.3</w:t>
                  </w:r>
                </w:p>
              </w:tc>
              <w:tc>
                <w:tcPr>
                  <w:tcW w:w="739" w:type="dxa"/>
                  <w:noWrap w:val="0"/>
                  <w:vAlign w:val="center"/>
                </w:tcPr>
                <w:p w14:paraId="0769AEFE">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54.3</w:t>
                  </w:r>
                </w:p>
              </w:tc>
              <w:tc>
                <w:tcPr>
                  <w:tcW w:w="739" w:type="dxa"/>
                  <w:noWrap w:val="0"/>
                  <w:vAlign w:val="center"/>
                </w:tcPr>
                <w:p w14:paraId="7CE4850E">
                  <w:pPr>
                    <w:spacing w:line="240" w:lineRule="auto"/>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c>
                <w:tcPr>
                  <w:tcW w:w="739" w:type="dxa"/>
                  <w:noWrap w:val="0"/>
                  <w:vAlign w:val="center"/>
                </w:tcPr>
                <w:p w14:paraId="1921FB65">
                  <w:pPr>
                    <w:spacing w:line="240" w:lineRule="auto"/>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w:t>
                  </w:r>
                </w:p>
              </w:tc>
              <w:tc>
                <w:tcPr>
                  <w:tcW w:w="739" w:type="dxa"/>
                  <w:noWrap w:val="0"/>
                  <w:vAlign w:val="center"/>
                </w:tcPr>
                <w:p w14:paraId="62829FB4">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39" w:type="dxa"/>
                  <w:noWrap w:val="0"/>
                  <w:vAlign w:val="center"/>
                </w:tcPr>
                <w:p w14:paraId="445244C9">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39" w:type="dxa"/>
                  <w:shd w:val="clear" w:color="auto" w:fill="auto"/>
                  <w:noWrap w:val="0"/>
                  <w:vAlign w:val="center"/>
                </w:tcPr>
                <w:p w14:paraId="57B59277">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65</w:t>
                  </w:r>
                </w:p>
              </w:tc>
              <w:tc>
                <w:tcPr>
                  <w:tcW w:w="741" w:type="dxa"/>
                  <w:shd w:val="clear" w:color="auto" w:fill="auto"/>
                  <w:noWrap w:val="0"/>
                  <w:vAlign w:val="center"/>
                </w:tcPr>
                <w:p w14:paraId="5AE4C470">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55</w:t>
                  </w:r>
                </w:p>
              </w:tc>
              <w:tc>
                <w:tcPr>
                  <w:tcW w:w="1785" w:type="dxa"/>
                  <w:noWrap w:val="0"/>
                  <w:vAlign w:val="center"/>
                </w:tcPr>
                <w:p w14:paraId="55345155">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6C3DB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52" w:type="dxa"/>
                  <w:noWrap w:val="0"/>
                  <w:vAlign w:val="center"/>
                </w:tcPr>
                <w:p w14:paraId="32687E55">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厂界南侧</w:t>
                  </w:r>
                </w:p>
              </w:tc>
              <w:tc>
                <w:tcPr>
                  <w:tcW w:w="739" w:type="dxa"/>
                  <w:shd w:val="clear" w:color="auto" w:fill="auto"/>
                  <w:noWrap w:val="0"/>
                  <w:vAlign w:val="center"/>
                </w:tcPr>
                <w:p w14:paraId="2D841B0C">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51.4</w:t>
                  </w:r>
                </w:p>
              </w:tc>
              <w:tc>
                <w:tcPr>
                  <w:tcW w:w="739" w:type="dxa"/>
                  <w:noWrap w:val="0"/>
                  <w:vAlign w:val="center"/>
                </w:tcPr>
                <w:p w14:paraId="2F8C44B4">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51.4</w:t>
                  </w:r>
                </w:p>
              </w:tc>
              <w:tc>
                <w:tcPr>
                  <w:tcW w:w="739" w:type="dxa"/>
                  <w:noWrap w:val="0"/>
                  <w:vAlign w:val="center"/>
                </w:tcPr>
                <w:p w14:paraId="4E50F17B">
                  <w:pPr>
                    <w:spacing w:line="240" w:lineRule="auto"/>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c>
                <w:tcPr>
                  <w:tcW w:w="739" w:type="dxa"/>
                  <w:noWrap w:val="0"/>
                  <w:vAlign w:val="center"/>
                </w:tcPr>
                <w:p w14:paraId="4E04FD7F">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739" w:type="dxa"/>
                  <w:noWrap w:val="0"/>
                  <w:vAlign w:val="center"/>
                </w:tcPr>
                <w:p w14:paraId="4F2D577A">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39" w:type="dxa"/>
                  <w:noWrap w:val="0"/>
                  <w:vAlign w:val="center"/>
                </w:tcPr>
                <w:p w14:paraId="7AFF10D4">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39" w:type="dxa"/>
                  <w:shd w:val="clear" w:color="auto" w:fill="auto"/>
                  <w:noWrap w:val="0"/>
                  <w:vAlign w:val="center"/>
                </w:tcPr>
                <w:p w14:paraId="42B8C75A">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65</w:t>
                  </w:r>
                </w:p>
              </w:tc>
              <w:tc>
                <w:tcPr>
                  <w:tcW w:w="741" w:type="dxa"/>
                  <w:shd w:val="clear" w:color="auto" w:fill="auto"/>
                  <w:noWrap w:val="0"/>
                  <w:vAlign w:val="center"/>
                </w:tcPr>
                <w:p w14:paraId="40C3935B">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55</w:t>
                  </w:r>
                </w:p>
              </w:tc>
              <w:tc>
                <w:tcPr>
                  <w:tcW w:w="1785" w:type="dxa"/>
                  <w:noWrap w:val="0"/>
                  <w:vAlign w:val="center"/>
                </w:tcPr>
                <w:p w14:paraId="0586A3E5">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14C5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052" w:type="dxa"/>
                  <w:noWrap w:val="0"/>
                  <w:vAlign w:val="center"/>
                </w:tcPr>
                <w:p w14:paraId="6E10B754">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厂界西侧</w:t>
                  </w:r>
                </w:p>
              </w:tc>
              <w:tc>
                <w:tcPr>
                  <w:tcW w:w="739" w:type="dxa"/>
                  <w:shd w:val="clear" w:color="auto" w:fill="auto"/>
                  <w:noWrap w:val="0"/>
                  <w:vAlign w:val="center"/>
                </w:tcPr>
                <w:p w14:paraId="4F409881">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54.3</w:t>
                  </w:r>
                </w:p>
              </w:tc>
              <w:tc>
                <w:tcPr>
                  <w:tcW w:w="739" w:type="dxa"/>
                  <w:noWrap w:val="0"/>
                  <w:vAlign w:val="center"/>
                </w:tcPr>
                <w:p w14:paraId="6F18063C">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54.3</w:t>
                  </w:r>
                </w:p>
              </w:tc>
              <w:tc>
                <w:tcPr>
                  <w:tcW w:w="739" w:type="dxa"/>
                  <w:noWrap w:val="0"/>
                  <w:vAlign w:val="center"/>
                </w:tcPr>
                <w:p w14:paraId="16923021">
                  <w:pPr>
                    <w:spacing w:line="240" w:lineRule="auto"/>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c>
                <w:tcPr>
                  <w:tcW w:w="739" w:type="dxa"/>
                  <w:noWrap w:val="0"/>
                  <w:vAlign w:val="center"/>
                </w:tcPr>
                <w:p w14:paraId="694DB02D">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739" w:type="dxa"/>
                  <w:noWrap w:val="0"/>
                  <w:vAlign w:val="center"/>
                </w:tcPr>
                <w:p w14:paraId="71B0DDF9">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39" w:type="dxa"/>
                  <w:noWrap w:val="0"/>
                  <w:vAlign w:val="center"/>
                </w:tcPr>
                <w:p w14:paraId="780898B7">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39" w:type="dxa"/>
                  <w:shd w:val="clear" w:color="auto" w:fill="auto"/>
                  <w:noWrap w:val="0"/>
                  <w:vAlign w:val="center"/>
                </w:tcPr>
                <w:p w14:paraId="39C16A42">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65</w:t>
                  </w:r>
                </w:p>
              </w:tc>
              <w:tc>
                <w:tcPr>
                  <w:tcW w:w="741" w:type="dxa"/>
                  <w:shd w:val="clear" w:color="auto" w:fill="auto"/>
                  <w:noWrap w:val="0"/>
                  <w:vAlign w:val="center"/>
                </w:tcPr>
                <w:p w14:paraId="7CA44701">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55</w:t>
                  </w:r>
                </w:p>
              </w:tc>
              <w:tc>
                <w:tcPr>
                  <w:tcW w:w="1785" w:type="dxa"/>
                  <w:noWrap w:val="0"/>
                  <w:vAlign w:val="center"/>
                </w:tcPr>
                <w:p w14:paraId="040A4EFA">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14:paraId="1258C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2" w:type="dxa"/>
                  <w:noWrap w:val="0"/>
                  <w:vAlign w:val="center"/>
                </w:tcPr>
                <w:p w14:paraId="203061D2">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厂界北侧</w:t>
                  </w:r>
                </w:p>
              </w:tc>
              <w:tc>
                <w:tcPr>
                  <w:tcW w:w="739" w:type="dxa"/>
                  <w:shd w:val="clear" w:color="auto" w:fill="auto"/>
                  <w:noWrap w:val="0"/>
                  <w:vAlign w:val="center"/>
                </w:tcPr>
                <w:p w14:paraId="37B5CF76">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52.1</w:t>
                  </w:r>
                </w:p>
              </w:tc>
              <w:tc>
                <w:tcPr>
                  <w:tcW w:w="739" w:type="dxa"/>
                  <w:noWrap w:val="0"/>
                  <w:vAlign w:val="center"/>
                </w:tcPr>
                <w:p w14:paraId="7B46E3CD">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52.1</w:t>
                  </w:r>
                </w:p>
              </w:tc>
              <w:tc>
                <w:tcPr>
                  <w:tcW w:w="739" w:type="dxa"/>
                  <w:noWrap w:val="0"/>
                  <w:vAlign w:val="center"/>
                </w:tcPr>
                <w:p w14:paraId="66CA1E09">
                  <w:pPr>
                    <w:spacing w:line="240" w:lineRule="auto"/>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c>
                <w:tcPr>
                  <w:tcW w:w="739" w:type="dxa"/>
                  <w:noWrap w:val="0"/>
                  <w:vAlign w:val="center"/>
                </w:tcPr>
                <w:p w14:paraId="0EE3606E">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739" w:type="dxa"/>
                  <w:noWrap w:val="0"/>
                  <w:vAlign w:val="center"/>
                </w:tcPr>
                <w:p w14:paraId="361C0086">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39" w:type="dxa"/>
                  <w:noWrap w:val="0"/>
                  <w:vAlign w:val="center"/>
                </w:tcPr>
                <w:p w14:paraId="63505117">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739" w:type="dxa"/>
                  <w:shd w:val="clear" w:color="auto" w:fill="auto"/>
                  <w:noWrap w:val="0"/>
                  <w:vAlign w:val="center"/>
                </w:tcPr>
                <w:p w14:paraId="16C238DE">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65</w:t>
                  </w:r>
                </w:p>
              </w:tc>
              <w:tc>
                <w:tcPr>
                  <w:tcW w:w="741" w:type="dxa"/>
                  <w:shd w:val="clear" w:color="auto" w:fill="auto"/>
                  <w:noWrap w:val="0"/>
                  <w:vAlign w:val="center"/>
                </w:tcPr>
                <w:p w14:paraId="14E5EBA4">
                  <w:pPr>
                    <w:spacing w:line="240" w:lineRule="auto"/>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55</w:t>
                  </w:r>
                </w:p>
              </w:tc>
              <w:tc>
                <w:tcPr>
                  <w:tcW w:w="1785" w:type="dxa"/>
                  <w:noWrap w:val="0"/>
                  <w:vAlign w:val="center"/>
                </w:tcPr>
                <w:p w14:paraId="60EE9BF9">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14:paraId="5838EC3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由上表可见，拟建项目运营期昼间厂界</w:t>
            </w:r>
            <w:r>
              <w:rPr>
                <w:rFonts w:hint="default" w:ascii="Times New Roman" w:hAnsi="Times New Roman" w:eastAsia="宋体" w:cs="Times New Roman"/>
                <w:color w:val="auto"/>
                <w:sz w:val="24"/>
                <w:szCs w:val="24"/>
                <w:highlight w:val="none"/>
                <w:lang w:val="en-US" w:eastAsia="zh-CN"/>
              </w:rPr>
              <w:t>东侧、南侧、西侧、北侧</w:t>
            </w:r>
            <w:r>
              <w:rPr>
                <w:rFonts w:hint="default" w:ascii="Times New Roman" w:hAnsi="Times New Roman" w:eastAsia="宋体" w:cs="Times New Roman"/>
                <w:color w:val="auto"/>
                <w:sz w:val="24"/>
                <w:szCs w:val="24"/>
                <w:highlight w:val="none"/>
              </w:rPr>
              <w:t>噪声贡献值满足《工业企业厂界环境噪声排放标准》（GB12348-2008）</w:t>
            </w:r>
            <w:r>
              <w:rPr>
                <w:rFonts w:hint="default" w:ascii="Times New Roman" w:hAnsi="Times New Roman" w:eastAsia="宋体" w:cs="Times New Roman"/>
                <w:color w:val="auto"/>
                <w:sz w:val="24"/>
                <w:szCs w:val="24"/>
                <w:highlight w:val="none"/>
                <w:lang w:eastAsia="zh-CN"/>
              </w:rPr>
              <w:t>表</w:t>
            </w:r>
            <w:r>
              <w:rPr>
                <w:rFonts w:hint="default" w:ascii="Times New Roman" w:hAnsi="Times New Roman" w:eastAsia="宋体" w:cs="Times New Roman"/>
                <w:color w:val="auto"/>
                <w:sz w:val="24"/>
                <w:szCs w:val="24"/>
                <w:highlight w:val="none"/>
                <w:lang w:val="en-US" w:eastAsia="zh-CN"/>
              </w:rPr>
              <w:t>1中</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w:t>
            </w:r>
            <w:r>
              <w:rPr>
                <w:rFonts w:hint="default" w:ascii="Times New Roman" w:hAnsi="Times New Roman" w:eastAsia="宋体" w:cs="Times New Roman"/>
                <w:color w:val="auto"/>
                <w:sz w:val="24"/>
                <w:szCs w:val="24"/>
                <w:highlight w:val="none"/>
                <w:lang w:eastAsia="zh-CN"/>
              </w:rPr>
              <w:t>限值。</w:t>
            </w:r>
            <w:r>
              <w:rPr>
                <w:rFonts w:hint="default" w:ascii="Times New Roman" w:hAnsi="Times New Roman" w:eastAsia="宋体" w:cs="Times New Roman"/>
                <w:color w:val="auto"/>
                <w:sz w:val="24"/>
                <w:szCs w:val="24"/>
                <w:highlight w:val="none"/>
              </w:rPr>
              <w:t>项目的建设不会改变区域声环境功能，项目运营噪声对周围声环境影响较小。</w:t>
            </w:r>
          </w:p>
          <w:p w14:paraId="63E3D0C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eastAsia="宋体" w:cs="Times New Roman"/>
                <w:color w:val="auto"/>
                <w:sz w:val="24"/>
                <w:lang w:val="en-US" w:eastAsia="zh-CN"/>
              </w:rPr>
              <w:t>3.3</w:t>
            </w:r>
            <w:r>
              <w:rPr>
                <w:rFonts w:hint="default" w:ascii="Times New Roman" w:hAnsi="Times New Roman" w:cs="Times New Roman"/>
                <w:color w:val="auto"/>
                <w:sz w:val="24"/>
              </w:rPr>
              <w:t>噪声污染防治措施</w:t>
            </w:r>
          </w:p>
          <w:p w14:paraId="3AB3610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rPr>
              <w:t>本项目的噪声源</w:t>
            </w:r>
            <w:r>
              <w:rPr>
                <w:rFonts w:hint="default" w:ascii="Times New Roman" w:hAnsi="Times New Roman" w:cs="Times New Roman"/>
                <w:color w:val="auto"/>
                <w:sz w:val="24"/>
                <w:szCs w:val="24"/>
              </w:rPr>
              <w:t>包括</w:t>
            </w:r>
            <w:r>
              <w:rPr>
                <w:rFonts w:hint="eastAsia" w:ascii="Times New Roman" w:hAnsi="Times New Roman" w:cs="Times New Roman"/>
                <w:color w:val="auto"/>
                <w:sz w:val="24"/>
                <w:szCs w:val="24"/>
                <w:lang w:val="en-US" w:eastAsia="zh-CN"/>
              </w:rPr>
              <w:t>热压成型机、磨边机、空压机、</w:t>
            </w:r>
            <w:r>
              <w:rPr>
                <w:rFonts w:hint="default" w:ascii="Times New Roman" w:hAnsi="Times New Roman" w:cs="Times New Roman"/>
                <w:color w:val="auto"/>
                <w:sz w:val="24"/>
                <w:szCs w:val="24"/>
                <w:lang w:val="en-US" w:eastAsia="zh-CN"/>
              </w:rPr>
              <w:t>风机</w:t>
            </w:r>
            <w:r>
              <w:rPr>
                <w:rFonts w:hint="default" w:ascii="Times New Roman" w:hAnsi="Times New Roman" w:cs="Times New Roman"/>
                <w:color w:val="auto"/>
                <w:sz w:val="24"/>
                <w:szCs w:val="24"/>
              </w:rPr>
              <w:t>等生产设备运行噪声，这些噪声源经相应的降噪措施处理后通过建筑物门窗、墙壁的吸收、屏蔽及阻挡作用，将会大幅度地衰减。具体可采取的治理措施如下：</w:t>
            </w:r>
          </w:p>
          <w:p w14:paraId="5A3966D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①合理布局：</w:t>
            </w:r>
            <w:r>
              <w:rPr>
                <w:rFonts w:hint="eastAsia" w:ascii="Times New Roman" w:hAnsi="Times New Roman" w:cs="Times New Roman"/>
                <w:color w:val="auto"/>
                <w:sz w:val="24"/>
                <w:lang w:val="en-US" w:eastAsia="zh-CN"/>
              </w:rPr>
              <w:t>本项目周边无敏感目标，</w:t>
            </w:r>
            <w:r>
              <w:rPr>
                <w:rFonts w:hint="default" w:ascii="Times New Roman" w:hAnsi="Times New Roman" w:cs="Times New Roman"/>
                <w:color w:val="auto"/>
                <w:sz w:val="24"/>
              </w:rPr>
              <w:t>项目将高噪声设备布置在</w:t>
            </w:r>
            <w:r>
              <w:rPr>
                <w:rFonts w:hint="eastAsia" w:ascii="Times New Roman" w:hAnsi="Times New Roman" w:cs="Times New Roman"/>
                <w:color w:val="auto"/>
                <w:sz w:val="24"/>
                <w:lang w:val="en-US" w:eastAsia="zh-CN"/>
              </w:rPr>
              <w:t>车间中部</w:t>
            </w:r>
            <w:r>
              <w:rPr>
                <w:rFonts w:hint="default" w:ascii="Times New Roman" w:hAnsi="Times New Roman" w:cs="Times New Roman"/>
                <w:color w:val="auto"/>
                <w:sz w:val="24"/>
              </w:rPr>
              <w:t>，通过距离衰减减轻噪声对外环境的影响。</w:t>
            </w:r>
          </w:p>
          <w:p w14:paraId="7F8B1F5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②选择低噪声设备：项目在满足工艺设计的前提下，尽量选用满足国际标准的低噪声、低振动型号的设备，降低噪声源强。</w:t>
            </w:r>
          </w:p>
          <w:p w14:paraId="68025F1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③隔声、减振、消声：安装减振垫、消声器或者隔声门窗来达到降低噪声的目的</w:t>
            </w:r>
            <w:r>
              <w:rPr>
                <w:rFonts w:hint="default" w:ascii="Times New Roman" w:hAnsi="Times New Roman" w:cs="Times New Roman"/>
                <w:color w:val="auto"/>
                <w:sz w:val="24"/>
                <w:lang w:eastAsia="zh-CN"/>
              </w:rPr>
              <w:t>，厂房安装隔声窗等</w:t>
            </w:r>
            <w:r>
              <w:rPr>
                <w:rFonts w:hint="default" w:ascii="Times New Roman" w:hAnsi="Times New Roman" w:cs="Times New Roman"/>
                <w:color w:val="auto"/>
                <w:sz w:val="24"/>
              </w:rPr>
              <w:t>。</w:t>
            </w:r>
          </w:p>
          <w:p w14:paraId="38B3758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④强化生产管理：确保降噪设施的有效运行，并加强对生产设备的保养、检修与润滑，保证设备处于良好的运转状态。</w:t>
            </w:r>
          </w:p>
          <w:p w14:paraId="66C6C55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⑤厂界四周绿化。</w:t>
            </w:r>
          </w:p>
          <w:p w14:paraId="322FCBA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default" w:ascii="Times New Roman" w:hAnsi="Times New Roman" w:cs="Times New Roman"/>
                <w:color w:val="auto"/>
                <w:sz w:val="24"/>
                <w:u w:val="none"/>
                <w:lang w:val="zh-CN"/>
              </w:rPr>
            </w:pPr>
            <w:r>
              <w:rPr>
                <w:rFonts w:hint="default" w:ascii="Times New Roman" w:hAnsi="Times New Roman" w:cs="Times New Roman"/>
                <w:color w:val="auto"/>
                <w:sz w:val="24"/>
                <w:u w:val="none"/>
                <w:lang w:val="en-US" w:eastAsia="zh-CN"/>
              </w:rPr>
              <w:t>3.4</w:t>
            </w:r>
            <w:r>
              <w:rPr>
                <w:rFonts w:hint="default" w:ascii="Times New Roman" w:hAnsi="Times New Roman" w:cs="Times New Roman"/>
                <w:color w:val="auto"/>
                <w:sz w:val="24"/>
                <w:u w:val="none"/>
                <w:lang w:val="zh-CN"/>
              </w:rPr>
              <w:t>噪声排放监测</w:t>
            </w:r>
          </w:p>
          <w:p w14:paraId="59F183DD">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default" w:ascii="Times New Roman" w:hAnsi="Times New Roman" w:cs="Times New Roman"/>
                <w:color w:val="auto"/>
                <w:sz w:val="24"/>
                <w:u w:val="none"/>
              </w:rPr>
            </w:pPr>
            <w:r>
              <w:rPr>
                <w:rFonts w:hint="default" w:ascii="Times New Roman" w:hAnsi="Times New Roman" w:cs="Times New Roman"/>
                <w:color w:val="auto"/>
                <w:sz w:val="24"/>
                <w:u w:val="none"/>
              </w:rPr>
              <w:t>建设项目噪声监测计划如下表4.</w:t>
            </w:r>
            <w:r>
              <w:rPr>
                <w:rFonts w:hint="eastAsia" w:ascii="Times New Roman" w:hAnsi="Times New Roman" w:cs="Times New Roman"/>
                <w:color w:val="auto"/>
                <w:sz w:val="24"/>
                <w:u w:val="none"/>
                <w:lang w:val="en-US" w:eastAsia="zh-CN"/>
              </w:rPr>
              <w:t>17</w:t>
            </w:r>
            <w:r>
              <w:rPr>
                <w:rFonts w:hint="default" w:ascii="Times New Roman" w:hAnsi="Times New Roman" w:cs="Times New Roman"/>
                <w:color w:val="auto"/>
                <w:sz w:val="24"/>
                <w:u w:val="none"/>
              </w:rPr>
              <w:t>所示。</w:t>
            </w:r>
          </w:p>
          <w:p w14:paraId="6797D1B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表4.</w:t>
            </w:r>
            <w:r>
              <w:rPr>
                <w:rFonts w:hint="eastAsia" w:ascii="Times New Roman" w:hAnsi="Times New Roman" w:cs="Times New Roman"/>
                <w:b/>
                <w:bCs/>
                <w:color w:val="auto"/>
                <w:sz w:val="21"/>
                <w:szCs w:val="21"/>
                <w:u w:val="none"/>
                <w:lang w:val="en-US" w:eastAsia="zh-CN"/>
              </w:rPr>
              <w:t>17</w:t>
            </w:r>
            <w:r>
              <w:rPr>
                <w:rFonts w:hint="default" w:ascii="Times New Roman" w:hAnsi="Times New Roman" w:cs="Times New Roman"/>
                <w:b/>
                <w:bCs/>
                <w:color w:val="auto"/>
                <w:sz w:val="21"/>
                <w:szCs w:val="21"/>
                <w:u w:val="none"/>
              </w:rPr>
              <w:t xml:space="preserve">  噪声</w:t>
            </w:r>
            <w:r>
              <w:rPr>
                <w:rFonts w:hint="eastAsia" w:ascii="Times New Roman" w:hAnsi="Times New Roman" w:cs="Times New Roman"/>
                <w:b/>
                <w:bCs/>
                <w:color w:val="auto"/>
                <w:sz w:val="21"/>
                <w:szCs w:val="21"/>
                <w:u w:val="none"/>
                <w:lang w:val="en-US" w:eastAsia="zh-CN"/>
              </w:rPr>
              <w:t>监测</w:t>
            </w:r>
            <w:r>
              <w:rPr>
                <w:rFonts w:hint="default" w:ascii="Times New Roman" w:hAnsi="Times New Roman" w:cs="Times New Roman"/>
                <w:b/>
                <w:bCs/>
                <w:color w:val="auto"/>
                <w:sz w:val="21"/>
                <w:szCs w:val="21"/>
                <w:u w:val="none"/>
              </w:rPr>
              <w:t>计划表</w:t>
            </w:r>
          </w:p>
          <w:tbl>
            <w:tblPr>
              <w:tblStyle w:val="32"/>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1710"/>
              <w:gridCol w:w="1260"/>
              <w:gridCol w:w="1455"/>
              <w:gridCol w:w="4017"/>
            </w:tblGrid>
            <w:tr w14:paraId="70014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Align w:val="center"/>
                </w:tcPr>
                <w:p w14:paraId="00F78FB5">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监测点位</w:t>
                  </w:r>
                </w:p>
              </w:tc>
              <w:tc>
                <w:tcPr>
                  <w:tcW w:w="1710" w:type="dxa"/>
                  <w:vAlign w:val="center"/>
                </w:tcPr>
                <w:p w14:paraId="5C9641E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监</w:t>
                  </w:r>
                  <w:r>
                    <w:rPr>
                      <w:rFonts w:hint="default" w:ascii="Times New Roman" w:hAnsi="Times New Roman" w:cs="Times New Roman"/>
                      <w:color w:val="auto"/>
                      <w:sz w:val="21"/>
                      <w:szCs w:val="21"/>
                    </w:rPr>
                    <w:t>测指标</w:t>
                  </w:r>
                </w:p>
              </w:tc>
              <w:tc>
                <w:tcPr>
                  <w:tcW w:w="1260" w:type="dxa"/>
                  <w:vAlign w:val="center"/>
                </w:tcPr>
                <w:p w14:paraId="381B962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监测</w:t>
                  </w:r>
                  <w:r>
                    <w:rPr>
                      <w:rFonts w:hint="default" w:ascii="Times New Roman" w:hAnsi="Times New Roman" w:cs="Times New Roman"/>
                      <w:color w:val="auto"/>
                      <w:sz w:val="21"/>
                      <w:szCs w:val="21"/>
                    </w:rPr>
                    <w:t>频次</w:t>
                  </w:r>
                </w:p>
              </w:tc>
              <w:tc>
                <w:tcPr>
                  <w:tcW w:w="1455" w:type="dxa"/>
                  <w:vAlign w:val="center"/>
                </w:tcPr>
                <w:p w14:paraId="3B1E503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监测</w:t>
                  </w:r>
                  <w:r>
                    <w:rPr>
                      <w:rFonts w:hint="default" w:ascii="Times New Roman" w:hAnsi="Times New Roman" w:cs="Times New Roman"/>
                      <w:color w:val="auto"/>
                      <w:sz w:val="21"/>
                      <w:szCs w:val="21"/>
                    </w:rPr>
                    <w:t>天数</w:t>
                  </w:r>
                </w:p>
              </w:tc>
              <w:tc>
                <w:tcPr>
                  <w:tcW w:w="4017" w:type="dxa"/>
                  <w:vAlign w:val="center"/>
                </w:tcPr>
                <w:p w14:paraId="3467EE0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监测</w:t>
                  </w:r>
                  <w:r>
                    <w:rPr>
                      <w:rFonts w:hint="default" w:ascii="Times New Roman" w:hAnsi="Times New Roman" w:cs="Times New Roman"/>
                      <w:color w:val="auto"/>
                      <w:sz w:val="21"/>
                      <w:szCs w:val="21"/>
                    </w:rPr>
                    <w:t>依据</w:t>
                  </w:r>
                </w:p>
              </w:tc>
            </w:tr>
            <w:tr w14:paraId="0992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9" w:type="dxa"/>
                  <w:vAlign w:val="center"/>
                </w:tcPr>
                <w:p w14:paraId="7FFC226B">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厂界</w:t>
                  </w:r>
                </w:p>
              </w:tc>
              <w:tc>
                <w:tcPr>
                  <w:tcW w:w="1710" w:type="dxa"/>
                  <w:vAlign w:val="center"/>
                </w:tcPr>
                <w:p w14:paraId="0669647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等效连续A声级</w:t>
                  </w:r>
                </w:p>
              </w:tc>
              <w:tc>
                <w:tcPr>
                  <w:tcW w:w="1260" w:type="dxa"/>
                  <w:vAlign w:val="center"/>
                </w:tcPr>
                <w:p w14:paraId="43CA6DD8">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val="en-US" w:eastAsia="zh-CN"/>
                    </w:rPr>
                    <w:t>1次/</w:t>
                  </w:r>
                  <w:r>
                    <w:rPr>
                      <w:rFonts w:hint="default" w:ascii="Times New Roman" w:hAnsi="Times New Roman" w:cs="Times New Roman"/>
                      <w:color w:val="auto"/>
                      <w:sz w:val="21"/>
                      <w:szCs w:val="21"/>
                      <w:lang w:eastAsia="zh-CN"/>
                    </w:rPr>
                    <w:t>季度</w:t>
                  </w:r>
                </w:p>
              </w:tc>
              <w:tc>
                <w:tcPr>
                  <w:tcW w:w="1455" w:type="dxa"/>
                  <w:vAlign w:val="center"/>
                </w:tcPr>
                <w:p w14:paraId="083F70B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连续1天，昼夜各一次</w:t>
                  </w:r>
                </w:p>
              </w:tc>
              <w:tc>
                <w:tcPr>
                  <w:tcW w:w="4017" w:type="dxa"/>
                  <w:vAlign w:val="center"/>
                </w:tcPr>
                <w:p w14:paraId="2D77CA7F">
                  <w:pPr>
                    <w:jc w:val="center"/>
                    <w:rPr>
                      <w:rFonts w:hint="default" w:ascii="Times New Roman" w:hAnsi="Times New Roman" w:cs="Times New Roman"/>
                    </w:rPr>
                  </w:pPr>
                  <w:r>
                    <w:rPr>
                      <w:rFonts w:hint="default" w:ascii="Times New Roman" w:hAnsi="Times New Roman" w:cs="Times New Roman"/>
                      <w:color w:val="auto"/>
                      <w:sz w:val="21"/>
                      <w:szCs w:val="21"/>
                    </w:rPr>
                    <w:t>《排污单位自行</w:t>
                  </w:r>
                  <w:r>
                    <w:rPr>
                      <w:rFonts w:hint="eastAsia" w:ascii="Times New Roman" w:hAnsi="Times New Roman" w:cs="Times New Roman"/>
                      <w:color w:val="auto"/>
                      <w:sz w:val="21"/>
                      <w:szCs w:val="21"/>
                      <w:lang w:val="en-US" w:eastAsia="zh-CN"/>
                    </w:rPr>
                    <w:t>监测</w:t>
                  </w:r>
                  <w:r>
                    <w:rPr>
                      <w:rFonts w:hint="default" w:ascii="Times New Roman" w:hAnsi="Times New Roman" w:cs="Times New Roman"/>
                      <w:color w:val="auto"/>
                      <w:sz w:val="21"/>
                      <w:szCs w:val="21"/>
                    </w:rPr>
                    <w:t>技术指南-总则》（HJ819-2017）</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《排污许可证申请与核发技术规范-工业噪声》（HJ1301-2023）</w:t>
                  </w:r>
                </w:p>
              </w:tc>
            </w:tr>
          </w:tbl>
          <w:p w14:paraId="3FF688F6">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4、固体废物</w:t>
            </w:r>
          </w:p>
          <w:p w14:paraId="24508F31">
            <w:pPr>
              <w:pStyle w:val="56"/>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本项目固废主要为生活垃圾、一般</w:t>
            </w:r>
            <w:r>
              <w:rPr>
                <w:rFonts w:hint="default" w:ascii="Times New Roman" w:hAnsi="Times New Roman" w:cs="Times New Roman"/>
                <w:color w:val="auto"/>
                <w:sz w:val="24"/>
                <w:szCs w:val="24"/>
                <w:lang w:eastAsia="zh-CN"/>
              </w:rPr>
              <w:t>工业</w:t>
            </w:r>
            <w:r>
              <w:rPr>
                <w:rFonts w:hint="default" w:ascii="Times New Roman" w:hAnsi="Times New Roman" w:cs="Times New Roman"/>
                <w:color w:val="auto"/>
                <w:sz w:val="24"/>
                <w:szCs w:val="24"/>
              </w:rPr>
              <w:t>固体废物</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危险废物</w:t>
            </w:r>
            <w:r>
              <w:rPr>
                <w:rFonts w:hint="default" w:ascii="Times New Roman" w:hAnsi="Times New Roman" w:cs="Times New Roman"/>
                <w:color w:val="auto"/>
                <w:sz w:val="24"/>
                <w:szCs w:val="24"/>
              </w:rPr>
              <w:t>。</w:t>
            </w:r>
          </w:p>
          <w:p w14:paraId="2A19AF08">
            <w:pPr>
              <w:pStyle w:val="56"/>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val="en-US" w:eastAsia="zh-CN"/>
              </w:rPr>
              <w:t>4.1</w:t>
            </w:r>
            <w:r>
              <w:rPr>
                <w:rFonts w:hint="default" w:ascii="Times New Roman" w:hAnsi="Times New Roman" w:cs="Times New Roman"/>
                <w:color w:val="auto"/>
                <w:sz w:val="24"/>
                <w:szCs w:val="24"/>
                <w:lang w:eastAsia="zh-CN"/>
              </w:rPr>
              <w:t>生活垃圾</w:t>
            </w:r>
          </w:p>
          <w:p w14:paraId="5E4EF590">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项目职工</w:t>
            </w:r>
            <w:r>
              <w:rPr>
                <w:rFonts w:hint="eastAsia" w:ascii="Times New Roman" w:hAnsi="Times New Roman" w:cs="Times New Roman"/>
                <w:color w:val="auto"/>
                <w:sz w:val="24"/>
                <w:szCs w:val="24"/>
                <w:lang w:val="en-US" w:eastAsia="zh-CN"/>
              </w:rPr>
              <w:t>30</w:t>
            </w:r>
            <w:r>
              <w:rPr>
                <w:rFonts w:hint="default" w:ascii="Times New Roman" w:hAnsi="Times New Roman" w:cs="Times New Roman"/>
                <w:color w:val="auto"/>
                <w:sz w:val="24"/>
                <w:szCs w:val="24"/>
              </w:rPr>
              <w:t>人，生活垃圾按0.5kg/人</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d计，年工作</w:t>
            </w:r>
            <w:r>
              <w:rPr>
                <w:rFonts w:hint="eastAsia" w:ascii="Times New Roman" w:hAnsi="Times New Roman" w:cs="Times New Roman"/>
                <w:color w:val="auto"/>
                <w:sz w:val="24"/>
                <w:szCs w:val="24"/>
                <w:lang w:val="en-US" w:eastAsia="zh-CN"/>
              </w:rPr>
              <w:t>300</w:t>
            </w:r>
            <w:r>
              <w:rPr>
                <w:rFonts w:hint="default" w:ascii="Times New Roman" w:hAnsi="Times New Roman" w:cs="Times New Roman"/>
                <w:color w:val="auto"/>
                <w:sz w:val="24"/>
                <w:szCs w:val="24"/>
              </w:rPr>
              <w:t>天，则生活垃圾产生量为</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生活垃圾</w:t>
            </w:r>
            <w:r>
              <w:rPr>
                <w:rFonts w:hint="default" w:ascii="Times New Roman" w:hAnsi="Times New Roman" w:cs="Times New Roman"/>
                <w:color w:val="auto"/>
                <w:sz w:val="24"/>
                <w:szCs w:val="24"/>
              </w:rPr>
              <w:t>集中收集后定期交由环卫部门统一清运处置。</w:t>
            </w:r>
          </w:p>
          <w:p w14:paraId="0AA1FFBA">
            <w:pPr>
              <w:pStyle w:val="56"/>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val="en-US" w:eastAsia="zh-CN"/>
              </w:rPr>
              <w:t>4.2</w:t>
            </w:r>
            <w:r>
              <w:rPr>
                <w:rFonts w:hint="default" w:ascii="Times New Roman" w:hAnsi="Times New Roman" w:cs="Times New Roman"/>
                <w:color w:val="auto"/>
                <w:sz w:val="24"/>
                <w:szCs w:val="24"/>
                <w:lang w:eastAsia="zh-CN"/>
              </w:rPr>
              <w:t>一般工业固体废物</w:t>
            </w:r>
          </w:p>
          <w:p w14:paraId="571A69EB">
            <w:pPr>
              <w:pStyle w:val="56"/>
              <w:ind w:firstLine="480"/>
              <w:rPr>
                <w:rFonts w:hint="default" w:ascii="Times New Roman" w:hAnsi="Times New Roman" w:cs="Times New Roman" w:eastAsiaTheme="minorEastAsia"/>
                <w:color w:val="auto"/>
                <w:szCs w:val="24"/>
                <w:lang w:eastAsia="zh-CN"/>
              </w:rPr>
            </w:pP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1</w:t>
            </w:r>
            <w:r>
              <w:rPr>
                <w:rFonts w:hint="default" w:ascii="Times New Roman" w:hAnsi="Times New Roman" w:cs="Times New Roman"/>
                <w:color w:val="auto"/>
                <w:szCs w:val="24"/>
              </w:rPr>
              <w:t>）</w:t>
            </w:r>
            <w:r>
              <w:rPr>
                <w:rFonts w:hint="eastAsia" w:ascii="Times New Roman" w:hAnsi="Times New Roman" w:cs="Times New Roman"/>
                <w:color w:val="auto"/>
                <w:szCs w:val="24"/>
                <w:lang w:eastAsia="zh-CN"/>
              </w:rPr>
              <w:t>废包装物</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S</w:t>
            </w:r>
            <w:r>
              <w:rPr>
                <w:rFonts w:hint="default" w:ascii="Times New Roman" w:hAnsi="Times New Roman" w:cs="Times New Roman"/>
                <w:color w:val="auto"/>
                <w:szCs w:val="24"/>
                <w:vertAlign w:val="subscript"/>
                <w:lang w:val="en-US" w:eastAsia="zh-CN"/>
              </w:rPr>
              <w:t>1</w:t>
            </w:r>
            <w:r>
              <w:rPr>
                <w:rFonts w:hint="default" w:ascii="Times New Roman" w:hAnsi="Times New Roman" w:cs="Times New Roman"/>
                <w:color w:val="auto"/>
                <w:szCs w:val="24"/>
                <w:lang w:eastAsia="zh-CN"/>
              </w:rPr>
              <w:t>）</w:t>
            </w:r>
          </w:p>
          <w:p w14:paraId="08040910">
            <w:pPr>
              <w:pStyle w:val="56"/>
              <w:ind w:firstLine="480"/>
              <w:jc w:val="both"/>
              <w:rPr>
                <w:rFonts w:hint="default" w:ascii="Times New Roman" w:hAnsi="Times New Roman" w:cs="Times New Roman"/>
                <w:color w:val="auto"/>
                <w:sz w:val="24"/>
                <w:szCs w:val="24"/>
                <w:lang w:val="en-US" w:eastAsia="zh-CN"/>
              </w:rPr>
            </w:pPr>
            <w:r>
              <w:rPr>
                <w:rFonts w:hint="default" w:ascii="Times New Roman" w:hAnsi="Times New Roman" w:eastAsia="宋体" w:cs="Times New Roman"/>
                <w:bCs/>
                <w:color w:val="auto"/>
                <w:szCs w:val="24"/>
              </w:rPr>
              <w:t>本项目</w:t>
            </w:r>
            <w:r>
              <w:rPr>
                <w:rFonts w:hint="eastAsia" w:ascii="Times New Roman" w:hAnsi="Times New Roman" w:eastAsia="宋体" w:cs="Times New Roman"/>
                <w:bCs/>
                <w:color w:val="auto"/>
                <w:szCs w:val="24"/>
                <w:lang w:val="en-US" w:eastAsia="zh-CN"/>
              </w:rPr>
              <w:t>原料拆包、</w:t>
            </w:r>
            <w:r>
              <w:rPr>
                <w:rFonts w:hint="default" w:ascii="Times New Roman" w:hAnsi="Times New Roman" w:eastAsia="宋体" w:cs="Times New Roman"/>
                <w:bCs/>
                <w:color w:val="auto"/>
                <w:szCs w:val="24"/>
                <w:lang w:val="en-US" w:eastAsia="zh-CN"/>
              </w:rPr>
              <w:t>产品包装过程产生</w:t>
            </w:r>
            <w:r>
              <w:rPr>
                <w:rFonts w:hint="eastAsia" w:ascii="Times New Roman" w:hAnsi="Times New Roman" w:eastAsia="宋体" w:cs="Times New Roman"/>
                <w:bCs/>
                <w:color w:val="auto"/>
                <w:szCs w:val="24"/>
                <w:lang w:val="en-US" w:eastAsia="zh-CN"/>
              </w:rPr>
              <w:t>废包装物</w:t>
            </w:r>
            <w:r>
              <w:rPr>
                <w:rFonts w:hint="default" w:ascii="Times New Roman" w:hAnsi="Times New Roman" w:eastAsia="宋体" w:cs="Times New Roman"/>
                <w:bCs/>
                <w:color w:val="auto"/>
                <w:szCs w:val="24"/>
              </w:rPr>
              <w:t>，</w:t>
            </w:r>
            <w:r>
              <w:rPr>
                <w:rFonts w:hint="default" w:ascii="Times New Roman" w:hAnsi="Times New Roman" w:cs="Times New Roman"/>
                <w:color w:val="auto"/>
                <w:szCs w:val="24"/>
              </w:rPr>
              <w:t>预计</w:t>
            </w:r>
            <w:r>
              <w:rPr>
                <w:rFonts w:hint="eastAsia" w:ascii="Times New Roman" w:hAnsi="Times New Roman" w:cs="Times New Roman"/>
                <w:color w:val="auto"/>
                <w:szCs w:val="24"/>
                <w:lang w:eastAsia="zh-CN"/>
              </w:rPr>
              <w:t>废包装物</w:t>
            </w:r>
            <w:r>
              <w:rPr>
                <w:rFonts w:hint="default" w:ascii="Times New Roman" w:hAnsi="Times New Roman" w:cs="Times New Roman"/>
                <w:color w:val="auto"/>
                <w:szCs w:val="24"/>
              </w:rPr>
              <w:t>产生</w:t>
            </w:r>
            <w:r>
              <w:rPr>
                <w:rFonts w:hint="default" w:ascii="Times New Roman" w:hAnsi="Times New Roman" w:cs="Times New Roman"/>
                <w:bCs/>
                <w:color w:val="auto"/>
                <w:szCs w:val="24"/>
              </w:rPr>
              <w:t>总量</w:t>
            </w:r>
            <w:r>
              <w:rPr>
                <w:rFonts w:hint="default" w:ascii="Times New Roman" w:hAnsi="Times New Roman" w:cs="Times New Roman"/>
                <w:bCs/>
                <w:color w:val="auto"/>
                <w:szCs w:val="24"/>
                <w:lang w:val="en-US" w:eastAsia="zh-CN"/>
              </w:rPr>
              <w:t>约</w:t>
            </w:r>
            <w:r>
              <w:rPr>
                <w:rFonts w:hint="default" w:ascii="Times New Roman" w:hAnsi="Times New Roman" w:cs="Times New Roman"/>
                <w:bCs/>
                <w:color w:val="auto"/>
                <w:szCs w:val="24"/>
              </w:rPr>
              <w:t>为</w:t>
            </w:r>
            <w:r>
              <w:rPr>
                <w:rFonts w:hint="default" w:ascii="Times New Roman" w:hAnsi="Times New Roman" w:cs="Times New Roman"/>
                <w:bCs/>
                <w:color w:val="auto"/>
                <w:szCs w:val="24"/>
                <w:lang w:val="en-US" w:eastAsia="zh-CN"/>
              </w:rPr>
              <w:t>0.</w:t>
            </w:r>
            <w:r>
              <w:rPr>
                <w:rFonts w:hint="eastAsia" w:ascii="Times New Roman" w:hAnsi="Times New Roman" w:cs="Times New Roman"/>
                <w:bCs/>
                <w:color w:val="auto"/>
                <w:szCs w:val="24"/>
                <w:lang w:val="en-US" w:eastAsia="zh-CN"/>
              </w:rPr>
              <w:t>2</w:t>
            </w:r>
            <w:r>
              <w:rPr>
                <w:rFonts w:hint="default" w:ascii="Times New Roman" w:hAnsi="Times New Roman" w:cs="Times New Roman"/>
                <w:bCs/>
                <w:color w:val="auto"/>
                <w:szCs w:val="24"/>
              </w:rPr>
              <w:t>t/a</w:t>
            </w:r>
            <w:r>
              <w:rPr>
                <w:rFonts w:hint="default" w:ascii="Times New Roman" w:hAnsi="Times New Roman" w:cs="Times New Roman"/>
                <w:color w:val="auto"/>
                <w:szCs w:val="24"/>
              </w:rPr>
              <w:t>。此部分</w:t>
            </w:r>
            <w:r>
              <w:rPr>
                <w:rFonts w:hint="eastAsia" w:ascii="Times New Roman" w:hAnsi="Times New Roman" w:cs="Times New Roman"/>
                <w:color w:val="auto"/>
                <w:szCs w:val="24"/>
                <w:lang w:eastAsia="zh-CN"/>
              </w:rPr>
              <w:t>废包装物</w:t>
            </w:r>
            <w:r>
              <w:rPr>
                <w:rFonts w:hint="default" w:ascii="Times New Roman" w:hAnsi="Times New Roman" w:cs="Times New Roman"/>
                <w:color w:val="auto"/>
                <w:szCs w:val="24"/>
              </w:rPr>
              <w:t>集中收集后出售给物资回收部门。</w:t>
            </w:r>
            <w:r>
              <w:rPr>
                <w:rFonts w:hint="default" w:ascii="Times New Roman" w:hAnsi="Times New Roman" w:cs="Times New Roman"/>
                <w:color w:val="auto"/>
                <w:sz w:val="24"/>
                <w:szCs w:val="24"/>
                <w:lang w:val="en-US" w:eastAsia="zh-CN"/>
              </w:rPr>
              <w:t>根据《一般固体废物分类与代码》（GB/T39198-2020），</w:t>
            </w:r>
            <w:r>
              <w:rPr>
                <w:rFonts w:hint="eastAsia" w:ascii="Times New Roman" w:hAnsi="Times New Roman" w:cs="Times New Roman"/>
                <w:color w:val="auto"/>
                <w:szCs w:val="24"/>
                <w:lang w:eastAsia="zh-CN"/>
              </w:rPr>
              <w:t>废包装物</w:t>
            </w:r>
            <w:r>
              <w:rPr>
                <w:rFonts w:hint="default" w:ascii="Times New Roman" w:hAnsi="Times New Roman" w:cs="Times New Roman"/>
                <w:color w:val="auto"/>
                <w:sz w:val="24"/>
                <w:szCs w:val="24"/>
                <w:lang w:val="en-US" w:eastAsia="zh-CN"/>
              </w:rPr>
              <w:t>废物代码为900-999-99。</w:t>
            </w:r>
          </w:p>
          <w:p w14:paraId="3003768F">
            <w:pPr>
              <w:pStyle w:val="56"/>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eastAsia="zh-CN"/>
              </w:rPr>
              <w:t>除尘器收集的粉尘</w:t>
            </w:r>
          </w:p>
          <w:p w14:paraId="2FBAC01D">
            <w:pPr>
              <w:pStyle w:val="56"/>
              <w:ind w:firstLine="48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本项目</w:t>
            </w:r>
            <w:r>
              <w:rPr>
                <w:rFonts w:hint="eastAsia" w:ascii="Times New Roman" w:hAnsi="Times New Roman" w:cs="Times New Roman"/>
                <w:color w:val="auto"/>
                <w:sz w:val="24"/>
                <w:szCs w:val="24"/>
                <w:highlight w:val="none"/>
                <w:lang w:val="en-US" w:eastAsia="zh-CN"/>
              </w:rPr>
              <w:t>吹灰、磨边</w:t>
            </w:r>
            <w:r>
              <w:rPr>
                <w:rFonts w:hint="default" w:ascii="Times New Roman" w:hAnsi="Times New Roman" w:cs="Times New Roman"/>
                <w:color w:val="auto"/>
                <w:sz w:val="24"/>
                <w:szCs w:val="24"/>
                <w:highlight w:val="none"/>
                <w:lang w:eastAsia="zh-CN"/>
              </w:rPr>
              <w:t>工序产生颗粒物，根据除尘器配套的集气系统收集效率及处理效率，则</w:t>
            </w:r>
            <w:r>
              <w:rPr>
                <w:rFonts w:hint="eastAsia" w:ascii="Times New Roman" w:hAnsi="Times New Roman" w:cs="Times New Roman"/>
                <w:color w:val="auto"/>
                <w:sz w:val="24"/>
                <w:szCs w:val="24"/>
                <w:highlight w:val="none"/>
                <w:lang w:eastAsia="zh-CN"/>
              </w:rPr>
              <w:t>除尘器收集的粉尘</w:t>
            </w:r>
            <w:r>
              <w:rPr>
                <w:rFonts w:hint="default" w:ascii="Times New Roman" w:hAnsi="Times New Roman" w:cs="Times New Roman"/>
                <w:color w:val="auto"/>
                <w:sz w:val="24"/>
                <w:szCs w:val="24"/>
                <w:highlight w:val="none"/>
                <w:lang w:eastAsia="zh-CN"/>
              </w:rPr>
              <w:t>量</w:t>
            </w:r>
            <w:r>
              <w:rPr>
                <w:rFonts w:hint="default" w:ascii="Times New Roman" w:hAnsi="Times New Roman" w:cs="Times New Roman"/>
                <w:color w:val="auto"/>
                <w:sz w:val="24"/>
                <w:szCs w:val="24"/>
                <w:highlight w:val="none"/>
                <w:lang w:val="en-US" w:eastAsia="zh-CN"/>
              </w:rPr>
              <w:t>约</w:t>
            </w:r>
            <w:r>
              <w:rPr>
                <w:rFonts w:hint="default" w:ascii="Times New Roman" w:hAnsi="Times New Roman" w:cs="Times New Roman"/>
                <w:color w:val="auto"/>
                <w:sz w:val="24"/>
                <w:szCs w:val="24"/>
                <w:highlight w:val="none"/>
                <w:lang w:eastAsia="zh-CN"/>
              </w:rPr>
              <w:t>为</w:t>
            </w:r>
            <w:r>
              <w:rPr>
                <w:rFonts w:hint="eastAsia" w:ascii="Times New Roman" w:hAnsi="Times New Roman" w:cs="Times New Roman"/>
                <w:color w:val="auto"/>
                <w:sz w:val="24"/>
                <w:szCs w:val="24"/>
                <w:highlight w:val="none"/>
                <w:lang w:val="en-US" w:eastAsia="zh-CN"/>
              </w:rPr>
              <w:t>2.125</w:t>
            </w:r>
            <w:r>
              <w:rPr>
                <w:rFonts w:hint="default" w:ascii="Times New Roman" w:hAnsi="Times New Roman" w:cs="Times New Roman"/>
                <w:color w:val="auto"/>
                <w:sz w:val="24"/>
                <w:szCs w:val="24"/>
                <w:highlight w:val="none"/>
                <w:lang w:val="en-US" w:eastAsia="zh-CN"/>
              </w:rPr>
              <w:t>t/a，除尘器收集的</w:t>
            </w:r>
            <w:r>
              <w:rPr>
                <w:rFonts w:hint="eastAsia" w:ascii="Times New Roman" w:hAnsi="Times New Roman" w:cs="Times New Roman"/>
                <w:color w:val="auto"/>
                <w:sz w:val="24"/>
                <w:szCs w:val="24"/>
                <w:highlight w:val="none"/>
                <w:lang w:val="en-US" w:eastAsia="zh-CN"/>
              </w:rPr>
              <w:t>粉尘</w:t>
            </w:r>
            <w:r>
              <w:rPr>
                <w:rFonts w:hint="default" w:ascii="Times New Roman" w:hAnsi="Times New Roman" w:cs="Times New Roman"/>
                <w:color w:val="auto"/>
                <w:szCs w:val="24"/>
              </w:rPr>
              <w:t>收集后出售给物资回收</w:t>
            </w:r>
            <w:r>
              <w:rPr>
                <w:rFonts w:hint="default" w:ascii="Times New Roman" w:hAnsi="Times New Roman" w:cs="Times New Roman"/>
                <w:color w:val="auto"/>
                <w:szCs w:val="24"/>
                <w:highlight w:val="none"/>
              </w:rPr>
              <w:t>部门</w:t>
            </w:r>
            <w:r>
              <w:rPr>
                <w:rFonts w:hint="default" w:ascii="Times New Roman" w:hAnsi="Times New Roman" w:cs="Times New Roman"/>
                <w:color w:val="auto"/>
                <w:sz w:val="24"/>
                <w:szCs w:val="24"/>
                <w:highlight w:val="none"/>
                <w:lang w:val="en-US" w:eastAsia="zh-CN"/>
              </w:rPr>
              <w:t>。根据《一般固体废物分类与代</w:t>
            </w:r>
            <w:r>
              <w:rPr>
                <w:rFonts w:hint="default" w:ascii="Times New Roman" w:hAnsi="Times New Roman" w:cs="Times New Roman"/>
                <w:color w:val="auto"/>
                <w:sz w:val="24"/>
                <w:szCs w:val="24"/>
                <w:lang w:val="en-US" w:eastAsia="zh-CN"/>
              </w:rPr>
              <w:t>码》（GB/T39198-2020），</w:t>
            </w:r>
            <w:r>
              <w:rPr>
                <w:rFonts w:hint="eastAsia" w:ascii="Times New Roman" w:hAnsi="Times New Roman" w:cs="Times New Roman"/>
                <w:color w:val="auto"/>
                <w:sz w:val="24"/>
                <w:szCs w:val="24"/>
                <w:lang w:eastAsia="zh-CN"/>
              </w:rPr>
              <w:t>除尘器收集的粉尘</w:t>
            </w:r>
            <w:r>
              <w:rPr>
                <w:rFonts w:hint="default" w:ascii="Times New Roman" w:hAnsi="Times New Roman" w:cs="Times New Roman"/>
                <w:color w:val="auto"/>
                <w:sz w:val="24"/>
                <w:szCs w:val="24"/>
                <w:lang w:val="en-US" w:eastAsia="zh-CN"/>
              </w:rPr>
              <w:t>废物代码为900-999-66。</w:t>
            </w:r>
          </w:p>
          <w:p w14:paraId="49D93347">
            <w:pPr>
              <w:pStyle w:val="56"/>
              <w:ind w:firstLine="480"/>
              <w:rPr>
                <w:rFonts w:hint="default" w:ascii="Times New Roman" w:hAnsi="Times New Roman" w:cs="Times New Roman" w:eastAsiaTheme="minorEastAsia"/>
                <w:color w:val="auto"/>
                <w:szCs w:val="24"/>
                <w:lang w:eastAsia="zh-CN"/>
              </w:rPr>
            </w:pPr>
            <w:r>
              <w:rPr>
                <w:rFonts w:hint="default" w:ascii="Times New Roman" w:hAnsi="Times New Roman" w:cs="Times New Roman"/>
                <w:color w:val="auto"/>
                <w:szCs w:val="24"/>
              </w:rPr>
              <w:t>（</w:t>
            </w:r>
            <w:r>
              <w:rPr>
                <w:rFonts w:hint="eastAsia" w:ascii="Times New Roman" w:hAnsi="Times New Roman" w:cs="Times New Roman"/>
                <w:color w:val="auto"/>
                <w:szCs w:val="24"/>
                <w:lang w:val="en-US" w:eastAsia="zh-CN"/>
              </w:rPr>
              <w:t>3</w:t>
            </w:r>
            <w:r>
              <w:rPr>
                <w:rFonts w:hint="default" w:ascii="Times New Roman" w:hAnsi="Times New Roman" w:cs="Times New Roman"/>
                <w:color w:val="auto"/>
                <w:szCs w:val="24"/>
              </w:rPr>
              <w:t>）</w:t>
            </w:r>
            <w:r>
              <w:rPr>
                <w:rFonts w:hint="eastAsia" w:ascii="Times New Roman" w:hAnsi="Times New Roman" w:cs="Times New Roman"/>
                <w:color w:val="auto"/>
                <w:szCs w:val="24"/>
                <w:lang w:val="en-US" w:eastAsia="zh-CN"/>
              </w:rPr>
              <w:t>边角料</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S</w:t>
            </w:r>
            <w:r>
              <w:rPr>
                <w:rFonts w:hint="eastAsia" w:ascii="Times New Roman" w:hAnsi="Times New Roman" w:cs="Times New Roman"/>
                <w:color w:val="auto"/>
                <w:szCs w:val="24"/>
                <w:vertAlign w:val="subscript"/>
                <w:lang w:val="en-US" w:eastAsia="zh-CN"/>
              </w:rPr>
              <w:t>4</w:t>
            </w:r>
            <w:r>
              <w:rPr>
                <w:rFonts w:hint="default" w:ascii="Times New Roman" w:hAnsi="Times New Roman" w:cs="Times New Roman"/>
                <w:color w:val="auto"/>
                <w:szCs w:val="24"/>
                <w:lang w:eastAsia="zh-CN"/>
              </w:rPr>
              <w:t>）</w:t>
            </w:r>
          </w:p>
          <w:p w14:paraId="25CF1D6B">
            <w:pPr>
              <w:pStyle w:val="56"/>
              <w:ind w:firstLine="480"/>
              <w:jc w:val="both"/>
              <w:rPr>
                <w:rFonts w:hint="default" w:ascii="Times New Roman" w:hAnsi="Times New Roman" w:cs="Times New Roman"/>
                <w:color w:val="auto"/>
                <w:sz w:val="24"/>
                <w:szCs w:val="24"/>
                <w:lang w:val="en-US" w:eastAsia="zh-CN"/>
              </w:rPr>
            </w:pPr>
            <w:r>
              <w:rPr>
                <w:rFonts w:hint="default" w:ascii="Times New Roman" w:hAnsi="Times New Roman" w:eastAsia="宋体" w:cs="Times New Roman"/>
                <w:bCs/>
                <w:color w:val="auto"/>
                <w:szCs w:val="24"/>
              </w:rPr>
              <w:t>本项目</w:t>
            </w:r>
            <w:r>
              <w:rPr>
                <w:rFonts w:hint="eastAsia" w:ascii="Times New Roman" w:hAnsi="Times New Roman" w:eastAsia="宋体" w:cs="Times New Roman"/>
                <w:bCs/>
                <w:color w:val="auto"/>
                <w:szCs w:val="24"/>
                <w:lang w:val="en-US" w:eastAsia="zh-CN"/>
              </w:rPr>
              <w:t>半成品修剪过程产生边角料</w:t>
            </w:r>
            <w:r>
              <w:rPr>
                <w:rFonts w:hint="default" w:ascii="Times New Roman" w:hAnsi="Times New Roman" w:eastAsia="宋体" w:cs="Times New Roman"/>
                <w:bCs/>
                <w:color w:val="auto"/>
                <w:szCs w:val="24"/>
              </w:rPr>
              <w:t>，</w:t>
            </w:r>
            <w:r>
              <w:rPr>
                <w:rFonts w:hint="eastAsia" w:ascii="Times New Roman" w:hAnsi="Times New Roman" w:eastAsia="宋体" w:cs="Times New Roman"/>
                <w:bCs/>
                <w:color w:val="auto"/>
                <w:szCs w:val="24"/>
                <w:lang w:val="en-US" w:eastAsia="zh-CN"/>
              </w:rPr>
              <w:t>根据建设单位提供资料，废边角料产生量约占原料用量的1%，则边角料</w:t>
            </w:r>
            <w:r>
              <w:rPr>
                <w:rFonts w:hint="default" w:ascii="Times New Roman" w:hAnsi="Times New Roman" w:cs="Times New Roman"/>
                <w:color w:val="auto"/>
                <w:szCs w:val="24"/>
              </w:rPr>
              <w:t>产生</w:t>
            </w:r>
            <w:r>
              <w:rPr>
                <w:rFonts w:hint="default" w:ascii="Times New Roman" w:hAnsi="Times New Roman" w:cs="Times New Roman"/>
                <w:bCs/>
                <w:color w:val="auto"/>
                <w:szCs w:val="24"/>
              </w:rPr>
              <w:t>总量</w:t>
            </w:r>
            <w:r>
              <w:rPr>
                <w:rFonts w:hint="default" w:ascii="Times New Roman" w:hAnsi="Times New Roman" w:cs="Times New Roman"/>
                <w:bCs/>
                <w:color w:val="auto"/>
                <w:szCs w:val="24"/>
                <w:lang w:val="en-US" w:eastAsia="zh-CN"/>
              </w:rPr>
              <w:t>约</w:t>
            </w:r>
            <w:r>
              <w:rPr>
                <w:rFonts w:hint="default" w:ascii="Times New Roman" w:hAnsi="Times New Roman" w:cs="Times New Roman"/>
                <w:bCs/>
                <w:color w:val="auto"/>
                <w:szCs w:val="24"/>
              </w:rPr>
              <w:t>为</w:t>
            </w:r>
            <w:r>
              <w:rPr>
                <w:rFonts w:hint="eastAsia" w:ascii="Times New Roman" w:hAnsi="Times New Roman" w:cs="Times New Roman"/>
                <w:bCs/>
                <w:color w:val="auto"/>
                <w:szCs w:val="24"/>
                <w:lang w:val="en-US" w:eastAsia="zh-CN"/>
              </w:rPr>
              <w:t>2.05</w:t>
            </w:r>
            <w:r>
              <w:rPr>
                <w:rFonts w:hint="default" w:ascii="Times New Roman" w:hAnsi="Times New Roman" w:cs="Times New Roman"/>
                <w:bCs/>
                <w:color w:val="auto"/>
                <w:szCs w:val="24"/>
              </w:rPr>
              <w:t>t/a</w:t>
            </w:r>
            <w:r>
              <w:rPr>
                <w:rFonts w:hint="default" w:ascii="Times New Roman" w:hAnsi="Times New Roman" w:cs="Times New Roman"/>
                <w:color w:val="auto"/>
                <w:szCs w:val="24"/>
              </w:rPr>
              <w:t>。此部分</w:t>
            </w:r>
            <w:r>
              <w:rPr>
                <w:rFonts w:hint="eastAsia" w:ascii="Times New Roman" w:hAnsi="Times New Roman" w:cs="Times New Roman"/>
                <w:color w:val="auto"/>
                <w:szCs w:val="24"/>
                <w:lang w:val="en-US" w:eastAsia="zh-CN"/>
              </w:rPr>
              <w:t>边角料</w:t>
            </w:r>
            <w:r>
              <w:rPr>
                <w:rFonts w:hint="default" w:ascii="Times New Roman" w:hAnsi="Times New Roman" w:cs="Times New Roman"/>
                <w:color w:val="auto"/>
                <w:szCs w:val="24"/>
              </w:rPr>
              <w:t>集中收集后出售给物资回收</w:t>
            </w:r>
            <w:r>
              <w:rPr>
                <w:rFonts w:hint="default" w:ascii="Times New Roman" w:hAnsi="Times New Roman" w:cs="Times New Roman"/>
                <w:color w:val="auto"/>
                <w:szCs w:val="24"/>
                <w:highlight w:val="none"/>
              </w:rPr>
              <w:t>部门。</w:t>
            </w:r>
            <w:r>
              <w:rPr>
                <w:rFonts w:hint="default" w:ascii="Times New Roman" w:hAnsi="Times New Roman" w:cs="Times New Roman"/>
                <w:color w:val="auto"/>
                <w:sz w:val="24"/>
                <w:szCs w:val="24"/>
                <w:highlight w:val="none"/>
                <w:lang w:val="en-US" w:eastAsia="zh-CN"/>
              </w:rPr>
              <w:t>根据《一般固体废物分类与代码》（GB/T39198-2020），</w:t>
            </w:r>
            <w:r>
              <w:rPr>
                <w:rFonts w:hint="eastAsia" w:ascii="Times New Roman" w:hAnsi="Times New Roman" w:cs="Times New Roman"/>
                <w:color w:val="auto"/>
                <w:szCs w:val="24"/>
                <w:highlight w:val="none"/>
                <w:lang w:val="en-US" w:eastAsia="zh-CN"/>
              </w:rPr>
              <w:t>边角料</w:t>
            </w:r>
            <w:r>
              <w:rPr>
                <w:rFonts w:hint="default" w:ascii="Times New Roman" w:hAnsi="Times New Roman" w:cs="Times New Roman"/>
                <w:color w:val="auto"/>
                <w:sz w:val="24"/>
                <w:szCs w:val="24"/>
                <w:highlight w:val="none"/>
                <w:lang w:val="en-US" w:eastAsia="zh-CN"/>
              </w:rPr>
              <w:t>废物代码为900-999-99。</w:t>
            </w:r>
          </w:p>
          <w:p w14:paraId="735F22A9">
            <w:pPr>
              <w:pStyle w:val="56"/>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val="en-US" w:eastAsia="zh-CN"/>
              </w:rPr>
              <w:t>3危险废物</w:t>
            </w:r>
          </w:p>
          <w:p w14:paraId="123745C6">
            <w:pPr>
              <w:pStyle w:val="56"/>
              <w:ind w:firstLine="480"/>
              <w:rPr>
                <w:rFonts w:hint="default" w:ascii="Times New Roman" w:hAnsi="Times New Roman" w:cs="Times New Roman" w:eastAsiaTheme="minorEastAsia"/>
                <w:color w:val="auto"/>
                <w:szCs w:val="24"/>
                <w:lang w:eastAsia="zh-CN"/>
              </w:rPr>
            </w:pP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1</w:t>
            </w:r>
            <w:r>
              <w:rPr>
                <w:rFonts w:hint="default" w:ascii="Times New Roman" w:hAnsi="Times New Roman" w:cs="Times New Roman"/>
                <w:color w:val="auto"/>
                <w:szCs w:val="24"/>
              </w:rPr>
              <w:t>）</w:t>
            </w:r>
            <w:r>
              <w:rPr>
                <w:rFonts w:hint="eastAsia" w:ascii="Times New Roman" w:hAnsi="Times New Roman" w:cs="Times New Roman"/>
                <w:color w:val="auto"/>
                <w:szCs w:val="24"/>
                <w:lang w:val="en-US" w:eastAsia="zh-CN"/>
              </w:rPr>
              <w:t>废活性炭</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S</w:t>
            </w:r>
            <w:r>
              <w:rPr>
                <w:rFonts w:hint="eastAsia" w:ascii="Times New Roman" w:hAnsi="Times New Roman" w:cs="Times New Roman"/>
                <w:color w:val="auto"/>
                <w:szCs w:val="24"/>
                <w:vertAlign w:val="subscript"/>
                <w:lang w:val="en-US" w:eastAsia="zh-CN"/>
              </w:rPr>
              <w:t>2</w:t>
            </w:r>
            <w:r>
              <w:rPr>
                <w:rFonts w:hint="default" w:ascii="Times New Roman" w:hAnsi="Times New Roman" w:cs="Times New Roman"/>
                <w:color w:val="auto"/>
                <w:szCs w:val="24"/>
                <w:lang w:eastAsia="zh-CN"/>
              </w:rPr>
              <w:t>）</w:t>
            </w:r>
          </w:p>
          <w:p w14:paraId="04957763">
            <w:pPr>
              <w:pStyle w:val="56"/>
              <w:ind w:firstLine="480"/>
              <w:jc w:val="both"/>
              <w:rPr>
                <w:rFonts w:hint="default" w:ascii="Times New Roman" w:hAnsi="Times New Roman" w:cs="Times New Roman"/>
                <w:color w:val="auto"/>
                <w:sz w:val="24"/>
                <w:szCs w:val="24"/>
                <w:highlight w:val="none"/>
              </w:rPr>
            </w:pPr>
            <w:r>
              <w:rPr>
                <w:rFonts w:ascii="宋体" w:hAnsi="宋体" w:eastAsia="宋体" w:cs="宋体"/>
                <w:b w:val="0"/>
                <w:bCs w:val="0"/>
                <w:i w:val="0"/>
                <w:iCs w:val="0"/>
                <w:color w:val="auto"/>
                <w:kern w:val="0"/>
                <w:sz w:val="24"/>
                <w:szCs w:val="24"/>
                <w:lang w:val="en-US" w:eastAsia="zh-CN" w:bidi="ar"/>
              </w:rPr>
              <w:t>本项目</w:t>
            </w:r>
            <w:r>
              <w:rPr>
                <w:rFonts w:hint="eastAsia" w:eastAsia="宋体" w:cs="宋体"/>
                <w:b w:val="0"/>
                <w:bCs w:val="0"/>
                <w:i w:val="0"/>
                <w:iCs w:val="0"/>
                <w:color w:val="auto"/>
                <w:kern w:val="0"/>
                <w:sz w:val="24"/>
                <w:szCs w:val="24"/>
                <w:lang w:val="en-US" w:eastAsia="zh-CN" w:bidi="ar"/>
              </w:rPr>
              <w:t>生产过程</w:t>
            </w:r>
            <w:r>
              <w:rPr>
                <w:rFonts w:hint="eastAsia" w:ascii="Times New Roman" w:hAnsi="Times New Roman" w:cs="Times New Roman"/>
                <w:color w:val="auto"/>
                <w:sz w:val="24"/>
                <w:szCs w:val="24"/>
                <w:lang w:eastAsia="zh-CN"/>
              </w:rPr>
              <w:t>有机废气经两级活性炭</w:t>
            </w:r>
            <w:r>
              <w:rPr>
                <w:rFonts w:hint="eastAsia" w:ascii="Times New Roman" w:hAnsi="Times New Roman" w:cs="Times New Roman"/>
                <w:color w:val="auto"/>
                <w:sz w:val="24"/>
                <w:szCs w:val="24"/>
                <w:highlight w:val="none"/>
                <w:lang w:eastAsia="zh-CN"/>
              </w:rPr>
              <w:t>吸附箱处理，</w:t>
            </w:r>
            <w:r>
              <w:rPr>
                <w:rFonts w:hint="default" w:ascii="Times New Roman" w:hAnsi="Times New Roman" w:cs="Times New Roman"/>
                <w:color w:val="auto"/>
                <w:sz w:val="24"/>
                <w:szCs w:val="24"/>
                <w:highlight w:val="none"/>
              </w:rPr>
              <w:t>活性炭的吸附的废气量为</w:t>
            </w:r>
            <w:r>
              <w:rPr>
                <w:rFonts w:hint="eastAsia" w:ascii="Times New Roman" w:hAnsi="Times New Roman" w:cs="Times New Roman"/>
                <w:color w:val="auto"/>
                <w:sz w:val="24"/>
                <w:szCs w:val="24"/>
                <w:highlight w:val="none"/>
                <w:lang w:val="en-US" w:eastAsia="zh-CN"/>
              </w:rPr>
              <w:t>0.4374</w:t>
            </w:r>
            <w:r>
              <w:rPr>
                <w:rFonts w:hint="default" w:ascii="Times New Roman" w:hAnsi="Times New Roman" w:cs="Times New Roman"/>
                <w:color w:val="auto"/>
                <w:sz w:val="24"/>
                <w:szCs w:val="24"/>
                <w:highlight w:val="none"/>
              </w:rPr>
              <w:t>t/a。</w:t>
            </w:r>
            <w:r>
              <w:rPr>
                <w:rFonts w:hint="default" w:ascii="Times New Roman" w:hAnsi="Times New Roman" w:cs="Times New Roman"/>
                <w:color w:val="auto"/>
                <w:sz w:val="24"/>
                <w:szCs w:val="24"/>
                <w:highlight w:val="none"/>
                <w:lang w:eastAsia="zh-CN"/>
              </w:rPr>
              <w:t>根据《简明通风设计手册》（中国建筑工业出版社，孙一坚主编）</w:t>
            </w:r>
            <w:r>
              <w:rPr>
                <w:rFonts w:hint="eastAsia" w:ascii="宋体" w:hAnsi="宋体" w:eastAsia="宋体" w:cs="宋体"/>
                <w:color w:val="auto"/>
                <w:sz w:val="24"/>
                <w:szCs w:val="24"/>
                <w:highlight w:val="none"/>
                <w:lang w:eastAsia="zh-CN"/>
              </w:rPr>
              <w:t>：“活性</w:t>
            </w:r>
            <w:r>
              <w:rPr>
                <w:rFonts w:hint="default" w:ascii="Times New Roman" w:hAnsi="Times New Roman" w:cs="Times New Roman"/>
                <w:color w:val="auto"/>
                <w:sz w:val="24"/>
                <w:szCs w:val="24"/>
                <w:highlight w:val="none"/>
                <w:lang w:eastAsia="zh-CN"/>
              </w:rPr>
              <w:t>炭的有效吸附量</w:t>
            </w:r>
            <w:r>
              <w:rPr>
                <w:rFonts w:hint="default" w:ascii="Times New Roman" w:hAnsi="Times New Roman" w:cs="Times New Roman"/>
                <w:color w:val="auto"/>
                <w:sz w:val="24"/>
                <w:szCs w:val="24"/>
                <w:highlight w:val="none"/>
                <w:lang w:val="en-US" w:eastAsia="zh-CN"/>
              </w:rPr>
              <w:t>qe</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0.25g/g-活性炭</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因此吸附</w:t>
            </w:r>
            <w:r>
              <w:rPr>
                <w:rFonts w:hint="eastAsia" w:ascii="Times New Roman" w:hAnsi="Times New Roman" w:cs="Times New Roman"/>
                <w:color w:val="auto"/>
                <w:sz w:val="24"/>
                <w:szCs w:val="24"/>
                <w:highlight w:val="none"/>
                <w:lang w:val="en-US" w:eastAsia="zh-CN"/>
              </w:rPr>
              <w:t>0.4374</w:t>
            </w:r>
            <w:r>
              <w:rPr>
                <w:rFonts w:hint="default" w:ascii="Times New Roman" w:hAnsi="Times New Roman" w:cs="Times New Roman"/>
                <w:color w:val="auto"/>
                <w:sz w:val="24"/>
                <w:szCs w:val="24"/>
                <w:highlight w:val="none"/>
              </w:rPr>
              <w:t>t/a的废气需要理论活性炭量为：</w:t>
            </w:r>
            <w:r>
              <w:rPr>
                <w:rFonts w:hint="eastAsia" w:ascii="Times New Roman" w:hAnsi="Times New Roman" w:cs="Times New Roman"/>
                <w:color w:val="auto"/>
                <w:sz w:val="24"/>
                <w:szCs w:val="24"/>
                <w:highlight w:val="none"/>
                <w:lang w:val="en-US" w:eastAsia="zh-CN"/>
              </w:rPr>
              <w:t>0.4374</w:t>
            </w:r>
            <w:r>
              <w:rPr>
                <w:rFonts w:hint="default" w:ascii="Times New Roman" w:hAnsi="Times New Roman" w:cs="Times New Roman"/>
                <w:color w:val="auto"/>
                <w:sz w:val="24"/>
                <w:szCs w:val="24"/>
                <w:highlight w:val="none"/>
              </w:rPr>
              <w:t>/0.2</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1.7496</w:t>
            </w:r>
            <w:r>
              <w:rPr>
                <w:rFonts w:hint="default" w:ascii="Times New Roman" w:hAnsi="Times New Roman" w:cs="Times New Roman"/>
                <w:color w:val="auto"/>
                <w:sz w:val="24"/>
                <w:szCs w:val="24"/>
                <w:highlight w:val="none"/>
              </w:rPr>
              <w:t>t/a。本项目装置所装活性炭容量为</w:t>
            </w:r>
            <w:r>
              <w:rPr>
                <w:rFonts w:hint="eastAsia" w:ascii="Times New Roman" w:hAnsi="Times New Roman" w:cs="Times New Roman"/>
                <w:color w:val="auto"/>
                <w:sz w:val="24"/>
                <w:szCs w:val="24"/>
                <w:highlight w:val="none"/>
                <w:lang w:val="en-US" w:eastAsia="zh-CN"/>
              </w:rPr>
              <w:t>1.89t</w:t>
            </w:r>
            <w:r>
              <w:rPr>
                <w:rFonts w:hint="default" w:ascii="Times New Roman" w:hAnsi="Times New Roman" w:cs="Times New Roman"/>
                <w:color w:val="auto"/>
                <w:sz w:val="24"/>
                <w:szCs w:val="24"/>
                <w:highlight w:val="none"/>
              </w:rPr>
              <w:t>/a</w:t>
            </w:r>
            <w:r>
              <w:rPr>
                <w:rFonts w:hint="default"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1.7496</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1.89≈1</w:t>
            </w:r>
            <w:r>
              <w:rPr>
                <w:rFonts w:hint="default" w:ascii="Times New Roman" w:hAnsi="Times New Roman" w:cs="Times New Roman"/>
                <w:color w:val="auto"/>
                <w:sz w:val="24"/>
                <w:szCs w:val="24"/>
                <w:highlight w:val="none"/>
              </w:rPr>
              <w:t>次，</w:t>
            </w:r>
            <w:r>
              <w:rPr>
                <w:rFonts w:hint="default" w:ascii="Times New Roman" w:hAnsi="Times New Roman" w:cs="Times New Roman"/>
                <w:color w:val="auto"/>
                <w:sz w:val="24"/>
                <w:szCs w:val="24"/>
                <w:highlight w:val="none"/>
                <w:lang w:val="en-US" w:eastAsia="zh-CN"/>
              </w:rPr>
              <w:t>3</w:t>
            </w:r>
            <w:r>
              <w:rPr>
                <w:rFonts w:hint="eastAsia"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lang w:val="en-US" w:eastAsia="zh-CN"/>
              </w:rPr>
              <w:t>0</w:t>
            </w:r>
            <w:r>
              <w:rPr>
                <w:rFonts w:hint="default" w:ascii="Times New Roman" w:hAnsi="Times New Roman" w:cs="Times New Roman"/>
                <w:color w:val="auto"/>
                <w:sz w:val="24"/>
                <w:szCs w:val="24"/>
                <w:highlight w:val="none"/>
              </w:rPr>
              <w:t>d/</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次</w:t>
            </w:r>
            <w:r>
              <w:rPr>
                <w:rFonts w:hint="eastAsia" w:ascii="宋体" w:hAnsi="宋体" w:eastAsia="宋体" w:cs="宋体"/>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300</w:t>
            </w:r>
            <w:r>
              <w:rPr>
                <w:rFonts w:hint="default" w:ascii="Times New Roman" w:hAnsi="Times New Roman" w:cs="Times New Roman"/>
                <w:color w:val="auto"/>
                <w:sz w:val="24"/>
                <w:szCs w:val="24"/>
                <w:highlight w:val="none"/>
              </w:rPr>
              <w:t>d/次，因此本项目达产后活性炭装置更换周期</w:t>
            </w:r>
            <w:r>
              <w:rPr>
                <w:rFonts w:hint="eastAsia" w:ascii="Times New Roman" w:hAnsi="Times New Roman" w:cs="Times New Roman"/>
                <w:color w:val="auto"/>
                <w:sz w:val="24"/>
                <w:szCs w:val="24"/>
                <w:highlight w:val="none"/>
                <w:lang w:val="en-US" w:eastAsia="zh-CN"/>
              </w:rPr>
              <w:t>300</w:t>
            </w:r>
            <w:r>
              <w:rPr>
                <w:rFonts w:hint="default" w:ascii="Times New Roman" w:hAnsi="Times New Roman" w:cs="Times New Roman"/>
                <w:color w:val="auto"/>
                <w:sz w:val="24"/>
                <w:szCs w:val="24"/>
                <w:highlight w:val="none"/>
              </w:rPr>
              <w:t>d/次</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则本项目废活性炭产生量为</w:t>
            </w:r>
            <w:r>
              <w:rPr>
                <w:rFonts w:hint="eastAsia" w:ascii="Times New Roman" w:hAnsi="Times New Roman" w:cs="Times New Roman"/>
                <w:color w:val="auto"/>
                <w:sz w:val="24"/>
                <w:szCs w:val="24"/>
                <w:highlight w:val="none"/>
                <w:lang w:val="en-US" w:eastAsia="zh-CN"/>
              </w:rPr>
              <w:t>2.3274</w:t>
            </w:r>
            <w:r>
              <w:rPr>
                <w:rFonts w:hint="default" w:ascii="Times New Roman" w:hAnsi="Times New Roman" w:cs="Times New Roman"/>
                <w:color w:val="auto"/>
                <w:sz w:val="24"/>
                <w:szCs w:val="24"/>
                <w:highlight w:val="none"/>
              </w:rPr>
              <w:t>t/a。</w:t>
            </w:r>
          </w:p>
          <w:p w14:paraId="524B8DA6">
            <w:pPr>
              <w:pStyle w:val="56"/>
              <w:ind w:firstLine="480"/>
              <w:jc w:val="both"/>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对照</w:t>
            </w:r>
            <w:r>
              <w:rPr>
                <w:rFonts w:hint="default" w:ascii="Times New Roman" w:hAnsi="Times New Roman" w:cs="Times New Roman"/>
                <w:color w:val="auto"/>
                <w:sz w:val="24"/>
                <w:szCs w:val="24"/>
                <w:highlight w:val="none"/>
              </w:rPr>
              <w:t>《国家危险废物名录</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202</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年版</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部令第</w:t>
            </w:r>
            <w:r>
              <w:rPr>
                <w:rFonts w:hint="eastAsia" w:ascii="Times New Roman" w:hAnsi="Times New Roman" w:cs="Times New Roman"/>
                <w:color w:val="auto"/>
                <w:sz w:val="24"/>
                <w:szCs w:val="24"/>
                <w:highlight w:val="none"/>
                <w:lang w:val="en-US" w:eastAsia="zh-CN"/>
              </w:rPr>
              <w:t>36</w:t>
            </w:r>
            <w:r>
              <w:rPr>
                <w:rFonts w:hint="default" w:ascii="Times New Roman" w:hAnsi="Times New Roman" w:cs="Times New Roman"/>
                <w:color w:val="auto"/>
                <w:sz w:val="24"/>
                <w:szCs w:val="24"/>
                <w:highlight w:val="none"/>
                <w:lang w:val="en-US" w:eastAsia="zh-CN"/>
              </w:rPr>
              <w:t>号，202</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年01月01日实施</w:t>
            </w:r>
            <w:r>
              <w:rPr>
                <w:rFonts w:hint="default" w:ascii="Times New Roman" w:hAnsi="Times New Roman" w:cs="Times New Roman"/>
                <w:color w:val="auto"/>
                <w:sz w:val="24"/>
                <w:szCs w:val="24"/>
                <w:highlight w:val="none"/>
              </w:rPr>
              <w:t>），废活性炭属于危险废物，废物</w:t>
            </w:r>
            <w:r>
              <w:rPr>
                <w:rFonts w:hint="default" w:ascii="Times New Roman" w:hAnsi="Times New Roman" w:cs="Times New Roman"/>
                <w:color w:val="auto"/>
                <w:sz w:val="24"/>
                <w:szCs w:val="24"/>
                <w:highlight w:val="none"/>
                <w:lang w:eastAsia="zh-CN"/>
              </w:rPr>
              <w:t>类别为</w:t>
            </w:r>
            <w:r>
              <w:rPr>
                <w:rFonts w:hint="default" w:ascii="Times New Roman" w:hAnsi="Times New Roman" w:cs="Times New Roman"/>
                <w:color w:val="auto"/>
                <w:sz w:val="24"/>
                <w:szCs w:val="24"/>
                <w:highlight w:val="none"/>
              </w:rPr>
              <w:t>HW49</w:t>
            </w:r>
            <w:r>
              <w:rPr>
                <w:rFonts w:hint="default" w:ascii="Times New Roman" w:hAnsi="Times New Roman" w:cs="Times New Roman"/>
                <w:color w:val="auto"/>
                <w:sz w:val="24"/>
                <w:szCs w:val="24"/>
                <w:highlight w:val="none"/>
                <w:lang w:eastAsia="zh-CN"/>
              </w:rPr>
              <w:t>其他废物</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废物代码为</w:t>
            </w:r>
            <w:r>
              <w:rPr>
                <w:rFonts w:hint="default" w:ascii="Times New Roman" w:hAnsi="Times New Roman" w:cs="Times New Roman"/>
                <w:color w:val="auto"/>
                <w:sz w:val="24"/>
                <w:szCs w:val="24"/>
                <w:highlight w:val="none"/>
              </w:rPr>
              <w:t>900-0</w:t>
            </w:r>
            <w:r>
              <w:rPr>
                <w:rFonts w:hint="default" w:ascii="Times New Roman" w:hAnsi="Times New Roman" w:cs="Times New Roman"/>
                <w:color w:val="auto"/>
                <w:sz w:val="24"/>
                <w:szCs w:val="24"/>
                <w:highlight w:val="none"/>
                <w:lang w:val="en-US" w:eastAsia="zh-CN"/>
              </w:rPr>
              <w:t>39</w:t>
            </w:r>
            <w:r>
              <w:rPr>
                <w:rFonts w:hint="default" w:ascii="Times New Roman" w:hAnsi="Times New Roman" w:cs="Times New Roman"/>
                <w:color w:val="auto"/>
                <w:sz w:val="24"/>
                <w:szCs w:val="24"/>
                <w:highlight w:val="none"/>
              </w:rPr>
              <w:t>-49，更换下来的废活性炭收集后委托具有危险废物处理资质单位处置。</w:t>
            </w:r>
          </w:p>
          <w:p w14:paraId="13AD266A">
            <w:pPr>
              <w:pStyle w:val="56"/>
              <w:ind w:firstLine="480"/>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（2）废油桶</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S</w:t>
            </w:r>
            <w:r>
              <w:rPr>
                <w:rFonts w:hint="eastAsia" w:ascii="Times New Roman" w:hAnsi="Times New Roman" w:cs="Times New Roman"/>
                <w:color w:val="auto"/>
                <w:szCs w:val="24"/>
                <w:vertAlign w:val="subscript"/>
                <w:lang w:val="en-US" w:eastAsia="zh-CN"/>
              </w:rPr>
              <w:t>5</w:t>
            </w:r>
            <w:r>
              <w:rPr>
                <w:rFonts w:hint="default" w:ascii="Times New Roman" w:hAnsi="Times New Roman" w:cs="Times New Roman"/>
                <w:color w:val="auto"/>
                <w:szCs w:val="24"/>
                <w:lang w:eastAsia="zh-CN"/>
              </w:rPr>
              <w:t>）</w:t>
            </w:r>
          </w:p>
          <w:p w14:paraId="79EE716E">
            <w:pPr>
              <w:pStyle w:val="56"/>
              <w:ind w:firstLine="480"/>
              <w:jc w:val="both"/>
              <w:rPr>
                <w:rFonts w:hint="default" w:ascii="Times New Roman" w:hAnsi="Times New Roman" w:cs="Times New Roman"/>
                <w:color w:val="auto"/>
                <w:sz w:val="24"/>
                <w:szCs w:val="24"/>
                <w:lang w:val="en-US" w:eastAsia="zh-CN"/>
              </w:rPr>
            </w:pPr>
            <w:r>
              <w:rPr>
                <w:rFonts w:hint="eastAsia" w:ascii="Times New Roman" w:hAnsi="Times New Roman" w:eastAsia="宋体" w:cs="Times New Roman"/>
                <w:b w:val="0"/>
                <w:bCs/>
                <w:color w:val="auto"/>
                <w:sz w:val="24"/>
                <w:szCs w:val="24"/>
                <w:u w:val="none"/>
                <w:lang w:val="en-US" w:eastAsia="zh-CN"/>
              </w:rPr>
              <w:t>本项目抗磨压油采用桶装，使用过后会产生废油桶，</w:t>
            </w:r>
            <w:r>
              <w:rPr>
                <w:rFonts w:hint="eastAsia" w:ascii="Times New Roman" w:hAnsi="Times New Roman" w:cs="Times New Roman"/>
                <w:color w:val="auto"/>
                <w:sz w:val="24"/>
                <w:szCs w:val="24"/>
                <w:lang w:eastAsia="zh-CN"/>
              </w:rPr>
              <w:t>预计</w:t>
            </w:r>
            <w:r>
              <w:rPr>
                <w:rFonts w:hint="eastAsia" w:ascii="Times New Roman" w:hAnsi="Times New Roman" w:eastAsia="宋体" w:cs="Times New Roman"/>
                <w:b w:val="0"/>
                <w:bCs/>
                <w:color w:val="auto"/>
                <w:sz w:val="24"/>
                <w:szCs w:val="24"/>
                <w:u w:val="none"/>
                <w:lang w:val="en-US" w:eastAsia="zh-CN"/>
              </w:rPr>
              <w:t>废油桶</w:t>
            </w:r>
            <w:r>
              <w:rPr>
                <w:rFonts w:hint="eastAsia" w:ascii="Times New Roman" w:hAnsi="Times New Roman" w:cs="Times New Roman"/>
                <w:color w:val="auto"/>
                <w:sz w:val="24"/>
                <w:szCs w:val="24"/>
                <w:lang w:eastAsia="zh-CN"/>
              </w:rPr>
              <w:t>产生量为</w:t>
            </w:r>
            <w:r>
              <w:rPr>
                <w:rFonts w:hint="eastAsia" w:ascii="Times New Roman" w:hAnsi="Times New Roman" w:cs="Times New Roman"/>
                <w:color w:val="auto"/>
                <w:sz w:val="24"/>
                <w:szCs w:val="24"/>
                <w:lang w:val="en-US" w:eastAsia="zh-CN"/>
              </w:rPr>
              <w:t>20只/年，包装桶按15kg/只计，则</w:t>
            </w:r>
            <w:r>
              <w:rPr>
                <w:rFonts w:hint="eastAsia" w:ascii="Times New Roman" w:hAnsi="Times New Roman" w:eastAsia="宋体" w:cs="Times New Roman"/>
                <w:b w:val="0"/>
                <w:bCs/>
                <w:color w:val="auto"/>
                <w:sz w:val="24"/>
                <w:szCs w:val="24"/>
                <w:u w:val="none"/>
                <w:lang w:val="en-US" w:eastAsia="zh-CN"/>
              </w:rPr>
              <w:t>废油桶</w:t>
            </w:r>
            <w:r>
              <w:rPr>
                <w:rFonts w:hint="eastAsia" w:ascii="Times New Roman" w:hAnsi="Times New Roman" w:cs="Times New Roman"/>
                <w:color w:val="auto"/>
                <w:sz w:val="24"/>
                <w:szCs w:val="24"/>
                <w:lang w:eastAsia="zh-CN"/>
              </w:rPr>
              <w:t>产生</w:t>
            </w:r>
            <w:r>
              <w:rPr>
                <w:rFonts w:hint="default" w:ascii="Times New Roman" w:hAnsi="Times New Roman" w:cs="Times New Roman"/>
                <w:b w:val="0"/>
                <w:bCs/>
                <w:color w:val="auto"/>
                <w:sz w:val="24"/>
                <w:szCs w:val="24"/>
              </w:rPr>
              <w:t>总量为</w:t>
            </w:r>
            <w:r>
              <w:rPr>
                <w:rFonts w:hint="eastAsia" w:ascii="Times New Roman" w:hAnsi="Times New Roman" w:cs="Times New Roman"/>
                <w:b w:val="0"/>
                <w:bCs/>
                <w:color w:val="auto"/>
                <w:sz w:val="24"/>
                <w:szCs w:val="24"/>
                <w:lang w:val="en-US" w:eastAsia="zh-CN"/>
              </w:rPr>
              <w:t>0.3</w:t>
            </w:r>
            <w:r>
              <w:rPr>
                <w:rFonts w:hint="default" w:ascii="Times New Roman" w:hAnsi="Times New Roman" w:cs="Times New Roman"/>
                <w:b w:val="0"/>
                <w:bCs/>
                <w:color w:val="auto"/>
                <w:sz w:val="24"/>
                <w:szCs w:val="24"/>
              </w:rPr>
              <w:t>t/a</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对照</w:t>
            </w:r>
            <w:r>
              <w:rPr>
                <w:rFonts w:hint="default" w:ascii="Times New Roman" w:hAnsi="Times New Roman" w:cs="Times New Roman"/>
                <w:color w:val="auto"/>
                <w:sz w:val="24"/>
                <w:szCs w:val="24"/>
              </w:rPr>
              <w:t>《国家危险废物名录</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202</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年版</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部令第</w:t>
            </w:r>
            <w:r>
              <w:rPr>
                <w:rFonts w:hint="eastAsia" w:ascii="Times New Roman" w:hAnsi="Times New Roman" w:cs="Times New Roman"/>
                <w:color w:val="auto"/>
                <w:sz w:val="24"/>
                <w:szCs w:val="24"/>
                <w:lang w:val="en-US" w:eastAsia="zh-CN"/>
              </w:rPr>
              <w:t>36</w:t>
            </w:r>
            <w:r>
              <w:rPr>
                <w:rFonts w:hint="default" w:ascii="Times New Roman" w:hAnsi="Times New Roman" w:cs="Times New Roman"/>
                <w:color w:val="auto"/>
                <w:sz w:val="24"/>
                <w:szCs w:val="24"/>
                <w:lang w:val="en-US" w:eastAsia="zh-CN"/>
              </w:rPr>
              <w:t>号，202</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年01月01日实施</w:t>
            </w:r>
            <w:r>
              <w:rPr>
                <w:rFonts w:hint="default" w:ascii="Times New Roman" w:hAnsi="Times New Roman" w:cs="Times New Roman"/>
                <w:color w:val="auto"/>
                <w:sz w:val="24"/>
                <w:szCs w:val="24"/>
              </w:rPr>
              <w:t>），</w:t>
            </w:r>
            <w:r>
              <w:rPr>
                <w:rFonts w:hint="eastAsia" w:ascii="Times New Roman" w:hAnsi="Times New Roman" w:eastAsia="宋体" w:cs="Times New Roman"/>
                <w:b w:val="0"/>
                <w:bCs/>
                <w:color w:val="auto"/>
                <w:sz w:val="24"/>
                <w:szCs w:val="24"/>
                <w:u w:val="none"/>
                <w:lang w:val="en-US" w:eastAsia="zh-CN"/>
              </w:rPr>
              <w:t>废油桶</w:t>
            </w:r>
            <w:r>
              <w:rPr>
                <w:rFonts w:hint="default" w:ascii="Times New Roman" w:hAnsi="Times New Roman" w:cs="Times New Roman"/>
                <w:color w:val="auto"/>
                <w:sz w:val="24"/>
                <w:szCs w:val="24"/>
              </w:rPr>
              <w:t>属于危险废物，废物</w:t>
            </w:r>
            <w:r>
              <w:rPr>
                <w:rFonts w:hint="default" w:ascii="Times New Roman" w:hAnsi="Times New Roman" w:cs="Times New Roman"/>
                <w:color w:val="auto"/>
                <w:sz w:val="24"/>
                <w:szCs w:val="24"/>
                <w:lang w:eastAsia="zh-CN"/>
              </w:rPr>
              <w:t>类别为</w:t>
            </w:r>
            <w:r>
              <w:rPr>
                <w:rFonts w:hint="default" w:ascii="Times New Roman" w:hAnsi="Times New Roman" w:cs="Times New Roman"/>
                <w:color w:val="auto"/>
                <w:sz w:val="24"/>
                <w:szCs w:val="24"/>
              </w:rPr>
              <w:t>HW08废矿物油与含矿物油废物，</w:t>
            </w:r>
            <w:r>
              <w:rPr>
                <w:rFonts w:hint="default" w:ascii="Times New Roman" w:hAnsi="Times New Roman" w:cs="Times New Roman"/>
                <w:color w:val="auto"/>
                <w:sz w:val="24"/>
                <w:szCs w:val="24"/>
                <w:lang w:eastAsia="zh-CN"/>
              </w:rPr>
              <w:t>废物代码为</w:t>
            </w:r>
            <w:r>
              <w:rPr>
                <w:rFonts w:hint="default" w:ascii="Times New Roman" w:hAnsi="Times New Roman" w:cs="Times New Roman"/>
                <w:color w:val="auto"/>
                <w:sz w:val="24"/>
                <w:szCs w:val="24"/>
              </w:rPr>
              <w:t>900-</w:t>
            </w:r>
            <w:r>
              <w:rPr>
                <w:rFonts w:hint="eastAsia" w:ascii="Times New Roman" w:hAnsi="Times New Roman" w:cs="Times New Roman"/>
                <w:color w:val="auto"/>
                <w:sz w:val="24"/>
                <w:szCs w:val="24"/>
                <w:lang w:val="en-US" w:eastAsia="zh-CN"/>
              </w:rPr>
              <w:t>249-08</w:t>
            </w:r>
            <w:r>
              <w:rPr>
                <w:rFonts w:hint="default" w:ascii="Times New Roman" w:hAnsi="Times New Roman" w:cs="Times New Roman"/>
                <w:color w:val="auto"/>
                <w:sz w:val="24"/>
                <w:szCs w:val="24"/>
              </w:rPr>
              <w:t>，更换下来的</w:t>
            </w:r>
            <w:r>
              <w:rPr>
                <w:rFonts w:hint="eastAsia" w:ascii="Times New Roman" w:hAnsi="Times New Roman" w:eastAsia="宋体" w:cs="Times New Roman"/>
                <w:b w:val="0"/>
                <w:bCs/>
                <w:color w:val="auto"/>
                <w:sz w:val="24"/>
                <w:szCs w:val="24"/>
                <w:u w:val="none"/>
                <w:lang w:val="en-US" w:eastAsia="zh-CN"/>
              </w:rPr>
              <w:t>废油桶</w:t>
            </w:r>
            <w:r>
              <w:rPr>
                <w:rFonts w:hint="default" w:ascii="Times New Roman" w:hAnsi="Times New Roman" w:cs="Times New Roman"/>
                <w:color w:val="auto"/>
                <w:sz w:val="24"/>
                <w:szCs w:val="24"/>
              </w:rPr>
              <w:t>收集后委托具有危险废物处理资质单位处置。</w:t>
            </w:r>
          </w:p>
          <w:p w14:paraId="2B782196">
            <w:pPr>
              <w:pStyle w:val="56"/>
              <w:ind w:firstLine="480"/>
              <w:jc w:val="both"/>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（3）废矿物油</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S</w:t>
            </w:r>
            <w:r>
              <w:rPr>
                <w:rFonts w:hint="eastAsia" w:ascii="Times New Roman" w:hAnsi="Times New Roman" w:cs="Times New Roman"/>
                <w:color w:val="auto"/>
                <w:szCs w:val="24"/>
                <w:vertAlign w:val="subscript"/>
                <w:lang w:val="en-US" w:eastAsia="zh-CN"/>
              </w:rPr>
              <w:t>6</w:t>
            </w:r>
            <w:r>
              <w:rPr>
                <w:rFonts w:hint="default" w:ascii="Times New Roman" w:hAnsi="Times New Roman" w:cs="Times New Roman"/>
                <w:color w:val="auto"/>
                <w:szCs w:val="24"/>
                <w:lang w:eastAsia="zh-CN"/>
              </w:rPr>
              <w:t>）</w:t>
            </w:r>
          </w:p>
          <w:p w14:paraId="29D7F9ED">
            <w:pPr>
              <w:pStyle w:val="56"/>
              <w:ind w:firstLine="480"/>
              <w:jc w:val="both"/>
              <w:rPr>
                <w:rFonts w:hint="default" w:ascii="Times New Roman" w:hAnsi="Times New Roman" w:cs="Times New Roman"/>
                <w:color w:val="auto"/>
                <w:sz w:val="24"/>
                <w:szCs w:val="24"/>
                <w:lang w:val="en-AU" w:eastAsia="zh-CN"/>
              </w:rPr>
            </w:pPr>
            <w:r>
              <w:rPr>
                <w:rFonts w:hint="default" w:ascii="Times New Roman" w:hAnsi="Times New Roman" w:cs="Times New Roman"/>
                <w:color w:val="auto"/>
                <w:sz w:val="24"/>
                <w:szCs w:val="24"/>
                <w:lang w:val="en-US" w:eastAsia="zh-CN"/>
              </w:rPr>
              <w:t>项目</w:t>
            </w:r>
            <w:r>
              <w:rPr>
                <w:rFonts w:hint="eastAsia" w:ascii="Times New Roman" w:hAnsi="Times New Roman" w:eastAsia="宋体" w:cs="Times New Roman"/>
                <w:b w:val="0"/>
                <w:bCs/>
                <w:color w:val="auto"/>
                <w:sz w:val="24"/>
                <w:szCs w:val="24"/>
                <w:u w:val="none"/>
                <w:lang w:val="en-US" w:eastAsia="zh-CN"/>
              </w:rPr>
              <w:t>抗磨压油更换</w:t>
            </w:r>
            <w:r>
              <w:rPr>
                <w:rFonts w:hint="default" w:ascii="Times New Roman" w:hAnsi="Times New Roman" w:cs="Times New Roman"/>
                <w:color w:val="auto"/>
                <w:sz w:val="24"/>
                <w:szCs w:val="24"/>
                <w:lang w:val="en-US" w:eastAsia="zh-CN"/>
              </w:rPr>
              <w:t>会产生少量</w:t>
            </w:r>
            <w:r>
              <w:rPr>
                <w:rFonts w:hint="eastAsia" w:ascii="Times New Roman" w:hAnsi="Times New Roman" w:cs="Times New Roman"/>
                <w:color w:val="auto"/>
                <w:sz w:val="24"/>
                <w:szCs w:val="24"/>
                <w:lang w:val="en-US" w:eastAsia="zh-CN"/>
              </w:rPr>
              <w:t>废矿物油</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废矿物油</w:t>
            </w:r>
            <w:r>
              <w:rPr>
                <w:rFonts w:hint="default" w:ascii="Times New Roman" w:hAnsi="Times New Roman" w:cs="Times New Roman"/>
                <w:color w:val="auto"/>
                <w:sz w:val="24"/>
                <w:szCs w:val="24"/>
                <w:lang w:val="en-US" w:eastAsia="zh-CN"/>
              </w:rPr>
              <w:t>产生量约为0.1t/a。</w:t>
            </w:r>
            <w:r>
              <w:rPr>
                <w:rFonts w:hint="default" w:ascii="Times New Roman" w:hAnsi="Times New Roman" w:cs="Times New Roman"/>
                <w:color w:val="auto"/>
                <w:sz w:val="24"/>
                <w:szCs w:val="24"/>
                <w:lang w:eastAsia="zh-CN"/>
              </w:rPr>
              <w:t>对照</w:t>
            </w:r>
            <w:r>
              <w:rPr>
                <w:rFonts w:hint="eastAsia" w:ascii="Times New Roman" w:hAnsi="Times New Roman" w:cs="Times New Roman"/>
                <w:color w:val="auto"/>
                <w:sz w:val="24"/>
                <w:szCs w:val="24"/>
                <w:lang w:eastAsia="zh-CN"/>
              </w:rPr>
              <w:t>《国家危险废物名录（2025年版）》（部令第36号，2025年01月01日实施）</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废矿物油</w:t>
            </w:r>
            <w:r>
              <w:rPr>
                <w:rFonts w:hint="default" w:ascii="Times New Roman" w:hAnsi="Times New Roman" w:cs="Times New Roman"/>
                <w:color w:val="auto"/>
                <w:sz w:val="24"/>
                <w:szCs w:val="24"/>
                <w:lang w:val="en-US" w:eastAsia="zh-CN"/>
              </w:rPr>
              <w:t>属于危险废物，废物类别为HW08废矿物油与含废矿物油废物，废物代码为900-2</w:t>
            </w:r>
            <w:r>
              <w:rPr>
                <w:rFonts w:hint="eastAsia" w:ascii="Times New Roman" w:hAnsi="Times New Roman" w:cs="Times New Roman"/>
                <w:color w:val="auto"/>
                <w:sz w:val="24"/>
                <w:szCs w:val="24"/>
                <w:lang w:val="en-US" w:eastAsia="zh-CN"/>
              </w:rPr>
              <w:t>49</w:t>
            </w:r>
            <w:r>
              <w:rPr>
                <w:rFonts w:hint="default" w:ascii="Times New Roman" w:hAnsi="Times New Roman" w:cs="Times New Roman"/>
                <w:color w:val="auto"/>
                <w:sz w:val="24"/>
                <w:szCs w:val="24"/>
                <w:lang w:val="en-US" w:eastAsia="zh-CN"/>
              </w:rPr>
              <w:t>-08。</w:t>
            </w:r>
            <w:r>
              <w:rPr>
                <w:rFonts w:hint="eastAsia" w:ascii="Times New Roman" w:hAnsi="Times New Roman" w:cs="Times New Roman"/>
                <w:color w:val="auto"/>
                <w:sz w:val="24"/>
                <w:szCs w:val="24"/>
                <w:lang w:val="en-US" w:eastAsia="zh-CN"/>
              </w:rPr>
              <w:t>废矿物油</w:t>
            </w:r>
            <w:r>
              <w:rPr>
                <w:rFonts w:hint="default" w:ascii="Times New Roman" w:hAnsi="Times New Roman" w:cs="Times New Roman"/>
                <w:color w:val="auto"/>
                <w:sz w:val="24"/>
                <w:szCs w:val="24"/>
              </w:rPr>
              <w:t>经收集后放入专用的储存桶内暂存于车间内危险废物暂存库内，委托具有危险废物处理资质单位处置。</w:t>
            </w:r>
          </w:p>
          <w:p w14:paraId="28C48D16">
            <w:pPr>
              <w:pStyle w:val="56"/>
              <w:ind w:firstLine="480"/>
              <w:jc w:val="both"/>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AU" w:eastAsia="zh-CN"/>
              </w:rPr>
              <w:t>根据《建设项目危险废物环境影响评价指南》（公告</w:t>
            </w:r>
            <w:r>
              <w:rPr>
                <w:rFonts w:hint="default" w:ascii="Times New Roman" w:hAnsi="Times New Roman" w:cs="Times New Roman"/>
                <w:color w:val="auto"/>
                <w:sz w:val="24"/>
                <w:szCs w:val="24"/>
                <w:lang w:val="en-US" w:eastAsia="zh-CN"/>
              </w:rPr>
              <w:t>2017第43号，2017年10月01日实施，环境保护部</w:t>
            </w:r>
            <w:r>
              <w:rPr>
                <w:rFonts w:hint="default" w:ascii="Times New Roman" w:hAnsi="Times New Roman" w:cs="Times New Roman"/>
                <w:color w:val="auto"/>
                <w:sz w:val="24"/>
                <w:szCs w:val="24"/>
                <w:lang w:val="en-AU" w:eastAsia="zh-CN"/>
              </w:rPr>
              <w:t>）</w:t>
            </w:r>
            <w:r>
              <w:rPr>
                <w:rFonts w:hint="eastAsia" w:ascii="Times New Roman" w:hAnsi="Times New Roman" w:cs="Times New Roman"/>
                <w:color w:val="auto"/>
                <w:sz w:val="24"/>
                <w:szCs w:val="24"/>
                <w:lang w:val="en-AU" w:eastAsia="zh-CN"/>
              </w:rPr>
              <w:t>、《排污许可证申请与核发技术规范</w:t>
            </w:r>
            <w:r>
              <w:rPr>
                <w:rFonts w:hint="eastAsia"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AU" w:eastAsia="zh-CN"/>
              </w:rPr>
              <w:t>工业固体废物（试行）》（HJ1200-2021）等</w:t>
            </w:r>
            <w:r>
              <w:rPr>
                <w:rFonts w:hint="default" w:ascii="Times New Roman" w:hAnsi="Times New Roman" w:cs="Times New Roman"/>
                <w:color w:val="auto"/>
                <w:sz w:val="24"/>
                <w:szCs w:val="24"/>
                <w:lang w:val="en-AU" w:eastAsia="zh-CN"/>
              </w:rPr>
              <w:t>，本项目危险废物汇总表见表</w:t>
            </w:r>
            <w:r>
              <w:rPr>
                <w:rFonts w:hint="default"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val="en-US" w:eastAsia="zh-CN"/>
              </w:rPr>
              <w:t>18</w:t>
            </w:r>
            <w:r>
              <w:rPr>
                <w:rFonts w:hint="default" w:ascii="Times New Roman" w:hAnsi="Times New Roman" w:cs="Times New Roman"/>
                <w:color w:val="auto"/>
                <w:sz w:val="24"/>
                <w:szCs w:val="24"/>
                <w:lang w:val="en-US" w:eastAsia="zh-CN"/>
              </w:rPr>
              <w:t>。</w:t>
            </w:r>
          </w:p>
          <w:p w14:paraId="30DDA025">
            <w:pPr>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eastAsia="zh-CN"/>
              </w:rPr>
              <w:t>表</w:t>
            </w:r>
            <w:r>
              <w:rPr>
                <w:rFonts w:hint="default" w:ascii="Times New Roman" w:hAnsi="Times New Roman" w:cs="Times New Roman"/>
                <w:b/>
                <w:bCs/>
                <w:color w:val="auto"/>
                <w:sz w:val="21"/>
                <w:szCs w:val="21"/>
                <w:lang w:val="en-US" w:eastAsia="zh-CN"/>
              </w:rPr>
              <w:t>4.</w:t>
            </w:r>
            <w:r>
              <w:rPr>
                <w:rFonts w:hint="eastAsia" w:ascii="Times New Roman" w:hAnsi="Times New Roman" w:cs="Times New Roman"/>
                <w:b/>
                <w:bCs/>
                <w:color w:val="auto"/>
                <w:sz w:val="21"/>
                <w:szCs w:val="21"/>
                <w:lang w:val="en-US" w:eastAsia="zh-CN"/>
              </w:rPr>
              <w:t>18</w:t>
            </w:r>
            <w:r>
              <w:rPr>
                <w:rFonts w:hint="default" w:ascii="Times New Roman" w:hAnsi="Times New Roman" w:cs="Times New Roman"/>
                <w:b/>
                <w:bCs/>
                <w:color w:val="auto"/>
                <w:sz w:val="21"/>
                <w:szCs w:val="21"/>
                <w:lang w:val="en-US" w:eastAsia="zh-CN"/>
              </w:rPr>
              <w:t xml:space="preserve">  建设项目危险废物汇总表</w:t>
            </w:r>
          </w:p>
          <w:tbl>
            <w:tblPr>
              <w:tblStyle w:val="32"/>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1419"/>
              <w:gridCol w:w="1048"/>
              <w:gridCol w:w="1437"/>
              <w:gridCol w:w="1054"/>
              <w:gridCol w:w="1072"/>
              <w:gridCol w:w="868"/>
              <w:gridCol w:w="887"/>
              <w:gridCol w:w="1320"/>
            </w:tblGrid>
            <w:tr w14:paraId="62B76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5" w:type="dxa"/>
                  <w:noWrap w:val="0"/>
                  <w:vAlign w:val="center"/>
                </w:tcPr>
                <w:p w14:paraId="1A8BFB00">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1458" w:type="dxa"/>
                  <w:noWrap w:val="0"/>
                  <w:vAlign w:val="center"/>
                </w:tcPr>
                <w:p w14:paraId="39A18042">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危险废物</w:t>
                  </w:r>
                </w:p>
                <w:p w14:paraId="6A295E23">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名称</w:t>
                  </w:r>
                </w:p>
              </w:tc>
              <w:tc>
                <w:tcPr>
                  <w:tcW w:w="1056" w:type="dxa"/>
                  <w:noWrap w:val="0"/>
                  <w:vAlign w:val="center"/>
                </w:tcPr>
                <w:p w14:paraId="1DE0EB6C">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危险废物类别</w:t>
                  </w:r>
                </w:p>
              </w:tc>
              <w:tc>
                <w:tcPr>
                  <w:tcW w:w="1295" w:type="dxa"/>
                  <w:noWrap w:val="0"/>
                  <w:vAlign w:val="center"/>
                </w:tcPr>
                <w:p w14:paraId="2766FD09">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危险废物代码</w:t>
                  </w:r>
                </w:p>
              </w:tc>
              <w:tc>
                <w:tcPr>
                  <w:tcW w:w="1058" w:type="dxa"/>
                  <w:noWrap w:val="0"/>
                  <w:vAlign w:val="center"/>
                </w:tcPr>
                <w:p w14:paraId="599B1297">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产生量（吨/年）</w:t>
                  </w:r>
                </w:p>
              </w:tc>
              <w:tc>
                <w:tcPr>
                  <w:tcW w:w="1097" w:type="dxa"/>
                  <w:noWrap w:val="0"/>
                  <w:vAlign w:val="center"/>
                </w:tcPr>
                <w:p w14:paraId="65AC0EA5">
                  <w:pPr>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产生</w:t>
                  </w:r>
                </w:p>
                <w:p w14:paraId="421FEF45">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环节</w:t>
                  </w:r>
                </w:p>
              </w:tc>
              <w:tc>
                <w:tcPr>
                  <w:tcW w:w="885" w:type="dxa"/>
                  <w:noWrap w:val="0"/>
                  <w:vAlign w:val="center"/>
                </w:tcPr>
                <w:p w14:paraId="21A29926">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物理性状</w:t>
                  </w:r>
                </w:p>
              </w:tc>
              <w:tc>
                <w:tcPr>
                  <w:tcW w:w="900" w:type="dxa"/>
                  <w:noWrap w:val="0"/>
                  <w:vAlign w:val="center"/>
                </w:tcPr>
                <w:p w14:paraId="5415B14F">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危险特性</w:t>
                  </w:r>
                </w:p>
              </w:tc>
              <w:tc>
                <w:tcPr>
                  <w:tcW w:w="1347" w:type="dxa"/>
                  <w:noWrap w:val="0"/>
                  <w:vAlign w:val="center"/>
                </w:tcPr>
                <w:p w14:paraId="5579F6B4">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污染防治措施*</w:t>
                  </w:r>
                  <w:r>
                    <w:rPr>
                      <w:rFonts w:hint="eastAsia" w:ascii="Times New Roman" w:hAnsi="Times New Roman" w:cs="Times New Roman"/>
                      <w:color w:val="auto"/>
                      <w:sz w:val="21"/>
                      <w:szCs w:val="21"/>
                      <w:lang w:val="en-US" w:eastAsia="zh-CN"/>
                    </w:rPr>
                    <w:t>（去向）</w:t>
                  </w:r>
                </w:p>
              </w:tc>
            </w:tr>
            <w:tr w14:paraId="3B4F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5" w:type="dxa"/>
                  <w:shd w:val="clear" w:color="auto" w:fill="auto"/>
                  <w:noWrap w:val="0"/>
                  <w:vAlign w:val="center"/>
                </w:tcPr>
                <w:p w14:paraId="5013D09F">
                  <w:pPr>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w:t>
                  </w:r>
                </w:p>
              </w:tc>
              <w:tc>
                <w:tcPr>
                  <w:tcW w:w="1458" w:type="dxa"/>
                  <w:shd w:val="clear" w:color="auto" w:fill="auto"/>
                  <w:noWrap w:val="0"/>
                  <w:vAlign w:val="center"/>
                </w:tcPr>
                <w:p w14:paraId="27073B8B">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废活性炭</w:t>
                  </w:r>
                </w:p>
              </w:tc>
              <w:tc>
                <w:tcPr>
                  <w:tcW w:w="1056" w:type="dxa"/>
                  <w:noWrap w:val="0"/>
                  <w:vAlign w:val="center"/>
                </w:tcPr>
                <w:p w14:paraId="1CB99B7D">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HW49</w:t>
                  </w:r>
                </w:p>
              </w:tc>
              <w:tc>
                <w:tcPr>
                  <w:tcW w:w="1295" w:type="dxa"/>
                  <w:shd w:val="clear" w:color="auto" w:fill="auto"/>
                  <w:noWrap w:val="0"/>
                  <w:vAlign w:val="center"/>
                </w:tcPr>
                <w:p w14:paraId="01EFB6B7">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900-039-49</w:t>
                  </w:r>
                </w:p>
              </w:tc>
              <w:tc>
                <w:tcPr>
                  <w:tcW w:w="1058" w:type="dxa"/>
                  <w:noWrap w:val="0"/>
                  <w:vAlign w:val="center"/>
                </w:tcPr>
                <w:p w14:paraId="206FA568">
                  <w:pPr>
                    <w:spacing w:line="240" w:lineRule="auto"/>
                    <w:jc w:val="center"/>
                    <w:rPr>
                      <w:rFonts w:hint="default" w:ascii="TimesNewRomanPSMT" w:hAnsi="TimesNewRomanPSMT" w:eastAsia="TimesNewRomanPSMT" w:cs="TimesNewRomanPSMT"/>
                      <w:b w:val="0"/>
                      <w:bCs w:val="0"/>
                      <w:i w:val="0"/>
                      <w:iCs w:val="0"/>
                      <w:color w:val="auto"/>
                      <w:kern w:val="0"/>
                      <w:sz w:val="21"/>
                      <w:szCs w:val="21"/>
                      <w:lang w:val="en-US" w:eastAsia="zh-CN" w:bidi="ar"/>
                    </w:rPr>
                  </w:pPr>
                  <w:r>
                    <w:rPr>
                      <w:rFonts w:hint="eastAsia" w:ascii="TimesNewRomanPSMT" w:hAnsi="TimesNewRomanPSMT" w:eastAsia="TimesNewRomanPSMT" w:cs="TimesNewRomanPSMT"/>
                      <w:b w:val="0"/>
                      <w:bCs w:val="0"/>
                      <w:i w:val="0"/>
                      <w:iCs w:val="0"/>
                      <w:color w:val="auto"/>
                      <w:kern w:val="0"/>
                      <w:sz w:val="21"/>
                      <w:szCs w:val="21"/>
                      <w:lang w:val="en-US" w:eastAsia="zh-CN" w:bidi="ar"/>
                    </w:rPr>
                    <w:t>2.3274</w:t>
                  </w:r>
                </w:p>
              </w:tc>
              <w:tc>
                <w:tcPr>
                  <w:tcW w:w="1097" w:type="dxa"/>
                  <w:noWrap w:val="0"/>
                  <w:vAlign w:val="center"/>
                </w:tcPr>
                <w:p w14:paraId="21761A3F">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废气治理</w:t>
                  </w:r>
                </w:p>
              </w:tc>
              <w:tc>
                <w:tcPr>
                  <w:tcW w:w="885" w:type="dxa"/>
                  <w:noWrap w:val="0"/>
                  <w:vAlign w:val="center"/>
                </w:tcPr>
                <w:p w14:paraId="31652AC5">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固态</w:t>
                  </w:r>
                </w:p>
              </w:tc>
              <w:tc>
                <w:tcPr>
                  <w:tcW w:w="900" w:type="dxa"/>
                  <w:noWrap w:val="0"/>
                  <w:vAlign w:val="center"/>
                </w:tcPr>
                <w:p w14:paraId="1ECF18AD">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w:t>
                  </w:r>
                </w:p>
              </w:tc>
              <w:tc>
                <w:tcPr>
                  <w:tcW w:w="1347" w:type="dxa"/>
                  <w:vMerge w:val="restart"/>
                  <w:noWrap w:val="0"/>
                  <w:vAlign w:val="center"/>
                </w:tcPr>
                <w:p w14:paraId="4915C425">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存放于</w:t>
                  </w:r>
                  <w:r>
                    <w:rPr>
                      <w:rFonts w:hint="eastAsia" w:ascii="Times New Roman" w:hAnsi="Times New Roman" w:cs="Times New Roman"/>
                      <w:color w:val="auto"/>
                      <w:sz w:val="21"/>
                      <w:szCs w:val="21"/>
                      <w:lang w:val="en-US" w:eastAsia="zh-CN"/>
                    </w:rPr>
                    <w:t>危险废物暂存间</w:t>
                  </w:r>
                  <w:r>
                    <w:rPr>
                      <w:rFonts w:hint="default" w:ascii="Times New Roman" w:hAnsi="Times New Roman" w:cs="Times New Roman"/>
                      <w:color w:val="auto"/>
                      <w:sz w:val="21"/>
                      <w:szCs w:val="21"/>
                      <w:lang w:val="en-US" w:eastAsia="zh-CN"/>
                    </w:rPr>
                    <w:t>内，委托具有危险废物处理资质单位处置</w:t>
                  </w:r>
                </w:p>
              </w:tc>
            </w:tr>
            <w:tr w14:paraId="0ED6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5" w:type="dxa"/>
                  <w:shd w:val="clear" w:color="auto" w:fill="auto"/>
                  <w:noWrap w:val="0"/>
                  <w:vAlign w:val="center"/>
                </w:tcPr>
                <w:p w14:paraId="08D0B17F">
                  <w:pPr>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w:t>
                  </w:r>
                </w:p>
              </w:tc>
              <w:tc>
                <w:tcPr>
                  <w:tcW w:w="1458" w:type="dxa"/>
                  <w:shd w:val="clear" w:color="auto" w:fill="auto"/>
                  <w:noWrap w:val="0"/>
                  <w:vAlign w:val="center"/>
                </w:tcPr>
                <w:p w14:paraId="0C62FB3E">
                  <w:pPr>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sz w:val="21"/>
                      <w:szCs w:val="21"/>
                      <w:lang w:val="en-US" w:eastAsia="zh-CN"/>
                    </w:rPr>
                    <w:t>废油桶</w:t>
                  </w:r>
                </w:p>
              </w:tc>
              <w:tc>
                <w:tcPr>
                  <w:tcW w:w="1056" w:type="dxa"/>
                  <w:shd w:val="clear" w:color="auto" w:fill="auto"/>
                  <w:noWrap w:val="0"/>
                  <w:vAlign w:val="center"/>
                </w:tcPr>
                <w:p w14:paraId="2E3E15B4">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HW08</w:t>
                  </w:r>
                </w:p>
              </w:tc>
              <w:tc>
                <w:tcPr>
                  <w:tcW w:w="1295" w:type="dxa"/>
                  <w:shd w:val="clear" w:color="auto" w:fill="auto"/>
                  <w:noWrap w:val="0"/>
                  <w:vAlign w:val="center"/>
                </w:tcPr>
                <w:p w14:paraId="4E8B3BE5">
                  <w:pPr>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900-</w:t>
                  </w:r>
                  <w:r>
                    <w:rPr>
                      <w:rFonts w:hint="eastAsia" w:ascii="Times New Roman" w:hAnsi="Times New Roman" w:cs="Times New Roman"/>
                      <w:color w:val="auto"/>
                      <w:sz w:val="21"/>
                      <w:szCs w:val="21"/>
                      <w:lang w:val="en-US" w:eastAsia="zh-CN"/>
                    </w:rPr>
                    <w:t>249-08</w:t>
                  </w:r>
                </w:p>
              </w:tc>
              <w:tc>
                <w:tcPr>
                  <w:tcW w:w="1058" w:type="dxa"/>
                  <w:shd w:val="clear" w:color="auto" w:fill="auto"/>
                  <w:noWrap w:val="0"/>
                  <w:vAlign w:val="center"/>
                </w:tcPr>
                <w:p w14:paraId="45FB7320">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0.3</w:t>
                  </w:r>
                </w:p>
              </w:tc>
              <w:tc>
                <w:tcPr>
                  <w:tcW w:w="1097" w:type="dxa"/>
                  <w:shd w:val="clear" w:color="auto" w:fill="auto"/>
                  <w:noWrap w:val="0"/>
                  <w:vAlign w:val="center"/>
                </w:tcPr>
                <w:p w14:paraId="13FB636F">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抗磨压油拆包</w:t>
                  </w:r>
                </w:p>
              </w:tc>
              <w:tc>
                <w:tcPr>
                  <w:tcW w:w="885" w:type="dxa"/>
                  <w:shd w:val="clear" w:color="auto" w:fill="auto"/>
                  <w:noWrap w:val="0"/>
                  <w:vAlign w:val="center"/>
                </w:tcPr>
                <w:p w14:paraId="5EC2C84D">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固态</w:t>
                  </w:r>
                </w:p>
              </w:tc>
              <w:tc>
                <w:tcPr>
                  <w:tcW w:w="900" w:type="dxa"/>
                  <w:shd w:val="clear" w:color="auto" w:fill="auto"/>
                  <w:noWrap w:val="0"/>
                  <w:vAlign w:val="center"/>
                </w:tcPr>
                <w:p w14:paraId="329E9BA9">
                  <w:pPr>
                    <w:jc w:val="center"/>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T，I</w:t>
                  </w:r>
                </w:p>
              </w:tc>
              <w:tc>
                <w:tcPr>
                  <w:tcW w:w="1347" w:type="dxa"/>
                  <w:vMerge w:val="continue"/>
                  <w:noWrap w:val="0"/>
                  <w:vAlign w:val="center"/>
                </w:tcPr>
                <w:p w14:paraId="385F3FE3">
                  <w:pPr>
                    <w:spacing w:line="240" w:lineRule="auto"/>
                    <w:jc w:val="center"/>
                    <w:rPr>
                      <w:rFonts w:hint="default" w:ascii="Times New Roman" w:hAnsi="Times New Roman" w:cs="Times New Roman"/>
                      <w:color w:val="auto"/>
                      <w:sz w:val="21"/>
                      <w:szCs w:val="21"/>
                      <w:lang w:val="en-US" w:eastAsia="zh-CN"/>
                    </w:rPr>
                  </w:pPr>
                </w:p>
              </w:tc>
            </w:tr>
            <w:tr w14:paraId="76986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5" w:type="dxa"/>
                  <w:shd w:val="clear" w:color="auto" w:fill="auto"/>
                  <w:noWrap w:val="0"/>
                  <w:vAlign w:val="center"/>
                </w:tcPr>
                <w:p w14:paraId="3A9DCA14">
                  <w:pPr>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c>
                <w:tcPr>
                  <w:tcW w:w="1458" w:type="dxa"/>
                  <w:shd w:val="clear" w:color="auto" w:fill="auto"/>
                  <w:noWrap w:val="0"/>
                  <w:vAlign w:val="center"/>
                </w:tcPr>
                <w:p w14:paraId="46BAD467">
                  <w:pPr>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废矿物油</w:t>
                  </w:r>
                </w:p>
              </w:tc>
              <w:tc>
                <w:tcPr>
                  <w:tcW w:w="1056" w:type="dxa"/>
                  <w:shd w:val="clear" w:color="auto" w:fill="auto"/>
                  <w:noWrap w:val="0"/>
                  <w:vAlign w:val="center"/>
                </w:tcPr>
                <w:p w14:paraId="300D41CB">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HW08</w:t>
                  </w:r>
                </w:p>
              </w:tc>
              <w:tc>
                <w:tcPr>
                  <w:tcW w:w="1295" w:type="dxa"/>
                  <w:shd w:val="clear" w:color="auto" w:fill="auto"/>
                  <w:noWrap w:val="0"/>
                  <w:vAlign w:val="center"/>
                </w:tcPr>
                <w:p w14:paraId="5DEFF71A">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900-</w:t>
                  </w:r>
                  <w:r>
                    <w:rPr>
                      <w:rFonts w:hint="eastAsia" w:ascii="Times New Roman" w:hAnsi="Times New Roman" w:cs="Times New Roman"/>
                      <w:color w:val="auto"/>
                      <w:sz w:val="21"/>
                      <w:szCs w:val="21"/>
                      <w:lang w:val="en-US" w:eastAsia="zh-CN"/>
                    </w:rPr>
                    <w:t>249-08</w:t>
                  </w:r>
                </w:p>
              </w:tc>
              <w:tc>
                <w:tcPr>
                  <w:tcW w:w="1058" w:type="dxa"/>
                  <w:shd w:val="clear" w:color="auto" w:fill="auto"/>
                  <w:noWrap w:val="0"/>
                  <w:vAlign w:val="center"/>
                </w:tcPr>
                <w:p w14:paraId="5D4C28D3">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0.1</w:t>
                  </w:r>
                </w:p>
              </w:tc>
              <w:tc>
                <w:tcPr>
                  <w:tcW w:w="1097" w:type="dxa"/>
                  <w:shd w:val="clear" w:color="auto" w:fill="auto"/>
                  <w:noWrap w:val="0"/>
                  <w:vAlign w:val="center"/>
                </w:tcPr>
                <w:p w14:paraId="531A315C">
                  <w:pPr>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抗磨压油更换</w:t>
                  </w:r>
                </w:p>
              </w:tc>
              <w:tc>
                <w:tcPr>
                  <w:tcW w:w="885" w:type="dxa"/>
                  <w:shd w:val="clear" w:color="auto" w:fill="auto"/>
                  <w:noWrap w:val="0"/>
                  <w:vAlign w:val="center"/>
                </w:tcPr>
                <w:p w14:paraId="1714CADE">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液态</w:t>
                  </w:r>
                </w:p>
              </w:tc>
              <w:tc>
                <w:tcPr>
                  <w:tcW w:w="900" w:type="dxa"/>
                  <w:shd w:val="clear" w:color="auto" w:fill="auto"/>
                  <w:noWrap w:val="0"/>
                  <w:vAlign w:val="center"/>
                </w:tcPr>
                <w:p w14:paraId="2C5CA283">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T，I</w:t>
                  </w:r>
                </w:p>
              </w:tc>
              <w:tc>
                <w:tcPr>
                  <w:tcW w:w="1347" w:type="dxa"/>
                  <w:vMerge w:val="continue"/>
                  <w:noWrap w:val="0"/>
                  <w:vAlign w:val="center"/>
                </w:tcPr>
                <w:p w14:paraId="5C218514">
                  <w:pPr>
                    <w:spacing w:line="240" w:lineRule="auto"/>
                    <w:jc w:val="center"/>
                    <w:rPr>
                      <w:rFonts w:hint="default" w:ascii="Times New Roman" w:hAnsi="Times New Roman" w:cs="Times New Roman"/>
                      <w:color w:val="auto"/>
                      <w:sz w:val="21"/>
                      <w:szCs w:val="21"/>
                      <w:lang w:val="en-US" w:eastAsia="zh-CN"/>
                    </w:rPr>
                  </w:pPr>
                </w:p>
              </w:tc>
            </w:tr>
          </w:tbl>
          <w:p w14:paraId="1F57277F">
            <w:pPr>
              <w:spacing w:line="360" w:lineRule="auto"/>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AU" w:eastAsia="zh-CN"/>
              </w:rPr>
              <w:t>根据《排污许可证申请与核发技术规范</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AU" w:eastAsia="zh-CN"/>
              </w:rPr>
              <w:t>工业固体废物（试行）》（HJ1200-2021），本项目一般工业固体废物汇总表见表</w:t>
            </w:r>
            <w:r>
              <w:rPr>
                <w:rFonts w:hint="default"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val="en-US" w:eastAsia="zh-CN"/>
              </w:rPr>
              <w:t>19</w:t>
            </w:r>
            <w:r>
              <w:rPr>
                <w:rFonts w:hint="default" w:ascii="Times New Roman" w:hAnsi="Times New Roman" w:cs="Times New Roman"/>
                <w:color w:val="auto"/>
                <w:sz w:val="24"/>
                <w:szCs w:val="24"/>
                <w:lang w:val="en-US" w:eastAsia="zh-CN"/>
              </w:rPr>
              <w:t>。</w:t>
            </w:r>
          </w:p>
          <w:p w14:paraId="48BEAF70">
            <w:pPr>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eastAsia="zh-CN"/>
              </w:rPr>
              <w:t>表</w:t>
            </w:r>
            <w:r>
              <w:rPr>
                <w:rFonts w:hint="default" w:ascii="Times New Roman" w:hAnsi="Times New Roman" w:cs="Times New Roman"/>
                <w:b/>
                <w:bCs/>
                <w:color w:val="auto"/>
                <w:sz w:val="21"/>
                <w:szCs w:val="21"/>
                <w:lang w:val="en-US" w:eastAsia="zh-CN"/>
              </w:rPr>
              <w:t>4.</w:t>
            </w:r>
            <w:r>
              <w:rPr>
                <w:rFonts w:hint="eastAsia" w:ascii="Times New Roman" w:hAnsi="Times New Roman" w:cs="Times New Roman"/>
                <w:b/>
                <w:bCs/>
                <w:color w:val="auto"/>
                <w:sz w:val="21"/>
                <w:szCs w:val="21"/>
                <w:lang w:val="en-US" w:eastAsia="zh-CN"/>
              </w:rPr>
              <w:t>19</w:t>
            </w:r>
            <w:r>
              <w:rPr>
                <w:rFonts w:hint="default" w:ascii="Times New Roman" w:hAnsi="Times New Roman" w:cs="Times New Roman"/>
                <w:b/>
                <w:bCs/>
                <w:color w:val="auto"/>
                <w:sz w:val="21"/>
                <w:szCs w:val="21"/>
                <w:lang w:val="en-US" w:eastAsia="zh-CN"/>
              </w:rPr>
              <w:t xml:space="preserve">  建设项目一般工业固体废物汇总表</w:t>
            </w:r>
          </w:p>
          <w:tbl>
            <w:tblPr>
              <w:tblStyle w:val="32"/>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1204"/>
              <w:gridCol w:w="1618"/>
              <w:gridCol w:w="1437"/>
              <w:gridCol w:w="1090"/>
              <w:gridCol w:w="1067"/>
              <w:gridCol w:w="707"/>
              <w:gridCol w:w="2015"/>
            </w:tblGrid>
            <w:tr w14:paraId="6B130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4" w:type="dxa"/>
                  <w:noWrap w:val="0"/>
                  <w:vAlign w:val="center"/>
                </w:tcPr>
                <w:p w14:paraId="6D29B2BD">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1248" w:type="dxa"/>
                  <w:noWrap w:val="0"/>
                  <w:vAlign w:val="center"/>
                </w:tcPr>
                <w:p w14:paraId="002C1241">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名称</w:t>
                  </w:r>
                </w:p>
              </w:tc>
              <w:tc>
                <w:tcPr>
                  <w:tcW w:w="1685" w:type="dxa"/>
                  <w:noWrap w:val="0"/>
                  <w:vAlign w:val="center"/>
                </w:tcPr>
                <w:p w14:paraId="4EBFE2AE">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类别</w:t>
                  </w:r>
                </w:p>
              </w:tc>
              <w:tc>
                <w:tcPr>
                  <w:tcW w:w="1170" w:type="dxa"/>
                  <w:noWrap w:val="0"/>
                  <w:vAlign w:val="center"/>
                </w:tcPr>
                <w:p w14:paraId="504C0EA8">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代码</w:t>
                  </w:r>
                </w:p>
              </w:tc>
              <w:tc>
                <w:tcPr>
                  <w:tcW w:w="1105" w:type="dxa"/>
                  <w:noWrap w:val="0"/>
                  <w:vAlign w:val="center"/>
                </w:tcPr>
                <w:p w14:paraId="0EF764D6">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产生量</w:t>
                  </w:r>
                </w:p>
                <w:p w14:paraId="00C124D7">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（吨/年）</w:t>
                  </w:r>
                </w:p>
              </w:tc>
              <w:tc>
                <w:tcPr>
                  <w:tcW w:w="1091" w:type="dxa"/>
                  <w:noWrap w:val="0"/>
                  <w:vAlign w:val="center"/>
                </w:tcPr>
                <w:p w14:paraId="1577C65D">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产生环节</w:t>
                  </w:r>
                </w:p>
              </w:tc>
              <w:tc>
                <w:tcPr>
                  <w:tcW w:w="723" w:type="dxa"/>
                  <w:noWrap w:val="0"/>
                  <w:vAlign w:val="center"/>
                </w:tcPr>
                <w:p w14:paraId="32D74D19">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物理</w:t>
                  </w:r>
                </w:p>
                <w:p w14:paraId="1AF308B0">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性状</w:t>
                  </w:r>
                </w:p>
              </w:tc>
              <w:tc>
                <w:tcPr>
                  <w:tcW w:w="2105" w:type="dxa"/>
                  <w:noWrap w:val="0"/>
                  <w:vAlign w:val="center"/>
                </w:tcPr>
                <w:p w14:paraId="3EBBA341">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去向</w:t>
                  </w:r>
                </w:p>
              </w:tc>
            </w:tr>
            <w:tr w14:paraId="2AC24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4" w:type="dxa"/>
                  <w:noWrap w:val="0"/>
                  <w:vAlign w:val="center"/>
                </w:tcPr>
                <w:p w14:paraId="05F2393F">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248" w:type="dxa"/>
                  <w:noWrap w:val="0"/>
                  <w:vAlign w:val="center"/>
                </w:tcPr>
                <w:p w14:paraId="5E98518B">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废包装物</w:t>
                  </w:r>
                </w:p>
              </w:tc>
              <w:tc>
                <w:tcPr>
                  <w:tcW w:w="1685" w:type="dxa"/>
                  <w:noWrap w:val="0"/>
                  <w:vAlign w:val="center"/>
                </w:tcPr>
                <w:p w14:paraId="175FE5D0">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一般工业固体废物</w:t>
                  </w:r>
                </w:p>
              </w:tc>
              <w:tc>
                <w:tcPr>
                  <w:tcW w:w="1170" w:type="dxa"/>
                  <w:noWrap w:val="0"/>
                  <w:vAlign w:val="center"/>
                </w:tcPr>
                <w:p w14:paraId="45B305BB">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900-999-99</w:t>
                  </w:r>
                </w:p>
              </w:tc>
              <w:tc>
                <w:tcPr>
                  <w:tcW w:w="1105" w:type="dxa"/>
                  <w:noWrap w:val="0"/>
                  <w:vAlign w:val="center"/>
                </w:tcPr>
                <w:p w14:paraId="7DEC0204">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w:t>
                  </w:r>
                </w:p>
              </w:tc>
              <w:tc>
                <w:tcPr>
                  <w:tcW w:w="1091" w:type="dxa"/>
                  <w:noWrap w:val="0"/>
                  <w:vAlign w:val="center"/>
                </w:tcPr>
                <w:p w14:paraId="1342FD9C">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原料、产品包装</w:t>
                  </w:r>
                </w:p>
              </w:tc>
              <w:tc>
                <w:tcPr>
                  <w:tcW w:w="723" w:type="dxa"/>
                  <w:noWrap w:val="0"/>
                  <w:vAlign w:val="center"/>
                </w:tcPr>
                <w:p w14:paraId="0CA10E41">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2105" w:type="dxa"/>
                  <w:noWrap w:val="0"/>
                  <w:vAlign w:val="center"/>
                </w:tcPr>
                <w:p w14:paraId="7AC5726B">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集中收集后出售给物资回收部门</w:t>
                  </w:r>
                </w:p>
              </w:tc>
            </w:tr>
            <w:tr w14:paraId="04F5B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4" w:type="dxa"/>
                  <w:noWrap w:val="0"/>
                  <w:vAlign w:val="center"/>
                </w:tcPr>
                <w:p w14:paraId="4594F98D">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248" w:type="dxa"/>
                  <w:shd w:val="clear" w:color="auto" w:fill="auto"/>
                  <w:noWrap w:val="0"/>
                  <w:vAlign w:val="center"/>
                </w:tcPr>
                <w:p w14:paraId="6A74A0E5">
                  <w:pPr>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除尘器收集的粉尘</w:t>
                  </w:r>
                </w:p>
              </w:tc>
              <w:tc>
                <w:tcPr>
                  <w:tcW w:w="1685" w:type="dxa"/>
                  <w:shd w:val="clear" w:color="auto" w:fill="auto"/>
                  <w:noWrap w:val="0"/>
                  <w:vAlign w:val="center"/>
                </w:tcPr>
                <w:p w14:paraId="42AB7B21">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一般工业固体废物</w:t>
                  </w:r>
                </w:p>
              </w:tc>
              <w:tc>
                <w:tcPr>
                  <w:tcW w:w="1170" w:type="dxa"/>
                  <w:shd w:val="clear" w:color="auto" w:fill="auto"/>
                  <w:noWrap w:val="0"/>
                  <w:vAlign w:val="center"/>
                </w:tcPr>
                <w:p w14:paraId="3611A4DA">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900-999-66</w:t>
                  </w:r>
                </w:p>
              </w:tc>
              <w:tc>
                <w:tcPr>
                  <w:tcW w:w="1105" w:type="dxa"/>
                  <w:shd w:val="clear" w:color="auto" w:fill="auto"/>
                  <w:noWrap w:val="0"/>
                  <w:vAlign w:val="center"/>
                </w:tcPr>
                <w:p w14:paraId="5C572F07">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2.125</w:t>
                  </w:r>
                </w:p>
              </w:tc>
              <w:tc>
                <w:tcPr>
                  <w:tcW w:w="1091" w:type="dxa"/>
                  <w:shd w:val="clear" w:color="auto" w:fill="auto"/>
                  <w:noWrap w:val="0"/>
                  <w:vAlign w:val="center"/>
                </w:tcPr>
                <w:p w14:paraId="716DC6EE">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除尘器除尘</w:t>
                  </w:r>
                </w:p>
              </w:tc>
              <w:tc>
                <w:tcPr>
                  <w:tcW w:w="723" w:type="dxa"/>
                  <w:shd w:val="clear" w:color="auto" w:fill="auto"/>
                  <w:noWrap w:val="0"/>
                  <w:vAlign w:val="center"/>
                </w:tcPr>
                <w:p w14:paraId="525298D2">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固态</w:t>
                  </w:r>
                </w:p>
              </w:tc>
              <w:tc>
                <w:tcPr>
                  <w:tcW w:w="2105" w:type="dxa"/>
                  <w:shd w:val="clear" w:color="auto" w:fill="auto"/>
                  <w:noWrap w:val="0"/>
                  <w:vAlign w:val="center"/>
                </w:tcPr>
                <w:p w14:paraId="76F8E6A0">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集中收集后出售给物资回收部门</w:t>
                  </w:r>
                </w:p>
              </w:tc>
            </w:tr>
            <w:tr w14:paraId="5ED0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4" w:type="dxa"/>
                  <w:shd w:val="clear" w:color="auto" w:fill="auto"/>
                  <w:noWrap w:val="0"/>
                  <w:vAlign w:val="center"/>
                </w:tcPr>
                <w:p w14:paraId="5164F28C">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3</w:t>
                  </w:r>
                </w:p>
              </w:tc>
              <w:tc>
                <w:tcPr>
                  <w:tcW w:w="1248" w:type="dxa"/>
                  <w:noWrap w:val="0"/>
                  <w:vAlign w:val="center"/>
                </w:tcPr>
                <w:p w14:paraId="6BF51DDB">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边角料</w:t>
                  </w:r>
                </w:p>
              </w:tc>
              <w:tc>
                <w:tcPr>
                  <w:tcW w:w="1685" w:type="dxa"/>
                  <w:noWrap w:val="0"/>
                  <w:vAlign w:val="center"/>
                </w:tcPr>
                <w:p w14:paraId="3A25EB39">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一般工业固体废物</w:t>
                  </w:r>
                </w:p>
              </w:tc>
              <w:tc>
                <w:tcPr>
                  <w:tcW w:w="1170" w:type="dxa"/>
                  <w:noWrap w:val="0"/>
                  <w:vAlign w:val="center"/>
                </w:tcPr>
                <w:p w14:paraId="574D6DFA">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900-999-99</w:t>
                  </w:r>
                </w:p>
              </w:tc>
              <w:tc>
                <w:tcPr>
                  <w:tcW w:w="1105" w:type="dxa"/>
                  <w:noWrap w:val="0"/>
                  <w:vAlign w:val="center"/>
                </w:tcPr>
                <w:p w14:paraId="044117E9">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2.05</w:t>
                  </w:r>
                </w:p>
              </w:tc>
              <w:tc>
                <w:tcPr>
                  <w:tcW w:w="1091" w:type="dxa"/>
                  <w:noWrap w:val="0"/>
                  <w:vAlign w:val="center"/>
                </w:tcPr>
                <w:p w14:paraId="2A22B60E">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修剪</w:t>
                  </w:r>
                </w:p>
              </w:tc>
              <w:tc>
                <w:tcPr>
                  <w:tcW w:w="723" w:type="dxa"/>
                  <w:noWrap w:val="0"/>
                  <w:vAlign w:val="center"/>
                </w:tcPr>
                <w:p w14:paraId="085A022D">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2105" w:type="dxa"/>
                  <w:noWrap w:val="0"/>
                  <w:vAlign w:val="center"/>
                </w:tcPr>
                <w:p w14:paraId="73122F7D">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集中收集后出售给物资回收部门</w:t>
                  </w:r>
                </w:p>
              </w:tc>
            </w:tr>
          </w:tbl>
          <w:p w14:paraId="1D83AC1B">
            <w:pPr>
              <w:autoSpaceDE w:val="0"/>
              <w:autoSpaceDN w:val="0"/>
              <w:adjustRightIn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建设项目工业</w:t>
            </w:r>
            <w:r>
              <w:rPr>
                <w:rFonts w:hint="default" w:ascii="Times New Roman" w:hAnsi="Times New Roman" w:cs="Times New Roman"/>
                <w:color w:val="auto"/>
                <w:sz w:val="24"/>
                <w:szCs w:val="24"/>
              </w:rPr>
              <w:t>固体废物产生及处置情况见表</w:t>
            </w:r>
            <w:r>
              <w:rPr>
                <w:rFonts w:hint="default"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w:t>
            </w:r>
          </w:p>
          <w:p w14:paraId="7C960F9E">
            <w:pPr>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w:t>
            </w:r>
            <w:r>
              <w:rPr>
                <w:rFonts w:hint="eastAsia" w:ascii="Times New Roman" w:hAnsi="Times New Roman" w:cs="Times New Roman"/>
                <w:b/>
                <w:bCs/>
                <w:color w:val="auto"/>
                <w:sz w:val="21"/>
                <w:szCs w:val="21"/>
                <w:lang w:val="en-US" w:eastAsia="zh-CN"/>
              </w:rPr>
              <w:t>20</w:t>
            </w:r>
            <w:r>
              <w:rPr>
                <w:rFonts w:hint="default" w:ascii="Times New Roman" w:hAnsi="Times New Roman" w:cs="Times New Roman"/>
                <w:b/>
                <w:bCs/>
                <w:color w:val="auto"/>
                <w:sz w:val="21"/>
                <w:szCs w:val="21"/>
                <w:lang w:val="en-US" w:eastAsia="zh-CN"/>
              </w:rPr>
              <w:t xml:space="preserve">  建设项目工业固体废物一览表  单位：t/a</w:t>
            </w:r>
          </w:p>
          <w:tbl>
            <w:tblPr>
              <w:tblStyle w:val="32"/>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1555"/>
              <w:gridCol w:w="1359"/>
              <w:gridCol w:w="1437"/>
              <w:gridCol w:w="1113"/>
              <w:gridCol w:w="3643"/>
            </w:tblGrid>
            <w:tr w14:paraId="20F49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noWrap w:val="0"/>
                  <w:vAlign w:val="center"/>
                </w:tcPr>
                <w:p w14:paraId="097AD81C">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1594" w:type="dxa"/>
                  <w:noWrap w:val="0"/>
                  <w:vAlign w:val="center"/>
                </w:tcPr>
                <w:p w14:paraId="6971C2A8">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名称</w:t>
                  </w:r>
                </w:p>
              </w:tc>
              <w:tc>
                <w:tcPr>
                  <w:tcW w:w="1391" w:type="dxa"/>
                  <w:noWrap w:val="0"/>
                  <w:vAlign w:val="center"/>
                </w:tcPr>
                <w:p w14:paraId="3910C756">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固废属性</w:t>
                  </w:r>
                </w:p>
              </w:tc>
              <w:tc>
                <w:tcPr>
                  <w:tcW w:w="1240" w:type="dxa"/>
                  <w:noWrap w:val="0"/>
                  <w:vAlign w:val="center"/>
                </w:tcPr>
                <w:p w14:paraId="1C625782">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代码</w:t>
                  </w:r>
                </w:p>
              </w:tc>
              <w:tc>
                <w:tcPr>
                  <w:tcW w:w="1119" w:type="dxa"/>
                  <w:noWrap w:val="0"/>
                  <w:vAlign w:val="center"/>
                </w:tcPr>
                <w:p w14:paraId="37362AA3">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产生量</w:t>
                  </w:r>
                </w:p>
              </w:tc>
              <w:tc>
                <w:tcPr>
                  <w:tcW w:w="3755" w:type="dxa"/>
                  <w:noWrap w:val="0"/>
                  <w:vAlign w:val="center"/>
                </w:tcPr>
                <w:p w14:paraId="348A9342">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去向</w:t>
                  </w:r>
                </w:p>
              </w:tc>
            </w:tr>
            <w:tr w14:paraId="69A19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noWrap w:val="0"/>
                  <w:vAlign w:val="center"/>
                </w:tcPr>
                <w:p w14:paraId="4CE726F5">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1594" w:type="dxa"/>
                  <w:noWrap w:val="0"/>
                  <w:vAlign w:val="center"/>
                </w:tcPr>
                <w:p w14:paraId="1D1DA657">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生活垃圾</w:t>
                  </w:r>
                </w:p>
              </w:tc>
              <w:tc>
                <w:tcPr>
                  <w:tcW w:w="1391" w:type="dxa"/>
                  <w:noWrap w:val="0"/>
                  <w:vAlign w:val="center"/>
                </w:tcPr>
                <w:p w14:paraId="7BF18194">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240" w:type="dxa"/>
                  <w:noWrap w:val="0"/>
                  <w:vAlign w:val="center"/>
                </w:tcPr>
                <w:p w14:paraId="07D86CCD">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119" w:type="dxa"/>
                  <w:noWrap w:val="0"/>
                  <w:vAlign w:val="center"/>
                </w:tcPr>
                <w:p w14:paraId="22F56750">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4.5</w:t>
                  </w:r>
                </w:p>
              </w:tc>
              <w:tc>
                <w:tcPr>
                  <w:tcW w:w="3755" w:type="dxa"/>
                  <w:noWrap w:val="0"/>
                  <w:vAlign w:val="center"/>
                </w:tcPr>
                <w:p w14:paraId="2182629F">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集中收集后定期交由环卫部门统一清运处置</w:t>
                  </w:r>
                </w:p>
              </w:tc>
            </w:tr>
            <w:tr w14:paraId="0E18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noWrap w:val="0"/>
                  <w:vAlign w:val="center"/>
                </w:tcPr>
                <w:p w14:paraId="5A72B3D2">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594" w:type="dxa"/>
                  <w:noWrap w:val="0"/>
                  <w:vAlign w:val="center"/>
                </w:tcPr>
                <w:p w14:paraId="533A7BD2">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废活性炭</w:t>
                  </w:r>
                </w:p>
              </w:tc>
              <w:tc>
                <w:tcPr>
                  <w:tcW w:w="1391" w:type="dxa"/>
                  <w:noWrap w:val="0"/>
                  <w:vAlign w:val="center"/>
                </w:tcPr>
                <w:p w14:paraId="5FC31C98">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危险废物</w:t>
                  </w:r>
                </w:p>
              </w:tc>
              <w:tc>
                <w:tcPr>
                  <w:tcW w:w="1240" w:type="dxa"/>
                  <w:noWrap w:val="0"/>
                  <w:vAlign w:val="center"/>
                </w:tcPr>
                <w:p w14:paraId="2517B96A">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900-039-49</w:t>
                  </w:r>
                </w:p>
              </w:tc>
              <w:tc>
                <w:tcPr>
                  <w:tcW w:w="1119" w:type="dxa"/>
                  <w:noWrap w:val="0"/>
                  <w:vAlign w:val="center"/>
                </w:tcPr>
                <w:p w14:paraId="2E723FF3">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2.3274</w:t>
                  </w:r>
                </w:p>
              </w:tc>
              <w:tc>
                <w:tcPr>
                  <w:tcW w:w="3755" w:type="dxa"/>
                  <w:noWrap w:val="0"/>
                  <w:vAlign w:val="center"/>
                </w:tcPr>
                <w:p w14:paraId="71BB4084">
                  <w:pPr>
                    <w:spacing w:line="240" w:lineRule="auto"/>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委托具有危废处置资质单位处置</w:t>
                  </w:r>
                </w:p>
              </w:tc>
            </w:tr>
            <w:tr w14:paraId="0DEE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noWrap w:val="0"/>
                  <w:vAlign w:val="center"/>
                </w:tcPr>
                <w:p w14:paraId="0756798B">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1594" w:type="dxa"/>
                  <w:noWrap w:val="0"/>
                  <w:vAlign w:val="center"/>
                </w:tcPr>
                <w:p w14:paraId="61F17413">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sz w:val="21"/>
                      <w:szCs w:val="21"/>
                      <w:lang w:val="en-US" w:eastAsia="zh-CN"/>
                    </w:rPr>
                    <w:t>废油桶</w:t>
                  </w:r>
                </w:p>
              </w:tc>
              <w:tc>
                <w:tcPr>
                  <w:tcW w:w="1391" w:type="dxa"/>
                  <w:noWrap w:val="0"/>
                  <w:vAlign w:val="center"/>
                </w:tcPr>
                <w:p w14:paraId="63F8771C">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危险废物</w:t>
                  </w:r>
                </w:p>
              </w:tc>
              <w:tc>
                <w:tcPr>
                  <w:tcW w:w="1240" w:type="dxa"/>
                  <w:noWrap w:val="0"/>
                  <w:vAlign w:val="center"/>
                </w:tcPr>
                <w:p w14:paraId="2C3A7E82">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900-</w:t>
                  </w:r>
                  <w:r>
                    <w:rPr>
                      <w:rFonts w:hint="eastAsia" w:ascii="Times New Roman" w:hAnsi="Times New Roman" w:cs="Times New Roman"/>
                      <w:color w:val="auto"/>
                      <w:sz w:val="21"/>
                      <w:szCs w:val="21"/>
                      <w:lang w:val="en-US" w:eastAsia="zh-CN"/>
                    </w:rPr>
                    <w:t>249-08</w:t>
                  </w:r>
                </w:p>
              </w:tc>
              <w:tc>
                <w:tcPr>
                  <w:tcW w:w="1119" w:type="dxa"/>
                  <w:shd w:val="clear" w:color="auto" w:fill="auto"/>
                  <w:noWrap w:val="0"/>
                  <w:vAlign w:val="center"/>
                </w:tcPr>
                <w:p w14:paraId="3328A44B">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0.3</w:t>
                  </w:r>
                </w:p>
              </w:tc>
              <w:tc>
                <w:tcPr>
                  <w:tcW w:w="3755" w:type="dxa"/>
                  <w:noWrap w:val="0"/>
                  <w:vAlign w:val="center"/>
                </w:tcPr>
                <w:p w14:paraId="7A074AB0">
                  <w:pPr>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委托具有危废处置资质单位处置</w:t>
                  </w:r>
                </w:p>
              </w:tc>
            </w:tr>
            <w:tr w14:paraId="57057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noWrap w:val="0"/>
                  <w:vAlign w:val="center"/>
                </w:tcPr>
                <w:p w14:paraId="3995E100">
                  <w:pPr>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594" w:type="dxa"/>
                  <w:noWrap w:val="0"/>
                  <w:vAlign w:val="center"/>
                </w:tcPr>
                <w:p w14:paraId="13E277F3">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废矿物油</w:t>
                  </w:r>
                </w:p>
              </w:tc>
              <w:tc>
                <w:tcPr>
                  <w:tcW w:w="1391" w:type="dxa"/>
                  <w:noWrap w:val="0"/>
                  <w:vAlign w:val="center"/>
                </w:tcPr>
                <w:p w14:paraId="23A32CC3">
                  <w:pPr>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危险废物</w:t>
                  </w:r>
                </w:p>
              </w:tc>
              <w:tc>
                <w:tcPr>
                  <w:tcW w:w="1240" w:type="dxa"/>
                  <w:noWrap w:val="0"/>
                  <w:vAlign w:val="center"/>
                </w:tcPr>
                <w:p w14:paraId="048F3556">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900-</w:t>
                  </w:r>
                  <w:r>
                    <w:rPr>
                      <w:rFonts w:hint="eastAsia" w:ascii="Times New Roman" w:hAnsi="Times New Roman" w:cs="Times New Roman"/>
                      <w:color w:val="auto"/>
                      <w:sz w:val="21"/>
                      <w:szCs w:val="21"/>
                      <w:lang w:val="en-US" w:eastAsia="zh-CN"/>
                    </w:rPr>
                    <w:t>249-08</w:t>
                  </w:r>
                </w:p>
              </w:tc>
              <w:tc>
                <w:tcPr>
                  <w:tcW w:w="1119" w:type="dxa"/>
                  <w:shd w:val="clear" w:color="auto" w:fill="auto"/>
                  <w:noWrap w:val="0"/>
                  <w:vAlign w:val="center"/>
                </w:tcPr>
                <w:p w14:paraId="23DC9012">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0.1</w:t>
                  </w:r>
                </w:p>
              </w:tc>
              <w:tc>
                <w:tcPr>
                  <w:tcW w:w="3755" w:type="dxa"/>
                  <w:noWrap w:val="0"/>
                  <w:vAlign w:val="center"/>
                </w:tcPr>
                <w:p w14:paraId="449DF333">
                  <w:pPr>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委托具有危废处置资质单位处置</w:t>
                  </w:r>
                </w:p>
              </w:tc>
            </w:tr>
            <w:tr w14:paraId="309B9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noWrap w:val="0"/>
                  <w:vAlign w:val="center"/>
                </w:tcPr>
                <w:p w14:paraId="108A80B2">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1594" w:type="dxa"/>
                  <w:noWrap w:val="0"/>
                  <w:vAlign w:val="center"/>
                </w:tcPr>
                <w:p w14:paraId="0AF4FBFE">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废包装物</w:t>
                  </w:r>
                </w:p>
              </w:tc>
              <w:tc>
                <w:tcPr>
                  <w:tcW w:w="1391" w:type="dxa"/>
                  <w:noWrap w:val="0"/>
                  <w:vAlign w:val="center"/>
                </w:tcPr>
                <w:p w14:paraId="4E800CD4">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一般工业固体废物</w:t>
                  </w:r>
                </w:p>
              </w:tc>
              <w:tc>
                <w:tcPr>
                  <w:tcW w:w="1240" w:type="dxa"/>
                  <w:noWrap w:val="0"/>
                  <w:vAlign w:val="center"/>
                </w:tcPr>
                <w:p w14:paraId="1AC09440">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900-999-99</w:t>
                  </w:r>
                </w:p>
              </w:tc>
              <w:tc>
                <w:tcPr>
                  <w:tcW w:w="1119" w:type="dxa"/>
                  <w:noWrap w:val="0"/>
                  <w:vAlign w:val="center"/>
                </w:tcPr>
                <w:p w14:paraId="7D900CBC">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w:t>
                  </w:r>
                </w:p>
              </w:tc>
              <w:tc>
                <w:tcPr>
                  <w:tcW w:w="3755" w:type="dxa"/>
                  <w:noWrap w:val="0"/>
                  <w:vAlign w:val="center"/>
                </w:tcPr>
                <w:p w14:paraId="0D8F5ECE">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集中收集后出售给物资回收部门</w:t>
                  </w:r>
                </w:p>
              </w:tc>
            </w:tr>
            <w:tr w14:paraId="5C508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shd w:val="clear" w:color="auto" w:fill="auto"/>
                  <w:noWrap w:val="0"/>
                  <w:vAlign w:val="center"/>
                </w:tcPr>
                <w:p w14:paraId="4728FB84">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6</w:t>
                  </w:r>
                </w:p>
              </w:tc>
              <w:tc>
                <w:tcPr>
                  <w:tcW w:w="1594" w:type="dxa"/>
                  <w:shd w:val="clear" w:color="auto" w:fill="auto"/>
                  <w:noWrap w:val="0"/>
                  <w:vAlign w:val="center"/>
                </w:tcPr>
                <w:p w14:paraId="3722B383">
                  <w:pPr>
                    <w:spacing w:line="240" w:lineRule="auto"/>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除尘器收集的粉尘</w:t>
                  </w:r>
                </w:p>
              </w:tc>
              <w:tc>
                <w:tcPr>
                  <w:tcW w:w="1391" w:type="dxa"/>
                  <w:shd w:val="clear" w:color="auto" w:fill="auto"/>
                  <w:noWrap w:val="0"/>
                  <w:vAlign w:val="center"/>
                </w:tcPr>
                <w:p w14:paraId="5D8AB54E">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一般工业固体废物</w:t>
                  </w:r>
                </w:p>
              </w:tc>
              <w:tc>
                <w:tcPr>
                  <w:tcW w:w="1240" w:type="dxa"/>
                  <w:shd w:val="clear" w:color="auto" w:fill="auto"/>
                  <w:noWrap w:val="0"/>
                  <w:vAlign w:val="center"/>
                </w:tcPr>
                <w:p w14:paraId="629B680A">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900-999-66</w:t>
                  </w:r>
                </w:p>
              </w:tc>
              <w:tc>
                <w:tcPr>
                  <w:tcW w:w="1119" w:type="dxa"/>
                  <w:shd w:val="clear" w:color="auto" w:fill="auto"/>
                  <w:noWrap w:val="0"/>
                  <w:vAlign w:val="center"/>
                </w:tcPr>
                <w:p w14:paraId="39A82A00">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2.125</w:t>
                  </w:r>
                </w:p>
              </w:tc>
              <w:tc>
                <w:tcPr>
                  <w:tcW w:w="3755" w:type="dxa"/>
                  <w:shd w:val="clear" w:color="auto" w:fill="auto"/>
                  <w:noWrap w:val="0"/>
                  <w:vAlign w:val="center"/>
                </w:tcPr>
                <w:p w14:paraId="25A22BC9">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rPr>
                    <w:t>集中收集后出售给物资回收部门</w:t>
                  </w:r>
                </w:p>
              </w:tc>
            </w:tr>
            <w:tr w14:paraId="70081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2" w:type="dxa"/>
                  <w:shd w:val="clear" w:color="auto" w:fill="auto"/>
                  <w:noWrap w:val="0"/>
                  <w:vAlign w:val="center"/>
                </w:tcPr>
                <w:p w14:paraId="5A5A125C">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7</w:t>
                  </w:r>
                </w:p>
              </w:tc>
              <w:tc>
                <w:tcPr>
                  <w:tcW w:w="1594" w:type="dxa"/>
                  <w:noWrap w:val="0"/>
                  <w:vAlign w:val="center"/>
                </w:tcPr>
                <w:p w14:paraId="38C8F292">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边角料</w:t>
                  </w:r>
                </w:p>
              </w:tc>
              <w:tc>
                <w:tcPr>
                  <w:tcW w:w="1391" w:type="dxa"/>
                  <w:noWrap w:val="0"/>
                  <w:vAlign w:val="center"/>
                </w:tcPr>
                <w:p w14:paraId="6B54FD73">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一般工业固体废物</w:t>
                  </w:r>
                </w:p>
              </w:tc>
              <w:tc>
                <w:tcPr>
                  <w:tcW w:w="1240" w:type="dxa"/>
                  <w:noWrap w:val="0"/>
                  <w:vAlign w:val="center"/>
                </w:tcPr>
                <w:p w14:paraId="57B3C6B7">
                  <w:pPr>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900-999-99</w:t>
                  </w:r>
                </w:p>
              </w:tc>
              <w:tc>
                <w:tcPr>
                  <w:tcW w:w="1119" w:type="dxa"/>
                  <w:shd w:val="clear" w:color="auto" w:fill="auto"/>
                  <w:noWrap w:val="0"/>
                  <w:vAlign w:val="center"/>
                </w:tcPr>
                <w:p w14:paraId="3E63B0F5">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2.05</w:t>
                  </w:r>
                </w:p>
              </w:tc>
              <w:tc>
                <w:tcPr>
                  <w:tcW w:w="3755" w:type="dxa"/>
                  <w:noWrap w:val="0"/>
                  <w:vAlign w:val="center"/>
                </w:tcPr>
                <w:p w14:paraId="2181AC3D">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集中收集后出售给物资回收部门</w:t>
                  </w:r>
                </w:p>
              </w:tc>
            </w:tr>
          </w:tbl>
          <w:p w14:paraId="27C00C06">
            <w:pPr>
              <w:spacing w:line="360" w:lineRule="auto"/>
              <w:ind w:firstLine="480" w:firstLineChars="200"/>
              <w:rPr>
                <w:rFonts w:hint="default" w:ascii="Times New Roman" w:hAnsi="Times New Roman" w:cs="Times New Roman"/>
                <w:bCs/>
                <w:color w:val="auto"/>
                <w:kern w:val="0"/>
                <w:sz w:val="24"/>
                <w:szCs w:val="24"/>
                <w:highlight w:val="none"/>
              </w:rPr>
            </w:pPr>
            <w:r>
              <w:rPr>
                <w:rFonts w:hint="default" w:ascii="Times New Roman" w:hAnsi="Times New Roman" w:cs="Times New Roman"/>
                <w:bCs/>
                <w:color w:val="auto"/>
                <w:kern w:val="0"/>
                <w:sz w:val="24"/>
                <w:szCs w:val="24"/>
                <w:highlight w:val="none"/>
              </w:rPr>
              <w:t>4.</w:t>
            </w:r>
            <w:r>
              <w:rPr>
                <w:rFonts w:hint="default" w:ascii="Times New Roman" w:hAnsi="Times New Roman" w:cs="Times New Roman"/>
                <w:bCs/>
                <w:color w:val="auto"/>
                <w:kern w:val="0"/>
                <w:sz w:val="24"/>
                <w:szCs w:val="24"/>
                <w:highlight w:val="none"/>
                <w:lang w:val="en-US" w:eastAsia="zh-CN"/>
              </w:rPr>
              <w:t>4</w:t>
            </w:r>
            <w:r>
              <w:rPr>
                <w:rFonts w:hint="default" w:ascii="Times New Roman" w:hAnsi="Times New Roman" w:cs="Times New Roman"/>
                <w:bCs/>
                <w:color w:val="auto"/>
                <w:kern w:val="0"/>
                <w:sz w:val="24"/>
                <w:szCs w:val="24"/>
                <w:highlight w:val="none"/>
              </w:rPr>
              <w:t>固体废物环境管理要求</w:t>
            </w:r>
          </w:p>
          <w:p w14:paraId="0D3EB472">
            <w:pPr>
              <w:pStyle w:val="56"/>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对照</w:t>
            </w:r>
            <w:r>
              <w:rPr>
                <w:rFonts w:hint="eastAsia" w:ascii="Times New Roman" w:hAnsi="Times New Roman" w:cs="Times New Roman"/>
                <w:color w:val="auto"/>
                <w:sz w:val="24"/>
                <w:szCs w:val="24"/>
                <w:lang w:eastAsia="zh-CN"/>
              </w:rPr>
              <w:t>《国家危险废物名录（2025年版）》（部令第36号，2025年01月01日实施）</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废活性炭、废油桶、废矿物油</w:t>
            </w:r>
            <w:r>
              <w:rPr>
                <w:rFonts w:hint="default" w:ascii="Times New Roman" w:hAnsi="Times New Roman" w:cs="Times New Roman"/>
                <w:color w:val="auto"/>
                <w:sz w:val="24"/>
                <w:szCs w:val="24"/>
              </w:rPr>
              <w:t>属于危险废物，以上危险废物收集后贮存于</w:t>
            </w:r>
            <w:r>
              <w:rPr>
                <w:rFonts w:hint="eastAsia" w:ascii="Times New Roman" w:hAnsi="Times New Roman" w:cs="Times New Roman"/>
                <w:color w:val="auto"/>
                <w:sz w:val="24"/>
                <w:szCs w:val="24"/>
                <w:lang w:val="en-US" w:eastAsia="zh-CN"/>
              </w:rPr>
              <w:t>危险废物暂存间</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危险废物暂存间</w:t>
            </w:r>
            <w:r>
              <w:rPr>
                <w:rFonts w:hint="default" w:ascii="Times New Roman" w:hAnsi="Times New Roman" w:cs="Times New Roman"/>
                <w:color w:val="auto"/>
                <w:sz w:val="24"/>
                <w:szCs w:val="24"/>
              </w:rPr>
              <w:t>严格按照《危险废物贮存污染控制标准》（GB18597-20</w:t>
            </w:r>
            <w:r>
              <w:rPr>
                <w:rFonts w:hint="eastAsia" w:ascii="Times New Roman" w:hAnsi="Times New Roman" w:cs="Times New Roman"/>
                <w:color w:val="auto"/>
                <w:sz w:val="24"/>
                <w:szCs w:val="24"/>
                <w:lang w:val="en-US" w:eastAsia="zh-CN"/>
              </w:rPr>
              <w:t>23</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中</w:t>
            </w:r>
            <w:r>
              <w:rPr>
                <w:rFonts w:hint="default" w:ascii="Times New Roman" w:hAnsi="Times New Roman" w:cs="Times New Roman"/>
                <w:color w:val="auto"/>
                <w:sz w:val="24"/>
                <w:szCs w:val="24"/>
              </w:rPr>
              <w:t>相关要求建设。</w:t>
            </w:r>
          </w:p>
          <w:p w14:paraId="400B4A01">
            <w:pPr>
              <w:spacing w:line="360" w:lineRule="auto"/>
              <w:ind w:firstLine="480"/>
              <w:rPr>
                <w:color w:val="auto"/>
                <w:sz w:val="24"/>
                <w:szCs w:val="24"/>
              </w:rPr>
            </w:pPr>
            <w:r>
              <w:rPr>
                <w:color w:val="auto"/>
                <w:sz w:val="24"/>
                <w:szCs w:val="24"/>
              </w:rPr>
              <w:t>拟建</w:t>
            </w:r>
            <w:r>
              <w:rPr>
                <w:rFonts w:hint="eastAsia"/>
                <w:color w:val="auto"/>
                <w:sz w:val="24"/>
                <w:szCs w:val="24"/>
                <w:lang w:val="en-US" w:eastAsia="zh-CN"/>
              </w:rPr>
              <w:t>危险废物暂存间</w:t>
            </w:r>
            <w:r>
              <w:rPr>
                <w:color w:val="auto"/>
                <w:sz w:val="24"/>
                <w:szCs w:val="24"/>
              </w:rPr>
              <w:t>须严格按照</w:t>
            </w:r>
            <w:r>
              <w:rPr>
                <w:rFonts w:hint="default" w:ascii="Times New Roman" w:hAnsi="Times New Roman" w:cs="Times New Roman"/>
                <w:color w:val="auto"/>
                <w:sz w:val="24"/>
                <w:szCs w:val="24"/>
              </w:rPr>
              <w:t>《危险废物贮存污染控制标准》（GB18597-20</w:t>
            </w:r>
            <w:r>
              <w:rPr>
                <w:rFonts w:hint="eastAsia" w:ascii="Times New Roman" w:hAnsi="Times New Roman" w:cs="Times New Roman"/>
                <w:color w:val="auto"/>
                <w:sz w:val="24"/>
                <w:szCs w:val="24"/>
                <w:lang w:val="en-US" w:eastAsia="zh-CN"/>
              </w:rPr>
              <w:t>23</w:t>
            </w:r>
            <w:r>
              <w:rPr>
                <w:rFonts w:hint="default" w:ascii="Times New Roman" w:hAnsi="Times New Roman" w:cs="Times New Roman"/>
                <w:color w:val="auto"/>
                <w:sz w:val="24"/>
                <w:szCs w:val="24"/>
              </w:rPr>
              <w:t>）</w:t>
            </w:r>
            <w:r>
              <w:rPr>
                <w:color w:val="auto"/>
                <w:sz w:val="24"/>
                <w:szCs w:val="24"/>
              </w:rPr>
              <w:t>要求进行设计、建造和管理，库房密闭，防风、防雨和防晒，暂存库周围设置导流渠，地面作防腐防渗处理。</w:t>
            </w:r>
          </w:p>
          <w:p w14:paraId="7FAC55CD">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本项目危险废物在贮存时必须做到：</w:t>
            </w:r>
          </w:p>
          <w:p w14:paraId="351FA4D9">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①贮存要求</w:t>
            </w:r>
          </w:p>
          <w:p w14:paraId="78DDD94A">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ⅰ</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危险废物须置于内衬塑料袋的封闭容器内，容器必须完好无损，容器及材质要满足相应的强度要求；</w:t>
            </w:r>
          </w:p>
          <w:p w14:paraId="2D2D3795">
            <w:pPr>
              <w:spacing w:line="360" w:lineRule="auto"/>
              <w:ind w:firstLine="480"/>
              <w:rPr>
                <w:rFonts w:hint="default" w:ascii="Times New Roman" w:hAnsi="Times New Roman" w:cs="Times New Roman"/>
                <w:color w:val="auto"/>
                <w:sz w:val="24"/>
                <w:szCs w:val="24"/>
              </w:rPr>
            </w:pPr>
            <w:r>
              <w:rPr>
                <w:rFonts w:hint="eastAsia" w:asciiTheme="majorEastAsia" w:hAnsiTheme="majorEastAsia" w:eastAsiaTheme="majorEastAsia" w:cstheme="majorEastAsia"/>
                <w:color w:val="auto"/>
                <w:sz w:val="24"/>
                <w:szCs w:val="24"/>
              </w:rPr>
              <w:t>ⅱ</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不同种类的</w:t>
            </w:r>
            <w:r>
              <w:rPr>
                <w:rFonts w:hint="default" w:ascii="Times New Roman" w:hAnsi="Times New Roman" w:cs="Times New Roman"/>
                <w:color w:val="auto"/>
                <w:sz w:val="24"/>
                <w:szCs w:val="24"/>
              </w:rPr>
              <w:t>危险废物分类存放；</w:t>
            </w:r>
          </w:p>
          <w:p w14:paraId="5814107A">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ⅲ</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应及时委托有资质公司回收处置，杜绝在危废暂存间内长期存放。</w:t>
            </w:r>
          </w:p>
          <w:p w14:paraId="0EDB73D7">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②贮存设施的设计原则</w:t>
            </w:r>
          </w:p>
          <w:p w14:paraId="4A760841">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ⅰ</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地面与裙脚要用坚固、防渗的材料建造，建筑材料必须与危险废物相容。</w:t>
            </w:r>
          </w:p>
          <w:p w14:paraId="2324F5C4">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ⅱ</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设施内要有安全照明设施和观察窗口。</w:t>
            </w:r>
          </w:p>
          <w:p w14:paraId="4E53ED36">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ⅲ</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应设计堵截泄漏的裙脚，地面与裙脚所围建的容积不低于堵截最大容器的最大储量或总储量的五分之一。</w:t>
            </w:r>
          </w:p>
          <w:p w14:paraId="53A42ED5">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③危险废物的堆放</w:t>
            </w:r>
          </w:p>
          <w:p w14:paraId="671D0FF7">
            <w:pPr>
              <w:spacing w:line="360" w:lineRule="auto"/>
              <w:ind w:firstLine="480"/>
              <w:rPr>
                <w:rFonts w:hint="default" w:ascii="Times New Roman" w:hAnsi="Times New Roman" w:cs="Times New Roman"/>
                <w:color w:val="auto"/>
                <w:sz w:val="24"/>
                <w:szCs w:val="24"/>
              </w:rPr>
            </w:pPr>
            <w:r>
              <w:rPr>
                <w:rFonts w:hint="eastAsia" w:asciiTheme="majorEastAsia" w:hAnsiTheme="majorEastAsia" w:eastAsiaTheme="majorEastAsia" w:cstheme="majorEastAsia"/>
                <w:color w:val="auto"/>
                <w:sz w:val="24"/>
                <w:szCs w:val="24"/>
              </w:rPr>
              <w:t>ⅰ</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基础</w:t>
            </w:r>
            <w:r>
              <w:rPr>
                <w:rFonts w:hint="default" w:ascii="Times New Roman" w:hAnsi="Times New Roman" w:cs="Times New Roman"/>
                <w:color w:val="auto"/>
                <w:sz w:val="24"/>
                <w:szCs w:val="24"/>
              </w:rPr>
              <w:t>必须防渗，防渗层为至少1米厚粘土层（渗透系数≤10</w:t>
            </w:r>
            <w:r>
              <w:rPr>
                <w:rFonts w:hint="default" w:ascii="Times New Roman" w:hAnsi="Times New Roman" w:cs="Times New Roman"/>
                <w:color w:val="auto"/>
                <w:sz w:val="24"/>
                <w:szCs w:val="24"/>
                <w:vertAlign w:val="superscript"/>
              </w:rPr>
              <w:t>-7</w:t>
            </w:r>
            <w:r>
              <w:rPr>
                <w:rFonts w:hint="default" w:ascii="Times New Roman" w:hAnsi="Times New Roman" w:cs="Times New Roman"/>
                <w:color w:val="auto"/>
                <w:sz w:val="24"/>
                <w:szCs w:val="24"/>
              </w:rPr>
              <w:t>厘米/秒），或</w:t>
            </w:r>
            <w:r>
              <w:rPr>
                <w:rFonts w:hint="eastAsia" w:ascii="Times New Roman" w:hAnsi="Times New Roman" w:cs="Times New Roman"/>
                <w:color w:val="auto"/>
                <w:sz w:val="24"/>
                <w:szCs w:val="24"/>
                <w:lang w:val="en-US" w:eastAsia="zh-CN"/>
              </w:rPr>
              <w:t>至少</w:t>
            </w:r>
            <w:r>
              <w:rPr>
                <w:rFonts w:hint="default" w:ascii="Times New Roman" w:hAnsi="Times New Roman" w:cs="Times New Roman"/>
                <w:color w:val="auto"/>
                <w:sz w:val="24"/>
                <w:szCs w:val="24"/>
              </w:rPr>
              <w:t>2毫米厚高密度聚乙烯</w:t>
            </w:r>
            <w:r>
              <w:rPr>
                <w:rFonts w:hint="eastAsia" w:ascii="Times New Roman" w:hAnsi="Times New Roman" w:cs="Times New Roman"/>
                <w:color w:val="auto"/>
                <w:sz w:val="24"/>
                <w:szCs w:val="24"/>
                <w:lang w:val="en-US" w:eastAsia="zh-CN"/>
              </w:rPr>
              <w:t>膜等</w:t>
            </w:r>
            <w:r>
              <w:rPr>
                <w:rFonts w:hint="default" w:ascii="Times New Roman" w:hAnsi="Times New Roman" w:cs="Times New Roman"/>
                <w:color w:val="auto"/>
                <w:sz w:val="24"/>
                <w:szCs w:val="24"/>
              </w:rPr>
              <w:t>人工</w:t>
            </w:r>
            <w:r>
              <w:rPr>
                <w:rFonts w:hint="eastAsia" w:ascii="Times New Roman" w:hAnsi="Times New Roman" w:cs="Times New Roman"/>
                <w:color w:val="auto"/>
                <w:sz w:val="24"/>
                <w:szCs w:val="24"/>
                <w:lang w:val="en-US" w:eastAsia="zh-CN"/>
              </w:rPr>
              <w:t>防渗</w:t>
            </w:r>
            <w:r>
              <w:rPr>
                <w:rFonts w:hint="default" w:ascii="Times New Roman" w:hAnsi="Times New Roman" w:cs="Times New Roman"/>
                <w:color w:val="auto"/>
                <w:sz w:val="24"/>
                <w:szCs w:val="24"/>
              </w:rPr>
              <w:t>材料</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渗透系数≤10</w:t>
            </w:r>
            <w:r>
              <w:rPr>
                <w:rFonts w:hint="default" w:ascii="Times New Roman" w:hAnsi="Times New Roman" w:cs="Times New Roman"/>
                <w:color w:val="auto"/>
                <w:sz w:val="24"/>
                <w:szCs w:val="24"/>
                <w:vertAlign w:val="superscript"/>
              </w:rPr>
              <w:t>-10</w:t>
            </w:r>
            <w:r>
              <w:rPr>
                <w:rFonts w:hint="default" w:ascii="Times New Roman" w:hAnsi="Times New Roman" w:cs="Times New Roman"/>
                <w:color w:val="auto"/>
                <w:sz w:val="24"/>
                <w:szCs w:val="24"/>
              </w:rPr>
              <w:t>厘米/秒</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或其他防渗性能等效的材料</w:t>
            </w:r>
            <w:r>
              <w:rPr>
                <w:rFonts w:hint="default" w:ascii="Times New Roman" w:hAnsi="Times New Roman" w:cs="Times New Roman"/>
                <w:color w:val="auto"/>
                <w:sz w:val="24"/>
                <w:szCs w:val="24"/>
              </w:rPr>
              <w:t>。以上要求可采用水泥硬化地面来完成。</w:t>
            </w:r>
          </w:p>
          <w:p w14:paraId="54A282F0">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ⅱ</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堆放危险废物的高度应根据地面承载能力确定。</w:t>
            </w:r>
          </w:p>
          <w:p w14:paraId="007510F6">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ⅲ</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衬里放在一个基础或底座上。</w:t>
            </w:r>
          </w:p>
          <w:p w14:paraId="6A756321">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ⅳ</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衬里要能够覆盖危险废物或其溶出物可能涉及到的范围。</w:t>
            </w:r>
          </w:p>
          <w:p w14:paraId="2B292260">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ⅴ</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衬里材料与堆放危险废物相容。</w:t>
            </w:r>
          </w:p>
          <w:p w14:paraId="192DDA76">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ⅵ</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危险废物堆要防风、防雨、防晒。</w:t>
            </w:r>
          </w:p>
          <w:p w14:paraId="1630C962">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④贮存设施的运行与管理</w:t>
            </w:r>
          </w:p>
          <w:p w14:paraId="417F0A44">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ⅰ</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危险废物贮存前应进行检验，确保同预定接收的危险废物一致，并登记注册。</w:t>
            </w:r>
          </w:p>
          <w:p w14:paraId="5166C5A7">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ⅱ</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每个堆间应留有搬运通道。</w:t>
            </w:r>
          </w:p>
          <w:p w14:paraId="0D74DFDB">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ⅲ</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须作好危险废物情况的记录，记录上须注明危险废物的名称、来源、数量、特性和包装容器的类别、入库日期、存放库位、废物出库日期及接收单位名称。</w:t>
            </w:r>
          </w:p>
          <w:p w14:paraId="5170A993">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危险废物的记录和货单在危险废物回取后应继续保留三年。</w:t>
            </w:r>
          </w:p>
          <w:p w14:paraId="6DBF43C1">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ⅳ</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必须定期对所贮存的危险废物包装容器及贮存设施进行检查，发现破损，应及时采取措施清理更换。</w:t>
            </w:r>
          </w:p>
          <w:p w14:paraId="35CCF466">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⑤贮存设施的安全防护与监测</w:t>
            </w:r>
          </w:p>
          <w:p w14:paraId="5D01D79C">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安全防护：</w:t>
            </w:r>
          </w:p>
          <w:p w14:paraId="7449F069">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ⅰ</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危险废物贮存设施都必须按《危险废物识别标志设置技术规范》（</w:t>
            </w:r>
            <w:r>
              <w:rPr>
                <w:rFonts w:hint="default" w:ascii="Times New Roman" w:hAnsi="Times New Roman" w:cs="Times New Roman" w:eastAsiaTheme="majorEastAsia"/>
                <w:color w:val="auto"/>
                <w:sz w:val="24"/>
                <w:szCs w:val="24"/>
              </w:rPr>
              <w:t>HJ1276-2022</w:t>
            </w:r>
            <w:r>
              <w:rPr>
                <w:rFonts w:hint="eastAsia" w:asciiTheme="majorEastAsia" w:hAnsiTheme="majorEastAsia" w:eastAsiaTheme="majorEastAsia" w:cstheme="majorEastAsia"/>
                <w:color w:val="auto"/>
                <w:sz w:val="24"/>
                <w:szCs w:val="24"/>
              </w:rPr>
              <w:t>）的规定设置警示标志。</w:t>
            </w:r>
          </w:p>
          <w:p w14:paraId="522510E6">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ⅱ</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危险废物贮存设施周围应设置围墙或其它防护栅栏。</w:t>
            </w:r>
          </w:p>
          <w:p w14:paraId="6E91F05E">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ⅲ</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危险废物贮存设施应配备通讯设备、照明设施、安全防护服装及工具，并设有应急防护设施。</w:t>
            </w:r>
          </w:p>
          <w:p w14:paraId="57824831">
            <w:pPr>
              <w:spacing w:line="360" w:lineRule="auto"/>
              <w:ind w:firstLine="480"/>
              <w:rPr>
                <w:rFonts w:hint="default" w:ascii="Times New Roman" w:hAnsi="Times New Roman" w:cs="Times New Roman"/>
                <w:color w:val="auto"/>
                <w:sz w:val="24"/>
                <w:szCs w:val="24"/>
              </w:rPr>
            </w:pPr>
            <w:r>
              <w:rPr>
                <w:rFonts w:hint="eastAsia" w:asciiTheme="majorEastAsia" w:hAnsiTheme="majorEastAsia" w:eastAsiaTheme="majorEastAsia" w:cstheme="majorEastAsia"/>
                <w:color w:val="auto"/>
                <w:sz w:val="24"/>
                <w:szCs w:val="24"/>
              </w:rPr>
              <w:t>ⅳ</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危险废物贮存设施内清理出来的泄漏物，一律按</w:t>
            </w:r>
            <w:r>
              <w:rPr>
                <w:rFonts w:hint="default" w:ascii="Times New Roman" w:hAnsi="Times New Roman" w:cs="Times New Roman"/>
                <w:color w:val="auto"/>
                <w:sz w:val="24"/>
                <w:szCs w:val="24"/>
              </w:rPr>
              <w:t>危险废物处理。</w:t>
            </w:r>
          </w:p>
          <w:p w14:paraId="4D2BDC4E">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按国家污染源管理要求对危险废物贮存设施进行监测。</w:t>
            </w:r>
          </w:p>
          <w:p w14:paraId="3D05CDE8">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⑥管理</w:t>
            </w:r>
          </w:p>
          <w:p w14:paraId="3A81294D">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ⅰ</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必须按照国家有关规定制定危险废物管理计划，并向所在地县级以上地方人民政府生态环境行政主管部门申报危险废物的种类、产生量、流向、贮存、处置等有关资料。</w:t>
            </w:r>
          </w:p>
          <w:p w14:paraId="0478294D">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ⅱ</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管理计划应当包括减少危险废物产生量和危害性的措施以及危险废物贮存、利用、处置措施。危险废物管理计划应当报产生危险废物的单位所在地生态环境保护行政主管部门备案。管理计划内容有重大改变的，应当及时申报。</w:t>
            </w:r>
          </w:p>
          <w:p w14:paraId="47B63A84">
            <w:pPr>
              <w:spacing w:line="360" w:lineRule="auto"/>
              <w:ind w:firstLine="480"/>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ⅲ</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禁止将危险废物提供或者委托给无经营许可证的单位从事收集、贮存、利用、处置的经营活动。</w:t>
            </w:r>
          </w:p>
          <w:p w14:paraId="1AE1F492">
            <w:pPr>
              <w:spacing w:line="360" w:lineRule="auto"/>
              <w:ind w:firstLine="480"/>
              <w:rPr>
                <w:rFonts w:hint="default" w:ascii="Times New Roman" w:hAnsi="Times New Roman" w:cs="Times New Roman"/>
                <w:color w:val="auto"/>
                <w:sz w:val="24"/>
                <w:szCs w:val="24"/>
              </w:rPr>
            </w:pPr>
            <w:r>
              <w:rPr>
                <w:rFonts w:hint="eastAsia" w:asciiTheme="majorEastAsia" w:hAnsiTheme="majorEastAsia" w:eastAsiaTheme="majorEastAsia" w:cstheme="majorEastAsia"/>
                <w:color w:val="auto"/>
                <w:sz w:val="24"/>
                <w:szCs w:val="24"/>
              </w:rPr>
              <w:t>ⅳ</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必须按照国家有关规定填写危险废物转移联单，并向危险废物移出地设区的市级以上地方人民政府生</w:t>
            </w:r>
            <w:r>
              <w:rPr>
                <w:rFonts w:hint="default" w:ascii="Times New Roman" w:hAnsi="Times New Roman" w:cs="Times New Roman"/>
                <w:color w:val="auto"/>
                <w:sz w:val="24"/>
                <w:szCs w:val="24"/>
              </w:rPr>
              <w:t>态环境行政主管部门提出申请。移出地设区的市级以上生态环境行政主管部门应当经接受地设区的市级以上生态环境保护行政主管部门同意后，方可批准转移该危险废物。未经批准的，不得转移。</w:t>
            </w:r>
          </w:p>
          <w:p w14:paraId="5891C648">
            <w:pPr>
              <w:spacing w:line="360" w:lineRule="auto"/>
              <w:ind w:firstLine="480"/>
              <w:rPr>
                <w:rFonts w:hint="eastAsia" w:asciiTheme="majorEastAsia" w:hAnsiTheme="majorEastAsia" w:eastAsiaTheme="majorEastAsia" w:cstheme="majorEastAsia"/>
                <w:color w:val="auto"/>
                <w:sz w:val="24"/>
                <w:szCs w:val="24"/>
              </w:rPr>
            </w:pPr>
            <w:r>
              <w:rPr>
                <w:rFonts w:hint="default" w:ascii="Times New Roman" w:hAnsi="Times New Roman" w:cs="Times New Roman"/>
                <w:color w:val="auto"/>
                <w:sz w:val="24"/>
                <w:szCs w:val="24"/>
              </w:rPr>
              <w:t>转移危险废物途经移出地、接受地以外行政区域的，危险废物移出地设区的市级以上生态环</w:t>
            </w:r>
            <w:r>
              <w:rPr>
                <w:rFonts w:hint="eastAsia" w:asciiTheme="majorEastAsia" w:hAnsiTheme="majorEastAsia" w:eastAsiaTheme="majorEastAsia" w:cstheme="majorEastAsia"/>
                <w:color w:val="auto"/>
                <w:sz w:val="24"/>
                <w:szCs w:val="24"/>
              </w:rPr>
              <w:t>境行政主管部门应当及时通知沿途经过的设区的市级以上生态环境行政主管部门。</w:t>
            </w:r>
          </w:p>
          <w:p w14:paraId="1239FEEE">
            <w:pPr>
              <w:spacing w:line="360" w:lineRule="auto"/>
              <w:ind w:firstLine="480"/>
              <w:rPr>
                <w:rFonts w:hint="default" w:ascii="Times New Roman" w:hAnsi="Times New Roman" w:cs="Times New Roman"/>
                <w:color w:val="auto"/>
                <w:sz w:val="24"/>
                <w:szCs w:val="24"/>
              </w:rPr>
            </w:pPr>
            <w:r>
              <w:rPr>
                <w:rFonts w:hint="eastAsia" w:asciiTheme="majorEastAsia" w:hAnsiTheme="majorEastAsia" w:eastAsiaTheme="majorEastAsia" w:cstheme="majorEastAsia"/>
                <w:color w:val="auto"/>
                <w:sz w:val="24"/>
                <w:szCs w:val="24"/>
              </w:rPr>
              <w:t>ⅴ</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运输危</w:t>
            </w:r>
            <w:r>
              <w:rPr>
                <w:rFonts w:hint="default" w:ascii="Times New Roman" w:hAnsi="Times New Roman" w:cs="Times New Roman"/>
                <w:color w:val="auto"/>
                <w:sz w:val="24"/>
                <w:szCs w:val="24"/>
              </w:rPr>
              <w:t>险废物，必须采取防止污染环境的措施，并遵守国家有关危险货物运输管理的规定。禁止将危险废物与旅客在同一运输工具上载运。</w:t>
            </w:r>
          </w:p>
          <w:p w14:paraId="7E966003">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⑦</w:t>
            </w:r>
            <w:r>
              <w:rPr>
                <w:rFonts w:hint="eastAsia" w:ascii="Times New Roman" w:hAnsi="Times New Roman" w:cs="Times New Roman"/>
                <w:color w:val="auto"/>
                <w:sz w:val="24"/>
                <w:szCs w:val="24"/>
                <w:lang w:val="en-AU" w:eastAsia="zh-CN"/>
              </w:rPr>
              <w:t>《排污许可证申请与核发技术规范</w:t>
            </w:r>
            <w:r>
              <w:rPr>
                <w:rFonts w:hint="eastAsia"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AU" w:eastAsia="zh-CN"/>
              </w:rPr>
              <w:t>工业固体废物（试行）》（HJ1200-2021）要求</w:t>
            </w:r>
          </w:p>
          <w:p w14:paraId="1B144AD9">
            <w:pPr>
              <w:spacing w:line="360" w:lineRule="auto"/>
              <w:ind w:firstLine="480" w:firstLineChars="200"/>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Ⅰ</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危险废物污染防控技术要求</w:t>
            </w:r>
          </w:p>
          <w:p w14:paraId="5F85D0D1">
            <w:pPr>
              <w:spacing w:line="360" w:lineRule="auto"/>
              <w:ind w:firstLine="480" w:firstLineChars="200"/>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ⅰ</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委托贮存/利用/处置环节污染防控技术要求</w:t>
            </w:r>
          </w:p>
          <w:p w14:paraId="79AAE085">
            <w:pPr>
              <w:spacing w:line="360" w:lineRule="auto"/>
              <w:ind w:firstLine="480" w:firstLineChars="200"/>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排污单位委托他人运输、利用、处置危险废物的，应落实《中华人民共和国固体废物污染环境防治法》等法律法规要求，对受托方的主体资格和技术能力进行核实，依法签订书面合同，在合同中约定污染防治要求；转移危险废物的，应当按照国家有关规定填写、运行危险废物转移联单等。</w:t>
            </w:r>
          </w:p>
          <w:p w14:paraId="4B613CF1">
            <w:pPr>
              <w:spacing w:line="360" w:lineRule="auto"/>
              <w:ind w:firstLine="480" w:firstLineChars="200"/>
              <w:jc w:val="lef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rPr>
              <w:t>ⅱ</w:t>
            </w:r>
            <w:r>
              <w:rPr>
                <w:rFonts w:hint="eastAsia" w:asciiTheme="majorEastAsia" w:hAnsiTheme="majorEastAsia" w:eastAsiaTheme="majorEastAsia" w:cstheme="majorEastAsia"/>
                <w:color w:val="auto"/>
                <w:sz w:val="24"/>
                <w:szCs w:val="24"/>
                <w:lang w:val="en-US" w:eastAsia="zh-CN"/>
              </w:rPr>
              <w:t>.自行贮存设施污染防控技术要求</w:t>
            </w:r>
          </w:p>
          <w:p w14:paraId="3F33C0EC">
            <w:pPr>
              <w:spacing w:line="360" w:lineRule="auto"/>
              <w:ind w:firstLine="480" w:firstLineChars="200"/>
              <w:jc w:val="left"/>
              <w:rPr>
                <w:rFonts w:hint="default" w:ascii="Times New Roman" w:hAnsi="Times New Roman" w:cs="Times New Roman"/>
                <w:color w:val="auto"/>
                <w:sz w:val="24"/>
                <w:szCs w:val="24"/>
              </w:rPr>
            </w:pPr>
            <w:r>
              <w:rPr>
                <w:rFonts w:hint="eastAsia" w:asciiTheme="majorEastAsia" w:hAnsiTheme="majorEastAsia" w:eastAsiaTheme="majorEastAsia" w:cstheme="majorEastAsia"/>
                <w:color w:val="auto"/>
                <w:sz w:val="24"/>
                <w:szCs w:val="24"/>
              </w:rPr>
              <w:t>包装容器应达到相</w:t>
            </w:r>
            <w:r>
              <w:rPr>
                <w:rFonts w:hint="default" w:ascii="Times New Roman" w:hAnsi="Times New Roman" w:cs="Times New Roman"/>
                <w:color w:val="auto"/>
                <w:sz w:val="24"/>
                <w:szCs w:val="24"/>
              </w:rPr>
              <w:t>应的强度要求并完好无损，禁止混合贮存性质不相容而未经安全性处置的危险废物；危险废物容器和包装物以及危险废物贮存设施、场所应按规定设置危险废物识别标志；仓库式贮存设施应分开存放不相容危险废物，按危险废物的种类和特性进行分区贮存，采用防腐、防渗地面和裙脚，设置防止</w:t>
            </w:r>
            <w:r>
              <w:rPr>
                <w:rFonts w:hint="eastAsia" w:ascii="Times New Roman" w:hAnsi="Times New Roman" w:cs="Times New Roman"/>
                <w:color w:val="auto"/>
                <w:sz w:val="24"/>
                <w:szCs w:val="24"/>
                <w:lang w:eastAsia="zh-CN"/>
              </w:rPr>
              <w:t>泄漏</w:t>
            </w:r>
            <w:r>
              <w:rPr>
                <w:rFonts w:hint="default" w:ascii="Times New Roman" w:hAnsi="Times New Roman" w:cs="Times New Roman"/>
                <w:color w:val="auto"/>
                <w:sz w:val="24"/>
                <w:szCs w:val="24"/>
              </w:rPr>
              <w:t>物质扩散至外环境的拦截、导流、收集设施；贮存堆场要防风、防雨、防晒；从事收集、贮存、利用、处置危险废物经营活动的单位，贮存危险废物不得超过一年（报经颁发危险废物经营许可证的生态环境主管部门批准或法律法规另有规定的除外）等。</w:t>
            </w:r>
          </w:p>
          <w:p w14:paraId="3BE4F6EF">
            <w:pPr>
              <w:spacing w:line="360" w:lineRule="auto"/>
              <w:ind w:firstLine="480" w:firstLineChars="200"/>
              <w:jc w:val="left"/>
              <w:rPr>
                <w:rFonts w:hint="eastAsia" w:eastAsiaTheme="minorEastAsia"/>
                <w:color w:val="auto"/>
                <w:sz w:val="24"/>
                <w:szCs w:val="24"/>
                <w:lang w:eastAsia="zh-CN"/>
              </w:rPr>
            </w:pPr>
            <w:r>
              <w:rPr>
                <w:rFonts w:hint="default" w:ascii="Times New Roman" w:hAnsi="Times New Roman" w:cs="Times New Roman"/>
                <w:color w:val="auto"/>
                <w:sz w:val="24"/>
                <w:szCs w:val="24"/>
              </w:rPr>
              <w:t>排污单位生产运营期间危险废物自行贮存设施的环境管理和相关设施运行维护还应符合GB15562.2、GB18484、GB18597、GB30485、HJ2025和HJ2042等相关标准规范要求</w:t>
            </w:r>
            <w:r>
              <w:rPr>
                <w:rFonts w:hint="eastAsia" w:ascii="Times New Roman" w:hAnsi="Times New Roman" w:cs="Times New Roman"/>
                <w:color w:val="auto"/>
                <w:sz w:val="24"/>
                <w:szCs w:val="24"/>
                <w:lang w:eastAsia="zh-CN"/>
              </w:rPr>
              <w:t>。</w:t>
            </w:r>
          </w:p>
          <w:p w14:paraId="25D5B237">
            <w:pPr>
              <w:spacing w:line="360" w:lineRule="auto"/>
              <w:ind w:firstLine="480" w:firstLineChars="200"/>
              <w:jc w:val="left"/>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ⅲ.</w:t>
            </w:r>
            <w:r>
              <w:rPr>
                <w:rFonts w:hint="default" w:ascii="Times New Roman" w:hAnsi="Times New Roman" w:cs="Times New Roman"/>
                <w:color w:val="auto"/>
                <w:sz w:val="24"/>
                <w:szCs w:val="24"/>
              </w:rPr>
              <w:t>危险废物环境管理台账记录要求</w:t>
            </w:r>
          </w:p>
          <w:p w14:paraId="6CDB3FA3">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排污单位应建立环境管理台账，危险废物环境管理台账记录应符合《危险废物产生单位管理计划制定指南》等标准及管理文件的相关要求。待危险废物环境管理台账相关标准或管理文件发布实施后，从其规定。</w:t>
            </w:r>
          </w:p>
          <w:p w14:paraId="49471717">
            <w:pPr>
              <w:spacing w:line="360" w:lineRule="auto"/>
              <w:ind w:firstLine="480" w:firstLineChars="200"/>
              <w:jc w:val="left"/>
              <w:rPr>
                <w:rFonts w:hint="default" w:ascii="Times New Roman" w:hAnsi="Times New Roman" w:cs="Times New Roman" w:eastAsiaTheme="majorEastAsia"/>
                <w:color w:val="auto"/>
                <w:sz w:val="24"/>
                <w:szCs w:val="24"/>
                <w:highlight w:val="none"/>
              </w:rPr>
            </w:pPr>
            <w:r>
              <w:rPr>
                <w:rFonts w:hint="eastAsia" w:asciiTheme="majorEastAsia" w:hAnsiTheme="majorEastAsia" w:eastAsiaTheme="majorEastAsia" w:cstheme="majorEastAsia"/>
                <w:color w:val="auto"/>
                <w:sz w:val="24"/>
                <w:szCs w:val="24"/>
              </w:rPr>
              <w:t>Ⅱ</w:t>
            </w:r>
            <w:r>
              <w:rPr>
                <w:rFonts w:hint="eastAsia" w:asciiTheme="majorEastAsia" w:hAnsiTheme="majorEastAsia" w:eastAsiaTheme="majorEastAsia" w:cstheme="majorEastAsia"/>
                <w:color w:val="auto"/>
                <w:sz w:val="24"/>
                <w:szCs w:val="24"/>
                <w:lang w:val="en-US" w:eastAsia="zh-CN"/>
              </w:rPr>
              <w:t>.</w:t>
            </w:r>
            <w:r>
              <w:rPr>
                <w:rFonts w:hint="eastAsia" w:asciiTheme="majorEastAsia" w:hAnsiTheme="majorEastAsia" w:eastAsiaTheme="majorEastAsia" w:cstheme="majorEastAsia"/>
                <w:color w:val="auto"/>
                <w:sz w:val="24"/>
                <w:szCs w:val="24"/>
              </w:rPr>
              <w:t>一般工业固体废物污染防控技术要求</w:t>
            </w:r>
          </w:p>
          <w:p w14:paraId="5DB4E54A">
            <w:pPr>
              <w:spacing w:line="360" w:lineRule="auto"/>
              <w:ind w:firstLine="480" w:firstLineChars="200"/>
              <w:jc w:val="left"/>
              <w:rPr>
                <w:rFonts w:hint="default" w:ascii="Times New Roman" w:hAnsi="Times New Roman" w:cs="Times New Roman" w:eastAsiaTheme="majorEastAsia"/>
                <w:color w:val="auto"/>
                <w:sz w:val="24"/>
                <w:szCs w:val="24"/>
                <w:lang w:val="en-US" w:eastAsia="zh-CN"/>
              </w:rPr>
            </w:pPr>
            <w:r>
              <w:rPr>
                <w:rFonts w:hint="default" w:ascii="Times New Roman" w:hAnsi="Times New Roman" w:cs="Times New Roman" w:eastAsiaTheme="majorEastAsia"/>
                <w:color w:val="auto"/>
                <w:sz w:val="24"/>
                <w:szCs w:val="24"/>
                <w:highlight w:val="none"/>
              </w:rPr>
              <w:t>ⅰ</w:t>
            </w:r>
            <w:r>
              <w:rPr>
                <w:rFonts w:hint="default" w:ascii="Times New Roman" w:hAnsi="Times New Roman" w:cs="Times New Roman" w:eastAsiaTheme="majorEastAsia"/>
                <w:color w:val="auto"/>
                <w:sz w:val="24"/>
                <w:szCs w:val="24"/>
                <w:highlight w:val="none"/>
                <w:lang w:val="en-US" w:eastAsia="zh-CN"/>
              </w:rPr>
              <w:t>.委托贮存/利用/处</w:t>
            </w:r>
            <w:r>
              <w:rPr>
                <w:rFonts w:hint="default" w:ascii="Times New Roman" w:hAnsi="Times New Roman" w:cs="Times New Roman" w:eastAsiaTheme="majorEastAsia"/>
                <w:color w:val="auto"/>
                <w:sz w:val="24"/>
                <w:szCs w:val="24"/>
                <w:lang w:val="en-US" w:eastAsia="zh-CN"/>
              </w:rPr>
              <w:t>置环节污染防控技术要求</w:t>
            </w:r>
          </w:p>
          <w:p w14:paraId="2EBA2E56">
            <w:pPr>
              <w:spacing w:line="360" w:lineRule="auto"/>
              <w:ind w:firstLine="480" w:firstLineChars="200"/>
              <w:jc w:val="left"/>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排污单位委托他人运输、利用、处置一般工业固体废物的，应落实《中华人民共和国固体废物污染环境防治法》等法律法规要求，对受托方的主体资格和技术能力进行核实，依法签订书面合同，在合同中约定污染防治要求等。</w:t>
            </w:r>
          </w:p>
          <w:p w14:paraId="670925A4">
            <w:pPr>
              <w:spacing w:line="360" w:lineRule="auto"/>
              <w:ind w:firstLine="480" w:firstLineChars="200"/>
              <w:jc w:val="left"/>
              <w:rPr>
                <w:rFonts w:hint="default" w:ascii="Times New Roman" w:hAnsi="Times New Roman" w:cs="Times New Roman" w:eastAsiaTheme="majorEastAsia"/>
                <w:color w:val="auto"/>
                <w:sz w:val="24"/>
                <w:szCs w:val="24"/>
                <w:lang w:val="en-US" w:eastAsia="zh-CN"/>
              </w:rPr>
            </w:pPr>
            <w:r>
              <w:rPr>
                <w:rFonts w:hint="default" w:ascii="Times New Roman" w:hAnsi="Times New Roman" w:cs="Times New Roman" w:eastAsiaTheme="majorEastAsia"/>
                <w:color w:val="auto"/>
                <w:sz w:val="24"/>
                <w:szCs w:val="24"/>
              </w:rPr>
              <w:t>ⅱ</w:t>
            </w:r>
            <w:r>
              <w:rPr>
                <w:rFonts w:hint="default" w:ascii="Times New Roman" w:hAnsi="Times New Roman" w:cs="Times New Roman" w:eastAsiaTheme="majorEastAsia"/>
                <w:color w:val="auto"/>
                <w:sz w:val="24"/>
                <w:szCs w:val="24"/>
                <w:lang w:val="en-US" w:eastAsia="zh-CN"/>
              </w:rPr>
              <w:t>.自行贮存/利用/处置设施污染防控技术要求</w:t>
            </w:r>
          </w:p>
          <w:p w14:paraId="79903BD8">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eastAsiaTheme="majorEastAsia"/>
                <w:color w:val="auto"/>
                <w:sz w:val="24"/>
                <w:szCs w:val="24"/>
              </w:rPr>
              <w:t>采用库房、包装工具（罐、桶、包装袋等）贮存一般工业固体废物的，贮存过程应满足相应防渗漏、防雨淋、防扬尘等环境保护要求；生活垃圾不得进入一般工业固体废物贮存场及填埋场；不相容的一般工业固体废物应设置不同的分区进行贮存和填埋作业；贮存场、填埋场应设置清晰、完整的一般工业固体废物标志牌等</w:t>
            </w:r>
            <w:r>
              <w:rPr>
                <w:rFonts w:hint="default" w:ascii="Times New Roman" w:hAnsi="Times New Roman" w:cs="Times New Roman"/>
                <w:color w:val="auto"/>
                <w:sz w:val="24"/>
                <w:szCs w:val="24"/>
              </w:rPr>
              <w:t>。</w:t>
            </w:r>
          </w:p>
          <w:p w14:paraId="1CAF8E79">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排污单位生产运营期间一般工业固体废物自行贮存/利用/处置设施的环境管理和相关设施运行维护要求还应符合GB15562.2、GB18599、GB30485和HJ2035等相关标准规范要求。</w:t>
            </w:r>
          </w:p>
          <w:p w14:paraId="5B3278EB">
            <w:pPr>
              <w:spacing w:line="360" w:lineRule="auto"/>
              <w:ind w:firstLine="480" w:firstLineChars="200"/>
              <w:jc w:val="left"/>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ⅲ</w:t>
            </w:r>
            <w:r>
              <w:rPr>
                <w:rFonts w:hint="default" w:ascii="Times New Roman" w:hAnsi="Times New Roman" w:cs="Times New Roman" w:eastAsiaTheme="majorEastAsia"/>
                <w:color w:val="auto"/>
                <w:sz w:val="24"/>
                <w:szCs w:val="24"/>
                <w:lang w:val="en-US" w:eastAsia="zh-CN"/>
              </w:rPr>
              <w:t>.</w:t>
            </w:r>
            <w:r>
              <w:rPr>
                <w:rFonts w:hint="default" w:ascii="Times New Roman" w:hAnsi="Times New Roman" w:cs="Times New Roman" w:eastAsiaTheme="majorEastAsia"/>
                <w:color w:val="auto"/>
                <w:sz w:val="24"/>
                <w:szCs w:val="24"/>
              </w:rPr>
              <w:t>一般工业固体废物环境管理台账记录要求</w:t>
            </w:r>
          </w:p>
          <w:p w14:paraId="314BE1AC">
            <w:pPr>
              <w:spacing w:line="360" w:lineRule="auto"/>
              <w:ind w:firstLine="480" w:firstLineChars="200"/>
              <w:jc w:val="left"/>
              <w:rPr>
                <w:rFonts w:hint="default" w:ascii="Times New Roman" w:hAnsi="Times New Roman" w:cs="Times New Roman" w:eastAsiaTheme="majorEastAsia"/>
                <w:color w:val="auto"/>
                <w:sz w:val="24"/>
                <w:szCs w:val="24"/>
              </w:rPr>
            </w:pPr>
            <w:r>
              <w:rPr>
                <w:rFonts w:hint="default" w:ascii="Times New Roman" w:hAnsi="Times New Roman" w:cs="Times New Roman" w:eastAsiaTheme="majorEastAsia"/>
                <w:color w:val="auto"/>
                <w:sz w:val="24"/>
                <w:szCs w:val="24"/>
              </w:rPr>
              <w:t>排污单位应建立环境管理台账制度，一般工业固体废物环境管理台账记录应符合生态环境部规定的一般工业固体废物环境管理台账相关标准及管理文件要求。</w:t>
            </w:r>
          </w:p>
          <w:p w14:paraId="108D0B88">
            <w:pPr>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eastAsiaTheme="majorEastAsia"/>
                <w:color w:val="auto"/>
                <w:sz w:val="24"/>
                <w:szCs w:val="24"/>
              </w:rPr>
              <w:t>可见，在采取上</w:t>
            </w:r>
            <w:r>
              <w:rPr>
                <w:rFonts w:hint="default" w:ascii="Times New Roman" w:hAnsi="Times New Roman" w:cs="Times New Roman"/>
                <w:color w:val="auto"/>
                <w:sz w:val="24"/>
                <w:szCs w:val="24"/>
              </w:rPr>
              <w:t>述预防措施和办法后，本项目所产生的一般工业固体废物、危险废物和生活垃圾均得到了合理有效的处理和处置，其产生的固体废弃物不会对周围环境造成二次污染。</w:t>
            </w:r>
          </w:p>
          <w:p w14:paraId="10E5542F">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5、地下水、土壤</w:t>
            </w:r>
          </w:p>
          <w:p w14:paraId="064380ED">
            <w:pPr>
              <w:spacing w:line="360" w:lineRule="auto"/>
              <w:ind w:firstLine="480" w:firstLineChars="200"/>
              <w:rPr>
                <w:rFonts w:hint="eastAsia" w:ascii="Times New Roman" w:hAnsi="Times New Roman" w:eastAsia="宋体"/>
                <w:color w:val="auto"/>
                <w:sz w:val="24"/>
                <w:szCs w:val="24"/>
              </w:rPr>
            </w:pPr>
            <w:r>
              <w:rPr>
                <w:rFonts w:hint="eastAsia" w:ascii="Times New Roman" w:hAnsi="Times New Roman" w:eastAsia="宋体"/>
                <w:color w:val="auto"/>
                <w:sz w:val="24"/>
                <w:szCs w:val="24"/>
              </w:rPr>
              <w:t>正常情况下，地下水、土壤污染主要是由于污染物迁移穿过包气带进入含水层造成。</w:t>
            </w:r>
          </w:p>
          <w:p w14:paraId="17F6A46A">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（1）污染途径</w:t>
            </w:r>
          </w:p>
          <w:p w14:paraId="21F1379E">
            <w:pPr>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污染物从污染源进入地下水所经过路径称为地下水污染途径，地下水污染途径是多种多样的。根据工程所处区域的地质情况，建设项目可能对下水造成污染的途径主要有：</w:t>
            </w:r>
            <w:r>
              <w:rPr>
                <w:rFonts w:hint="eastAsia" w:ascii="Times New Roman" w:hAnsi="Times New Roman" w:eastAsia="宋体"/>
                <w:color w:val="auto"/>
                <w:sz w:val="24"/>
                <w:szCs w:val="24"/>
                <w:lang w:val="en-US" w:eastAsia="zh-CN"/>
              </w:rPr>
              <w:t>危险废物暂存间、抗磨压油暂存间</w:t>
            </w:r>
            <w:r>
              <w:rPr>
                <w:rFonts w:ascii="Times New Roman" w:hAnsi="Times New Roman" w:eastAsia="宋体"/>
                <w:color w:val="auto"/>
                <w:sz w:val="24"/>
                <w:szCs w:val="24"/>
              </w:rPr>
              <w:t>等</w:t>
            </w:r>
            <w:r>
              <w:rPr>
                <w:rFonts w:hint="eastAsia" w:ascii="Times New Roman" w:hAnsi="Times New Roman" w:eastAsia="宋体"/>
                <w:color w:val="auto"/>
                <w:sz w:val="24"/>
                <w:szCs w:val="24"/>
                <w:lang w:eastAsia="zh-CN"/>
              </w:rPr>
              <w:t>废液</w:t>
            </w:r>
            <w:r>
              <w:rPr>
                <w:rFonts w:ascii="Times New Roman" w:hAnsi="Times New Roman" w:eastAsia="宋体"/>
                <w:color w:val="auto"/>
                <w:sz w:val="24"/>
                <w:szCs w:val="24"/>
              </w:rPr>
              <w:t>下渗对地下水造成的污染。</w:t>
            </w:r>
          </w:p>
          <w:p w14:paraId="434EE736">
            <w:pPr>
              <w:autoSpaceDE w:val="0"/>
              <w:autoSpaceDN w:val="0"/>
              <w:spacing w:line="360" w:lineRule="auto"/>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（2）预防措施</w:t>
            </w:r>
          </w:p>
          <w:p w14:paraId="2D19CC3E">
            <w:pPr>
              <w:spacing w:line="360" w:lineRule="auto"/>
              <w:ind w:firstLine="480" w:firstLineChars="200"/>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rPr>
              <w:t>①</w:t>
            </w:r>
            <w:r>
              <w:rPr>
                <w:rFonts w:hint="eastAsia" w:ascii="Times New Roman" w:hAnsi="Times New Roman" w:eastAsia="宋体"/>
                <w:color w:val="auto"/>
                <w:sz w:val="24"/>
                <w:szCs w:val="24"/>
                <w:lang w:eastAsia="zh-CN"/>
              </w:rPr>
              <w:t>源头控制</w:t>
            </w:r>
          </w:p>
          <w:p w14:paraId="42FA07FF">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为了保护地下水、土壤环境，采取措施从源头上控制污染，从设计、管理中防止和减少污染物料的跑、冒、滴、漏而采取的各种措施，主要措施如下：</w:t>
            </w:r>
          </w:p>
          <w:p w14:paraId="039B6C37">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a.严格按照国家相关规范要求，建设规范的</w:t>
            </w:r>
            <w:r>
              <w:rPr>
                <w:rFonts w:hint="eastAsia" w:ascii="Times New Roman" w:hAnsi="Times New Roman" w:cs="Times New Roman"/>
                <w:color w:val="auto"/>
                <w:sz w:val="24"/>
                <w:szCs w:val="24"/>
                <w:lang w:eastAsia="zh-CN"/>
              </w:rPr>
              <w:t>危险废物暂存间</w:t>
            </w:r>
            <w:r>
              <w:rPr>
                <w:rFonts w:hint="default" w:ascii="Times New Roman" w:hAnsi="Times New Roman" w:cs="Times New Roman"/>
                <w:color w:val="auto"/>
                <w:sz w:val="24"/>
                <w:szCs w:val="24"/>
                <w:lang w:eastAsia="zh-CN"/>
              </w:rPr>
              <w:t>。</w:t>
            </w:r>
          </w:p>
          <w:p w14:paraId="461841E5">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b.新建</w:t>
            </w:r>
            <w:r>
              <w:rPr>
                <w:rFonts w:hint="eastAsia" w:ascii="Times New Roman" w:hAnsi="Times New Roman" w:eastAsia="宋体"/>
                <w:color w:val="auto"/>
                <w:sz w:val="24"/>
                <w:szCs w:val="24"/>
                <w:lang w:eastAsia="zh-CN"/>
              </w:rPr>
              <w:t>危险废物暂存间</w:t>
            </w:r>
            <w:r>
              <w:rPr>
                <w:rFonts w:hint="default" w:ascii="Times New Roman" w:hAnsi="Times New Roman" w:cs="Times New Roman"/>
                <w:color w:val="auto"/>
                <w:sz w:val="24"/>
                <w:szCs w:val="24"/>
                <w:lang w:eastAsia="zh-CN"/>
              </w:rPr>
              <w:t>按照国家相关规范要求，采取防泄漏措施。</w:t>
            </w:r>
          </w:p>
          <w:p w14:paraId="790570F5">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c.严格固体废物管理，不接触外界降水，使其不产生淋滤液，严防污染物泄漏到地下水中。</w:t>
            </w:r>
          </w:p>
          <w:p w14:paraId="1904DCA6">
            <w:pPr>
              <w:spacing w:line="360" w:lineRule="auto"/>
              <w:ind w:firstLine="480" w:firstLineChars="200"/>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rPr>
              <w:t>②</w:t>
            </w:r>
            <w:r>
              <w:rPr>
                <w:rFonts w:hint="eastAsia" w:ascii="Times New Roman" w:hAnsi="Times New Roman" w:eastAsia="宋体"/>
                <w:color w:val="auto"/>
                <w:sz w:val="24"/>
                <w:szCs w:val="24"/>
                <w:lang w:eastAsia="zh-CN"/>
              </w:rPr>
              <w:t>分区防渗</w:t>
            </w:r>
          </w:p>
          <w:p w14:paraId="720D7DC0">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a.重点防渗区</w:t>
            </w:r>
          </w:p>
          <w:p w14:paraId="103E9F6D">
            <w:pPr>
              <w:spacing w:line="360" w:lineRule="auto"/>
              <w:ind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olor w:val="auto"/>
                <w:sz w:val="24"/>
                <w:szCs w:val="24"/>
              </w:rPr>
              <w:t>加强重点污染区防治区的防渗漏措施，对污染防治区进行划分，</w:t>
            </w:r>
            <w:r>
              <w:rPr>
                <w:rFonts w:hint="eastAsia" w:ascii="Times New Roman" w:hAnsi="Times New Roman" w:eastAsia="宋体"/>
                <w:color w:val="auto"/>
                <w:sz w:val="24"/>
                <w:szCs w:val="24"/>
                <w:lang w:val="en-US" w:eastAsia="zh-CN"/>
              </w:rPr>
              <w:t>危险废物暂存间</w:t>
            </w:r>
            <w:r>
              <w:rPr>
                <w:rFonts w:hint="eastAsia" w:ascii="Times New Roman" w:hAnsi="Times New Roman" w:eastAsia="宋体"/>
                <w:color w:val="auto"/>
                <w:sz w:val="24"/>
                <w:szCs w:val="24"/>
                <w:lang w:eastAsia="zh-CN"/>
              </w:rPr>
              <w:t>等</w:t>
            </w:r>
            <w:r>
              <w:rPr>
                <w:rFonts w:hint="eastAsia" w:ascii="Times New Roman" w:hAnsi="Times New Roman" w:eastAsia="宋体"/>
                <w:color w:val="auto"/>
                <w:sz w:val="24"/>
                <w:szCs w:val="24"/>
              </w:rPr>
              <w:t>均为</w:t>
            </w:r>
            <w:r>
              <w:rPr>
                <w:rFonts w:hint="default" w:ascii="Times New Roman" w:hAnsi="Times New Roman" w:eastAsia="宋体" w:cs="Times New Roman"/>
                <w:color w:val="auto"/>
                <w:sz w:val="24"/>
                <w:szCs w:val="24"/>
              </w:rPr>
              <w:t>重点污染防治区。重点防渗区防渗要求达到M</w:t>
            </w:r>
            <w:r>
              <w:rPr>
                <w:rFonts w:hint="default" w:ascii="Times New Roman" w:hAnsi="Times New Roman" w:eastAsia="宋体" w:cs="Times New Roman"/>
                <w:color w:val="auto"/>
                <w:sz w:val="24"/>
                <w:szCs w:val="24"/>
                <w:vertAlign w:val="subscript"/>
              </w:rPr>
              <w:t>b</w:t>
            </w:r>
            <w:r>
              <w:rPr>
                <w:rFonts w:hint="default" w:ascii="Times New Roman" w:hAnsi="Times New Roman" w:eastAsia="宋体" w:cs="Times New Roman"/>
                <w:color w:val="auto"/>
                <w:sz w:val="24"/>
                <w:szCs w:val="24"/>
              </w:rPr>
              <w:t>≥6.0m，K≤1</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×10</w:t>
            </w:r>
            <w:r>
              <w:rPr>
                <w:rFonts w:hint="default" w:ascii="Times New Roman" w:hAnsi="Times New Roman" w:eastAsia="宋体" w:cs="Times New Roman"/>
                <w:color w:val="auto"/>
                <w:sz w:val="24"/>
                <w:szCs w:val="24"/>
                <w:vertAlign w:val="superscript"/>
              </w:rPr>
              <w:t>-7</w:t>
            </w:r>
            <w:r>
              <w:rPr>
                <w:rFonts w:hint="default" w:ascii="Times New Roman" w:hAnsi="Times New Roman" w:eastAsia="宋体" w:cs="Times New Roman"/>
                <w:color w:val="auto"/>
                <w:sz w:val="24"/>
                <w:szCs w:val="24"/>
              </w:rPr>
              <w:t>cm/s的粘土层的防渗性能。</w:t>
            </w:r>
          </w:p>
          <w:p w14:paraId="44BA117F">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重点防渗区域建议地面防渗方案自上而下：①40mm厚细石砼；②水泥砂浆结合层一道；③100mm厚C15混凝土随打随抹光；④50mm厚级配砂石垫层；⑤3:7水泥土夯实。皂脚液暂存池基础与防火堤间区域采用复合或柔性防渗结构型式。柔性防渗材料与防火堤、隔坝及其他设施基础严密连接。</w:t>
            </w:r>
          </w:p>
          <w:p w14:paraId="2B915742">
            <w:pPr>
              <w:tabs>
                <w:tab w:val="left" w:pos="369"/>
              </w:tabs>
              <w:spacing w:line="360" w:lineRule="auto"/>
              <w:ind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危险废物暂存间</w:t>
            </w:r>
            <w:r>
              <w:rPr>
                <w:rFonts w:hint="default" w:ascii="Times New Roman" w:hAnsi="Times New Roman" w:eastAsia="宋体" w:cs="Times New Roman"/>
                <w:color w:val="auto"/>
                <w:sz w:val="24"/>
                <w:szCs w:val="24"/>
              </w:rPr>
              <w:t>为地上建筑，其混凝土地坪以下设计采用单层防渗结构，建议其层次自上而下为600g/m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非织造土工布（膜上保护层）+2.0mm厚HDPE膜+4800g/m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膨润土防水毯+1.5m厚压实粘土层+地基土（见下图</w:t>
            </w:r>
            <w:r>
              <w:rPr>
                <w:rFonts w:hint="eastAsia" w:ascii="Times New Roman" w:hAnsi="Times New Roman" w:eastAsia="宋体" w:cs="Times New Roman"/>
                <w:color w:val="auto"/>
                <w:sz w:val="24"/>
                <w:szCs w:val="24"/>
                <w:lang w:val="en-US" w:eastAsia="zh-CN"/>
              </w:rPr>
              <w:t>4.5和图4.6</w:t>
            </w:r>
            <w:r>
              <w:rPr>
                <w:rFonts w:hint="default" w:ascii="Times New Roman" w:hAnsi="Times New Roman" w:eastAsia="宋体" w:cs="Times New Roman"/>
                <w:color w:val="auto"/>
                <w:sz w:val="24"/>
                <w:szCs w:val="24"/>
              </w:rPr>
              <w:t>）。其中非织造土工布采用热粘连接，搭接宽度200±25mm；HDPE膜采用热熔焊接，搭接宽度100±20mm；GCL采用自然搭接，搭接宽度200±50mm。</w:t>
            </w:r>
          </w:p>
          <w:p w14:paraId="72FA3CA1">
            <w:pPr>
              <w:tabs>
                <w:tab w:val="left" w:pos="3789"/>
              </w:tabs>
              <w:spacing w:line="240" w:lineRule="auto"/>
              <w:jc w:val="center"/>
              <w:rPr>
                <w:color w:val="auto"/>
              </w:rPr>
            </w:pPr>
            <w:r>
              <w:rPr>
                <w:color w:val="auto"/>
              </w:rPr>
              <w:drawing>
                <wp:inline distT="0" distB="0" distL="114300" distR="114300">
                  <wp:extent cx="3105150" cy="1590675"/>
                  <wp:effectExtent l="0" t="0" r="0" b="9525"/>
                  <wp:docPr id="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pic:cNvPicPr>
                            <a:picLocks noChangeAspect="1"/>
                          </pic:cNvPicPr>
                        </pic:nvPicPr>
                        <pic:blipFill>
                          <a:blip r:embed="rId23"/>
                          <a:stretch>
                            <a:fillRect/>
                          </a:stretch>
                        </pic:blipFill>
                        <pic:spPr>
                          <a:xfrm>
                            <a:off x="0" y="0"/>
                            <a:ext cx="3105150" cy="1590675"/>
                          </a:xfrm>
                          <a:prstGeom prst="rect">
                            <a:avLst/>
                          </a:prstGeom>
                          <a:noFill/>
                          <a:ln>
                            <a:noFill/>
                          </a:ln>
                        </pic:spPr>
                      </pic:pic>
                    </a:graphicData>
                  </a:graphic>
                </wp:inline>
              </w:drawing>
            </w:r>
          </w:p>
          <w:p w14:paraId="15B9FD15">
            <w:pPr>
              <w:pStyle w:val="38"/>
              <w:jc w:val="center"/>
              <w:rPr>
                <w:rFonts w:hint="eastAsia"/>
                <w:b/>
                <w:bCs/>
                <w:color w:val="auto"/>
                <w:sz w:val="21"/>
                <w:szCs w:val="21"/>
                <w:lang w:val="en-US" w:eastAsia="zh-CN"/>
              </w:rPr>
            </w:pPr>
            <w:r>
              <w:rPr>
                <w:rFonts w:hint="eastAsia"/>
                <w:b/>
                <w:bCs/>
                <w:color w:val="auto"/>
                <w:sz w:val="21"/>
                <w:szCs w:val="21"/>
                <w:lang w:eastAsia="zh-CN"/>
              </w:rPr>
              <w:t>图</w:t>
            </w:r>
            <w:r>
              <w:rPr>
                <w:rFonts w:hint="eastAsia"/>
                <w:b/>
                <w:bCs/>
                <w:color w:val="auto"/>
                <w:sz w:val="21"/>
                <w:szCs w:val="21"/>
                <w:lang w:val="en-US" w:eastAsia="zh-CN"/>
              </w:rPr>
              <w:t>4.5  设计HDPE膜单层防渗结构示意图</w:t>
            </w:r>
          </w:p>
          <w:p w14:paraId="12C3087E">
            <w:pPr>
              <w:pStyle w:val="45"/>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当地坪与建筑物基础相连时，需采取防渗措施，从混凝土基础往外为橡胶沥青自粘卷材+600g/m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非织造土工布+2.0mm厚HDPE膜+不锈钢扁钢压条+M8膨胀螺栓+1.0mm厚HDPE膜罩，螺栓高度在地坪以上150mm。</w:t>
            </w:r>
          </w:p>
          <w:p w14:paraId="22E40AEB">
            <w:pPr>
              <w:pStyle w:val="45"/>
              <w:ind w:left="0" w:leftChars="0" w:firstLine="0" w:firstLineChars="0"/>
              <w:jc w:val="center"/>
              <w:rPr>
                <w:color w:val="auto"/>
              </w:rPr>
            </w:pPr>
            <w:r>
              <w:rPr>
                <w:color w:val="auto"/>
              </w:rPr>
              <w:drawing>
                <wp:inline distT="0" distB="0" distL="114300" distR="114300">
                  <wp:extent cx="3505200" cy="1467485"/>
                  <wp:effectExtent l="0" t="0" r="0" b="18415"/>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24"/>
                          <a:stretch>
                            <a:fillRect/>
                          </a:stretch>
                        </pic:blipFill>
                        <pic:spPr>
                          <a:xfrm>
                            <a:off x="0" y="0"/>
                            <a:ext cx="3505200" cy="1467485"/>
                          </a:xfrm>
                          <a:prstGeom prst="rect">
                            <a:avLst/>
                          </a:prstGeom>
                          <a:noFill/>
                          <a:ln>
                            <a:noFill/>
                          </a:ln>
                        </pic:spPr>
                      </pic:pic>
                    </a:graphicData>
                  </a:graphic>
                </wp:inline>
              </w:drawing>
            </w:r>
          </w:p>
          <w:p w14:paraId="2FF14142">
            <w:pPr>
              <w:pStyle w:val="45"/>
              <w:tabs>
                <w:tab w:val="left" w:pos="5409"/>
              </w:tabs>
              <w:spacing w:line="240" w:lineRule="auto"/>
              <w:ind w:left="0" w:leftChars="0" w:firstLine="0" w:firstLineChars="0"/>
              <w:jc w:val="center"/>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eastAsia="zh-CN"/>
              </w:rPr>
              <w:t>图</w:t>
            </w:r>
            <w:r>
              <w:rPr>
                <w:rFonts w:hint="eastAsia" w:ascii="Times New Roman" w:hAnsi="Times New Roman" w:eastAsia="宋体"/>
                <w:b/>
                <w:bCs/>
                <w:color w:val="auto"/>
                <w:sz w:val="21"/>
                <w:szCs w:val="21"/>
                <w:lang w:val="en-US" w:eastAsia="zh-CN"/>
              </w:rPr>
              <w:t>4.6  HDPE膜与基础连接示意图</w:t>
            </w:r>
          </w:p>
          <w:p w14:paraId="70E49908">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color w:val="auto"/>
                <w:lang w:val="en-US" w:eastAsia="zh-CN"/>
              </w:rPr>
            </w:pPr>
            <w:r>
              <w:rPr>
                <w:rFonts w:hint="eastAsia"/>
                <w:color w:val="auto"/>
                <w:sz w:val="24"/>
                <w:szCs w:val="24"/>
                <w:lang w:val="en-US" w:eastAsia="zh-CN"/>
              </w:rPr>
              <w:t>b.一般防渗区</w:t>
            </w:r>
          </w:p>
          <w:p w14:paraId="02EE69C6">
            <w:pPr>
              <w:pStyle w:val="45"/>
              <w:keepNext w:val="0"/>
              <w:keepLines w:val="0"/>
              <w:pageBreakBefore w:val="0"/>
              <w:widowControl w:val="0"/>
              <w:tabs>
                <w:tab w:val="left" w:pos="819"/>
              </w:tabs>
              <w:kinsoku/>
              <w:wordWrap/>
              <w:overflowPunct/>
              <w:topLinePunct w:val="0"/>
              <w:autoSpaceDE/>
              <w:autoSpaceDN/>
              <w:bidi w:val="0"/>
              <w:adjustRightInd w:val="0"/>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本项目重点污染防治区以外的地方为一般污染防治区，为一般</w:t>
            </w:r>
            <w:r>
              <w:rPr>
                <w:rFonts w:hint="eastAsia" w:ascii="Times New Roman" w:hAnsi="Times New Roman" w:eastAsia="宋体" w:cs="Times New Roman"/>
                <w:color w:val="auto"/>
                <w:sz w:val="24"/>
                <w:szCs w:val="24"/>
                <w:lang w:eastAsia="zh-CN"/>
              </w:rPr>
              <w:t>工业固体废物暂存房、生产车间</w:t>
            </w:r>
            <w:r>
              <w:rPr>
                <w:rFonts w:hint="default" w:ascii="Times New Roman" w:hAnsi="Times New Roman" w:eastAsia="宋体" w:cs="Times New Roman"/>
                <w:color w:val="auto"/>
                <w:sz w:val="24"/>
                <w:szCs w:val="24"/>
                <w:lang w:eastAsia="zh-CN"/>
              </w:rPr>
              <w:t>等。对一般</w:t>
            </w:r>
            <w:r>
              <w:rPr>
                <w:rFonts w:hint="eastAsia" w:ascii="Times New Roman" w:hAnsi="Times New Roman" w:eastAsia="宋体" w:cs="Times New Roman"/>
                <w:color w:val="auto"/>
                <w:sz w:val="24"/>
                <w:szCs w:val="24"/>
                <w:lang w:eastAsia="zh-CN"/>
              </w:rPr>
              <w:t>工业固体废物暂存房</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生产车间</w:t>
            </w:r>
            <w:r>
              <w:rPr>
                <w:rFonts w:hint="default" w:ascii="Times New Roman" w:hAnsi="Times New Roman" w:eastAsia="宋体" w:cs="Times New Roman"/>
                <w:color w:val="auto"/>
                <w:sz w:val="24"/>
                <w:szCs w:val="24"/>
                <w:lang w:eastAsia="zh-CN"/>
              </w:rPr>
              <w:t>加强防渗，采用人工材料构筑防渗层，防渗层的厚度达到渗透系数1.0×10</w:t>
            </w:r>
            <w:r>
              <w:rPr>
                <w:rFonts w:hint="default" w:ascii="Times New Roman" w:hAnsi="Times New Roman" w:eastAsia="宋体" w:cs="Times New Roman"/>
                <w:color w:val="auto"/>
                <w:sz w:val="24"/>
                <w:szCs w:val="24"/>
                <w:vertAlign w:val="superscript"/>
                <w:lang w:eastAsia="zh-CN"/>
              </w:rPr>
              <w:t>-7</w:t>
            </w:r>
            <w:r>
              <w:rPr>
                <w:rFonts w:hint="default" w:ascii="Times New Roman" w:hAnsi="Times New Roman" w:eastAsia="宋体" w:cs="Times New Roman"/>
                <w:color w:val="auto"/>
                <w:sz w:val="24"/>
                <w:szCs w:val="24"/>
                <w:lang w:eastAsia="zh-CN"/>
              </w:rPr>
              <w:t>cm/s和厚度1.5m的粘土层的防渗性能。</w:t>
            </w:r>
          </w:p>
          <w:p w14:paraId="5CC7C57A">
            <w:pPr>
              <w:pStyle w:val="45"/>
              <w:keepNext w:val="0"/>
              <w:keepLines w:val="0"/>
              <w:pageBreakBefore w:val="0"/>
              <w:widowControl w:val="0"/>
              <w:tabs>
                <w:tab w:val="left" w:pos="819"/>
              </w:tabs>
              <w:kinsoku/>
              <w:wordWrap/>
              <w:overflowPunct/>
              <w:topLinePunct w:val="0"/>
              <w:autoSpaceDE/>
              <w:autoSpaceDN/>
              <w:bidi w:val="0"/>
              <w:adjustRightInd/>
              <w:snapToGrid/>
              <w:ind w:left="0" w:leftChars="0" w:firstLine="480" w:firstLineChars="200"/>
              <w:jc w:val="left"/>
              <w:textAlignment w:val="auto"/>
              <w:rPr>
                <w:rFonts w:ascii="Times New Roman" w:hAnsi="Times New Roman" w:eastAsia="宋体"/>
                <w:color w:val="auto"/>
                <w:sz w:val="24"/>
                <w:szCs w:val="24"/>
              </w:rPr>
            </w:pPr>
            <w:r>
              <w:rPr>
                <w:rFonts w:ascii="Times New Roman" w:hAnsi="Times New Roman" w:eastAsia="宋体"/>
                <w:color w:val="auto"/>
                <w:sz w:val="24"/>
                <w:szCs w:val="24"/>
              </w:rPr>
              <w:t>污染区防渗措施</w:t>
            </w:r>
            <w:r>
              <w:rPr>
                <w:rFonts w:hint="eastAsia" w:ascii="宋体" w:hAnsi="宋体" w:eastAsia="宋体" w:cs="宋体"/>
                <w:color w:val="auto"/>
                <w:sz w:val="24"/>
                <w:szCs w:val="24"/>
              </w:rPr>
              <w:t>必须坚持“三同时”的原则。环境保护设施必须与主体工程同时设计、同时施工、同时投产使用，并经有关行政主管部门验收合格后，方可投入生产或者使用。由污染途径及对应措施分析可知，项目对</w:t>
            </w:r>
            <w:r>
              <w:rPr>
                <w:rFonts w:ascii="Times New Roman" w:hAnsi="Times New Roman" w:eastAsia="宋体"/>
                <w:color w:val="auto"/>
                <w:sz w:val="24"/>
                <w:szCs w:val="24"/>
              </w:rPr>
              <w:t>可能产生地下水影响的各项途径均进行有效预防，在确保各项防渗措施得以落实，并加强维护和厂区环境管理的前提下，可有效控制厂区内的废水污染物下渗现象，避免污染地下水，因此项目不会对区域地下水环境产生明显影响。</w:t>
            </w:r>
          </w:p>
          <w:p w14:paraId="47F4B6CB">
            <w:pPr>
              <w:pStyle w:val="53"/>
              <w:spacing w:line="360" w:lineRule="auto"/>
              <w:jc w:val="left"/>
              <w:rPr>
                <w:rFonts w:ascii="Times New Roman" w:hAnsi="Times New Roman"/>
                <w:color w:val="auto"/>
                <w:sz w:val="24"/>
                <w:szCs w:val="24"/>
              </w:rPr>
            </w:pPr>
            <w:r>
              <w:rPr>
                <w:rFonts w:ascii="Times New Roman" w:hAnsi="Times New Roman"/>
                <w:color w:val="auto"/>
                <w:sz w:val="24"/>
                <w:szCs w:val="24"/>
              </w:rPr>
              <w:t>根据以上分区情况，对项目厂区防渗分区情况进行统计</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见表4.21</w:t>
            </w:r>
            <w:r>
              <w:rPr>
                <w:rFonts w:ascii="Times New Roman" w:hAnsi="Times New Roman"/>
                <w:color w:val="auto"/>
                <w:sz w:val="24"/>
                <w:szCs w:val="24"/>
              </w:rPr>
              <w:t>。</w:t>
            </w:r>
          </w:p>
          <w:p w14:paraId="49C8AB96">
            <w:pPr>
              <w:pStyle w:val="53"/>
              <w:tabs>
                <w:tab w:val="left" w:pos="2949"/>
                <w:tab w:val="center" w:pos="5077"/>
              </w:tabs>
              <w:spacing w:line="240" w:lineRule="auto"/>
              <w:ind w:firstLine="482"/>
              <w:jc w:val="left"/>
              <w:rPr>
                <w:rFonts w:ascii="Times New Roman" w:hAnsi="Times New Roman"/>
                <w:b/>
                <w:bCs/>
                <w:color w:val="auto"/>
                <w:sz w:val="21"/>
                <w:szCs w:val="21"/>
              </w:rPr>
            </w:pPr>
            <w:r>
              <w:rPr>
                <w:rFonts w:hint="eastAsia" w:ascii="Times New Roman" w:hAnsi="Times New Roman"/>
                <w:b/>
                <w:bCs/>
                <w:color w:val="auto"/>
                <w:sz w:val="24"/>
                <w:szCs w:val="24"/>
                <w:lang w:eastAsia="zh-CN"/>
              </w:rPr>
              <w:tab/>
            </w:r>
            <w:r>
              <w:rPr>
                <w:rFonts w:ascii="Times New Roman" w:hAnsi="Times New Roman"/>
                <w:b/>
                <w:bCs/>
                <w:color w:val="auto"/>
                <w:sz w:val="21"/>
                <w:szCs w:val="21"/>
              </w:rPr>
              <w:t>表</w:t>
            </w:r>
            <w:r>
              <w:rPr>
                <w:rFonts w:hint="eastAsia" w:ascii="Times New Roman" w:hAnsi="Times New Roman"/>
                <w:b/>
                <w:bCs/>
                <w:color w:val="auto"/>
                <w:sz w:val="21"/>
                <w:szCs w:val="21"/>
                <w:lang w:val="en-US" w:eastAsia="zh-CN"/>
              </w:rPr>
              <w:t>4.21</w:t>
            </w:r>
            <w:r>
              <w:rPr>
                <w:rFonts w:ascii="Times New Roman" w:hAnsi="Times New Roman"/>
                <w:b/>
                <w:bCs/>
                <w:color w:val="auto"/>
                <w:sz w:val="21"/>
                <w:szCs w:val="21"/>
              </w:rPr>
              <w:t xml:space="preserve">  地下水污染防渗分区参照表</w:t>
            </w:r>
          </w:p>
          <w:tbl>
            <w:tblPr>
              <w:tblStyle w:val="31"/>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8"/>
              <w:gridCol w:w="2270"/>
              <w:gridCol w:w="5063"/>
            </w:tblGrid>
            <w:tr w14:paraId="328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noWrap w:val="0"/>
                  <w:vAlign w:val="center"/>
                </w:tcPr>
                <w:p w14:paraId="7C0FDD24">
                  <w:pPr>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场区内建构筑物</w:t>
                  </w:r>
                </w:p>
              </w:tc>
              <w:tc>
                <w:tcPr>
                  <w:tcW w:w="1329" w:type="dxa"/>
                  <w:noWrap w:val="0"/>
                  <w:vAlign w:val="center"/>
                </w:tcPr>
                <w:p w14:paraId="4FA15A8D">
                  <w:pPr>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防渗分区</w:t>
                  </w:r>
                </w:p>
              </w:tc>
              <w:tc>
                <w:tcPr>
                  <w:tcW w:w="2964" w:type="dxa"/>
                  <w:noWrap w:val="0"/>
                  <w:vAlign w:val="center"/>
                </w:tcPr>
                <w:p w14:paraId="45DBF802">
                  <w:pPr>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防渗技术要求</w:t>
                  </w:r>
                </w:p>
              </w:tc>
            </w:tr>
            <w:tr w14:paraId="6F525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noWrap w:val="0"/>
                  <w:vAlign w:val="center"/>
                </w:tcPr>
                <w:p w14:paraId="642869E3">
                  <w:pPr>
                    <w:adjustRightInd w:val="0"/>
                    <w:snapToGrid w:val="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危险废物暂存间、抗磨压油暂存间</w:t>
                  </w:r>
                </w:p>
              </w:tc>
              <w:tc>
                <w:tcPr>
                  <w:tcW w:w="1329" w:type="dxa"/>
                  <w:noWrap w:val="0"/>
                  <w:vAlign w:val="center"/>
                </w:tcPr>
                <w:p w14:paraId="1B68C974">
                  <w:pPr>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重点防渗区</w:t>
                  </w:r>
                </w:p>
              </w:tc>
              <w:tc>
                <w:tcPr>
                  <w:tcW w:w="2964" w:type="dxa"/>
                  <w:noWrap w:val="0"/>
                  <w:vAlign w:val="center"/>
                </w:tcPr>
                <w:p w14:paraId="14179F92">
                  <w:pPr>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等效黏土防渗层Mb≧6m，K≦1*10</w:t>
                  </w:r>
                  <w:r>
                    <w:rPr>
                      <w:rFonts w:ascii="Times New Roman" w:hAnsi="Times New Roman" w:eastAsia="宋体"/>
                      <w:color w:val="auto"/>
                      <w:sz w:val="21"/>
                      <w:szCs w:val="21"/>
                      <w:vertAlign w:val="superscript"/>
                    </w:rPr>
                    <w:t>-7</w:t>
                  </w:r>
                  <w:r>
                    <w:rPr>
                      <w:rFonts w:ascii="Times New Roman" w:hAnsi="Times New Roman" w:eastAsia="宋体"/>
                      <w:color w:val="auto"/>
                      <w:sz w:val="21"/>
                      <w:szCs w:val="21"/>
                    </w:rPr>
                    <w:t>cm/s，或参照《危险废物填埋污染控制标准》（GB18598）执行</w:t>
                  </w:r>
                </w:p>
              </w:tc>
            </w:tr>
            <w:tr w14:paraId="0957B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6" w:type="dxa"/>
                  <w:noWrap w:val="0"/>
                  <w:vAlign w:val="center"/>
                </w:tcPr>
                <w:p w14:paraId="561E6580">
                  <w:pPr>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生产车间、原材料区、成品区</w:t>
                  </w:r>
                  <w:r>
                    <w:rPr>
                      <w:rFonts w:ascii="Times New Roman" w:hAnsi="Times New Roman" w:eastAsia="宋体"/>
                      <w:color w:val="auto"/>
                      <w:sz w:val="21"/>
                      <w:szCs w:val="21"/>
                    </w:rPr>
                    <w:t>等</w:t>
                  </w:r>
                </w:p>
              </w:tc>
              <w:tc>
                <w:tcPr>
                  <w:tcW w:w="1329" w:type="dxa"/>
                  <w:noWrap w:val="0"/>
                  <w:vAlign w:val="center"/>
                </w:tcPr>
                <w:p w14:paraId="65DA8070">
                  <w:pPr>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一般防渗区</w:t>
                  </w:r>
                </w:p>
              </w:tc>
              <w:tc>
                <w:tcPr>
                  <w:tcW w:w="2964" w:type="dxa"/>
                  <w:noWrap w:val="0"/>
                  <w:vAlign w:val="center"/>
                </w:tcPr>
                <w:p w14:paraId="66EE9D3C">
                  <w:pPr>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等效黏土防渗层Mb≧1.5m，K≦1*10</w:t>
                  </w:r>
                  <w:r>
                    <w:rPr>
                      <w:rFonts w:ascii="Times New Roman" w:hAnsi="Times New Roman" w:eastAsia="宋体"/>
                      <w:color w:val="auto"/>
                      <w:sz w:val="21"/>
                      <w:szCs w:val="21"/>
                      <w:vertAlign w:val="superscript"/>
                    </w:rPr>
                    <w:t>-7</w:t>
                  </w:r>
                  <w:r>
                    <w:rPr>
                      <w:rFonts w:ascii="Times New Roman" w:hAnsi="Times New Roman" w:eastAsia="宋体"/>
                      <w:color w:val="auto"/>
                      <w:sz w:val="21"/>
                      <w:szCs w:val="21"/>
                    </w:rPr>
                    <w:t>cm/s，或参照</w:t>
                  </w:r>
                  <w:r>
                    <w:rPr>
                      <w:rFonts w:hint="eastAsia" w:ascii="Times New Roman" w:hAnsi="Times New Roman" w:cs="Times New Roman"/>
                      <w:color w:val="auto"/>
                      <w:sz w:val="21"/>
                      <w:szCs w:val="21"/>
                      <w:lang w:val="en-US" w:eastAsia="zh-CN"/>
                    </w:rPr>
                    <w:t>《生活垃圾填埋场污染控制标准》（GB16889）</w:t>
                  </w:r>
                  <w:r>
                    <w:rPr>
                      <w:rFonts w:ascii="Times New Roman" w:hAnsi="Times New Roman" w:eastAsia="宋体"/>
                      <w:color w:val="auto"/>
                      <w:sz w:val="21"/>
                      <w:szCs w:val="21"/>
                    </w:rPr>
                    <w:t>执行</w:t>
                  </w:r>
                </w:p>
              </w:tc>
            </w:tr>
            <w:tr w14:paraId="0CCAF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6" w:type="dxa"/>
                  <w:noWrap w:val="0"/>
                  <w:vAlign w:val="center"/>
                </w:tcPr>
                <w:p w14:paraId="578E1D68">
                  <w:pPr>
                    <w:adjustRightInd w:val="0"/>
                    <w:snapToGrid w:val="0"/>
                    <w:jc w:val="center"/>
                    <w:rPr>
                      <w:rFonts w:ascii="Times New Roman" w:hAnsi="Times New Roman" w:eastAsia="宋体"/>
                      <w:color w:val="auto"/>
                      <w:sz w:val="21"/>
                      <w:szCs w:val="21"/>
                    </w:rPr>
                  </w:pPr>
                  <w:r>
                    <w:rPr>
                      <w:rFonts w:hint="eastAsia" w:ascii="Times New Roman" w:hAnsi="Times New Roman" w:eastAsia="宋体"/>
                      <w:color w:val="auto"/>
                      <w:sz w:val="21"/>
                      <w:szCs w:val="21"/>
                      <w:lang w:eastAsia="zh-CN"/>
                    </w:rPr>
                    <w:t>办公</w:t>
                  </w:r>
                  <w:r>
                    <w:rPr>
                      <w:rFonts w:hint="eastAsia" w:ascii="Times New Roman" w:hAnsi="Times New Roman" w:eastAsia="宋体"/>
                      <w:color w:val="auto"/>
                      <w:sz w:val="21"/>
                      <w:szCs w:val="21"/>
                      <w:lang w:val="en-US" w:eastAsia="zh-CN"/>
                    </w:rPr>
                    <w:t>区</w:t>
                  </w:r>
                  <w:r>
                    <w:rPr>
                      <w:rFonts w:ascii="Times New Roman" w:hAnsi="Times New Roman" w:eastAsia="宋体"/>
                      <w:color w:val="auto"/>
                      <w:sz w:val="21"/>
                      <w:szCs w:val="21"/>
                    </w:rPr>
                    <w:t>等</w:t>
                  </w:r>
                </w:p>
              </w:tc>
              <w:tc>
                <w:tcPr>
                  <w:tcW w:w="1329" w:type="dxa"/>
                  <w:noWrap w:val="0"/>
                  <w:vAlign w:val="center"/>
                </w:tcPr>
                <w:p w14:paraId="49B2C880">
                  <w:pPr>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简单防渗区</w:t>
                  </w:r>
                </w:p>
              </w:tc>
              <w:tc>
                <w:tcPr>
                  <w:tcW w:w="2964" w:type="dxa"/>
                  <w:noWrap w:val="0"/>
                  <w:vAlign w:val="center"/>
                </w:tcPr>
                <w:p w14:paraId="61A91DC3">
                  <w:pPr>
                    <w:adjustRightInd w:val="0"/>
                    <w:snapToGrid w:val="0"/>
                    <w:jc w:val="center"/>
                    <w:rPr>
                      <w:rFonts w:ascii="Times New Roman" w:hAnsi="Times New Roman" w:eastAsia="宋体"/>
                      <w:color w:val="auto"/>
                      <w:sz w:val="21"/>
                      <w:szCs w:val="21"/>
                    </w:rPr>
                  </w:pPr>
                  <w:r>
                    <w:rPr>
                      <w:rFonts w:ascii="Times New Roman" w:hAnsi="Times New Roman" w:eastAsia="宋体"/>
                      <w:color w:val="auto"/>
                      <w:sz w:val="21"/>
                      <w:szCs w:val="21"/>
                    </w:rPr>
                    <w:t>一般地面硬化</w:t>
                  </w:r>
                </w:p>
              </w:tc>
            </w:tr>
          </w:tbl>
          <w:p w14:paraId="18DDC31D">
            <w:pPr>
              <w:spacing w:line="360" w:lineRule="auto"/>
              <w:ind w:firstLine="480"/>
              <w:rPr>
                <w:rFonts w:ascii="Times New Roman" w:hAnsi="Times New Roman" w:eastAsia="宋体"/>
                <w:color w:val="auto"/>
                <w:sz w:val="24"/>
                <w:szCs w:val="24"/>
                <w:highlight w:val="none"/>
              </w:rPr>
            </w:pPr>
            <w:r>
              <w:rPr>
                <w:rFonts w:ascii="Times New Roman" w:hAnsi="Times New Roman" w:eastAsia="宋体"/>
                <w:color w:val="auto"/>
                <w:sz w:val="24"/>
                <w:szCs w:val="24"/>
              </w:rPr>
              <w:t>由污染途径及对应措施分析可知，项目对可能产生地下水影响的各项途径均进行有效预防，在确保各项防</w:t>
            </w:r>
            <w:r>
              <w:rPr>
                <w:rFonts w:ascii="Times New Roman" w:hAnsi="Times New Roman" w:eastAsia="宋体"/>
                <w:color w:val="auto"/>
                <w:sz w:val="24"/>
                <w:szCs w:val="24"/>
                <w:highlight w:val="none"/>
              </w:rPr>
              <w:t>渗措施得以落实，并加强维护和厂区环境管理的前提下，可有效控制厂区内的废水污染物下渗现象，避免污染地下水，因此项目不会对区域地下水环境产生明显影响。</w:t>
            </w:r>
          </w:p>
          <w:p w14:paraId="7D6EF8FB">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建设项目分区防渗示意图见附图18。</w:t>
            </w:r>
          </w:p>
          <w:p w14:paraId="277EFCD9">
            <w:pPr>
              <w:pStyle w:val="38"/>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both"/>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6、环境风险</w:t>
            </w:r>
          </w:p>
          <w:p w14:paraId="72D03B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highlight w:val="none"/>
                <w:lang w:val="en-US" w:eastAsia="zh-CN"/>
              </w:rPr>
              <w:t>环境风险评价是对项目建设和运营期间发生</w:t>
            </w:r>
            <w:r>
              <w:rPr>
                <w:rFonts w:hint="default" w:ascii="Times New Roman" w:hAnsi="Times New Roman" w:cs="Times New Roman"/>
                <w:color w:val="auto"/>
                <w:sz w:val="24"/>
                <w:szCs w:val="24"/>
                <w:lang w:val="en-US" w:eastAsia="zh-CN"/>
              </w:rPr>
              <w:t>的可预测突发事件（一般不包括人为破坏和自然灾害）或事故引起有毒有害、易燃易爆等物质</w:t>
            </w:r>
            <w:r>
              <w:rPr>
                <w:rFonts w:hint="eastAsia" w:ascii="Times New Roman" w:hAnsi="Times New Roman" w:cs="Times New Roman"/>
                <w:color w:val="auto"/>
                <w:sz w:val="24"/>
                <w:szCs w:val="24"/>
                <w:lang w:val="en-US" w:eastAsia="zh-CN"/>
              </w:rPr>
              <w:t>泄漏</w:t>
            </w:r>
            <w:r>
              <w:rPr>
                <w:rFonts w:hint="default" w:ascii="Times New Roman" w:hAnsi="Times New Roman" w:cs="Times New Roman"/>
                <w:color w:val="auto"/>
                <w:sz w:val="24"/>
                <w:szCs w:val="24"/>
                <w:lang w:val="en-US" w:eastAsia="zh-CN"/>
              </w:rPr>
              <w:t>，或突发事件产生的新的有毒有害物质，所造成的人身安全和环境的影响进行评估，并提出防范、应急与缓解措施。</w:t>
            </w:r>
          </w:p>
          <w:p w14:paraId="7730D6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6.1危险物质</w:t>
            </w:r>
          </w:p>
          <w:p w14:paraId="5A8757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lang w:eastAsia="zh-CN"/>
              </w:rPr>
              <w:t>按《建设项目环境风险评价技术导则》（HJ169-2018）附录B，对本项目建成后全厂涉及的原辅料、最终产品等主要物质进行危险性识别，确</w:t>
            </w:r>
            <w:r>
              <w:rPr>
                <w:rFonts w:hint="default" w:ascii="Times New Roman" w:hAnsi="Times New Roman" w:cs="Times New Roman"/>
                <w:color w:val="auto"/>
                <w:sz w:val="24"/>
                <w:szCs w:val="24"/>
                <w:highlight w:val="none"/>
                <w:lang w:eastAsia="zh-CN"/>
              </w:rPr>
              <w:t>定全厂涉及的危险物质为：</w:t>
            </w:r>
            <w:r>
              <w:rPr>
                <w:rFonts w:hint="eastAsia" w:ascii="Times New Roman" w:hAnsi="Times New Roman" w:cs="Times New Roman"/>
                <w:color w:val="auto"/>
                <w:sz w:val="24"/>
                <w:szCs w:val="24"/>
                <w:highlight w:val="none"/>
                <w:lang w:val="en-US" w:eastAsia="zh-CN"/>
              </w:rPr>
              <w:t>抗磨压油、危险废物</w:t>
            </w:r>
            <w:r>
              <w:rPr>
                <w:rFonts w:hint="default" w:ascii="Times New Roman" w:hAnsi="Times New Roman" w:cs="Times New Roman"/>
                <w:color w:val="auto"/>
                <w:sz w:val="24"/>
                <w:szCs w:val="24"/>
                <w:highlight w:val="none"/>
                <w:lang w:eastAsia="zh-CN"/>
              </w:rPr>
              <w:t>等，</w:t>
            </w:r>
            <w:r>
              <w:rPr>
                <w:rFonts w:hint="default" w:ascii="Times New Roman" w:hAnsi="Times New Roman" w:cs="Times New Roman"/>
                <w:b w:val="0"/>
                <w:bCs w:val="0"/>
                <w:color w:val="auto"/>
                <w:sz w:val="24"/>
                <w:szCs w:val="24"/>
                <w:highlight w:val="none"/>
                <w:lang w:val="en-US" w:eastAsia="zh-CN"/>
              </w:rPr>
              <w:t>危险物质数量与临界量比值（Q）</w:t>
            </w:r>
            <w:r>
              <w:rPr>
                <w:rFonts w:hint="default" w:ascii="Times New Roman" w:hAnsi="Times New Roman" w:cs="Times New Roman"/>
                <w:b w:val="0"/>
                <w:bCs w:val="0"/>
                <w:color w:val="auto"/>
                <w:sz w:val="24"/>
                <w:szCs w:val="24"/>
                <w:highlight w:val="none"/>
                <w:lang w:eastAsia="zh-CN"/>
              </w:rPr>
              <w:t>计</w:t>
            </w:r>
            <w:r>
              <w:rPr>
                <w:rFonts w:hint="default" w:ascii="Times New Roman" w:hAnsi="Times New Roman" w:cs="Times New Roman"/>
                <w:color w:val="auto"/>
                <w:sz w:val="24"/>
                <w:szCs w:val="24"/>
                <w:highlight w:val="none"/>
                <w:lang w:eastAsia="zh-CN"/>
              </w:rPr>
              <w:t>算如下表</w:t>
            </w:r>
            <w:r>
              <w:rPr>
                <w:rFonts w:hint="eastAsia" w:ascii="Times New Roman" w:hAnsi="Times New Roman" w:cs="Times New Roman"/>
                <w:color w:val="auto"/>
                <w:sz w:val="24"/>
                <w:szCs w:val="24"/>
                <w:highlight w:val="none"/>
                <w:lang w:val="en-US" w:eastAsia="zh-CN"/>
              </w:rPr>
              <w:t>4.22</w:t>
            </w:r>
            <w:r>
              <w:rPr>
                <w:rFonts w:hint="default" w:ascii="Times New Roman" w:hAnsi="Times New Roman" w:cs="Times New Roman"/>
                <w:color w:val="auto"/>
                <w:sz w:val="24"/>
                <w:szCs w:val="24"/>
                <w:highlight w:val="none"/>
                <w:lang w:eastAsia="zh-CN"/>
              </w:rPr>
              <w:t>所示。</w:t>
            </w:r>
          </w:p>
          <w:p w14:paraId="6C04D8BC">
            <w:pPr>
              <w:pStyle w:val="38"/>
              <w:spacing w:line="240" w:lineRule="auto"/>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w:t>
            </w:r>
            <w:r>
              <w:rPr>
                <w:rFonts w:hint="eastAsia" w:ascii="Times New Roman" w:hAnsi="Times New Roman"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22</w:t>
            </w:r>
            <w:r>
              <w:rPr>
                <w:rFonts w:hint="default" w:ascii="Times New Roman" w:hAnsi="Times New Roman" w:cs="Times New Roman"/>
                <w:b/>
                <w:bCs/>
                <w:color w:val="auto"/>
                <w:sz w:val="21"/>
                <w:szCs w:val="21"/>
                <w:highlight w:val="none"/>
                <w:lang w:val="en-US" w:eastAsia="zh-CN"/>
              </w:rPr>
              <w:t xml:space="preserve"> 危险物质数量与临界量比值（Q）计算结果一览表</w:t>
            </w:r>
          </w:p>
          <w:tbl>
            <w:tblPr>
              <w:tblStyle w:val="32"/>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7"/>
              <w:gridCol w:w="2382"/>
              <w:gridCol w:w="1008"/>
              <w:gridCol w:w="1878"/>
              <w:gridCol w:w="1417"/>
              <w:gridCol w:w="1219"/>
            </w:tblGrid>
            <w:tr w14:paraId="5D12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50" w:type="dxa"/>
                  <w:noWrap w:val="0"/>
                  <w:vAlign w:val="center"/>
                </w:tcPr>
                <w:p w14:paraId="2B60B1CD">
                  <w:pPr>
                    <w:pStyle w:val="38"/>
                    <w:spacing w:line="24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物质名称</w:t>
                  </w:r>
                </w:p>
              </w:tc>
              <w:tc>
                <w:tcPr>
                  <w:tcW w:w="2387" w:type="dxa"/>
                  <w:noWrap w:val="0"/>
                  <w:vAlign w:val="center"/>
                </w:tcPr>
                <w:p w14:paraId="237FDA11">
                  <w:pPr>
                    <w:pStyle w:val="38"/>
                    <w:spacing w:line="24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类别</w:t>
                  </w:r>
                </w:p>
              </w:tc>
              <w:tc>
                <w:tcPr>
                  <w:tcW w:w="1009" w:type="dxa"/>
                  <w:noWrap w:val="0"/>
                  <w:vAlign w:val="center"/>
                </w:tcPr>
                <w:p w14:paraId="7F0CBF8E">
                  <w:pPr>
                    <w:pStyle w:val="38"/>
                    <w:spacing w:line="240" w:lineRule="auto"/>
                    <w:jc w:val="center"/>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CAS号</w:t>
                  </w:r>
                </w:p>
              </w:tc>
              <w:tc>
                <w:tcPr>
                  <w:tcW w:w="1881" w:type="dxa"/>
                  <w:noWrap w:val="0"/>
                  <w:vAlign w:val="center"/>
                </w:tcPr>
                <w:p w14:paraId="459F6C30">
                  <w:pPr>
                    <w:pStyle w:val="38"/>
                    <w:spacing w:line="24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最大存在量q</w:t>
                  </w:r>
                  <w:r>
                    <w:rPr>
                      <w:rFonts w:hint="eastAsia" w:ascii="Times New Roman" w:hAnsi="Times New Roman" w:cs="Times New Roman"/>
                      <w:b w:val="0"/>
                      <w:bCs w:val="0"/>
                      <w:color w:val="auto"/>
                      <w:sz w:val="21"/>
                      <w:szCs w:val="21"/>
                      <w:highlight w:val="none"/>
                      <w:vertAlign w:val="subscript"/>
                      <w:lang w:val="en-US" w:eastAsia="zh-CN"/>
                    </w:rPr>
                    <w:t>n</w:t>
                  </w:r>
                  <w:r>
                    <w:rPr>
                      <w:rFonts w:hint="eastAsia" w:ascii="Times New Roman" w:hAnsi="Times New Roman" w:cs="Times New Roman"/>
                      <w:b w:val="0"/>
                      <w:bCs w:val="0"/>
                      <w:color w:val="auto"/>
                      <w:sz w:val="21"/>
                      <w:szCs w:val="21"/>
                      <w:highlight w:val="none"/>
                      <w:vertAlign w:val="baseline"/>
                      <w:lang w:val="en-US" w:eastAsia="zh-CN"/>
                    </w:rPr>
                    <w:t>（t）</w:t>
                  </w:r>
                </w:p>
              </w:tc>
              <w:tc>
                <w:tcPr>
                  <w:tcW w:w="1419" w:type="dxa"/>
                  <w:noWrap w:val="0"/>
                  <w:vAlign w:val="center"/>
                </w:tcPr>
                <w:p w14:paraId="5C5EAC5C">
                  <w:pPr>
                    <w:pStyle w:val="38"/>
                    <w:spacing w:line="24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临界量Q</w:t>
                  </w:r>
                  <w:r>
                    <w:rPr>
                      <w:rFonts w:hint="eastAsia" w:ascii="Times New Roman" w:hAnsi="Times New Roman" w:cs="Times New Roman"/>
                      <w:b w:val="0"/>
                      <w:bCs w:val="0"/>
                      <w:color w:val="auto"/>
                      <w:sz w:val="21"/>
                      <w:szCs w:val="21"/>
                      <w:highlight w:val="none"/>
                      <w:vertAlign w:val="subscript"/>
                      <w:lang w:val="en-US" w:eastAsia="zh-CN"/>
                    </w:rPr>
                    <w:t>n</w:t>
                  </w:r>
                  <w:r>
                    <w:rPr>
                      <w:rFonts w:hint="eastAsia" w:ascii="Times New Roman" w:hAnsi="Times New Roman" w:cs="Times New Roman"/>
                      <w:b w:val="0"/>
                      <w:bCs w:val="0"/>
                      <w:color w:val="auto"/>
                      <w:sz w:val="21"/>
                      <w:szCs w:val="21"/>
                      <w:highlight w:val="none"/>
                      <w:vertAlign w:val="baseline"/>
                      <w:lang w:val="en-US" w:eastAsia="zh-CN"/>
                    </w:rPr>
                    <w:t>（t）</w:t>
                  </w:r>
                </w:p>
              </w:tc>
              <w:tc>
                <w:tcPr>
                  <w:tcW w:w="1205" w:type="dxa"/>
                  <w:noWrap w:val="0"/>
                  <w:vAlign w:val="center"/>
                </w:tcPr>
                <w:p w14:paraId="38454AA0">
                  <w:pPr>
                    <w:pStyle w:val="38"/>
                    <w:spacing w:line="24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q</w:t>
                  </w:r>
                  <w:r>
                    <w:rPr>
                      <w:rFonts w:hint="eastAsia" w:ascii="Times New Roman" w:hAnsi="Times New Roman" w:cs="Times New Roman"/>
                      <w:b w:val="0"/>
                      <w:bCs w:val="0"/>
                      <w:color w:val="auto"/>
                      <w:sz w:val="21"/>
                      <w:szCs w:val="21"/>
                      <w:highlight w:val="none"/>
                      <w:vertAlign w:val="subscript"/>
                      <w:lang w:val="en-US" w:eastAsia="zh-CN"/>
                    </w:rPr>
                    <w:t>n</w:t>
                  </w:r>
                  <w:r>
                    <w:rPr>
                      <w:rFonts w:hint="eastAsia" w:ascii="Times New Roman" w:hAnsi="Times New Roman" w:cs="Times New Roman"/>
                      <w:b w:val="0"/>
                      <w:bCs w:val="0"/>
                      <w:color w:val="auto"/>
                      <w:sz w:val="21"/>
                      <w:szCs w:val="21"/>
                      <w:highlight w:val="none"/>
                      <w:vertAlign w:val="baseline"/>
                      <w:lang w:val="en-US" w:eastAsia="zh-CN"/>
                    </w:rPr>
                    <w:t>/Q</w:t>
                  </w:r>
                  <w:r>
                    <w:rPr>
                      <w:rFonts w:hint="eastAsia" w:ascii="Times New Roman" w:hAnsi="Times New Roman" w:cs="Times New Roman"/>
                      <w:b w:val="0"/>
                      <w:bCs w:val="0"/>
                      <w:color w:val="auto"/>
                      <w:sz w:val="21"/>
                      <w:szCs w:val="21"/>
                      <w:highlight w:val="none"/>
                      <w:vertAlign w:val="subscript"/>
                      <w:lang w:val="en-US" w:eastAsia="zh-CN"/>
                    </w:rPr>
                    <w:t>n</w:t>
                  </w:r>
                </w:p>
              </w:tc>
            </w:tr>
            <w:tr w14:paraId="7846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850" w:type="dxa"/>
                  <w:noWrap w:val="0"/>
                  <w:vAlign w:val="center"/>
                </w:tcPr>
                <w:p w14:paraId="16D9AB4E">
                  <w:pPr>
                    <w:pStyle w:val="38"/>
                    <w:spacing w:line="240" w:lineRule="auto"/>
                    <w:jc w:val="center"/>
                    <w:rPr>
                      <w:rFonts w:hint="eastAsia" w:cs="Times New Roman"/>
                      <w:b w:val="0"/>
                      <w:bCs w:val="0"/>
                      <w:color w:val="auto"/>
                      <w:sz w:val="21"/>
                      <w:szCs w:val="21"/>
                      <w:highlight w:val="none"/>
                      <w:vertAlign w:val="baseline"/>
                      <w:lang w:val="en-US" w:eastAsia="zh-CN"/>
                    </w:rPr>
                  </w:pPr>
                  <w:r>
                    <w:rPr>
                      <w:rFonts w:hint="eastAsia" w:cs="Times New Roman"/>
                      <w:b w:val="0"/>
                      <w:color w:val="auto"/>
                      <w:sz w:val="21"/>
                      <w:szCs w:val="21"/>
                      <w:highlight w:val="none"/>
                      <w:lang w:val="en-US" w:eastAsia="zh-CN"/>
                    </w:rPr>
                    <w:t>抗磨压油</w:t>
                  </w:r>
                  <w:r>
                    <w:rPr>
                      <w:rFonts w:hint="eastAsia" w:ascii="Times New Roman" w:hAnsi="Times New Roman" w:eastAsia="宋体" w:cs="Times New Roman"/>
                      <w:b w:val="0"/>
                      <w:color w:val="auto"/>
                      <w:sz w:val="21"/>
                      <w:szCs w:val="21"/>
                      <w:highlight w:val="none"/>
                      <w:lang w:val="en-US" w:eastAsia="zh-CN"/>
                    </w:rPr>
                    <w:t>等</w:t>
                  </w:r>
                </w:p>
              </w:tc>
              <w:tc>
                <w:tcPr>
                  <w:tcW w:w="2387" w:type="dxa"/>
                  <w:noWrap w:val="0"/>
                  <w:vAlign w:val="center"/>
                </w:tcPr>
                <w:p w14:paraId="07E23506">
                  <w:pPr>
                    <w:pStyle w:val="38"/>
                    <w:spacing w:line="240" w:lineRule="auto"/>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油类物质</w:t>
                  </w:r>
                </w:p>
              </w:tc>
              <w:tc>
                <w:tcPr>
                  <w:tcW w:w="1009" w:type="dxa"/>
                  <w:noWrap w:val="0"/>
                  <w:vAlign w:val="center"/>
                </w:tcPr>
                <w:p w14:paraId="27DFB69C">
                  <w:pPr>
                    <w:pStyle w:val="38"/>
                    <w:spacing w:line="240" w:lineRule="auto"/>
                    <w:jc w:val="center"/>
                    <w:rPr>
                      <w:rFonts w:hint="eastAsia" w:cs="Times New Roman"/>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881" w:type="dxa"/>
                  <w:noWrap w:val="0"/>
                  <w:vAlign w:val="center"/>
                </w:tcPr>
                <w:p w14:paraId="40C7DE79">
                  <w:pPr>
                    <w:pStyle w:val="38"/>
                    <w:spacing w:line="240" w:lineRule="auto"/>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p>
              </w:tc>
              <w:tc>
                <w:tcPr>
                  <w:tcW w:w="1419" w:type="dxa"/>
                  <w:noWrap w:val="0"/>
                  <w:vAlign w:val="center"/>
                </w:tcPr>
                <w:p w14:paraId="3DF084A1">
                  <w:pPr>
                    <w:pStyle w:val="38"/>
                    <w:spacing w:line="240" w:lineRule="auto"/>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2500</w:t>
                  </w:r>
                </w:p>
              </w:tc>
              <w:tc>
                <w:tcPr>
                  <w:tcW w:w="1205" w:type="dxa"/>
                  <w:noWrap w:val="0"/>
                  <w:vAlign w:val="center"/>
                </w:tcPr>
                <w:p w14:paraId="01AC1ECA">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0.0004</w:t>
                  </w:r>
                </w:p>
              </w:tc>
            </w:tr>
            <w:tr w14:paraId="564F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50" w:type="dxa"/>
                  <w:noWrap w:val="0"/>
                  <w:vAlign w:val="center"/>
                </w:tcPr>
                <w:p w14:paraId="3AA34577">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危险废物（废矿物油、废油桶）</w:t>
                  </w:r>
                </w:p>
              </w:tc>
              <w:tc>
                <w:tcPr>
                  <w:tcW w:w="2387" w:type="dxa"/>
                  <w:noWrap w:val="0"/>
                  <w:vAlign w:val="center"/>
                </w:tcPr>
                <w:p w14:paraId="0383AF30">
                  <w:pPr>
                    <w:pStyle w:val="38"/>
                    <w:spacing w:line="240" w:lineRule="auto"/>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油类物质</w:t>
                  </w:r>
                </w:p>
              </w:tc>
              <w:tc>
                <w:tcPr>
                  <w:tcW w:w="1009" w:type="dxa"/>
                  <w:noWrap w:val="0"/>
                  <w:vAlign w:val="center"/>
                </w:tcPr>
                <w:p w14:paraId="12D1B257">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881" w:type="dxa"/>
                  <w:noWrap w:val="0"/>
                  <w:vAlign w:val="center"/>
                </w:tcPr>
                <w:p w14:paraId="2E405306">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0.4</w:t>
                  </w:r>
                </w:p>
              </w:tc>
              <w:tc>
                <w:tcPr>
                  <w:tcW w:w="1419" w:type="dxa"/>
                  <w:noWrap w:val="0"/>
                  <w:vAlign w:val="center"/>
                </w:tcPr>
                <w:p w14:paraId="3158CD3A">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cs="Times New Roman"/>
                      <w:b w:val="0"/>
                      <w:bCs w:val="0"/>
                      <w:color w:val="auto"/>
                      <w:sz w:val="21"/>
                      <w:szCs w:val="21"/>
                      <w:highlight w:val="none"/>
                      <w:vertAlign w:val="baseline"/>
                      <w:lang w:val="en-US" w:eastAsia="zh-CN"/>
                    </w:rPr>
                    <w:t>2500</w:t>
                  </w:r>
                </w:p>
              </w:tc>
              <w:tc>
                <w:tcPr>
                  <w:tcW w:w="1205" w:type="dxa"/>
                  <w:noWrap w:val="0"/>
                  <w:vAlign w:val="center"/>
                </w:tcPr>
                <w:p w14:paraId="7238E885">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0.00016</w:t>
                  </w:r>
                </w:p>
              </w:tc>
            </w:tr>
            <w:tr w14:paraId="4F1D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50" w:type="dxa"/>
                  <w:noWrap w:val="0"/>
                  <w:vAlign w:val="center"/>
                </w:tcPr>
                <w:p w14:paraId="7F2E6663">
                  <w:pPr>
                    <w:adjustRightInd w:val="0"/>
                    <w:snapToGrid w:val="0"/>
                    <w:spacing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危险废物（废活性炭）</w:t>
                  </w:r>
                </w:p>
              </w:tc>
              <w:tc>
                <w:tcPr>
                  <w:tcW w:w="2387" w:type="dxa"/>
                  <w:noWrap w:val="0"/>
                  <w:vAlign w:val="center"/>
                </w:tcPr>
                <w:p w14:paraId="62C2985B">
                  <w:pPr>
                    <w:pStyle w:val="38"/>
                    <w:spacing w:line="240" w:lineRule="auto"/>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健康危险急性毒性物质（类别2，类别3）</w:t>
                  </w:r>
                </w:p>
              </w:tc>
              <w:tc>
                <w:tcPr>
                  <w:tcW w:w="1009" w:type="dxa"/>
                  <w:noWrap w:val="0"/>
                  <w:vAlign w:val="center"/>
                </w:tcPr>
                <w:p w14:paraId="6D04A743">
                  <w:pPr>
                    <w:adjustRightInd w:val="0"/>
                    <w:snapToGrid w:val="0"/>
                    <w:spacing w:line="240" w:lineRule="auto"/>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c>
                <w:tcPr>
                  <w:tcW w:w="1881" w:type="dxa"/>
                  <w:noWrap w:val="0"/>
                  <w:vAlign w:val="center"/>
                </w:tcPr>
                <w:p w14:paraId="130B0E76">
                  <w:pPr>
                    <w:adjustRightInd w:val="0"/>
                    <w:snapToGrid w:val="0"/>
                    <w:spacing w:line="240" w:lineRule="auto"/>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2.3274</w:t>
                  </w:r>
                </w:p>
              </w:tc>
              <w:tc>
                <w:tcPr>
                  <w:tcW w:w="1419" w:type="dxa"/>
                  <w:noWrap w:val="0"/>
                  <w:vAlign w:val="center"/>
                </w:tcPr>
                <w:p w14:paraId="0065B9D2">
                  <w:pPr>
                    <w:adjustRightInd w:val="0"/>
                    <w:snapToGrid w:val="0"/>
                    <w:spacing w:line="240" w:lineRule="auto"/>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50</w:t>
                  </w:r>
                </w:p>
              </w:tc>
              <w:tc>
                <w:tcPr>
                  <w:tcW w:w="1205" w:type="dxa"/>
                  <w:noWrap w:val="0"/>
                  <w:vAlign w:val="center"/>
                </w:tcPr>
                <w:p w14:paraId="75D74A7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0.046548</w:t>
                  </w:r>
                </w:p>
              </w:tc>
            </w:tr>
            <w:tr w14:paraId="7C80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46" w:type="dxa"/>
                  <w:gridSpan w:val="5"/>
                  <w:noWrap w:val="0"/>
                  <w:vAlign w:val="center"/>
                </w:tcPr>
                <w:p w14:paraId="5BD5ED8A">
                  <w:pPr>
                    <w:pStyle w:val="38"/>
                    <w:spacing w:line="240" w:lineRule="auto"/>
                    <w:jc w:val="center"/>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合计</w:t>
                  </w:r>
                </w:p>
              </w:tc>
              <w:tc>
                <w:tcPr>
                  <w:tcW w:w="1205" w:type="dxa"/>
                  <w:noWrap w:val="0"/>
                  <w:vAlign w:val="center"/>
                </w:tcPr>
                <w:p w14:paraId="145C32C9">
                  <w:pPr>
                    <w:pStyle w:val="38"/>
                    <w:spacing w:line="24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0.047108</w:t>
                  </w:r>
                </w:p>
              </w:tc>
            </w:tr>
          </w:tbl>
          <w:p w14:paraId="3A42249A">
            <w:pPr>
              <w:pStyle w:val="45"/>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eastAsiaTheme="minorEastAsia"/>
                <w:color w:val="auto"/>
                <w:sz w:val="24"/>
                <w:szCs w:val="24"/>
                <w:vertAlign w:val="baseline"/>
                <w:lang w:eastAsia="zh-CN"/>
              </w:rPr>
            </w:pPr>
            <w:r>
              <w:rPr>
                <w:rFonts w:hint="default" w:ascii="Times New Roman" w:hAnsi="Times New Roman" w:cs="Times New Roman" w:eastAsiaTheme="minorEastAsia"/>
                <w:color w:val="auto"/>
                <w:sz w:val="24"/>
                <w:szCs w:val="24"/>
                <w:vertAlign w:val="baseline"/>
                <w:lang w:eastAsia="zh-CN"/>
              </w:rPr>
              <w:t>经计算，Q＜1，项目环境风险</w:t>
            </w:r>
            <w:r>
              <w:rPr>
                <w:rFonts w:hint="eastAsia" w:ascii="宋体" w:hAnsi="宋体" w:eastAsia="宋体" w:cs="宋体"/>
                <w:color w:val="auto"/>
                <w:sz w:val="24"/>
                <w:szCs w:val="24"/>
                <w:vertAlign w:val="baseline"/>
                <w:lang w:eastAsia="zh-CN"/>
              </w:rPr>
              <w:t>潜势为Ⅰ，进</w:t>
            </w:r>
            <w:r>
              <w:rPr>
                <w:rFonts w:hint="default" w:ascii="Times New Roman" w:hAnsi="Times New Roman" w:cs="Times New Roman" w:eastAsiaTheme="minorEastAsia"/>
                <w:color w:val="auto"/>
                <w:sz w:val="24"/>
                <w:szCs w:val="24"/>
                <w:vertAlign w:val="baseline"/>
                <w:lang w:eastAsia="zh-CN"/>
              </w:rPr>
              <w:t>行环境风险简单分析。根据《建设项目环境影响报告表编制技术指南（污染影响类）（试行）》可知，本项目有毒有害和易燃易爆危险物质存储量未超过临界量，无需开展环境风险专项评价，明确有毒有害和易燃易爆等危险物质和风险源分布情况及可能影响途径，并提出相应环境风险防范措施即可。</w:t>
            </w:r>
          </w:p>
          <w:p w14:paraId="70871D6B">
            <w:pPr>
              <w:pStyle w:val="45"/>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6.</w:t>
            </w:r>
            <w:r>
              <w:rPr>
                <w:rFonts w:hint="eastAsia" w:ascii="Times New Roman" w:hAnsi="Times New Roman" w:cs="Times New Roman" w:eastAsiaTheme="minorEastAsia"/>
                <w:color w:val="auto"/>
                <w:sz w:val="24"/>
                <w:szCs w:val="24"/>
                <w:vertAlign w:val="baseline"/>
                <w:lang w:val="en-US" w:eastAsia="zh-CN"/>
              </w:rPr>
              <w:t>2风险源分布情况及可能影响途径</w:t>
            </w:r>
          </w:p>
          <w:p w14:paraId="731194CD">
            <w:pPr>
              <w:pStyle w:val="45"/>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eastAsiaTheme="minorEastAsia"/>
                <w:color w:val="auto"/>
                <w:sz w:val="24"/>
                <w:szCs w:val="24"/>
                <w:vertAlign w:val="baseline"/>
                <w:lang w:eastAsia="zh-CN"/>
              </w:rPr>
            </w:pPr>
            <w:r>
              <w:rPr>
                <w:rFonts w:hint="eastAsia" w:ascii="Times New Roman" w:hAnsi="Times New Roman" w:cs="Times New Roman" w:eastAsiaTheme="minorEastAsia"/>
                <w:color w:val="auto"/>
                <w:sz w:val="24"/>
                <w:szCs w:val="24"/>
                <w:vertAlign w:val="baseline"/>
                <w:lang w:eastAsia="zh-CN"/>
              </w:rPr>
              <w:t>本项目生产系统涉及物料的储存、使用等过程，且发生在车间不同区域，其中环境风险识别情况如</w:t>
            </w:r>
            <w:r>
              <w:rPr>
                <w:rFonts w:hint="default" w:ascii="Times New Roman" w:hAnsi="Times New Roman" w:cs="Times New Roman" w:eastAsiaTheme="minorEastAsia"/>
                <w:color w:val="auto"/>
                <w:sz w:val="24"/>
                <w:szCs w:val="24"/>
                <w:vertAlign w:val="baseline"/>
                <w:lang w:eastAsia="zh-CN"/>
              </w:rPr>
              <w:t>下表</w:t>
            </w:r>
            <w:r>
              <w:rPr>
                <w:rFonts w:hint="default" w:ascii="Times New Roman" w:hAnsi="Times New Roman" w:cs="Times New Roman" w:eastAsiaTheme="minorEastAsia"/>
                <w:color w:val="auto"/>
                <w:sz w:val="24"/>
                <w:szCs w:val="24"/>
                <w:vertAlign w:val="baseline"/>
                <w:lang w:val="en-US" w:eastAsia="zh-CN"/>
              </w:rPr>
              <w:t>4.</w:t>
            </w:r>
            <w:r>
              <w:rPr>
                <w:rFonts w:hint="eastAsia" w:ascii="Times New Roman" w:hAnsi="Times New Roman" w:cs="Times New Roman"/>
                <w:color w:val="auto"/>
                <w:sz w:val="24"/>
                <w:szCs w:val="24"/>
                <w:vertAlign w:val="baseline"/>
                <w:lang w:val="en-US" w:eastAsia="zh-CN"/>
              </w:rPr>
              <w:t>23</w:t>
            </w:r>
            <w:r>
              <w:rPr>
                <w:rFonts w:hint="default" w:ascii="Times New Roman" w:hAnsi="Times New Roman" w:cs="Times New Roman" w:eastAsiaTheme="minorEastAsia"/>
                <w:color w:val="auto"/>
                <w:sz w:val="24"/>
                <w:szCs w:val="24"/>
                <w:vertAlign w:val="baseline"/>
                <w:lang w:eastAsia="zh-CN"/>
              </w:rPr>
              <w:t>所示。</w:t>
            </w:r>
          </w:p>
          <w:p w14:paraId="3CFB600A">
            <w:pPr>
              <w:pStyle w:val="4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bCs/>
                <w:color w:val="auto"/>
                <w:sz w:val="21"/>
                <w:szCs w:val="21"/>
                <w:vertAlign w:val="baseline"/>
                <w:lang w:val="en-US" w:eastAsia="zh-CN"/>
              </w:rPr>
            </w:pPr>
            <w:r>
              <w:rPr>
                <w:rFonts w:hint="eastAsia" w:ascii="Times New Roman" w:hAnsi="Times New Roman" w:cs="Times New Roman" w:eastAsiaTheme="minorEastAsia"/>
                <w:b/>
                <w:bCs/>
                <w:color w:val="auto"/>
                <w:sz w:val="21"/>
                <w:szCs w:val="21"/>
                <w:vertAlign w:val="baseline"/>
                <w:lang w:eastAsia="zh-CN"/>
              </w:rPr>
              <w:t>表</w:t>
            </w:r>
            <w:r>
              <w:rPr>
                <w:rFonts w:hint="eastAsia" w:ascii="Times New Roman" w:hAnsi="Times New Roman" w:cs="Times New Roman" w:eastAsiaTheme="minorEastAsia"/>
                <w:b/>
                <w:bCs/>
                <w:color w:val="auto"/>
                <w:sz w:val="21"/>
                <w:szCs w:val="21"/>
                <w:vertAlign w:val="baseline"/>
                <w:lang w:val="en-US" w:eastAsia="zh-CN"/>
              </w:rPr>
              <w:t>4.</w:t>
            </w:r>
            <w:r>
              <w:rPr>
                <w:rFonts w:hint="eastAsia" w:ascii="Times New Roman" w:hAnsi="Times New Roman" w:cs="Times New Roman"/>
                <w:b/>
                <w:bCs/>
                <w:color w:val="auto"/>
                <w:sz w:val="21"/>
                <w:szCs w:val="21"/>
                <w:vertAlign w:val="baseline"/>
                <w:lang w:val="en-US" w:eastAsia="zh-CN"/>
              </w:rPr>
              <w:t>23</w:t>
            </w:r>
            <w:r>
              <w:rPr>
                <w:rFonts w:hint="eastAsia" w:ascii="Times New Roman" w:hAnsi="Times New Roman" w:cs="Times New Roman" w:eastAsiaTheme="minorEastAsia"/>
                <w:b/>
                <w:bCs/>
                <w:color w:val="auto"/>
                <w:sz w:val="21"/>
                <w:szCs w:val="21"/>
                <w:vertAlign w:val="baseline"/>
                <w:lang w:val="en-US" w:eastAsia="zh-CN"/>
              </w:rPr>
              <w:t xml:space="preserve">  风险源分布情况及可能影响途径一览表</w:t>
            </w:r>
          </w:p>
          <w:tbl>
            <w:tblPr>
              <w:tblStyle w:val="31"/>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957"/>
              <w:gridCol w:w="1789"/>
              <w:gridCol w:w="2070"/>
              <w:gridCol w:w="2478"/>
              <w:gridCol w:w="1674"/>
            </w:tblGrid>
            <w:tr w14:paraId="1C500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tcBorders>
                    <w:top w:val="single" w:color="auto" w:sz="4" w:space="0"/>
                    <w:left w:val="single" w:color="auto" w:sz="4" w:space="0"/>
                    <w:bottom w:val="single" w:color="auto" w:sz="4" w:space="0"/>
                    <w:right w:val="single" w:color="auto" w:sz="4" w:space="0"/>
                  </w:tcBorders>
                  <w:noWrap w:val="0"/>
                  <w:vAlign w:val="center"/>
                </w:tcPr>
                <w:p w14:paraId="2B97A76F">
                  <w:pPr>
                    <w:jc w:val="center"/>
                    <w:rPr>
                      <w:color w:val="auto"/>
                      <w:sz w:val="21"/>
                      <w:szCs w:val="21"/>
                    </w:rPr>
                  </w:pPr>
                  <w:r>
                    <w:rPr>
                      <w:color w:val="auto"/>
                      <w:sz w:val="21"/>
                      <w:szCs w:val="21"/>
                    </w:rPr>
                    <w:t>系统名称</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12BCB155">
                  <w:pPr>
                    <w:jc w:val="center"/>
                    <w:rPr>
                      <w:color w:val="auto"/>
                      <w:sz w:val="21"/>
                      <w:szCs w:val="21"/>
                    </w:rPr>
                  </w:pPr>
                  <w:r>
                    <w:rPr>
                      <w:color w:val="auto"/>
                      <w:sz w:val="21"/>
                      <w:szCs w:val="21"/>
                    </w:rPr>
                    <w:t>危险单元</w:t>
                  </w:r>
                </w:p>
              </w:tc>
              <w:tc>
                <w:tcPr>
                  <w:tcW w:w="1789" w:type="dxa"/>
                  <w:tcBorders>
                    <w:top w:val="single" w:color="auto" w:sz="4" w:space="0"/>
                    <w:left w:val="single" w:color="auto" w:sz="4" w:space="0"/>
                    <w:bottom w:val="single" w:color="auto" w:sz="4" w:space="0"/>
                    <w:right w:val="single" w:color="auto" w:sz="4" w:space="0"/>
                  </w:tcBorders>
                  <w:noWrap w:val="0"/>
                  <w:vAlign w:val="center"/>
                </w:tcPr>
                <w:p w14:paraId="6B880AF8">
                  <w:pPr>
                    <w:jc w:val="center"/>
                    <w:rPr>
                      <w:color w:val="auto"/>
                      <w:sz w:val="21"/>
                      <w:szCs w:val="21"/>
                    </w:rPr>
                  </w:pPr>
                  <w:r>
                    <w:rPr>
                      <w:color w:val="auto"/>
                      <w:sz w:val="21"/>
                      <w:szCs w:val="21"/>
                    </w:rPr>
                    <w:t>主要危险物质</w:t>
                  </w:r>
                </w:p>
              </w:tc>
              <w:tc>
                <w:tcPr>
                  <w:tcW w:w="2070" w:type="dxa"/>
                  <w:tcBorders>
                    <w:top w:val="single" w:color="auto" w:sz="4" w:space="0"/>
                    <w:left w:val="single" w:color="auto" w:sz="4" w:space="0"/>
                    <w:bottom w:val="single" w:color="auto" w:sz="4" w:space="0"/>
                    <w:right w:val="single" w:color="auto" w:sz="4" w:space="0"/>
                  </w:tcBorders>
                  <w:noWrap w:val="0"/>
                  <w:vAlign w:val="center"/>
                </w:tcPr>
                <w:p w14:paraId="4DE27299">
                  <w:pPr>
                    <w:jc w:val="center"/>
                    <w:rPr>
                      <w:color w:val="auto"/>
                      <w:sz w:val="21"/>
                      <w:szCs w:val="21"/>
                    </w:rPr>
                  </w:pPr>
                  <w:r>
                    <w:rPr>
                      <w:color w:val="auto"/>
                      <w:sz w:val="21"/>
                      <w:szCs w:val="21"/>
                    </w:rPr>
                    <w:t>环境风险类型</w:t>
                  </w:r>
                </w:p>
              </w:tc>
              <w:tc>
                <w:tcPr>
                  <w:tcW w:w="2478" w:type="dxa"/>
                  <w:tcBorders>
                    <w:top w:val="single" w:color="auto" w:sz="4" w:space="0"/>
                    <w:left w:val="single" w:color="auto" w:sz="4" w:space="0"/>
                    <w:bottom w:val="single" w:color="auto" w:sz="4" w:space="0"/>
                    <w:right w:val="single" w:color="auto" w:sz="4" w:space="0"/>
                  </w:tcBorders>
                  <w:noWrap w:val="0"/>
                  <w:vAlign w:val="center"/>
                </w:tcPr>
                <w:p w14:paraId="35C70A0A">
                  <w:pPr>
                    <w:jc w:val="center"/>
                    <w:rPr>
                      <w:color w:val="auto"/>
                      <w:sz w:val="21"/>
                      <w:szCs w:val="21"/>
                    </w:rPr>
                  </w:pPr>
                  <w:r>
                    <w:rPr>
                      <w:color w:val="auto"/>
                      <w:sz w:val="21"/>
                      <w:szCs w:val="21"/>
                    </w:rPr>
                    <w:t>环境影响途径</w:t>
                  </w:r>
                </w:p>
              </w:tc>
              <w:tc>
                <w:tcPr>
                  <w:tcW w:w="1674" w:type="dxa"/>
                  <w:tcBorders>
                    <w:top w:val="single" w:color="auto" w:sz="4" w:space="0"/>
                    <w:left w:val="single" w:color="auto" w:sz="4" w:space="0"/>
                    <w:bottom w:val="single" w:color="auto" w:sz="4" w:space="0"/>
                    <w:right w:val="single" w:color="auto" w:sz="4" w:space="0"/>
                  </w:tcBorders>
                  <w:noWrap w:val="0"/>
                  <w:vAlign w:val="center"/>
                </w:tcPr>
                <w:p w14:paraId="32306817">
                  <w:pPr>
                    <w:jc w:val="center"/>
                    <w:rPr>
                      <w:color w:val="auto"/>
                      <w:sz w:val="21"/>
                      <w:szCs w:val="21"/>
                    </w:rPr>
                  </w:pPr>
                  <w:r>
                    <w:rPr>
                      <w:color w:val="auto"/>
                      <w:sz w:val="21"/>
                      <w:szCs w:val="21"/>
                    </w:rPr>
                    <w:t>可能受影响的环境敏感目标</w:t>
                  </w:r>
                </w:p>
              </w:tc>
            </w:tr>
            <w:tr w14:paraId="35BC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783" w:type="dxa"/>
                  <w:tcBorders>
                    <w:top w:val="single" w:color="auto" w:sz="4" w:space="0"/>
                    <w:left w:val="single" w:color="auto" w:sz="4" w:space="0"/>
                    <w:right w:val="single" w:color="auto" w:sz="4" w:space="0"/>
                  </w:tcBorders>
                  <w:noWrap w:val="0"/>
                  <w:vAlign w:val="center"/>
                </w:tcPr>
                <w:p w14:paraId="619CF6B7">
                  <w:pPr>
                    <w:jc w:val="center"/>
                    <w:rPr>
                      <w:color w:val="auto"/>
                      <w:sz w:val="21"/>
                      <w:szCs w:val="21"/>
                      <w:highlight w:val="none"/>
                    </w:rPr>
                  </w:pPr>
                  <w:r>
                    <w:rPr>
                      <w:color w:val="auto"/>
                      <w:sz w:val="21"/>
                      <w:szCs w:val="21"/>
                      <w:highlight w:val="none"/>
                    </w:rPr>
                    <w:t>储运设施</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4996F810">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原材料区</w:t>
                  </w:r>
                </w:p>
              </w:tc>
              <w:tc>
                <w:tcPr>
                  <w:tcW w:w="1789" w:type="dxa"/>
                  <w:tcBorders>
                    <w:top w:val="single" w:color="auto" w:sz="4" w:space="0"/>
                    <w:left w:val="single" w:color="auto" w:sz="4" w:space="0"/>
                    <w:bottom w:val="single" w:color="auto" w:sz="4" w:space="0"/>
                    <w:right w:val="single" w:color="auto" w:sz="4" w:space="0"/>
                  </w:tcBorders>
                  <w:noWrap w:val="0"/>
                  <w:vAlign w:val="center"/>
                </w:tcPr>
                <w:p w14:paraId="08EC56B8">
                  <w:pPr>
                    <w:jc w:val="center"/>
                    <w:rPr>
                      <w:rFonts w:hint="eastAsia"/>
                      <w:color w:val="auto"/>
                      <w:sz w:val="21"/>
                      <w:szCs w:val="21"/>
                      <w:highlight w:val="none"/>
                    </w:rPr>
                  </w:pPr>
                  <w:r>
                    <w:rPr>
                      <w:rFonts w:hint="eastAsia" w:ascii="Times New Roman" w:hAnsi="Times New Roman" w:cs="Times New Roman"/>
                      <w:color w:val="auto"/>
                      <w:sz w:val="21"/>
                      <w:szCs w:val="21"/>
                      <w:highlight w:val="none"/>
                      <w:lang w:val="en-US" w:eastAsia="zh-CN"/>
                    </w:rPr>
                    <w:t>抗磨压油</w:t>
                  </w:r>
                </w:p>
              </w:tc>
              <w:tc>
                <w:tcPr>
                  <w:tcW w:w="2070" w:type="dxa"/>
                  <w:tcBorders>
                    <w:top w:val="single" w:color="auto" w:sz="4" w:space="0"/>
                    <w:left w:val="single" w:color="auto" w:sz="4" w:space="0"/>
                    <w:bottom w:val="single" w:color="auto" w:sz="4" w:space="0"/>
                    <w:right w:val="single" w:color="auto" w:sz="4" w:space="0"/>
                  </w:tcBorders>
                  <w:noWrap w:val="0"/>
                  <w:vAlign w:val="center"/>
                </w:tcPr>
                <w:p w14:paraId="248B74BA">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桶破裂损坏导致泄漏，及遇火/高温燃烧</w:t>
                  </w:r>
                </w:p>
              </w:tc>
              <w:tc>
                <w:tcPr>
                  <w:tcW w:w="2478" w:type="dxa"/>
                  <w:tcBorders>
                    <w:top w:val="single" w:color="auto" w:sz="4" w:space="0"/>
                    <w:left w:val="single" w:color="auto" w:sz="4" w:space="0"/>
                    <w:bottom w:val="single" w:color="auto" w:sz="4" w:space="0"/>
                    <w:right w:val="single" w:color="auto" w:sz="4" w:space="0"/>
                  </w:tcBorders>
                  <w:noWrap w:val="0"/>
                  <w:vAlign w:val="center"/>
                </w:tcPr>
                <w:p w14:paraId="7CC267A9">
                  <w:pPr>
                    <w:jc w:val="center"/>
                    <w:rPr>
                      <w:color w:val="auto"/>
                      <w:sz w:val="21"/>
                      <w:szCs w:val="21"/>
                    </w:rPr>
                  </w:pPr>
                  <w:r>
                    <w:rPr>
                      <w:color w:val="auto"/>
                      <w:sz w:val="21"/>
                      <w:szCs w:val="21"/>
                    </w:rPr>
                    <w:t>泄漏可能造成对土壤及地下水环境产生不利影响。燃烧产生有毒有害气体扩散到大气中，对环境空气产生不利影响；次生消防事故废水</w:t>
                  </w:r>
                </w:p>
              </w:tc>
              <w:tc>
                <w:tcPr>
                  <w:tcW w:w="1674" w:type="dxa"/>
                  <w:tcBorders>
                    <w:top w:val="single" w:color="auto" w:sz="4" w:space="0"/>
                    <w:left w:val="single" w:color="auto" w:sz="4" w:space="0"/>
                    <w:bottom w:val="single" w:color="auto" w:sz="4" w:space="0"/>
                    <w:right w:val="single" w:color="auto" w:sz="4" w:space="0"/>
                  </w:tcBorders>
                  <w:noWrap w:val="0"/>
                  <w:vAlign w:val="center"/>
                </w:tcPr>
                <w:p w14:paraId="4220180E">
                  <w:pPr>
                    <w:jc w:val="center"/>
                    <w:rPr>
                      <w:color w:val="auto"/>
                      <w:sz w:val="21"/>
                      <w:szCs w:val="21"/>
                    </w:rPr>
                  </w:pPr>
                  <w:r>
                    <w:rPr>
                      <w:color w:val="auto"/>
                      <w:sz w:val="21"/>
                      <w:szCs w:val="21"/>
                    </w:rPr>
                    <w:t>区域地表水</w:t>
                  </w:r>
                  <w:r>
                    <w:rPr>
                      <w:rFonts w:hint="eastAsia"/>
                      <w:color w:val="auto"/>
                      <w:sz w:val="21"/>
                      <w:szCs w:val="21"/>
                    </w:rPr>
                    <w:t>、</w:t>
                  </w:r>
                  <w:r>
                    <w:rPr>
                      <w:rFonts w:hint="eastAsia"/>
                      <w:color w:val="auto"/>
                      <w:sz w:val="21"/>
                      <w:szCs w:val="21"/>
                      <w:lang w:val="en-US" w:eastAsia="zh-CN"/>
                    </w:rPr>
                    <w:t>大气环境、</w:t>
                  </w:r>
                  <w:r>
                    <w:rPr>
                      <w:color w:val="auto"/>
                      <w:sz w:val="21"/>
                      <w:szCs w:val="21"/>
                    </w:rPr>
                    <w:t>项目所在区域地下水、土壤</w:t>
                  </w:r>
                </w:p>
              </w:tc>
            </w:tr>
            <w:tr w14:paraId="14D5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3" w:type="dxa"/>
                  <w:tcBorders>
                    <w:top w:val="single" w:color="auto" w:sz="4" w:space="0"/>
                    <w:left w:val="single" w:color="auto" w:sz="4" w:space="0"/>
                    <w:bottom w:val="single" w:color="auto" w:sz="4" w:space="0"/>
                    <w:right w:val="single" w:color="auto" w:sz="4" w:space="0"/>
                  </w:tcBorders>
                  <w:noWrap w:val="0"/>
                  <w:vAlign w:val="center"/>
                </w:tcPr>
                <w:p w14:paraId="3DDB4FB1">
                  <w:pPr>
                    <w:jc w:val="center"/>
                    <w:rPr>
                      <w:color w:val="auto"/>
                      <w:sz w:val="21"/>
                      <w:szCs w:val="21"/>
                    </w:rPr>
                  </w:pPr>
                  <w:r>
                    <w:rPr>
                      <w:color w:val="auto"/>
                      <w:sz w:val="21"/>
                      <w:szCs w:val="21"/>
                    </w:rPr>
                    <w:t>环保设施</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49E32221">
                  <w:pPr>
                    <w:jc w:val="center"/>
                    <w:rPr>
                      <w:rFonts w:hint="default" w:eastAsiaTheme="minorEastAsia"/>
                      <w:color w:val="auto"/>
                      <w:sz w:val="21"/>
                      <w:szCs w:val="21"/>
                      <w:lang w:val="en-US" w:eastAsia="zh-CN"/>
                    </w:rPr>
                  </w:pPr>
                  <w:r>
                    <w:rPr>
                      <w:rFonts w:hint="eastAsia"/>
                      <w:color w:val="auto"/>
                      <w:sz w:val="21"/>
                      <w:szCs w:val="21"/>
                      <w:lang w:val="en-US" w:eastAsia="zh-CN"/>
                    </w:rPr>
                    <w:t>危险废物暂存间</w:t>
                  </w:r>
                </w:p>
              </w:tc>
              <w:tc>
                <w:tcPr>
                  <w:tcW w:w="1789" w:type="dxa"/>
                  <w:tcBorders>
                    <w:top w:val="single" w:color="auto" w:sz="4" w:space="0"/>
                    <w:left w:val="single" w:color="auto" w:sz="4" w:space="0"/>
                    <w:bottom w:val="single" w:color="auto" w:sz="4" w:space="0"/>
                    <w:right w:val="single" w:color="auto" w:sz="4" w:space="0"/>
                  </w:tcBorders>
                  <w:noWrap w:val="0"/>
                  <w:vAlign w:val="center"/>
                </w:tcPr>
                <w:p w14:paraId="16891BBC">
                  <w:pPr>
                    <w:jc w:val="center"/>
                    <w:rPr>
                      <w:color w:val="auto"/>
                      <w:sz w:val="21"/>
                      <w:szCs w:val="21"/>
                    </w:rPr>
                  </w:pPr>
                  <w:r>
                    <w:rPr>
                      <w:color w:val="auto"/>
                      <w:sz w:val="21"/>
                      <w:szCs w:val="21"/>
                    </w:rPr>
                    <w:t>各类液态及存在淋滤的危险固废</w:t>
                  </w:r>
                </w:p>
              </w:tc>
              <w:tc>
                <w:tcPr>
                  <w:tcW w:w="2070" w:type="dxa"/>
                  <w:tcBorders>
                    <w:top w:val="single" w:color="auto" w:sz="4" w:space="0"/>
                    <w:left w:val="single" w:color="auto" w:sz="4" w:space="0"/>
                    <w:bottom w:val="single" w:color="auto" w:sz="4" w:space="0"/>
                    <w:right w:val="single" w:color="auto" w:sz="4" w:space="0"/>
                  </w:tcBorders>
                  <w:noWrap w:val="0"/>
                  <w:vAlign w:val="center"/>
                </w:tcPr>
                <w:p w14:paraId="49AD1B50">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盛装容器破损导致泄漏，加之危废暂存间防渗层破损</w:t>
                  </w:r>
                </w:p>
              </w:tc>
              <w:tc>
                <w:tcPr>
                  <w:tcW w:w="2478" w:type="dxa"/>
                  <w:tcBorders>
                    <w:top w:val="single" w:color="auto" w:sz="4" w:space="0"/>
                    <w:left w:val="single" w:color="auto" w:sz="4" w:space="0"/>
                    <w:bottom w:val="single" w:color="auto" w:sz="4" w:space="0"/>
                    <w:right w:val="single" w:color="auto" w:sz="4" w:space="0"/>
                  </w:tcBorders>
                  <w:noWrap w:val="0"/>
                  <w:vAlign w:val="center"/>
                </w:tcPr>
                <w:p w14:paraId="1FAAF255">
                  <w:pPr>
                    <w:jc w:val="center"/>
                    <w:rPr>
                      <w:color w:val="auto"/>
                      <w:sz w:val="21"/>
                      <w:szCs w:val="21"/>
                    </w:rPr>
                  </w:pPr>
                  <w:r>
                    <w:rPr>
                      <w:color w:val="auto"/>
                      <w:sz w:val="21"/>
                      <w:szCs w:val="21"/>
                    </w:rPr>
                    <w:t>下渗土壤和地下水产生不利影响</w:t>
                  </w:r>
                </w:p>
              </w:tc>
              <w:tc>
                <w:tcPr>
                  <w:tcW w:w="1674" w:type="dxa"/>
                  <w:tcBorders>
                    <w:top w:val="single" w:color="auto" w:sz="4" w:space="0"/>
                    <w:left w:val="single" w:color="auto" w:sz="4" w:space="0"/>
                    <w:bottom w:val="single" w:color="auto" w:sz="4" w:space="0"/>
                    <w:right w:val="single" w:color="auto" w:sz="4" w:space="0"/>
                  </w:tcBorders>
                  <w:noWrap w:val="0"/>
                  <w:vAlign w:val="center"/>
                </w:tcPr>
                <w:p w14:paraId="2B44FC81">
                  <w:pPr>
                    <w:jc w:val="center"/>
                    <w:rPr>
                      <w:color w:val="auto"/>
                      <w:sz w:val="21"/>
                      <w:szCs w:val="21"/>
                    </w:rPr>
                  </w:pPr>
                  <w:r>
                    <w:rPr>
                      <w:color w:val="auto"/>
                      <w:sz w:val="21"/>
                      <w:szCs w:val="21"/>
                    </w:rPr>
                    <w:t>土壤及地下水</w:t>
                  </w:r>
                </w:p>
              </w:tc>
            </w:tr>
          </w:tbl>
          <w:p w14:paraId="5BE5456B">
            <w:pPr>
              <w:pStyle w:val="45"/>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cs="Times New Roman" w:eastAsiaTheme="minorEastAsia"/>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6.3环境风险防范措施</w:t>
            </w:r>
          </w:p>
          <w:p w14:paraId="552649D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人、物、环境和管理构成了现代工业企业生产中最基本的生产组织和生产单位，同时又是构成企业生产过程中诱发各种风险事故的危险因素。</w:t>
            </w:r>
          </w:p>
          <w:p w14:paraId="2F3F0B17">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风险事故发生规律表明：物的不安全状态+管理缺陷→风险事故隐患+人的不安全行为→风险事故。</w:t>
            </w:r>
          </w:p>
          <w:p w14:paraId="53DBD72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预防为主</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是安全生产的原则，加强预防工作，从管理着手，把风险事故的发生和影响降到最低程度，针对本项目的生产特点，特别要注意以下几点：</w:t>
            </w:r>
          </w:p>
          <w:p w14:paraId="3A29A4C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（1）严格按照工业安全生产规定，设置安全监控点，按中华全国总工会职业危害安全监控法执行</w:t>
            </w:r>
            <w:r>
              <w:rPr>
                <w:rFonts w:hint="eastAsia" w:ascii="Times New Roman" w:hAnsi="Times New Roman" w:cs="Times New Roman"/>
                <w:color w:val="auto"/>
                <w:sz w:val="24"/>
                <w:szCs w:val="24"/>
                <w:lang w:val="en-US" w:eastAsia="zh-CN"/>
              </w:rPr>
              <w:t>。</w:t>
            </w:r>
          </w:p>
          <w:p w14:paraId="2D76712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（2）加强抗磨压油库管理</w:t>
            </w:r>
            <w:r>
              <w:rPr>
                <w:rFonts w:hint="eastAsia" w:ascii="Times New Roman" w:hAnsi="Times New Roman" w:cs="Times New Roman"/>
                <w:color w:val="auto"/>
                <w:sz w:val="24"/>
                <w:szCs w:val="24"/>
                <w:lang w:val="en-US" w:eastAsia="zh-CN"/>
              </w:rPr>
              <w:t>。</w:t>
            </w:r>
          </w:p>
          <w:p w14:paraId="73D18C4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（3）加强职工安全环保教育，增强操作工人的责任心，防止和减少因人为因素造成的事故，同时也要加强防火安全教育</w:t>
            </w:r>
            <w:r>
              <w:rPr>
                <w:rFonts w:hint="eastAsia" w:ascii="Times New Roman" w:hAnsi="Times New Roman" w:cs="Times New Roman"/>
                <w:color w:val="auto"/>
                <w:sz w:val="24"/>
                <w:szCs w:val="24"/>
                <w:lang w:val="en-US" w:eastAsia="zh-CN"/>
              </w:rPr>
              <w:t>。</w:t>
            </w:r>
          </w:p>
          <w:p w14:paraId="0779517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（4）应配备足够的消防设施，落实安全管理责任。</w:t>
            </w:r>
          </w:p>
          <w:p w14:paraId="1367DEA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实践证明，许多环境污染事故平时只要提高警惕，加强管理和防范是可以避免的。因此项目首要的目的是加强事故防范措施的宣传教育，防止风险事故的发生。此外应根据环评及实际生产情况对安全事故隐患进行调查等级，对企业的安全措施常抓不懈，将本项目风险事故的发生概率控制在最小范围内。</w:t>
            </w:r>
          </w:p>
          <w:p w14:paraId="370C2DDF">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6.3.1选址、总图布置和建筑风险防范措施</w:t>
            </w:r>
          </w:p>
          <w:p w14:paraId="05C4D8EC">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（1）选址</w:t>
            </w:r>
          </w:p>
          <w:p w14:paraId="2A5285E4">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本项目选址位于</w:t>
            </w:r>
            <w:r>
              <w:rPr>
                <w:rFonts w:hint="eastAsia" w:ascii="Times New Roman" w:hAnsi="Times New Roman" w:cs="Times New Roman"/>
                <w:color w:val="auto"/>
                <w:sz w:val="24"/>
                <w:lang w:val="en-US" w:eastAsia="zh-CN"/>
              </w:rPr>
              <w:t>安徽省宿州市泗县泗水街道唐河路与赤山路交汇处东150米绿朗光电智慧产业园6栋2号</w:t>
            </w:r>
            <w:r>
              <w:rPr>
                <w:rFonts w:hint="default" w:ascii="Times New Roman" w:hAnsi="Times New Roman" w:cs="Times New Roman"/>
                <w:b w:val="0"/>
                <w:bCs w:val="0"/>
                <w:color w:val="auto"/>
                <w:sz w:val="24"/>
                <w:szCs w:val="24"/>
                <w:lang w:val="en-US" w:eastAsia="zh-CN"/>
              </w:rPr>
              <w:t>，项目发生各类事故后，及时采取有效应急减缓措施的情况下，基本不会对周围敏感目标的人群健康造成明显危害。因此，从环境风险的角度，项目的选址合理。</w:t>
            </w:r>
          </w:p>
          <w:p w14:paraId="30E4B327">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（2）总图布置和建筑安全防范措施</w:t>
            </w:r>
          </w:p>
          <w:p w14:paraId="22701742">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项目总平面布置的各车间、仓库等建构筑防火间距符合《建筑设计防火规范》（GB50016）、《工业企业总平面设计规范》（GB50187）等相关规范标准的要求。厂区道路实行人、货流分开（划分人行区域和车辆行驶区域、不重叠），划出专用车辆行驶路线、限速标志等并严格执行。在厂区总平面布置中配套建设应急救援设施、救援通道、应急疏散避难所等防护设施。按《安全标志》规定在装置区设置有关的安全标志。</w:t>
            </w:r>
          </w:p>
          <w:p w14:paraId="3C5C22F1">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6.3.2危险化学品贮运安全防范措施</w:t>
            </w:r>
          </w:p>
          <w:p w14:paraId="5FCB9806">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项目严格按照《危险化学品安全管理条例》及《常用化学危险品贮存通则》等的要求进行危险品储运。具体措施主要包括：</w:t>
            </w:r>
          </w:p>
          <w:p w14:paraId="2814B1D1">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（1）危险品贮存场所设置醒目的警示标志，储存区域严禁吸烟和使用明火。</w:t>
            </w:r>
          </w:p>
          <w:p w14:paraId="64816548">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2）配备专业技术人员负责管理。对化学品定期进行安全检查，确保危险品储存处于安全状态，发现品质变化、包装破损、渗漏等现象，应及时处理；对重复使用的危险化学品包装物、容器，在重复使用前应进行检查；对储罐加强管理，并定期按照常压储罐检验规程规定的周期进行检验。</w:t>
            </w:r>
          </w:p>
          <w:p w14:paraId="50A25C26">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（3）根据储存物质的理化特性、储存要求及应急措施进行分类、分区隔离储存，并分别设置标志，隔离距离应符合《通则》及储罐规范要求。严禁将不相容物质混合存放。</w:t>
            </w:r>
          </w:p>
          <w:p w14:paraId="72357725">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（4）危险品贮存场所应根据储存物料对储存环境的要求设置通风设施或其他控制环境温度等措施，并进行严格控制，确保贮存场所环境负荷危险品安全储存的要求。</w:t>
            </w:r>
          </w:p>
          <w:p w14:paraId="78EB5AD1">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5）危险化学品的运输应按照《道路危险货物运输管理规定》等相关的运输标准进行。项目危险化学品的运输均委托具有危险化学品运输资质的公司，采用负荷规定的车辆装运，车辆应配备相应品种的消防器材，装运前需报有关部门批准。转运可燃物的车辆必须配备组或装置和防静电装置，禁止使用易产生火花机械设备和工具装卸，公路运输时要按规定的路线行驶，禁止在居民区和人口稠密区停留。</w:t>
            </w:r>
          </w:p>
          <w:p w14:paraId="7787A85A">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6.3.3工艺技术、自动控制设计安全防范措施</w:t>
            </w:r>
          </w:p>
          <w:p w14:paraId="6F3DE2DF">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1）项目选购生产设备及储存设备应具有完备的检验手续，并符合国家、行业及地方线性的技术标准要求；各类设备均由具备相应资质的单位承担设计、制造，严格按照现行标准及规范执行。对可能超压的设备设置安全阀、爆破片等安全措施。</w:t>
            </w:r>
          </w:p>
          <w:p w14:paraId="25F16761">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（2）项目配置控制系统对</w:t>
            </w:r>
            <w:r>
              <w:rPr>
                <w:rFonts w:hint="eastAsia" w:ascii="Times New Roman" w:hAnsi="Times New Roman" w:cs="Times New Roman"/>
                <w:b w:val="0"/>
                <w:bCs w:val="0"/>
                <w:color w:val="auto"/>
                <w:sz w:val="24"/>
                <w:szCs w:val="24"/>
                <w:lang w:val="en-US" w:eastAsia="zh-CN"/>
              </w:rPr>
              <w:t>生产</w:t>
            </w:r>
            <w:r>
              <w:rPr>
                <w:rFonts w:hint="default" w:ascii="Times New Roman" w:hAnsi="Times New Roman" w:cs="Times New Roman"/>
                <w:b w:val="0"/>
                <w:bCs w:val="0"/>
                <w:color w:val="auto"/>
                <w:sz w:val="24"/>
                <w:szCs w:val="24"/>
                <w:lang w:val="en-US" w:eastAsia="zh-CN"/>
              </w:rPr>
              <w:t>反应温度、流量等操作参数进行监控，提高生产水平和安全可靠性。各生产装置设置形影的监测和控制仪表，一旦出现异常，可迅速报警，防止因温度等参数异常引发泄漏、爆炸、火灾事故。</w:t>
            </w:r>
          </w:p>
          <w:p w14:paraId="2250F486">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3）为减少由于设备带点、雷击、静电积聚等引起燃爆事故，电气和工艺设备、管道均按《爆炸和火灾危险环境电力装置设计规范》（GB50058）、《建筑物防雷设计规范》（GB50057）等相关的法规、标准要求设置接地系统或接地连线，以消除静电，在主要建构筑顶部等区域按规定设施防雷设施，以防雷击。</w:t>
            </w:r>
          </w:p>
          <w:p w14:paraId="05840A34">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（4）定期对生产装置、管道进行安全检查，检查内容包括各类生产、储存设备及各类仪表和附件的完好状态，排出安全隐患，确保安全运行。检修作业应符合安全检修作业规程。</w:t>
            </w:r>
          </w:p>
          <w:p w14:paraId="6AAD27CB">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（5）</w:t>
            </w:r>
            <w:r>
              <w:rPr>
                <w:rFonts w:hint="eastAsia" w:ascii="Times New Roman" w:hAnsi="Times New Roman" w:cs="Times New Roman"/>
                <w:b w:val="0"/>
                <w:bCs w:val="0"/>
                <w:color w:val="auto"/>
                <w:sz w:val="24"/>
                <w:szCs w:val="24"/>
                <w:lang w:val="en-US" w:eastAsia="zh-CN"/>
              </w:rPr>
              <w:t>危险废物暂存房</w:t>
            </w:r>
            <w:r>
              <w:rPr>
                <w:rFonts w:hint="default" w:ascii="Times New Roman" w:hAnsi="Times New Roman" w:cs="Times New Roman"/>
                <w:b w:val="0"/>
                <w:bCs w:val="0"/>
                <w:color w:val="auto"/>
                <w:sz w:val="24"/>
                <w:szCs w:val="24"/>
                <w:lang w:val="en-US" w:eastAsia="zh-CN"/>
              </w:rPr>
              <w:t>等地面采用防渗硬化处理，并设置事故废水截流和收集系统，确保泄漏液体或消防废水进入事故水池，便于采取回收或安全处置措施。</w:t>
            </w:r>
          </w:p>
          <w:p w14:paraId="14D20846">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（6）厂区设置风向标，一旦发生事故，可知道现场人员疏散。</w:t>
            </w:r>
          </w:p>
          <w:p w14:paraId="512C509F">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7）消防器材按安全规定放置。消防器材设置在明显和便于取用的地点，周围不准堆放物品及杂物。消防器材有专人管理、负责、检查、修理、保养、更换和添置，保证完好存放。定期更换泡沫消防站的泡沫液。泡沫泵要按时维修，每月点试一次。</w:t>
            </w:r>
          </w:p>
          <w:p w14:paraId="2CAC5DD7">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6.3.4消防及火灾报警系统</w:t>
            </w:r>
          </w:p>
          <w:p w14:paraId="2D2286DE">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消防系统根据《消防给水及消火栓系统技术规范》</w:t>
            </w:r>
            <w:r>
              <w:rPr>
                <w:rFonts w:hint="eastAsia" w:ascii="Times New Roman" w:hAnsi="Times New Roman" w:cs="Times New Roman"/>
                <w:b w:val="0"/>
                <w:bCs w:val="0"/>
                <w:color w:val="auto"/>
                <w:sz w:val="24"/>
                <w:szCs w:val="24"/>
                <w:lang w:val="en-US" w:eastAsia="zh-CN"/>
              </w:rPr>
              <w:t>（</w:t>
            </w:r>
            <w:r>
              <w:rPr>
                <w:rFonts w:hint="default" w:ascii="Times New Roman" w:hAnsi="Times New Roman" w:cs="Times New Roman"/>
                <w:b w:val="0"/>
                <w:bCs w:val="0"/>
                <w:color w:val="auto"/>
                <w:sz w:val="24"/>
                <w:szCs w:val="24"/>
                <w:lang w:val="en-US" w:eastAsia="zh-CN"/>
              </w:rPr>
              <w:t>GB50974</w:t>
            </w:r>
            <w:r>
              <w:rPr>
                <w:rFonts w:hint="eastAsia" w:ascii="Times New Roman" w:hAnsi="Times New Roman" w:cs="Times New Roman"/>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等</w:t>
            </w:r>
            <w:r>
              <w:rPr>
                <w:rFonts w:hint="default" w:ascii="Times New Roman" w:hAnsi="Times New Roman" w:cs="Times New Roman"/>
                <w:b w:val="0"/>
                <w:bCs w:val="0"/>
                <w:color w:val="auto"/>
                <w:sz w:val="24"/>
                <w:szCs w:val="24"/>
                <w:lang w:val="en-US" w:eastAsia="zh-CN"/>
              </w:rPr>
              <w:t>规范的相关规定，各生产车间区内设有常规水消防系统。</w:t>
            </w:r>
          </w:p>
          <w:p w14:paraId="6657D7A3">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为保护厂区内人员和设备的安全，在本项目厂区内设置火灾自动报警系统。系统形式为控制中心报警系统，设备选用总线制智能型火灾自动报警设备。</w:t>
            </w:r>
          </w:p>
          <w:p w14:paraId="4F74B5A3">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6.3.5生产安全管理及劳动保护</w:t>
            </w:r>
          </w:p>
          <w:p w14:paraId="48FA76BD">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（1）公司建立科学、严格的生产操作规程和安全管理体系，做到各单元、工段生产、安全都有专业人员专职负责。同时公司设专职巡检员，对厂区进行巡检，一旦发现异常情况可马上采取措施。</w:t>
            </w:r>
          </w:p>
          <w:p w14:paraId="63E44687">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（2）加强安全生产教育。安全生产教育包括特殊工种安全教育、日常安全教育以及外来人员安全教育等。让所有员工了解本厂各种原材料物理化学性质和毒理学性质、防护措施、环境影响等。</w:t>
            </w:r>
          </w:p>
          <w:p w14:paraId="5AE92754">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3）加强生产安全卫生监督。按照国家部委有关劳动、安全、卫生的法规标准开展工作，特别是做好车间内有害物质浓度的监测，并及时向厂安全部门报告，协助安全部门分析有可能出现的异常情况，以便及时处理，确保将生产事故消灭在未发生之前。</w:t>
            </w:r>
          </w:p>
          <w:p w14:paraId="7F117693">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（4）为避免物料贮存中突发性燃爆事故的发生，生产车间及仓库严禁烟火，不准有明火，所有电气设备及装置，都采用防爆型。</w:t>
            </w:r>
          </w:p>
          <w:p w14:paraId="0083AA2F">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5）对在岗工人及邻近有关人员进行自我救护教育，一旦发生事故迅速进行自我救护，如佩戴防毒面具等。如有轻微中毒现象，立即转移到新鲜空气中；若物料接触皮肤，立即用肥皂和水清洗皮肤和被污染的衣物；眼睛接触，立即用大量水冲洗眼睛并就医；如急性中毒，呼吸障碍应给予人工呼吸和吸氧，并立即送往医院救治。</w:t>
            </w:r>
          </w:p>
          <w:p w14:paraId="576FE49B">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（6）车间设置消防栓、消防器材、防毒面具、设立专职安全员，对各种安全器材定期检查。</w:t>
            </w:r>
          </w:p>
          <w:p w14:paraId="483D066B">
            <w:pPr>
              <w:spacing w:line="360" w:lineRule="auto"/>
              <w:ind w:firstLine="482"/>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6.3.6</w:t>
            </w:r>
            <w:r>
              <w:rPr>
                <w:rFonts w:hint="eastAsia" w:ascii="Times New Roman" w:hAnsi="Times New Roman" w:cs="Times New Roman" w:eastAsiaTheme="minorEastAsia"/>
                <w:color w:val="auto"/>
                <w:sz w:val="24"/>
                <w:szCs w:val="24"/>
                <w:vertAlign w:val="baseline"/>
                <w:lang w:val="en-US" w:eastAsia="zh-CN"/>
              </w:rPr>
              <w:t>原料、危险废物存储、运输防范措施</w:t>
            </w:r>
          </w:p>
          <w:p w14:paraId="5555987D">
            <w:pPr>
              <w:pStyle w:val="45"/>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cs="Times New Roman" w:eastAsiaTheme="minorEastAsia"/>
                <w:color w:val="auto"/>
                <w:sz w:val="24"/>
                <w:szCs w:val="24"/>
                <w:vertAlign w:val="baseline"/>
                <w:lang w:val="en-US" w:eastAsia="zh-CN"/>
              </w:rPr>
            </w:pPr>
            <w:r>
              <w:rPr>
                <w:rFonts w:hint="eastAsia" w:ascii="Times New Roman" w:hAnsi="Times New Roman" w:cs="Times New Roman" w:eastAsiaTheme="minorEastAsia"/>
                <w:color w:val="auto"/>
                <w:sz w:val="24"/>
                <w:szCs w:val="24"/>
                <w:vertAlign w:val="baseline"/>
                <w:lang w:val="en-US" w:eastAsia="zh-CN"/>
              </w:rPr>
              <w:t>（1）加强管理工作，设专人负责各类物料的安全贮存、厂区内输运以及使用，按照其物化性质、危险特性等特征采取相应的安全贮存方式</w:t>
            </w:r>
            <w:r>
              <w:rPr>
                <w:rFonts w:hint="eastAsia" w:ascii="Times New Roman" w:hAnsi="Times New Roman" w:cs="Times New Roman"/>
                <w:color w:val="auto"/>
                <w:sz w:val="24"/>
                <w:szCs w:val="24"/>
                <w:vertAlign w:val="baseline"/>
                <w:lang w:val="en-US" w:eastAsia="zh-CN"/>
              </w:rPr>
              <w:t>。</w:t>
            </w:r>
          </w:p>
          <w:p w14:paraId="29E1F63E">
            <w:pPr>
              <w:pStyle w:val="45"/>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cs="Times New Roman" w:eastAsiaTheme="minorEastAsia"/>
                <w:color w:val="auto"/>
                <w:sz w:val="24"/>
                <w:szCs w:val="24"/>
                <w:vertAlign w:val="baseline"/>
                <w:lang w:val="en-US" w:eastAsia="zh-CN"/>
              </w:rPr>
            </w:pPr>
            <w:r>
              <w:rPr>
                <w:rFonts w:hint="eastAsia" w:ascii="Times New Roman" w:hAnsi="Times New Roman" w:cs="Times New Roman" w:eastAsiaTheme="minorEastAsia"/>
                <w:color w:val="auto"/>
                <w:sz w:val="24"/>
                <w:szCs w:val="24"/>
                <w:vertAlign w:val="baseline"/>
                <w:lang w:val="en-US" w:eastAsia="zh-CN"/>
              </w:rPr>
              <w:t>（2）制定严格的操作规程，涉及上述物品的操作人员进行必要的安全培训后方可进行生产</w:t>
            </w:r>
            <w:r>
              <w:rPr>
                <w:rFonts w:hint="eastAsia" w:ascii="Times New Roman" w:hAnsi="Times New Roman" w:cs="Times New Roman"/>
                <w:color w:val="auto"/>
                <w:sz w:val="24"/>
                <w:szCs w:val="24"/>
                <w:vertAlign w:val="baseline"/>
                <w:lang w:val="en-US" w:eastAsia="zh-CN"/>
              </w:rPr>
              <w:t>。</w:t>
            </w:r>
          </w:p>
          <w:p w14:paraId="6925499F">
            <w:pPr>
              <w:pStyle w:val="4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eastAsiaTheme="minorEastAsia"/>
                <w:color w:val="auto"/>
                <w:sz w:val="24"/>
                <w:szCs w:val="24"/>
                <w:vertAlign w:val="baseline"/>
                <w:lang w:val="en-US" w:eastAsia="zh-CN"/>
              </w:rPr>
            </w:pPr>
            <w:r>
              <w:rPr>
                <w:rFonts w:hint="eastAsia" w:ascii="Times New Roman" w:hAnsi="Times New Roman" w:cs="Times New Roman" w:eastAsiaTheme="minorEastAsia"/>
                <w:color w:val="auto"/>
                <w:sz w:val="24"/>
                <w:szCs w:val="24"/>
                <w:vertAlign w:val="baseline"/>
                <w:lang w:val="en-US" w:eastAsia="zh-CN"/>
              </w:rPr>
              <w:t>（3）各种原材料分别暂存于原料仓库，分类存放。各类危险品不得与禁忌物料混合贮存，同时应加强管理，非操作人员不得随意出入。运输危险品的车辆应有特殊标志，危险化学品装卸前后，必须对车辆和储存设备进行检查，一旦发现有破损现象，应及时进行维修，直至消除隐患为止。贮存危险化学品应有明显标志，入库时应严格检验物品质量、数量、包装等情况，入库后应采取适当的防护措施，定期检查，还应建立严格的入库管理制度</w:t>
            </w:r>
            <w:r>
              <w:rPr>
                <w:rFonts w:hint="eastAsia" w:ascii="Times New Roman" w:hAnsi="Times New Roman" w:cs="Times New Roman"/>
                <w:color w:val="auto"/>
                <w:sz w:val="24"/>
                <w:szCs w:val="24"/>
                <w:vertAlign w:val="baseline"/>
                <w:lang w:val="en-US" w:eastAsia="zh-CN"/>
              </w:rPr>
              <w:t>。</w:t>
            </w:r>
          </w:p>
          <w:p w14:paraId="60AEDF76">
            <w:pPr>
              <w:pStyle w:val="4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lang w:val="en-US" w:eastAsia="zh-CN"/>
              </w:rPr>
            </w:pPr>
            <w:r>
              <w:rPr>
                <w:rFonts w:hint="default"/>
                <w:color w:val="auto"/>
                <w:lang w:val="en-US" w:eastAsia="zh-CN"/>
              </w:rPr>
              <w:t>（</w:t>
            </w:r>
            <w:r>
              <w:rPr>
                <w:rFonts w:hint="default" w:ascii="Times New Roman" w:hAnsi="Times New Roman" w:cs="Times New Roman"/>
                <w:color w:val="auto"/>
                <w:sz w:val="24"/>
                <w:szCs w:val="24"/>
                <w:lang w:val="en-US" w:eastAsia="zh-CN"/>
              </w:rPr>
              <w:t>4）定期检验原料、危险废物容器的密封性能及强度，及时淘汰出现安全隐患、超期服务的容器</w:t>
            </w:r>
            <w:r>
              <w:rPr>
                <w:rFonts w:hint="eastAsia" w:ascii="Times New Roman" w:hAnsi="Times New Roman" w:cs="Times New Roman"/>
                <w:color w:val="auto"/>
                <w:sz w:val="24"/>
                <w:szCs w:val="24"/>
                <w:lang w:val="en-US" w:eastAsia="zh-CN"/>
              </w:rPr>
              <w:t>。</w:t>
            </w:r>
          </w:p>
          <w:p w14:paraId="5F371F3D">
            <w:pPr>
              <w:pStyle w:val="4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（5）在厂区整体范围内针对上述物品的贮存、输运、使用制定安全条例，严禁靠近明火、腐蚀性化学物品。</w:t>
            </w:r>
          </w:p>
          <w:p w14:paraId="5E621575">
            <w:pPr>
              <w:pStyle w:val="4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6）厂区内危废间有专人管理，门口贴有明显标识，地面具有防腐、防渗、防泄漏的性能，危险废物分类别存放，并放于托盘上，定期交由有资质的危险废物处置单位处置，大大降低危废液渗漏的污染土壤的环境风险。</w:t>
            </w:r>
          </w:p>
          <w:p w14:paraId="57B5BBB3">
            <w:pPr>
              <w:spacing w:line="360" w:lineRule="auto"/>
              <w:ind w:firstLine="482"/>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6.3.7</w:t>
            </w:r>
            <w:r>
              <w:rPr>
                <w:rFonts w:hint="default" w:ascii="Times New Roman" w:hAnsi="Times New Roman" w:cs="Times New Roman"/>
                <w:b w:val="0"/>
                <w:bCs w:val="0"/>
                <w:color w:val="auto"/>
                <w:sz w:val="24"/>
                <w:szCs w:val="24"/>
                <w:lang w:val="en-US" w:eastAsia="zh-CN"/>
              </w:rPr>
              <w:t>操作过程中的事故防范措施</w:t>
            </w:r>
          </w:p>
          <w:p w14:paraId="50D5F68A">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生产操作过程中，必须加强安全管理，提高风险事故防范措施。突发性污染事故，特别是有毒化学品的重大事故将对事故现场人员的生命和健康造成严重危害，还将造成直接经济或间接的经济损失。因此，做好突发性环境污染事故的预防，提高对突发性污染事故的应急处理和处置能力，对企业具有重要的意义。</w:t>
            </w:r>
          </w:p>
          <w:p w14:paraId="4800A25C">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发突发性污染事故的因素很多，其中被认定为较重要的有以下几个：设计上存在缺陷；设备质量差，或因无判废标准（或因不执行判废标准）而过度、超时、超负荷运转；管理或指挥失误；违章操作。因此，对突发性污染事故的防治对策，除科学合理的厂址选择外，还应从以下几点严格控制和管理，加强事故防范措施和事故应急处理的技能，懂得紧急救援的知识</w:t>
            </w:r>
            <w:r>
              <w:rPr>
                <w:rFonts w:hint="eastAsia" w:ascii="宋体" w:hAnsi="宋体" w:eastAsia="宋体" w:cs="宋体"/>
                <w:b w:val="0"/>
                <w:bCs w:val="0"/>
                <w:color w:val="auto"/>
                <w:sz w:val="24"/>
                <w:szCs w:val="24"/>
                <w:lang w:val="en-US" w:eastAsia="zh-CN"/>
              </w:rPr>
              <w:t>。“预防为主，安全第一”是减少</w:t>
            </w:r>
            <w:r>
              <w:rPr>
                <w:rFonts w:hint="default" w:ascii="Times New Roman" w:hAnsi="Times New Roman" w:cs="Times New Roman"/>
                <w:b w:val="0"/>
                <w:bCs w:val="0"/>
                <w:color w:val="auto"/>
                <w:sz w:val="24"/>
                <w:szCs w:val="24"/>
                <w:lang w:val="en-US" w:eastAsia="zh-CN"/>
              </w:rPr>
              <w:t>事故发生、降低污染事故损害的主要保障。</w:t>
            </w:r>
          </w:p>
          <w:p w14:paraId="3B862973">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（1）严格把好工程设计、施工关</w:t>
            </w:r>
          </w:p>
          <w:p w14:paraId="427F2298">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工程设计包括工艺设计和总图设计。只有设计合理，才能从根本上改善劳动条件，消除事故重大隐患。严格注意施工质量和设备安排，工程调试的质量，严格竣工验收审查。</w:t>
            </w:r>
          </w:p>
          <w:p w14:paraId="1FAACB66">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在总图设计中应注意合理进行功能分区，并有一定的防护带和绿化带，严格符合安全规范的要求。</w:t>
            </w:r>
          </w:p>
          <w:p w14:paraId="439C6153">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针对本项目的特点，本评价建议在设计、施工、运营阶段应考虑下列风险防范措施，以避免事故的发生。</w:t>
            </w:r>
          </w:p>
          <w:p w14:paraId="7380EFF2">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①设计中严格执行国家、行业有关劳动安全卫生的法规和标准规范。</w:t>
            </w:r>
            <w:r>
              <w:rPr>
                <w:rFonts w:hint="eastAsia" w:ascii="Times New Roman" w:hAnsi="Times New Roman" w:cs="Times New Roman"/>
                <w:b w:val="0"/>
                <w:bCs w:val="0"/>
                <w:color w:val="auto"/>
                <w:sz w:val="24"/>
                <w:szCs w:val="24"/>
                <w:lang w:val="en-US" w:eastAsia="zh-CN"/>
              </w:rPr>
              <w:t>生产</w:t>
            </w:r>
            <w:r>
              <w:rPr>
                <w:rFonts w:hint="default" w:ascii="Times New Roman" w:hAnsi="Times New Roman" w:cs="Times New Roman"/>
                <w:b w:val="0"/>
                <w:bCs w:val="0"/>
                <w:color w:val="auto"/>
                <w:sz w:val="24"/>
                <w:szCs w:val="24"/>
                <w:lang w:val="en-US" w:eastAsia="zh-CN"/>
              </w:rPr>
              <w:t>车间距明火操作场所距离应按《建筑防火设计规范》（GB50016）的规定设置。</w:t>
            </w:r>
          </w:p>
          <w:p w14:paraId="05694C4F">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②</w:t>
            </w:r>
            <w:r>
              <w:rPr>
                <w:rFonts w:hint="eastAsia" w:ascii="Times New Roman" w:hAnsi="Times New Roman" w:cs="Times New Roman"/>
                <w:b w:val="0"/>
                <w:bCs w:val="0"/>
                <w:color w:val="auto"/>
                <w:sz w:val="24"/>
                <w:szCs w:val="24"/>
                <w:lang w:val="en-US" w:eastAsia="zh-CN"/>
              </w:rPr>
              <w:t>生产</w:t>
            </w:r>
            <w:r>
              <w:rPr>
                <w:rFonts w:hint="default" w:ascii="Times New Roman" w:hAnsi="Times New Roman" w:cs="Times New Roman"/>
                <w:b w:val="0"/>
                <w:bCs w:val="0"/>
                <w:color w:val="auto"/>
                <w:sz w:val="24"/>
                <w:szCs w:val="24"/>
                <w:lang w:val="en-US" w:eastAsia="zh-CN"/>
              </w:rPr>
              <w:t>车间设备布置严格执行国家有关防火防爆的规范、规定，设备之间保证由足够的防火距离，并按要求设计消防通道。</w:t>
            </w:r>
          </w:p>
          <w:p w14:paraId="49C1F01F">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③按区域分类有关规范在</w:t>
            </w:r>
            <w:r>
              <w:rPr>
                <w:rFonts w:hint="eastAsia" w:ascii="Times New Roman" w:hAnsi="Times New Roman" w:cs="Times New Roman"/>
                <w:b w:val="0"/>
                <w:bCs w:val="0"/>
                <w:color w:val="auto"/>
                <w:sz w:val="24"/>
                <w:szCs w:val="24"/>
                <w:lang w:val="en-US" w:eastAsia="zh-CN"/>
              </w:rPr>
              <w:t>生产</w:t>
            </w:r>
            <w:r>
              <w:rPr>
                <w:rFonts w:hint="default" w:ascii="Times New Roman" w:hAnsi="Times New Roman" w:cs="Times New Roman"/>
                <w:b w:val="0"/>
                <w:bCs w:val="0"/>
                <w:color w:val="auto"/>
                <w:sz w:val="24"/>
                <w:szCs w:val="24"/>
                <w:lang w:val="en-US" w:eastAsia="zh-CN"/>
              </w:rPr>
              <w:t>车间内划分防火分区。不同防火分区内安装的电器设备应符合相应的区域等级的规定。</w:t>
            </w:r>
          </w:p>
          <w:p w14:paraId="2EE6D68A">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④对爆炸、火灾危害场所内可能产生静电危害的物体采取静电防范处理措施。</w:t>
            </w:r>
          </w:p>
          <w:p w14:paraId="2BFDBE46">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⑤工作人员不得携带火柴、打火机等进入生产场所。</w:t>
            </w:r>
          </w:p>
          <w:p w14:paraId="102B96AF">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（2）提高认识、完善制度、严格检查</w:t>
            </w:r>
          </w:p>
          <w:p w14:paraId="7AA4E2CB">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企业领导应该提高对突发性事故的警觉和认识，做到警钟长鸣。建议企业建立安全与环保科，并由企业领导直接领导，全权负责。主要负责检查和监督全厂的安全生产和环保设施的正常运转情况。对安全和环保应建立严格的防范措施，制定严格的管理规章制度，列出潜在危险的过程、设备等清单，严格执行设备检验和报废制度。</w:t>
            </w:r>
          </w:p>
          <w:p w14:paraId="63EFF048">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（3）加强劳动保护，保证职工人身安全</w:t>
            </w:r>
          </w:p>
          <w:p w14:paraId="52383692">
            <w:pPr>
              <w:spacing w:line="360" w:lineRule="auto"/>
              <w:ind w:firstLine="482"/>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生产</w:t>
            </w:r>
            <w:r>
              <w:rPr>
                <w:rFonts w:hint="default" w:ascii="Times New Roman" w:hAnsi="Times New Roman" w:cs="Times New Roman"/>
                <w:b w:val="0"/>
                <w:bCs w:val="0"/>
                <w:color w:val="auto"/>
                <w:sz w:val="24"/>
                <w:szCs w:val="24"/>
                <w:lang w:val="en-US" w:eastAsia="zh-CN"/>
              </w:rPr>
              <w:t>车间，空气中浓度超标时职工应佩戴过滤式防毒面具（平面罩），紧急事态抢救或撤离时佩戴正压式呼吸器。</w:t>
            </w:r>
          </w:p>
          <w:p w14:paraId="34C648DE">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另外，职工还可采取佩戴化学品眼镜，穿防毒物渗透工作服，佩戴耐油橡胶手套等劳动防护措施。</w:t>
            </w:r>
          </w:p>
          <w:p w14:paraId="4727BBC2">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工作现场禁止吸烟，进食、饮水。工作前避免饮用酒精性饮料。工作后，淋浴更衣。进行就业前和定期体检。</w:t>
            </w:r>
          </w:p>
          <w:p w14:paraId="014FEFF3">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（4）加强技术培训，提高职工安全意识</w:t>
            </w:r>
          </w:p>
          <w:p w14:paraId="2E30F965">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职工的安全生产意识不足，一定程度上会增加事故发生的概率，因此企业对生产操作人员必须进行上岗前专业技术培训和安装生产培训，严格管理，提高职工的安全环保意识。</w:t>
            </w:r>
          </w:p>
          <w:p w14:paraId="4D4CD47B">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（5）提高事故应急处理能力</w:t>
            </w:r>
          </w:p>
          <w:p w14:paraId="1E0CE334">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企业对具有高危害设备设置保险措施，对危险车间可设置消防装置等必备设施，并辅以适当的通讯工具，定期进行安全环保宣传教育以及紧急事故模拟演习，提高事故应变能力。</w:t>
            </w:r>
          </w:p>
          <w:p w14:paraId="1F659286">
            <w:pPr>
              <w:tabs>
                <w:tab w:val="left" w:pos="685"/>
              </w:tabs>
              <w:spacing w:line="360" w:lineRule="auto"/>
              <w:ind w:firstLine="482"/>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6.3.8</w:t>
            </w:r>
            <w:r>
              <w:rPr>
                <w:rFonts w:hint="default" w:ascii="Times New Roman" w:hAnsi="Times New Roman" w:cs="Times New Roman"/>
                <w:b w:val="0"/>
                <w:bCs w:val="0"/>
                <w:color w:val="auto"/>
                <w:sz w:val="24"/>
                <w:szCs w:val="24"/>
                <w:lang w:val="en-US" w:eastAsia="zh-CN"/>
              </w:rPr>
              <w:t>火灾、爆炸事故的应急处理</w:t>
            </w:r>
          </w:p>
          <w:p w14:paraId="1960A5AB">
            <w:pPr>
              <w:tabs>
                <w:tab w:val="left" w:pos="685"/>
              </w:tabs>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当发生火灾及燃爆事故时，现场人员或其他人员应该立刻拨打火警电话119并立即通知有关人员停止作业，尽快切断所有电源，组织人员和其他易燃物品的疏散，并利用就近的消防器材将火苗扑灭，但不可用水救火。当火灾进入发展阶段、猛烈阶段，应由消防队来组织灭火，现场人员在确保安全的情况下不可逃离现场，应和消防人员配合，做好灭火工作。</w:t>
            </w:r>
          </w:p>
          <w:p w14:paraId="265246DB">
            <w:pPr>
              <w:tabs>
                <w:tab w:val="left" w:pos="685"/>
              </w:tabs>
              <w:spacing w:line="360" w:lineRule="auto"/>
              <w:ind w:firstLine="482"/>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6.3.9</w:t>
            </w:r>
            <w:r>
              <w:rPr>
                <w:rFonts w:hint="default" w:ascii="Times New Roman" w:hAnsi="Times New Roman" w:cs="Times New Roman"/>
                <w:b w:val="0"/>
                <w:bCs w:val="0"/>
                <w:color w:val="auto"/>
                <w:sz w:val="24"/>
                <w:szCs w:val="24"/>
                <w:lang w:val="en-US" w:eastAsia="zh-CN"/>
              </w:rPr>
              <w:t>中毒事故的应急处理</w:t>
            </w:r>
          </w:p>
          <w:p w14:paraId="1510DD8C">
            <w:pPr>
              <w:tabs>
                <w:tab w:val="left" w:pos="685"/>
              </w:tabs>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中毒事故发生后，项目应立即拨打120急救电话，如</w:t>
            </w:r>
            <w:r>
              <w:rPr>
                <w:rFonts w:hint="eastAsia" w:ascii="Times New Roman" w:hAnsi="Times New Roman" w:cs="Times New Roman"/>
                <w:b w:val="0"/>
                <w:bCs w:val="0"/>
                <w:color w:val="auto"/>
                <w:sz w:val="24"/>
                <w:szCs w:val="24"/>
                <w:lang w:val="en-US" w:eastAsia="zh-CN"/>
              </w:rPr>
              <w:t>生产</w:t>
            </w:r>
            <w:r>
              <w:rPr>
                <w:rFonts w:hint="default" w:ascii="Times New Roman" w:hAnsi="Times New Roman" w:cs="Times New Roman"/>
                <w:b w:val="0"/>
                <w:bCs w:val="0"/>
                <w:color w:val="auto"/>
                <w:sz w:val="24"/>
                <w:szCs w:val="24"/>
                <w:lang w:val="en-US" w:eastAsia="zh-CN"/>
              </w:rPr>
              <w:t>车间出现中毒事件，应该停止生产，并疏散员工。</w:t>
            </w:r>
          </w:p>
          <w:p w14:paraId="15E00DB0">
            <w:pPr>
              <w:tabs>
                <w:tab w:val="left" w:pos="685"/>
              </w:tabs>
              <w:spacing w:line="360" w:lineRule="auto"/>
              <w:ind w:firstLine="482"/>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6.3.10</w:t>
            </w:r>
            <w:r>
              <w:rPr>
                <w:rFonts w:hint="default" w:ascii="Times New Roman" w:hAnsi="Times New Roman" w:cs="Times New Roman"/>
                <w:b w:val="0"/>
                <w:bCs w:val="0"/>
                <w:color w:val="auto"/>
                <w:sz w:val="24"/>
                <w:szCs w:val="24"/>
                <w:lang w:val="en-US" w:eastAsia="zh-CN"/>
              </w:rPr>
              <w:t>事故救援指挥决策系统</w:t>
            </w:r>
          </w:p>
          <w:p w14:paraId="6A4B4E2D">
            <w:pPr>
              <w:tabs>
                <w:tab w:val="left" w:pos="685"/>
              </w:tabs>
              <w:spacing w:line="360" w:lineRule="auto"/>
              <w:ind w:firstLine="482"/>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事故救援指挥系统是应付紧急事故发生后进行事故救援处理的体系，该系统对事故发生后做出迅速反应，及时处理事故，果断决策，减少事故损失是十分必要的。它包括组织体系、通讯联络、人员救护等方面的内容。因此，项目应该制定这方面的预案。</w:t>
            </w:r>
          </w:p>
          <w:p w14:paraId="1DBBA6D6">
            <w:pPr>
              <w:tabs>
                <w:tab w:val="left" w:pos="685"/>
              </w:tabs>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（1）事故紧急应变组织系统</w:t>
            </w:r>
          </w:p>
          <w:p w14:paraId="51AD7B5F">
            <w:pPr>
              <w:tabs>
                <w:tab w:val="left" w:pos="685"/>
              </w:tabs>
              <w:spacing w:line="360" w:lineRule="auto"/>
              <w:ind w:firstLine="482"/>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事故紧急应变组织系统见图</w:t>
            </w:r>
            <w:r>
              <w:rPr>
                <w:rFonts w:hint="eastAsia" w:ascii="Times New Roman" w:hAnsi="Times New Roman" w:cs="Times New Roman"/>
                <w:color w:val="auto"/>
                <w:sz w:val="24"/>
                <w:szCs w:val="24"/>
                <w:lang w:val="en-US" w:eastAsia="zh-CN"/>
              </w:rPr>
              <w:t>4.7</w:t>
            </w:r>
            <w:r>
              <w:rPr>
                <w:rFonts w:hint="default" w:ascii="Times New Roman" w:hAnsi="Times New Roman" w:cs="Times New Roman"/>
                <w:color w:val="auto"/>
                <w:sz w:val="24"/>
                <w:szCs w:val="24"/>
                <w:lang w:val="en-US" w:eastAsia="zh-CN"/>
              </w:rPr>
              <w:t>。</w:t>
            </w:r>
          </w:p>
          <w:p w14:paraId="0E05190D">
            <w:pPr>
              <w:spacing w:line="360" w:lineRule="auto"/>
              <w:ind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5544185" cy="1715770"/>
                  <wp:effectExtent l="0" t="0" r="18415" b="1778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25"/>
                          <a:stretch>
                            <a:fillRect/>
                          </a:stretch>
                        </pic:blipFill>
                        <pic:spPr>
                          <a:xfrm>
                            <a:off x="0" y="0"/>
                            <a:ext cx="5544185" cy="1715770"/>
                          </a:xfrm>
                          <a:prstGeom prst="rect">
                            <a:avLst/>
                          </a:prstGeom>
                          <a:noFill/>
                          <a:ln>
                            <a:noFill/>
                          </a:ln>
                        </pic:spPr>
                      </pic:pic>
                    </a:graphicData>
                  </a:graphic>
                </wp:inline>
              </w:drawing>
            </w:r>
          </w:p>
          <w:p w14:paraId="3BB37577">
            <w:pPr>
              <w:spacing w:line="240" w:lineRule="auto"/>
              <w:ind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w:t>
            </w:r>
            <w:r>
              <w:rPr>
                <w:rFonts w:hint="eastAsia" w:ascii="Times New Roman" w:hAnsi="Times New Roman" w:cs="Times New Roman"/>
                <w:b/>
                <w:bCs/>
                <w:color w:val="auto"/>
                <w:sz w:val="21"/>
                <w:szCs w:val="21"/>
                <w:lang w:val="en-US" w:eastAsia="zh-CN"/>
              </w:rPr>
              <w:t xml:space="preserve">4.7  </w:t>
            </w:r>
            <w:r>
              <w:rPr>
                <w:rFonts w:hint="default" w:ascii="Times New Roman" w:hAnsi="Times New Roman" w:cs="Times New Roman"/>
                <w:b/>
                <w:bCs/>
                <w:color w:val="auto"/>
                <w:sz w:val="21"/>
                <w:szCs w:val="21"/>
                <w:lang w:val="en-US" w:eastAsia="zh-CN"/>
              </w:rPr>
              <w:t>事故紧急应变组织系统</w:t>
            </w:r>
          </w:p>
          <w:p w14:paraId="7C6BE3EC">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（2）事故紧急应变组织职责</w:t>
            </w:r>
          </w:p>
          <w:p w14:paraId="6C369B6C">
            <w:pPr>
              <w:spacing w:line="360" w:lineRule="auto"/>
              <w:ind w:firstLine="482"/>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事故紧急应变组织职责见表</w:t>
            </w:r>
            <w:r>
              <w:rPr>
                <w:rFonts w:hint="eastAsia" w:ascii="Times New Roman" w:hAnsi="Times New Roman" w:cs="Times New Roman"/>
                <w:color w:val="auto"/>
                <w:sz w:val="24"/>
                <w:szCs w:val="24"/>
                <w:lang w:val="en-US" w:eastAsia="zh-CN"/>
              </w:rPr>
              <w:t>4.24</w:t>
            </w:r>
            <w:r>
              <w:rPr>
                <w:rFonts w:hint="default" w:ascii="Times New Roman" w:hAnsi="Times New Roman" w:cs="Times New Roman"/>
                <w:color w:val="auto"/>
                <w:sz w:val="24"/>
                <w:szCs w:val="24"/>
                <w:lang w:val="en-US" w:eastAsia="zh-CN"/>
              </w:rPr>
              <w:t>。</w:t>
            </w:r>
          </w:p>
          <w:p w14:paraId="1C60D9B5">
            <w:pPr>
              <w:tabs>
                <w:tab w:val="left" w:pos="3159"/>
                <w:tab w:val="center" w:pos="5078"/>
              </w:tabs>
              <w:spacing w:line="240" w:lineRule="auto"/>
              <w:ind w:firstLine="482"/>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4.24</w:t>
            </w:r>
            <w:r>
              <w:rPr>
                <w:rFonts w:hint="default" w:ascii="Times New Roman" w:hAnsi="Times New Roman" w:cs="Times New Roman"/>
                <w:b/>
                <w:bCs/>
                <w:color w:val="auto"/>
                <w:sz w:val="21"/>
                <w:szCs w:val="21"/>
                <w:lang w:val="en-US" w:eastAsia="zh-CN"/>
              </w:rPr>
              <w:t xml:space="preserve">  事故紧急应变组织职责</w:t>
            </w:r>
          </w:p>
          <w:tbl>
            <w:tblPr>
              <w:tblStyle w:val="32"/>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1"/>
              <w:gridCol w:w="7890"/>
            </w:tblGrid>
            <w:tr w14:paraId="1A621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noWrap w:val="0"/>
                  <w:vAlign w:val="center"/>
                </w:tcPr>
                <w:p w14:paraId="25B1C1D8">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应变组织</w:t>
                  </w:r>
                </w:p>
              </w:tc>
              <w:tc>
                <w:tcPr>
                  <w:tcW w:w="7202" w:type="dxa"/>
                  <w:noWrap w:val="0"/>
                  <w:vAlign w:val="center"/>
                </w:tcPr>
                <w:p w14:paraId="5C380D38">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职责</w:t>
                  </w:r>
                </w:p>
              </w:tc>
            </w:tr>
            <w:tr w14:paraId="4600C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noWrap w:val="0"/>
                  <w:vAlign w:val="center"/>
                </w:tcPr>
                <w:p w14:paraId="66B18B4D">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现场指挥</w:t>
                  </w:r>
                </w:p>
              </w:tc>
              <w:tc>
                <w:tcPr>
                  <w:tcW w:w="7202" w:type="dxa"/>
                  <w:noWrap w:val="0"/>
                  <w:vAlign w:val="center"/>
                </w:tcPr>
                <w:p w14:paraId="32B22300">
                  <w:pPr>
                    <w:pStyle w:val="48"/>
                    <w:spacing w:line="240" w:lineRule="auto"/>
                    <w:ind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①指挥灾变现场的灭火器，人员、设备、文件资料的抢救及危害性物品，并将灾情传报厂（处）应变指挥官。</w:t>
                  </w:r>
                </w:p>
                <w:p w14:paraId="2B15C878">
                  <w:pPr>
                    <w:pStyle w:val="48"/>
                    <w:spacing w:line="240" w:lineRule="auto"/>
                    <w:ind w:firstLine="420" w:firstLineChars="20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②负责厂区内及厂区支援救灾人员工作任务的分配制度。</w:t>
                  </w:r>
                </w:p>
                <w:p w14:paraId="537B2203">
                  <w:pPr>
                    <w:pStyle w:val="48"/>
                    <w:spacing w:line="240" w:lineRule="auto"/>
                    <w:ind w:firstLine="420" w:firstLineChars="20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③掌握控制救灾器材、设备及人力的使用就其供应支持情况。</w:t>
                  </w:r>
                </w:p>
                <w:p w14:paraId="7900EB7C">
                  <w:pPr>
                    <w:pStyle w:val="48"/>
                    <w:spacing w:line="240" w:lineRule="auto"/>
                    <w:ind w:firstLine="420" w:firstLineChars="20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④督导执行灾后各项复建，处理工作及救灾器材、设备的整理复归。调差事故发生原因及检讨防范改善对策并提报具体改善计划。</w:t>
                  </w:r>
                </w:p>
              </w:tc>
            </w:tr>
            <w:tr w14:paraId="059B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noWrap w:val="0"/>
                  <w:vAlign w:val="center"/>
                </w:tcPr>
                <w:p w14:paraId="1CCE116A">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污染源处理小组</w:t>
                  </w:r>
                </w:p>
              </w:tc>
              <w:tc>
                <w:tcPr>
                  <w:tcW w:w="7202" w:type="dxa"/>
                  <w:noWrap w:val="0"/>
                  <w:vAlign w:val="center"/>
                </w:tcPr>
                <w:p w14:paraId="567DD335">
                  <w:pPr>
                    <w:pStyle w:val="48"/>
                    <w:spacing w:line="240" w:lineRule="auto"/>
                    <w:ind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①执行污染源紧急停车作业。</w:t>
                  </w:r>
                </w:p>
                <w:p w14:paraId="43B61DD0">
                  <w:pPr>
                    <w:pStyle w:val="48"/>
                    <w:spacing w:line="240" w:lineRule="auto"/>
                    <w:ind w:firstLine="420" w:firstLineChars="20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②协助抢救受伤人员。</w:t>
                  </w:r>
                </w:p>
              </w:tc>
            </w:tr>
            <w:tr w14:paraId="796D4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99" w:type="dxa"/>
                  <w:noWrap w:val="0"/>
                  <w:vAlign w:val="center"/>
                </w:tcPr>
                <w:p w14:paraId="435843A7">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抢救小组</w:t>
                  </w:r>
                </w:p>
              </w:tc>
              <w:tc>
                <w:tcPr>
                  <w:tcW w:w="7202" w:type="dxa"/>
                  <w:noWrap w:val="0"/>
                  <w:vAlign w:val="center"/>
                </w:tcPr>
                <w:p w14:paraId="2D88F81B">
                  <w:pPr>
                    <w:pStyle w:val="48"/>
                    <w:spacing w:line="240" w:lineRule="auto"/>
                    <w:ind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①协助紧急停车作业及抢救受伤人员。</w:t>
                  </w:r>
                </w:p>
                <w:p w14:paraId="57013C34">
                  <w:pPr>
                    <w:pStyle w:val="48"/>
                    <w:spacing w:line="240" w:lineRule="auto"/>
                    <w:ind w:firstLine="420" w:firstLineChars="20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②支持抢修工具、备品、器材。</w:t>
                  </w:r>
                </w:p>
                <w:p w14:paraId="3EB5DB2C">
                  <w:pPr>
                    <w:pStyle w:val="48"/>
                    <w:spacing w:line="240" w:lineRule="auto"/>
                    <w:ind w:firstLine="420" w:firstLineChars="20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③支持救灾的紧急电源照明。</w:t>
                  </w:r>
                </w:p>
                <w:p w14:paraId="2232639B">
                  <w:pPr>
                    <w:pStyle w:val="48"/>
                    <w:spacing w:line="240" w:lineRule="auto"/>
                    <w:ind w:firstLine="420" w:firstLineChars="20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④抢救重要的设备、财务。</w:t>
                  </w:r>
                </w:p>
              </w:tc>
            </w:tr>
            <w:tr w14:paraId="02E0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noWrap w:val="0"/>
                  <w:vAlign w:val="center"/>
                </w:tcPr>
                <w:p w14:paraId="2062E9BE">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消防小组</w:t>
                  </w:r>
                </w:p>
              </w:tc>
              <w:tc>
                <w:tcPr>
                  <w:tcW w:w="7202" w:type="dxa"/>
                  <w:noWrap w:val="0"/>
                  <w:vAlign w:val="center"/>
                </w:tcPr>
                <w:p w14:paraId="6994E68A">
                  <w:pPr>
                    <w:pStyle w:val="48"/>
                    <w:spacing w:line="240" w:lineRule="auto"/>
                    <w:ind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①使用适当的消防灭火器材、设备扑灭火灾。</w:t>
                  </w:r>
                </w:p>
                <w:p w14:paraId="6291F3DF">
                  <w:pPr>
                    <w:pStyle w:val="48"/>
                    <w:spacing w:line="240" w:lineRule="auto"/>
                    <w:ind w:firstLine="420" w:firstLineChars="20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②冷却火灾场周围设备、物品，以阶段隔绝火势蔓延。</w:t>
                  </w:r>
                </w:p>
                <w:p w14:paraId="475FF3EC">
                  <w:pPr>
                    <w:pStyle w:val="48"/>
                    <w:spacing w:line="240" w:lineRule="auto"/>
                    <w:ind w:firstLine="420" w:firstLineChars="20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③协助抢救受伤人员。</w:t>
                  </w:r>
                </w:p>
              </w:tc>
            </w:tr>
            <w:tr w14:paraId="58F5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9" w:type="dxa"/>
                  <w:noWrap w:val="0"/>
                  <w:vAlign w:val="center"/>
                </w:tcPr>
                <w:p w14:paraId="477DB293">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抢修小组</w:t>
                  </w:r>
                </w:p>
              </w:tc>
              <w:tc>
                <w:tcPr>
                  <w:tcW w:w="7202" w:type="dxa"/>
                  <w:noWrap w:val="0"/>
                  <w:vAlign w:val="center"/>
                </w:tcPr>
                <w:p w14:paraId="41D32593">
                  <w:pPr>
                    <w:pStyle w:val="48"/>
                    <w:spacing w:line="240" w:lineRule="auto"/>
                    <w:ind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①异常设备抢修。</w:t>
                  </w:r>
                </w:p>
                <w:p w14:paraId="4B07D1E1">
                  <w:pPr>
                    <w:pStyle w:val="48"/>
                    <w:spacing w:line="240" w:lineRule="auto"/>
                    <w:ind w:firstLine="420" w:firstLineChars="20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②协助停车及开车作业。</w:t>
                  </w:r>
                </w:p>
              </w:tc>
            </w:tr>
          </w:tbl>
          <w:p w14:paraId="673E1C74">
            <w:pPr>
              <w:spacing w:line="360" w:lineRule="auto"/>
              <w:ind w:firstLine="482"/>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（3）事故紧急通报及应变处理措施</w:t>
            </w:r>
          </w:p>
          <w:p w14:paraId="2A025AB1">
            <w:pPr>
              <w:spacing w:line="360" w:lineRule="auto"/>
              <w:ind w:firstLine="482"/>
              <w:rPr>
                <w:rFonts w:hint="default" w:ascii="Times New Roman" w:hAnsi="Times New Roman" w:cs="Times New Roman"/>
                <w:b/>
                <w:bCs/>
                <w:color w:val="auto"/>
                <w:sz w:val="21"/>
                <w:szCs w:val="21"/>
                <w:lang w:val="en-US" w:eastAsia="zh-CN"/>
              </w:rPr>
            </w:pPr>
            <w:r>
              <w:rPr>
                <w:rFonts w:hint="default" w:ascii="Times New Roman" w:hAnsi="Times New Roman" w:cs="Times New Roman"/>
                <w:color w:val="auto"/>
                <w:sz w:val="24"/>
                <w:szCs w:val="24"/>
                <w:lang w:val="en-US" w:eastAsia="zh-CN"/>
              </w:rPr>
              <w:t>事故紧急通报及应变处理措施见表</w:t>
            </w:r>
            <w:r>
              <w:rPr>
                <w:rFonts w:hint="eastAsia" w:ascii="Times New Roman" w:hAnsi="Times New Roman" w:cs="Times New Roman"/>
                <w:color w:val="auto"/>
                <w:sz w:val="24"/>
                <w:szCs w:val="24"/>
                <w:lang w:val="en-US" w:eastAsia="zh-CN"/>
              </w:rPr>
              <w:t>4.25</w:t>
            </w:r>
            <w:r>
              <w:rPr>
                <w:rFonts w:hint="default" w:ascii="Times New Roman" w:hAnsi="Times New Roman" w:cs="Times New Roman"/>
                <w:color w:val="auto"/>
                <w:sz w:val="24"/>
                <w:szCs w:val="24"/>
                <w:lang w:val="en-US" w:eastAsia="zh-CN"/>
              </w:rPr>
              <w:t>。</w:t>
            </w:r>
          </w:p>
          <w:p w14:paraId="69086336">
            <w:pPr>
              <w:spacing w:line="240" w:lineRule="auto"/>
              <w:ind w:firstLine="482"/>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w:t>
            </w:r>
            <w:r>
              <w:rPr>
                <w:rFonts w:hint="eastAsia" w:ascii="Times New Roman" w:hAnsi="Times New Roman" w:cs="Times New Roman"/>
                <w:b/>
                <w:bCs/>
                <w:color w:val="auto"/>
                <w:sz w:val="21"/>
                <w:szCs w:val="21"/>
                <w:lang w:val="en-US" w:eastAsia="zh-CN"/>
              </w:rPr>
              <w:t>4.25</w:t>
            </w:r>
            <w:r>
              <w:rPr>
                <w:rFonts w:hint="default" w:ascii="Times New Roman" w:hAnsi="Times New Roman" w:cs="Times New Roman"/>
                <w:b/>
                <w:bCs/>
                <w:color w:val="auto"/>
                <w:sz w:val="21"/>
                <w:szCs w:val="21"/>
                <w:lang w:val="en-US" w:eastAsia="zh-CN"/>
              </w:rPr>
              <w:t xml:space="preserve">  事故紧急通报及应变处理措施</w:t>
            </w:r>
          </w:p>
          <w:tbl>
            <w:tblPr>
              <w:tblStyle w:val="32"/>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4"/>
              <w:gridCol w:w="1824"/>
              <w:gridCol w:w="2036"/>
              <w:gridCol w:w="3537"/>
            </w:tblGrid>
            <w:tr w14:paraId="43178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4" w:type="dxa"/>
                  <w:noWrap w:val="0"/>
                  <w:vAlign w:val="center"/>
                </w:tcPr>
                <w:p w14:paraId="0E3A2187">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通报或处理作业时机</w:t>
                  </w:r>
                </w:p>
              </w:tc>
              <w:tc>
                <w:tcPr>
                  <w:tcW w:w="1824" w:type="dxa"/>
                  <w:noWrap w:val="0"/>
                  <w:vAlign w:val="center"/>
                </w:tcPr>
                <w:p w14:paraId="328D735E">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通报单位、人员</w:t>
                  </w:r>
                </w:p>
              </w:tc>
              <w:tc>
                <w:tcPr>
                  <w:tcW w:w="2036" w:type="dxa"/>
                  <w:noWrap w:val="0"/>
                  <w:vAlign w:val="center"/>
                </w:tcPr>
                <w:p w14:paraId="6CF16BBD">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受通报单位、人员</w:t>
                  </w:r>
                </w:p>
              </w:tc>
              <w:tc>
                <w:tcPr>
                  <w:tcW w:w="3537" w:type="dxa"/>
                  <w:noWrap w:val="0"/>
                  <w:vAlign w:val="center"/>
                </w:tcPr>
                <w:p w14:paraId="0E5148D7">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通报及应变处理作业说明</w:t>
                  </w:r>
                </w:p>
              </w:tc>
            </w:tr>
            <w:tr w14:paraId="79CCC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354" w:type="dxa"/>
                  <w:vMerge w:val="restart"/>
                  <w:noWrap w:val="0"/>
                  <w:vAlign w:val="center"/>
                </w:tcPr>
                <w:p w14:paraId="38EF2184">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1.发现异常事故</w:t>
                  </w:r>
                </w:p>
              </w:tc>
              <w:tc>
                <w:tcPr>
                  <w:tcW w:w="1824" w:type="dxa"/>
                  <w:noWrap w:val="0"/>
                  <w:vAlign w:val="center"/>
                </w:tcPr>
                <w:p w14:paraId="2F1718BF">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现场操作人员</w:t>
                  </w:r>
                </w:p>
              </w:tc>
              <w:tc>
                <w:tcPr>
                  <w:tcW w:w="2036" w:type="dxa"/>
                  <w:noWrap w:val="0"/>
                  <w:vAlign w:val="center"/>
                </w:tcPr>
                <w:p w14:paraId="2234F574">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现场主管（领班或值班主管）</w:t>
                  </w:r>
                </w:p>
              </w:tc>
              <w:tc>
                <w:tcPr>
                  <w:tcW w:w="3537" w:type="dxa"/>
                  <w:noWrap w:val="0"/>
                  <w:vAlign w:val="center"/>
                </w:tcPr>
                <w:p w14:paraId="32235041">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操作人员应立即采取必要的紧急措施，如关闭进出口阀门；立即判断若难以有效处理，应立即报告现场主管。</w:t>
                  </w:r>
                </w:p>
              </w:tc>
            </w:tr>
            <w:tr w14:paraId="1151A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354" w:type="dxa"/>
                  <w:vMerge w:val="continue"/>
                  <w:noWrap w:val="0"/>
                  <w:vAlign w:val="center"/>
                </w:tcPr>
                <w:p w14:paraId="5D8F5388">
                  <w:pPr>
                    <w:pStyle w:val="48"/>
                    <w:spacing w:line="240" w:lineRule="auto"/>
                    <w:rPr>
                      <w:rFonts w:hint="default" w:ascii="Times New Roman" w:hAnsi="Times New Roman" w:cs="Times New Roman"/>
                      <w:color w:val="auto"/>
                      <w:sz w:val="21"/>
                      <w:szCs w:val="21"/>
                      <w:lang w:val="en-US" w:eastAsia="zh-CN"/>
                    </w:rPr>
                  </w:pPr>
                </w:p>
              </w:tc>
              <w:tc>
                <w:tcPr>
                  <w:tcW w:w="1824" w:type="dxa"/>
                  <w:noWrap w:val="0"/>
                  <w:vAlign w:val="center"/>
                </w:tcPr>
                <w:p w14:paraId="58832735">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非该单位人员</w:t>
                  </w:r>
                </w:p>
              </w:tc>
              <w:tc>
                <w:tcPr>
                  <w:tcW w:w="2036" w:type="dxa"/>
                  <w:noWrap w:val="0"/>
                  <w:vAlign w:val="center"/>
                </w:tcPr>
                <w:p w14:paraId="16D6A655">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就近的操作人员</w:t>
                  </w:r>
                </w:p>
              </w:tc>
              <w:tc>
                <w:tcPr>
                  <w:tcW w:w="3537" w:type="dxa"/>
                  <w:noWrap w:val="0"/>
                  <w:vAlign w:val="center"/>
                </w:tcPr>
                <w:p w14:paraId="00EB3D30">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操作人员应立即采取必要晋级措施，如关闭进出口阀门；立即判断若难以有效处理，应立即报告现场主管。</w:t>
                  </w:r>
                </w:p>
              </w:tc>
            </w:tr>
            <w:tr w14:paraId="23A6F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4" w:type="dxa"/>
                  <w:vMerge w:val="restart"/>
                  <w:noWrap w:val="0"/>
                  <w:vAlign w:val="center"/>
                </w:tcPr>
                <w:p w14:paraId="5A4F911A">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2.接到现场异常事故通知</w:t>
                  </w:r>
                </w:p>
              </w:tc>
              <w:tc>
                <w:tcPr>
                  <w:tcW w:w="1824" w:type="dxa"/>
                  <w:vMerge w:val="restart"/>
                  <w:noWrap w:val="0"/>
                  <w:vAlign w:val="center"/>
                </w:tcPr>
                <w:p w14:paraId="39504FB6">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现场主管</w:t>
                  </w:r>
                </w:p>
              </w:tc>
              <w:tc>
                <w:tcPr>
                  <w:tcW w:w="2036" w:type="dxa"/>
                  <w:noWrap w:val="0"/>
                  <w:vAlign w:val="center"/>
                </w:tcPr>
                <w:p w14:paraId="186C4BDB">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车间人员</w:t>
                  </w:r>
                </w:p>
              </w:tc>
              <w:tc>
                <w:tcPr>
                  <w:tcW w:w="3537" w:type="dxa"/>
                  <w:noWrap w:val="0"/>
                  <w:vAlign w:val="center"/>
                </w:tcPr>
                <w:p w14:paraId="125D7917">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通知人员应变，立即实施车间紧急应变。</w:t>
                  </w:r>
                </w:p>
              </w:tc>
            </w:tr>
            <w:tr w14:paraId="4D6F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4" w:type="dxa"/>
                  <w:vMerge w:val="continue"/>
                  <w:noWrap w:val="0"/>
                  <w:vAlign w:val="center"/>
                </w:tcPr>
                <w:p w14:paraId="5679A76A">
                  <w:pPr>
                    <w:pStyle w:val="48"/>
                    <w:spacing w:line="240" w:lineRule="auto"/>
                    <w:rPr>
                      <w:rFonts w:hint="default" w:ascii="Times New Roman" w:hAnsi="Times New Roman" w:cs="Times New Roman"/>
                      <w:color w:val="auto"/>
                      <w:sz w:val="21"/>
                      <w:szCs w:val="21"/>
                      <w:lang w:val="en-US" w:eastAsia="zh-CN"/>
                    </w:rPr>
                  </w:pPr>
                </w:p>
              </w:tc>
              <w:tc>
                <w:tcPr>
                  <w:tcW w:w="1824" w:type="dxa"/>
                  <w:vMerge w:val="continue"/>
                  <w:noWrap w:val="0"/>
                  <w:vAlign w:val="center"/>
                </w:tcPr>
                <w:p w14:paraId="3AAD405A">
                  <w:pPr>
                    <w:pStyle w:val="48"/>
                    <w:spacing w:line="240" w:lineRule="auto"/>
                    <w:rPr>
                      <w:rFonts w:hint="default" w:ascii="Times New Roman" w:hAnsi="Times New Roman" w:cs="Times New Roman"/>
                      <w:color w:val="auto"/>
                      <w:sz w:val="21"/>
                      <w:szCs w:val="21"/>
                      <w:lang w:val="en-US" w:eastAsia="zh-CN"/>
                    </w:rPr>
                  </w:pPr>
                </w:p>
              </w:tc>
              <w:tc>
                <w:tcPr>
                  <w:tcW w:w="2036" w:type="dxa"/>
                  <w:noWrap w:val="0"/>
                  <w:vAlign w:val="center"/>
                </w:tcPr>
                <w:p w14:paraId="6351AFC6">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班长</w:t>
                  </w:r>
                </w:p>
              </w:tc>
              <w:tc>
                <w:tcPr>
                  <w:tcW w:w="3537" w:type="dxa"/>
                  <w:noWrap w:val="0"/>
                  <w:vAlign w:val="center"/>
                </w:tcPr>
                <w:p w14:paraId="4D5395EC">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转报班长至现场指挥救灾工作。</w:t>
                  </w:r>
                </w:p>
              </w:tc>
            </w:tr>
            <w:tr w14:paraId="582D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4" w:type="dxa"/>
                  <w:noWrap w:val="0"/>
                  <w:vAlign w:val="center"/>
                </w:tcPr>
                <w:p w14:paraId="767EFB3D">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3.事故报备</w:t>
                  </w:r>
                </w:p>
              </w:tc>
              <w:tc>
                <w:tcPr>
                  <w:tcW w:w="1824" w:type="dxa"/>
                  <w:noWrap w:val="0"/>
                  <w:vAlign w:val="center"/>
                </w:tcPr>
                <w:p w14:paraId="56589212">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厂区工安人员</w:t>
                  </w:r>
                </w:p>
              </w:tc>
              <w:tc>
                <w:tcPr>
                  <w:tcW w:w="2036" w:type="dxa"/>
                  <w:noWrap w:val="0"/>
                  <w:vAlign w:val="center"/>
                </w:tcPr>
                <w:p w14:paraId="4E1D4051">
                  <w:pPr>
                    <w:pStyle w:val="48"/>
                    <w:spacing w:line="240" w:lineRule="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宿州市泗县生态环境分局</w:t>
                  </w:r>
                </w:p>
              </w:tc>
              <w:tc>
                <w:tcPr>
                  <w:tcW w:w="3537" w:type="dxa"/>
                  <w:noWrap w:val="0"/>
                  <w:vAlign w:val="center"/>
                </w:tcPr>
                <w:p w14:paraId="385666DD">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一小时内向</w:t>
                  </w:r>
                  <w:r>
                    <w:rPr>
                      <w:rFonts w:hint="eastAsia" w:cs="Times New Roman"/>
                      <w:color w:val="auto"/>
                      <w:sz w:val="21"/>
                      <w:szCs w:val="21"/>
                      <w:lang w:val="en-US" w:eastAsia="zh-CN"/>
                    </w:rPr>
                    <w:t>宿州市泗县生态环境分局</w:t>
                  </w:r>
                  <w:r>
                    <w:rPr>
                      <w:rFonts w:hint="default" w:ascii="Times New Roman" w:hAnsi="Times New Roman" w:cs="Times New Roman"/>
                      <w:color w:val="auto"/>
                      <w:sz w:val="21"/>
                      <w:szCs w:val="21"/>
                      <w:lang w:val="en-US" w:eastAsia="zh-CN"/>
                    </w:rPr>
                    <w:t>报备。</w:t>
                  </w:r>
                </w:p>
              </w:tc>
            </w:tr>
            <w:tr w14:paraId="3DF6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4" w:type="dxa"/>
                  <w:noWrap w:val="0"/>
                  <w:vAlign w:val="center"/>
                </w:tcPr>
                <w:p w14:paraId="1DB9FB66">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4.善后处理</w:t>
                  </w:r>
                </w:p>
              </w:tc>
              <w:tc>
                <w:tcPr>
                  <w:tcW w:w="1824" w:type="dxa"/>
                  <w:noWrap w:val="0"/>
                  <w:vAlign w:val="center"/>
                </w:tcPr>
                <w:p w14:paraId="55E2CE19">
                  <w:pPr>
                    <w:pStyle w:val="48"/>
                    <w:spacing w:line="240" w:lineRule="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2036" w:type="dxa"/>
                  <w:noWrap w:val="0"/>
                  <w:vAlign w:val="center"/>
                </w:tcPr>
                <w:p w14:paraId="3A5359C4">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异常发生区域</w:t>
                  </w:r>
                </w:p>
              </w:tc>
              <w:tc>
                <w:tcPr>
                  <w:tcW w:w="3537" w:type="dxa"/>
                  <w:noWrap w:val="0"/>
                  <w:vAlign w:val="center"/>
                </w:tcPr>
                <w:p w14:paraId="207E5CDF">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事故消除后，立即进行灾害现场清楚及复建工作。</w:t>
                  </w:r>
                </w:p>
              </w:tc>
            </w:tr>
            <w:tr w14:paraId="1DB1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4" w:type="dxa"/>
                  <w:noWrap w:val="0"/>
                  <w:vAlign w:val="center"/>
                </w:tcPr>
                <w:p w14:paraId="7692A287">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5.异常检讨改善</w:t>
                  </w:r>
                </w:p>
              </w:tc>
              <w:tc>
                <w:tcPr>
                  <w:tcW w:w="1824" w:type="dxa"/>
                  <w:noWrap w:val="0"/>
                  <w:vAlign w:val="center"/>
                </w:tcPr>
                <w:p w14:paraId="386E2194">
                  <w:pPr>
                    <w:pStyle w:val="48"/>
                    <w:spacing w:line="240" w:lineRule="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2036" w:type="dxa"/>
                  <w:noWrap w:val="0"/>
                  <w:vAlign w:val="center"/>
                </w:tcPr>
                <w:p w14:paraId="731FADD6">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异常发生区域</w:t>
                  </w:r>
                </w:p>
              </w:tc>
              <w:tc>
                <w:tcPr>
                  <w:tcW w:w="3537" w:type="dxa"/>
                  <w:noWrap w:val="0"/>
                  <w:vAlign w:val="center"/>
                </w:tcPr>
                <w:p w14:paraId="5727F26D">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检讨事故发生原因、救灾工作缺失，研议改善措施。</w:t>
                  </w:r>
                </w:p>
              </w:tc>
            </w:tr>
          </w:tbl>
          <w:p w14:paraId="57931A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应急指挥中心根据企业生产的安排，组织公司应急专业救援组对工厂邻近地区可采取发放传单、开座谈会等形式开展公众教育和发布有关信息，或配合当地消防部门对邻近地区公众进行应急救援培训。</w:t>
            </w:r>
          </w:p>
          <w:p w14:paraId="6CE1A5E8">
            <w:pPr>
              <w:tabs>
                <w:tab w:val="left" w:pos="685"/>
              </w:tabs>
              <w:spacing w:line="360" w:lineRule="auto"/>
              <w:ind w:firstLine="482"/>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6.3.11</w:t>
            </w:r>
            <w:r>
              <w:rPr>
                <w:rFonts w:hint="default"/>
                <w:color w:val="auto"/>
                <w:sz w:val="24"/>
                <w:szCs w:val="24"/>
                <w:lang w:eastAsia="zh-CN"/>
              </w:rPr>
              <w:t>突发环境事件应急预案</w:t>
            </w:r>
            <w:r>
              <w:rPr>
                <w:rFonts w:hint="default" w:ascii="Times New Roman" w:hAnsi="Times New Roman" w:cs="Times New Roman"/>
                <w:b w:val="0"/>
                <w:bCs w:val="0"/>
                <w:color w:val="auto"/>
                <w:sz w:val="24"/>
                <w:szCs w:val="24"/>
                <w:lang w:val="en-US" w:eastAsia="zh-CN"/>
              </w:rPr>
              <w:t>编制要求</w:t>
            </w:r>
          </w:p>
          <w:p w14:paraId="444F37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通过对污染事故的风险评价，建设单位和各有关部门应制定实施突发性事故应急预案，降低重大环境污染事故发生的概率，消除事故风险隐患。</w:t>
            </w:r>
          </w:p>
          <w:p w14:paraId="6A17A7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突发环境事件应急管理办法》（环境保护部令第34号）、《企业事业单位突发环境事件应急预案备案管理办法（试行）》（环发【2015】4号）、《关于进一步加强环境影响评价管理防范环境风险的通知》（环发【2012】77号）、《企业突发环境事件风险分级方法》（HJ941-2018）等的规定和要求，建议建设单位尽快编制突发环境事件应急预案向企业所在地环境保护主管部门备案，同时注意编制的应急预案应与沿线各区域、各相关企业应急系统衔接。</w:t>
            </w:r>
          </w:p>
          <w:p w14:paraId="71E1FF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6.4</w:t>
            </w:r>
            <w:r>
              <w:rPr>
                <w:rFonts w:hint="default" w:ascii="Times New Roman" w:hAnsi="Times New Roman" w:cs="Times New Roman"/>
                <w:color w:val="auto"/>
                <w:sz w:val="24"/>
                <w:szCs w:val="24"/>
                <w:lang w:val="en-US" w:eastAsia="zh-CN"/>
              </w:rPr>
              <w:t>环境风险分析结论</w:t>
            </w:r>
          </w:p>
          <w:p w14:paraId="4B68FD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在各环境风险防范措施落实到位的情况下，将可大大降低建设项目的环境风险，最大程度减少对环境可能造成的危害。在企业落实本评价提出的各项风险防范措施后，项目对环境的风险影响可接受。</w:t>
            </w:r>
          </w:p>
          <w:p w14:paraId="499159B3">
            <w:pPr>
              <w:pStyle w:val="45"/>
              <w:ind w:firstLine="482"/>
              <w:rPr>
                <w:rFonts w:hint="default" w:ascii="Times New Roman" w:hAnsi="Times New Roman" w:cs="Times New Roman"/>
                <w:b/>
                <w:bCs/>
                <w:color w:val="auto"/>
              </w:rPr>
            </w:pPr>
            <w:r>
              <w:rPr>
                <w:rFonts w:hint="default" w:ascii="Times New Roman" w:hAnsi="Times New Roman" w:cs="Times New Roman"/>
                <w:b/>
                <w:bCs/>
                <w:color w:val="auto"/>
              </w:rPr>
              <w:t>7、生态</w:t>
            </w:r>
          </w:p>
          <w:p w14:paraId="1E424DB9">
            <w:pPr>
              <w:pStyle w:val="45"/>
              <w:rPr>
                <w:rFonts w:hint="default" w:ascii="Times New Roman" w:hAnsi="Times New Roman" w:cs="Times New Roman"/>
                <w:color w:val="auto"/>
              </w:rPr>
            </w:pPr>
            <w:r>
              <w:rPr>
                <w:rFonts w:hint="default" w:ascii="Times New Roman" w:hAnsi="Times New Roman" w:cs="Times New Roman"/>
                <w:color w:val="auto"/>
                <w:lang w:eastAsia="zh-CN"/>
              </w:rPr>
              <w:t>本项目利用现有建设用地，用地范围内无生态环境保护目标，</w:t>
            </w:r>
            <w:r>
              <w:rPr>
                <w:rFonts w:hint="default" w:ascii="Times New Roman" w:hAnsi="Times New Roman" w:cs="Times New Roman"/>
                <w:b w:val="0"/>
                <w:bCs/>
                <w:color w:val="auto"/>
              </w:rPr>
              <w:t>不会对周边生态环境造成明显影响。</w:t>
            </w:r>
          </w:p>
          <w:p w14:paraId="02F1DBE7">
            <w:pPr>
              <w:pStyle w:val="45"/>
              <w:ind w:firstLine="482"/>
              <w:rPr>
                <w:rFonts w:hint="default" w:ascii="Times New Roman" w:hAnsi="Times New Roman" w:cs="Times New Roman"/>
                <w:b/>
                <w:bCs/>
                <w:color w:val="auto"/>
              </w:rPr>
            </w:pPr>
            <w:r>
              <w:rPr>
                <w:rFonts w:hint="default" w:ascii="Times New Roman" w:hAnsi="Times New Roman" w:cs="Times New Roman"/>
                <w:b/>
                <w:bCs/>
                <w:color w:val="auto"/>
              </w:rPr>
              <w:t>8、电磁辐射</w:t>
            </w:r>
          </w:p>
          <w:p w14:paraId="042C6A0A">
            <w:pPr>
              <w:pStyle w:val="45"/>
              <w:rPr>
                <w:rFonts w:hint="default" w:ascii="Times New Roman" w:hAnsi="Times New Roman" w:cs="Times New Roman"/>
                <w:color w:val="auto"/>
              </w:rPr>
            </w:pPr>
            <w:r>
              <w:rPr>
                <w:rFonts w:hint="default" w:ascii="Times New Roman" w:hAnsi="Times New Roman" w:cs="Times New Roman"/>
                <w:color w:val="auto"/>
              </w:rPr>
              <w:t>本项目不涉及电磁辐射。</w:t>
            </w:r>
          </w:p>
        </w:tc>
      </w:tr>
    </w:tbl>
    <w:p w14:paraId="181DEEB0">
      <w:pPr>
        <w:jc w:val="left"/>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五、环境保护措施监督检查清单</w:t>
      </w:r>
    </w:p>
    <w:tbl>
      <w:tblPr>
        <w:tblStyle w:val="32"/>
        <w:tblW w:w="102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40"/>
        <w:gridCol w:w="2040"/>
        <w:gridCol w:w="1301"/>
        <w:gridCol w:w="2780"/>
        <w:gridCol w:w="2044"/>
      </w:tblGrid>
      <w:tr w14:paraId="10E58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14:paraId="65CC6A2B">
            <w:pPr>
              <w:pStyle w:val="38"/>
              <w:jc w:val="center"/>
              <w:rPr>
                <w:rFonts w:hint="default" w:ascii="Times New Roman" w:hAnsi="Times New Roman" w:cs="Times New Roman"/>
                <w:b w:val="0"/>
                <w:bCs/>
                <w:color w:val="auto"/>
              </w:rPr>
            </w:pPr>
            <w:r>
              <w:rPr>
                <w:rFonts w:hint="default" w:ascii="Times New Roman" w:hAnsi="Times New Roman" w:cs="Times New Roman"/>
                <w:b w:val="0"/>
                <w:bCs/>
                <w:color w:val="auto"/>
              </w:rPr>
              <mc:AlternateContent>
                <mc:Choice Requires="wps">
                  <w:drawing>
                    <wp:anchor distT="0" distB="0" distL="114300" distR="114300" simplePos="0" relativeHeight="251662336" behindDoc="0" locked="0" layoutInCell="1" allowOverlap="1">
                      <wp:simplePos x="0" y="0"/>
                      <wp:positionH relativeFrom="column">
                        <wp:posOffset>-59690</wp:posOffset>
                      </wp:positionH>
                      <wp:positionV relativeFrom="paragraph">
                        <wp:posOffset>-17145</wp:posOffset>
                      </wp:positionV>
                      <wp:extent cx="1293495" cy="416560"/>
                      <wp:effectExtent l="1270" t="4445" r="19685" b="17145"/>
                      <wp:wrapNone/>
                      <wp:docPr id="2" name="直接连接符 2"/>
                      <wp:cNvGraphicFramePr/>
                      <a:graphic xmlns:a="http://schemas.openxmlformats.org/drawingml/2006/main">
                        <a:graphicData uri="http://schemas.microsoft.com/office/word/2010/wordprocessingShape">
                          <wps:wsp>
                            <wps:cNvCnPr/>
                            <wps:spPr>
                              <a:xfrm>
                                <a:off x="908685" y="1312545"/>
                                <a:ext cx="1293495" cy="4165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7pt;margin-top:-1.35pt;height:32.8pt;width:101.85pt;z-index:251662336;mso-width-relative:page;mso-height-relative:page;" filled="f" stroked="t" coordsize="21600,21600" o:gfxdata="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G9wiW2AAAAAgBAAAPAAAAAAAAAAEAIAAAACIAAABkcnMvZG93bnJldi54bWxQ&#10;SwECFAAUAAAACACHTuJA/tduPPcBAADBAwAADgAAAAAAAAABACAAAAAnAQAAZHJzL2Uyb0RvYy54&#10;bWxQSwUGAAAAAAYABgBZAQAAkAUAAAAA&#10;">
                      <v:fill on="f" focussize="0,0"/>
                      <v:stroke weight="0.5pt" color="#000000 [3213]" miterlimit="8" joinstyle="miter"/>
                      <v:imagedata o:title=""/>
                      <o:lock v:ext="edit" aspectratio="f"/>
                    </v:line>
                  </w:pict>
                </mc:Fallback>
              </mc:AlternateContent>
            </w:r>
            <w:r>
              <w:rPr>
                <w:rFonts w:hint="default" w:ascii="Times New Roman" w:hAnsi="Times New Roman" w:cs="Times New Roman"/>
                <w:b w:val="0"/>
                <w:bCs/>
                <w:color w:val="auto"/>
              </w:rPr>
              <w:t xml:space="preserve">         </w:t>
            </w:r>
            <w:r>
              <w:rPr>
                <w:rFonts w:hint="default" w:ascii="Times New Roman" w:hAnsi="Times New Roman" w:cs="Times New Roman"/>
                <w:b w:val="0"/>
                <w:bCs/>
                <w:color w:val="auto"/>
                <w:lang w:val="en-US" w:eastAsia="zh-CN"/>
              </w:rPr>
              <w:t xml:space="preserve"> </w:t>
            </w:r>
            <w:r>
              <w:rPr>
                <w:rFonts w:hint="default" w:ascii="Times New Roman" w:hAnsi="Times New Roman" w:cs="Times New Roman"/>
                <w:b w:val="0"/>
                <w:bCs/>
                <w:color w:val="auto"/>
              </w:rPr>
              <w:t>内容</w:t>
            </w:r>
          </w:p>
          <w:p w14:paraId="354E2CAF">
            <w:pPr>
              <w:pStyle w:val="38"/>
              <w:rPr>
                <w:rFonts w:hint="default" w:ascii="Times New Roman" w:hAnsi="Times New Roman" w:cs="Times New Roman"/>
                <w:b w:val="0"/>
                <w:bCs/>
                <w:color w:val="auto"/>
              </w:rPr>
            </w:pPr>
            <w:r>
              <w:rPr>
                <w:rFonts w:hint="default" w:ascii="Times New Roman" w:hAnsi="Times New Roman" w:cs="Times New Roman"/>
                <w:b w:val="0"/>
                <w:bCs/>
                <w:color w:val="auto"/>
              </w:rPr>
              <w:t>类型</w:t>
            </w:r>
          </w:p>
        </w:tc>
        <w:tc>
          <w:tcPr>
            <w:tcW w:w="2040" w:type="dxa"/>
            <w:vAlign w:val="center"/>
          </w:tcPr>
          <w:p w14:paraId="4495F43D">
            <w:pPr>
              <w:pStyle w:val="38"/>
              <w:jc w:val="center"/>
              <w:rPr>
                <w:rFonts w:hint="default" w:ascii="Times New Roman" w:hAnsi="Times New Roman" w:cs="Times New Roman"/>
                <w:b w:val="0"/>
                <w:bCs/>
                <w:color w:val="auto"/>
              </w:rPr>
            </w:pPr>
            <w:r>
              <w:rPr>
                <w:rFonts w:hint="default" w:ascii="Times New Roman" w:hAnsi="Times New Roman" w:cs="Times New Roman"/>
                <w:b w:val="0"/>
                <w:bCs/>
                <w:color w:val="auto"/>
              </w:rPr>
              <w:t>排放口（编号、名称）/污染源</w:t>
            </w:r>
          </w:p>
        </w:tc>
        <w:tc>
          <w:tcPr>
            <w:tcW w:w="1301" w:type="dxa"/>
            <w:vAlign w:val="center"/>
          </w:tcPr>
          <w:p w14:paraId="0B245018">
            <w:pPr>
              <w:pStyle w:val="38"/>
              <w:jc w:val="center"/>
              <w:rPr>
                <w:rFonts w:hint="default" w:ascii="Times New Roman" w:hAnsi="Times New Roman" w:cs="Times New Roman"/>
                <w:b w:val="0"/>
                <w:bCs/>
                <w:color w:val="auto"/>
              </w:rPr>
            </w:pPr>
            <w:r>
              <w:rPr>
                <w:rFonts w:hint="default" w:ascii="Times New Roman" w:hAnsi="Times New Roman" w:cs="Times New Roman"/>
                <w:b w:val="0"/>
                <w:bCs/>
                <w:color w:val="auto"/>
              </w:rPr>
              <w:t>污染物名称</w:t>
            </w:r>
          </w:p>
        </w:tc>
        <w:tc>
          <w:tcPr>
            <w:tcW w:w="2780" w:type="dxa"/>
            <w:vAlign w:val="center"/>
          </w:tcPr>
          <w:p w14:paraId="3C5BA6DE">
            <w:pPr>
              <w:pStyle w:val="38"/>
              <w:jc w:val="center"/>
              <w:rPr>
                <w:rFonts w:hint="default" w:ascii="Times New Roman" w:hAnsi="Times New Roman" w:cs="Times New Roman"/>
                <w:b w:val="0"/>
                <w:bCs/>
                <w:color w:val="auto"/>
              </w:rPr>
            </w:pPr>
            <w:r>
              <w:rPr>
                <w:rFonts w:hint="default" w:ascii="Times New Roman" w:hAnsi="Times New Roman" w:cs="Times New Roman"/>
                <w:b w:val="0"/>
                <w:bCs/>
                <w:color w:val="auto"/>
              </w:rPr>
              <w:t>环境保护措施</w:t>
            </w:r>
          </w:p>
        </w:tc>
        <w:tc>
          <w:tcPr>
            <w:tcW w:w="2044" w:type="dxa"/>
            <w:vAlign w:val="center"/>
          </w:tcPr>
          <w:p w14:paraId="743E5264">
            <w:pPr>
              <w:pStyle w:val="38"/>
              <w:jc w:val="center"/>
              <w:rPr>
                <w:rFonts w:hint="default" w:ascii="Times New Roman" w:hAnsi="Times New Roman" w:cs="Times New Roman"/>
                <w:b w:val="0"/>
                <w:bCs/>
                <w:color w:val="auto"/>
              </w:rPr>
            </w:pPr>
            <w:r>
              <w:rPr>
                <w:rFonts w:hint="default" w:ascii="Times New Roman" w:hAnsi="Times New Roman" w:cs="Times New Roman"/>
                <w:b w:val="0"/>
                <w:bCs/>
                <w:color w:val="auto"/>
              </w:rPr>
              <w:t>执行标准</w:t>
            </w:r>
          </w:p>
        </w:tc>
      </w:tr>
      <w:tr w14:paraId="765013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Merge w:val="restart"/>
            <w:vAlign w:val="center"/>
          </w:tcPr>
          <w:p w14:paraId="629CAE8D">
            <w:pPr>
              <w:pStyle w:val="38"/>
              <w:jc w:val="center"/>
              <w:rPr>
                <w:rFonts w:hint="default" w:ascii="Times New Roman" w:hAnsi="Times New Roman" w:cs="Times New Roman"/>
                <w:b w:val="0"/>
                <w:bCs/>
                <w:color w:val="auto"/>
              </w:rPr>
            </w:pPr>
            <w:r>
              <w:rPr>
                <w:rFonts w:hint="default" w:ascii="Times New Roman" w:hAnsi="Times New Roman" w:cs="Times New Roman"/>
                <w:b w:val="0"/>
                <w:bCs/>
                <w:color w:val="auto"/>
              </w:rPr>
              <w:t>大气环境</w:t>
            </w:r>
          </w:p>
        </w:tc>
        <w:tc>
          <w:tcPr>
            <w:tcW w:w="2040" w:type="dxa"/>
            <w:vAlign w:val="center"/>
          </w:tcPr>
          <w:p w14:paraId="74382083">
            <w:pPr>
              <w:pStyle w:val="38"/>
              <w:jc w:val="center"/>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DA001</w:t>
            </w:r>
          </w:p>
          <w:p w14:paraId="761AB612">
            <w:pPr>
              <w:pStyle w:val="38"/>
              <w:jc w:val="center"/>
              <w:rPr>
                <w:rFonts w:hint="default" w:ascii="Times New Roman" w:hAnsi="Times New Roman" w:cs="Times New Roman"/>
                <w:b w:val="0"/>
                <w:bCs/>
                <w:color w:val="auto"/>
                <w:sz w:val="24"/>
                <w:szCs w:val="24"/>
              </w:rPr>
            </w:pPr>
            <w:r>
              <w:rPr>
                <w:rFonts w:hint="default"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烤料、热压成型</w:t>
            </w:r>
            <w:r>
              <w:rPr>
                <w:rFonts w:hint="default" w:ascii="Times New Roman" w:hAnsi="Times New Roman" w:eastAsia="宋体" w:cs="Times New Roman"/>
                <w:b w:val="0"/>
                <w:bCs/>
                <w:color w:val="auto"/>
                <w:sz w:val="24"/>
                <w:szCs w:val="24"/>
                <w:lang w:val="en-US" w:eastAsia="zh-CN"/>
              </w:rPr>
              <w:t>）</w:t>
            </w:r>
          </w:p>
        </w:tc>
        <w:tc>
          <w:tcPr>
            <w:tcW w:w="1301" w:type="dxa"/>
            <w:shd w:val="clear" w:color="auto" w:fill="auto"/>
            <w:vAlign w:val="center"/>
          </w:tcPr>
          <w:p w14:paraId="29E40BEA">
            <w:pPr>
              <w:pStyle w:val="38"/>
              <w:jc w:val="center"/>
              <w:rPr>
                <w:rFonts w:hint="default" w:ascii="Times New Roman" w:hAnsi="Times New Roman" w:eastAsia="宋体" w:cs="Times New Roman"/>
                <w:b w:val="0"/>
                <w:bCs/>
                <w:color w:val="auto"/>
                <w:kern w:val="2"/>
                <w:sz w:val="24"/>
                <w:szCs w:val="24"/>
                <w:lang w:val="en-US" w:eastAsia="zh-CN" w:bidi="ar-SA"/>
              </w:rPr>
            </w:pPr>
            <w:r>
              <w:rPr>
                <w:rFonts w:hint="eastAsia" w:cs="Times New Roman"/>
                <w:b w:val="0"/>
                <w:bCs/>
                <w:color w:val="auto"/>
                <w:sz w:val="24"/>
                <w:szCs w:val="24"/>
                <w:lang w:val="en-US" w:eastAsia="zh-CN"/>
              </w:rPr>
              <w:t>非甲烷总烃、甲醛</w:t>
            </w:r>
          </w:p>
        </w:tc>
        <w:tc>
          <w:tcPr>
            <w:tcW w:w="2780" w:type="dxa"/>
            <w:shd w:val="clear" w:color="auto" w:fill="auto"/>
            <w:vAlign w:val="center"/>
          </w:tcPr>
          <w:p w14:paraId="799786EA">
            <w:pPr>
              <w:pStyle w:val="38"/>
              <w:keepNext w:val="0"/>
              <w:keepLines w:val="0"/>
              <w:pageBreakBefore w:val="0"/>
              <w:widowControl w:val="0"/>
              <w:kinsoku/>
              <w:wordWrap/>
              <w:overflowPunct/>
              <w:topLinePunct w:val="0"/>
              <w:autoSpaceDE w:val="0"/>
              <w:bidi w:val="0"/>
              <w:adjustRightInd w:val="0"/>
              <w:snapToGrid/>
              <w:ind w:firstLine="0" w:firstLineChars="0"/>
              <w:jc w:val="center"/>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sz w:val="24"/>
                <w:szCs w:val="24"/>
                <w:lang w:val="en-US" w:eastAsia="zh-CN"/>
              </w:rPr>
              <w:t>1套“集气系统+</w:t>
            </w:r>
            <w:r>
              <w:rPr>
                <w:rFonts w:hint="eastAsia" w:cs="Times New Roman"/>
                <w:b w:val="0"/>
                <w:bCs/>
                <w:color w:val="auto"/>
                <w:sz w:val="24"/>
                <w:szCs w:val="24"/>
                <w:lang w:val="en-US" w:eastAsia="zh-CN"/>
              </w:rPr>
              <w:t>两级活性炭吸附箱</w:t>
            </w:r>
            <w:r>
              <w:rPr>
                <w:rFonts w:hint="default" w:ascii="Times New Roman" w:hAnsi="Times New Roman" w:eastAsia="宋体"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15</w:t>
            </w:r>
            <w:r>
              <w:rPr>
                <w:rFonts w:hint="default" w:ascii="Times New Roman" w:hAnsi="Times New Roman" w:eastAsia="宋体" w:cs="Times New Roman"/>
                <w:b w:val="0"/>
                <w:bCs/>
                <w:color w:val="auto"/>
                <w:sz w:val="24"/>
                <w:szCs w:val="24"/>
                <w:lang w:val="en-US" w:eastAsia="zh-CN"/>
              </w:rPr>
              <w:t>m高</w:t>
            </w:r>
            <w:r>
              <w:rPr>
                <w:rFonts w:hint="eastAsia" w:cs="Times New Roman"/>
                <w:b w:val="0"/>
                <w:bCs/>
                <w:color w:val="auto"/>
                <w:sz w:val="24"/>
                <w:szCs w:val="24"/>
                <w:lang w:val="en-US" w:eastAsia="zh-CN"/>
              </w:rPr>
              <w:t>排气筒</w:t>
            </w:r>
            <w:r>
              <w:rPr>
                <w:rFonts w:hint="default"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bCs w:val="0"/>
                <w:color w:val="auto"/>
                <w:sz w:val="24"/>
                <w:szCs w:val="24"/>
                <w:lang w:val="en-US" w:eastAsia="zh-CN"/>
              </w:rPr>
              <w:t>DA001</w:t>
            </w:r>
            <w:r>
              <w:rPr>
                <w:rFonts w:hint="default" w:ascii="Times New Roman" w:hAnsi="Times New Roman" w:eastAsia="宋体" w:cs="Times New Roman"/>
                <w:b w:val="0"/>
                <w:bCs/>
                <w:color w:val="auto"/>
                <w:sz w:val="24"/>
                <w:szCs w:val="24"/>
                <w:lang w:val="en-US" w:eastAsia="zh-CN"/>
              </w:rPr>
              <w:t>）”</w:t>
            </w:r>
          </w:p>
        </w:tc>
        <w:tc>
          <w:tcPr>
            <w:tcW w:w="2044" w:type="dxa"/>
            <w:vAlign w:val="center"/>
          </w:tcPr>
          <w:p w14:paraId="02408E3E">
            <w:pPr>
              <w:pStyle w:val="38"/>
              <w:keepNext w:val="0"/>
              <w:keepLines w:val="0"/>
              <w:pageBreakBefore w:val="0"/>
              <w:widowControl w:val="0"/>
              <w:kinsoku/>
              <w:wordWrap/>
              <w:overflowPunct/>
              <w:topLinePunct/>
              <w:autoSpaceDE w:val="0"/>
              <w:autoSpaceDN/>
              <w:bidi w:val="0"/>
              <w:adjustRightInd w:val="0"/>
              <w:snapToGrid/>
              <w:jc w:val="center"/>
              <w:textAlignment w:val="auto"/>
              <w:rPr>
                <w:rFonts w:hint="default" w:ascii="Times New Roman" w:hAnsi="Times New Roman" w:eastAsia="宋体" w:cs="Times New Roman"/>
                <w:b w:val="0"/>
                <w:bCs/>
                <w:color w:val="auto"/>
                <w:sz w:val="24"/>
                <w:szCs w:val="24"/>
                <w:lang w:val="en-US" w:eastAsia="zh-CN"/>
              </w:rPr>
            </w:pPr>
            <w:r>
              <w:rPr>
                <w:rFonts w:hint="eastAsia" w:cs="Times New Roman"/>
                <w:b w:val="0"/>
                <w:bCs/>
                <w:color w:val="auto"/>
                <w:sz w:val="24"/>
                <w:szCs w:val="24"/>
                <w:lang w:val="en-US" w:eastAsia="zh-CN"/>
              </w:rPr>
              <w:t>《固定源挥发性有机物综合排放标准 第6部分：其他行业》（DB34/4812.6-2024）表1中标准限值；《合成树脂工业污染物排放标准》（GB31572-2015）（含2024年修改单）表5中标准要求</w:t>
            </w:r>
          </w:p>
        </w:tc>
      </w:tr>
      <w:tr w14:paraId="6691E7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Merge w:val="continue"/>
            <w:vAlign w:val="center"/>
          </w:tcPr>
          <w:p w14:paraId="14D58CD5">
            <w:pPr>
              <w:pStyle w:val="38"/>
              <w:jc w:val="center"/>
              <w:rPr>
                <w:rFonts w:hint="default" w:ascii="Times New Roman" w:hAnsi="Times New Roman" w:cs="Times New Roman"/>
                <w:b w:val="0"/>
                <w:bCs/>
                <w:color w:val="auto"/>
              </w:rPr>
            </w:pPr>
          </w:p>
        </w:tc>
        <w:tc>
          <w:tcPr>
            <w:tcW w:w="2040" w:type="dxa"/>
            <w:vAlign w:val="center"/>
          </w:tcPr>
          <w:p w14:paraId="205AF3D1">
            <w:pPr>
              <w:pStyle w:val="38"/>
              <w:jc w:val="center"/>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DA001</w:t>
            </w:r>
          </w:p>
          <w:p w14:paraId="0F393A24">
            <w:pPr>
              <w:pStyle w:val="38"/>
              <w:jc w:val="center"/>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吹灰</w:t>
            </w:r>
            <w:r>
              <w:rPr>
                <w:rFonts w:hint="default" w:ascii="Times New Roman" w:hAnsi="Times New Roman" w:eastAsia="宋体" w:cs="Times New Roman"/>
                <w:b w:val="0"/>
                <w:bCs/>
                <w:color w:val="auto"/>
                <w:sz w:val="24"/>
                <w:szCs w:val="24"/>
                <w:lang w:val="en-US" w:eastAsia="zh-CN"/>
              </w:rPr>
              <w:t>）</w:t>
            </w:r>
          </w:p>
        </w:tc>
        <w:tc>
          <w:tcPr>
            <w:tcW w:w="1301" w:type="dxa"/>
            <w:shd w:val="clear" w:color="auto" w:fill="auto"/>
            <w:vAlign w:val="center"/>
          </w:tcPr>
          <w:p w14:paraId="668ED517">
            <w:pPr>
              <w:pStyle w:val="38"/>
              <w:jc w:val="center"/>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cs="Times New Roman"/>
                <w:b w:val="0"/>
                <w:bCs/>
                <w:color w:val="auto"/>
                <w:sz w:val="24"/>
                <w:szCs w:val="24"/>
                <w:lang w:val="en-US" w:eastAsia="zh-CN"/>
              </w:rPr>
              <w:t>颗粒物</w:t>
            </w:r>
          </w:p>
        </w:tc>
        <w:tc>
          <w:tcPr>
            <w:tcW w:w="2780" w:type="dxa"/>
            <w:shd w:val="clear" w:color="auto" w:fill="auto"/>
            <w:vAlign w:val="center"/>
          </w:tcPr>
          <w:p w14:paraId="24971D5F">
            <w:pPr>
              <w:pStyle w:val="38"/>
              <w:keepNext w:val="0"/>
              <w:keepLines w:val="0"/>
              <w:pageBreakBefore w:val="0"/>
              <w:widowControl w:val="0"/>
              <w:kinsoku/>
              <w:wordWrap/>
              <w:overflowPunct/>
              <w:topLinePunct w:val="0"/>
              <w:autoSpaceDE w:val="0"/>
              <w:bidi w:val="0"/>
              <w:adjustRightInd w:val="0"/>
              <w:snapToGrid/>
              <w:ind w:firstLine="0" w:firstLineChars="0"/>
              <w:jc w:val="center"/>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sz w:val="24"/>
                <w:szCs w:val="24"/>
                <w:lang w:val="en-US" w:eastAsia="zh-CN"/>
              </w:rPr>
              <w:t>1套“集气系统+袋式除尘器+</w:t>
            </w:r>
            <w:r>
              <w:rPr>
                <w:rFonts w:hint="default" w:ascii="Times New Roman" w:hAnsi="Times New Roman" w:cs="Times New Roman"/>
                <w:b w:val="0"/>
                <w:bCs/>
                <w:color w:val="auto"/>
                <w:sz w:val="24"/>
                <w:szCs w:val="24"/>
                <w:lang w:val="en-US" w:eastAsia="zh-CN"/>
              </w:rPr>
              <w:t>15</w:t>
            </w:r>
            <w:r>
              <w:rPr>
                <w:rFonts w:hint="default" w:ascii="Times New Roman" w:hAnsi="Times New Roman" w:eastAsia="宋体" w:cs="Times New Roman"/>
                <w:b w:val="0"/>
                <w:bCs/>
                <w:color w:val="auto"/>
                <w:sz w:val="24"/>
                <w:szCs w:val="24"/>
                <w:lang w:val="en-US" w:eastAsia="zh-CN"/>
              </w:rPr>
              <w:t>m高排气</w:t>
            </w:r>
            <w:r>
              <w:rPr>
                <w:rFonts w:hint="eastAsia" w:cs="Times New Roman"/>
                <w:b w:val="0"/>
                <w:bCs/>
                <w:color w:val="auto"/>
                <w:sz w:val="24"/>
                <w:szCs w:val="24"/>
                <w:lang w:val="en-US" w:eastAsia="zh-CN"/>
              </w:rPr>
              <w:t>筒</w:t>
            </w:r>
            <w:r>
              <w:rPr>
                <w:rFonts w:hint="default"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bCs w:val="0"/>
                <w:color w:val="auto"/>
                <w:sz w:val="24"/>
                <w:szCs w:val="24"/>
                <w:lang w:val="en-US" w:eastAsia="zh-CN"/>
              </w:rPr>
              <w:t>DA001</w:t>
            </w:r>
            <w:r>
              <w:rPr>
                <w:rFonts w:hint="default" w:ascii="Times New Roman" w:hAnsi="Times New Roman" w:eastAsia="宋体" w:cs="Times New Roman"/>
                <w:b w:val="0"/>
                <w:bCs/>
                <w:color w:val="auto"/>
                <w:sz w:val="24"/>
                <w:szCs w:val="24"/>
                <w:lang w:val="en-US" w:eastAsia="zh-CN"/>
              </w:rPr>
              <w:t>）”</w:t>
            </w:r>
          </w:p>
        </w:tc>
        <w:tc>
          <w:tcPr>
            <w:tcW w:w="2044" w:type="dxa"/>
            <w:vAlign w:val="center"/>
          </w:tcPr>
          <w:p w14:paraId="0B1917BD">
            <w:pPr>
              <w:pStyle w:val="38"/>
              <w:keepNext w:val="0"/>
              <w:keepLines w:val="0"/>
              <w:pageBreakBefore w:val="0"/>
              <w:widowControl w:val="0"/>
              <w:kinsoku/>
              <w:wordWrap/>
              <w:overflowPunct/>
              <w:topLinePunct/>
              <w:autoSpaceDE w:val="0"/>
              <w:autoSpaceDN/>
              <w:bidi w:val="0"/>
              <w:adjustRightInd w:val="0"/>
              <w:snapToGrid/>
              <w:jc w:val="center"/>
              <w:textAlignment w:val="auto"/>
              <w:rPr>
                <w:rFonts w:hint="default"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合成树脂工业污染物排放标准》（GB31572-2015）（含2024年修改单）表</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val="en-US" w:eastAsia="zh-CN"/>
              </w:rPr>
              <w:t>中标准要求</w:t>
            </w:r>
          </w:p>
        </w:tc>
      </w:tr>
      <w:tr w14:paraId="1719A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040" w:type="dxa"/>
            <w:vMerge w:val="continue"/>
            <w:vAlign w:val="center"/>
          </w:tcPr>
          <w:p w14:paraId="20216DBF">
            <w:pPr>
              <w:pStyle w:val="38"/>
              <w:jc w:val="center"/>
              <w:rPr>
                <w:rFonts w:hint="default" w:ascii="Times New Roman" w:hAnsi="Times New Roman" w:cs="Times New Roman"/>
                <w:b w:val="0"/>
                <w:bCs/>
                <w:color w:val="auto"/>
              </w:rPr>
            </w:pPr>
          </w:p>
        </w:tc>
        <w:tc>
          <w:tcPr>
            <w:tcW w:w="2040" w:type="dxa"/>
            <w:shd w:val="clear" w:color="auto" w:fill="auto"/>
            <w:vAlign w:val="center"/>
          </w:tcPr>
          <w:p w14:paraId="48513F50">
            <w:pPr>
              <w:pStyle w:val="38"/>
              <w:jc w:val="center"/>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DA00</w:t>
            </w:r>
            <w:r>
              <w:rPr>
                <w:rFonts w:hint="eastAsia" w:cs="Times New Roman"/>
                <w:b w:val="0"/>
                <w:bCs/>
                <w:color w:val="auto"/>
                <w:sz w:val="24"/>
                <w:szCs w:val="24"/>
                <w:lang w:val="en-US" w:eastAsia="zh-CN"/>
              </w:rPr>
              <w:t>2</w:t>
            </w:r>
          </w:p>
          <w:p w14:paraId="1DD4F41C">
            <w:pPr>
              <w:pStyle w:val="38"/>
              <w:jc w:val="center"/>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sz w:val="24"/>
                <w:szCs w:val="24"/>
                <w:lang w:val="en-US" w:eastAsia="zh-CN"/>
              </w:rPr>
              <w:t>（</w:t>
            </w:r>
            <w:r>
              <w:rPr>
                <w:rFonts w:hint="default" w:ascii="Times New Roman" w:hAnsi="Times New Roman" w:cs="Times New Roman"/>
                <w:b w:val="0"/>
                <w:bCs/>
                <w:color w:val="auto"/>
                <w:sz w:val="24"/>
                <w:szCs w:val="24"/>
                <w:lang w:val="en-US" w:eastAsia="zh-CN"/>
              </w:rPr>
              <w:t>磨</w:t>
            </w:r>
            <w:r>
              <w:rPr>
                <w:rFonts w:hint="eastAsia" w:cs="Times New Roman"/>
                <w:b w:val="0"/>
                <w:bCs/>
                <w:color w:val="auto"/>
                <w:sz w:val="24"/>
                <w:szCs w:val="24"/>
                <w:lang w:val="en-US" w:eastAsia="zh-CN"/>
              </w:rPr>
              <w:t>边</w:t>
            </w:r>
            <w:r>
              <w:rPr>
                <w:rFonts w:hint="default" w:ascii="Times New Roman" w:hAnsi="Times New Roman" w:eastAsia="宋体" w:cs="Times New Roman"/>
                <w:b w:val="0"/>
                <w:bCs/>
                <w:color w:val="auto"/>
                <w:sz w:val="24"/>
                <w:szCs w:val="24"/>
                <w:lang w:val="en-US" w:eastAsia="zh-CN"/>
              </w:rPr>
              <w:t>）</w:t>
            </w:r>
          </w:p>
        </w:tc>
        <w:tc>
          <w:tcPr>
            <w:tcW w:w="1301" w:type="dxa"/>
            <w:shd w:val="clear" w:color="auto" w:fill="auto"/>
            <w:vAlign w:val="center"/>
          </w:tcPr>
          <w:p w14:paraId="25A0F257">
            <w:pPr>
              <w:pStyle w:val="38"/>
              <w:jc w:val="center"/>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cs="Times New Roman"/>
                <w:b w:val="0"/>
                <w:bCs/>
                <w:color w:val="auto"/>
                <w:sz w:val="24"/>
                <w:szCs w:val="24"/>
                <w:lang w:val="en-US" w:eastAsia="zh-CN"/>
              </w:rPr>
              <w:t>颗粒物</w:t>
            </w:r>
          </w:p>
        </w:tc>
        <w:tc>
          <w:tcPr>
            <w:tcW w:w="2780" w:type="dxa"/>
            <w:shd w:val="clear" w:color="auto" w:fill="auto"/>
            <w:vAlign w:val="center"/>
          </w:tcPr>
          <w:p w14:paraId="6906CE9A">
            <w:pPr>
              <w:pStyle w:val="38"/>
              <w:keepNext w:val="0"/>
              <w:keepLines w:val="0"/>
              <w:pageBreakBefore w:val="0"/>
              <w:widowControl w:val="0"/>
              <w:kinsoku/>
              <w:wordWrap/>
              <w:overflowPunct/>
              <w:topLinePunct w:val="0"/>
              <w:autoSpaceDE w:val="0"/>
              <w:bidi w:val="0"/>
              <w:adjustRightInd w:val="0"/>
              <w:snapToGrid/>
              <w:ind w:firstLine="0" w:firstLineChars="0"/>
              <w:jc w:val="center"/>
              <w:textAlignment w:val="auto"/>
              <w:rPr>
                <w:rFonts w:hint="default" w:ascii="Times New Roman" w:hAnsi="Times New Roman" w:eastAsia="宋体" w:cs="Times New Roman"/>
                <w:b w:val="0"/>
                <w:bCs/>
                <w:color w:val="auto"/>
                <w:kern w:val="2"/>
                <w:sz w:val="24"/>
                <w:szCs w:val="24"/>
                <w:lang w:val="en-US" w:eastAsia="zh-CN" w:bidi="ar-SA"/>
              </w:rPr>
            </w:pPr>
            <w:r>
              <w:rPr>
                <w:rFonts w:hint="eastAsia" w:cs="Times New Roman"/>
                <w:b w:val="0"/>
                <w:bCs/>
                <w:color w:val="auto"/>
                <w:sz w:val="24"/>
                <w:szCs w:val="24"/>
                <w:lang w:val="en-US" w:eastAsia="zh-CN"/>
              </w:rPr>
              <w:t>1</w:t>
            </w:r>
            <w:r>
              <w:rPr>
                <w:rFonts w:hint="default" w:ascii="Times New Roman" w:hAnsi="Times New Roman" w:eastAsia="宋体" w:cs="Times New Roman"/>
                <w:b w:val="0"/>
                <w:bCs/>
                <w:color w:val="auto"/>
                <w:sz w:val="24"/>
                <w:szCs w:val="24"/>
                <w:lang w:val="en-US" w:eastAsia="zh-CN"/>
              </w:rPr>
              <w:t>套“集气系统+</w:t>
            </w:r>
            <w:r>
              <w:rPr>
                <w:rFonts w:hint="eastAsia" w:cs="Times New Roman"/>
                <w:b w:val="0"/>
                <w:bCs/>
                <w:color w:val="auto"/>
                <w:sz w:val="24"/>
                <w:szCs w:val="24"/>
                <w:lang w:val="en-US" w:eastAsia="zh-CN"/>
              </w:rPr>
              <w:t>袋式除尘器”</w:t>
            </w:r>
            <w:r>
              <w:rPr>
                <w:rFonts w:hint="default"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1根</w:t>
            </w:r>
            <w:r>
              <w:rPr>
                <w:rFonts w:hint="default" w:ascii="Times New Roman" w:hAnsi="Times New Roman" w:cs="Times New Roman"/>
                <w:b w:val="0"/>
                <w:bCs/>
                <w:color w:val="auto"/>
                <w:sz w:val="24"/>
                <w:szCs w:val="24"/>
                <w:lang w:val="en-US" w:eastAsia="zh-CN"/>
              </w:rPr>
              <w:t>15</w:t>
            </w:r>
            <w:r>
              <w:rPr>
                <w:rFonts w:hint="default" w:ascii="Times New Roman" w:hAnsi="Times New Roman" w:eastAsia="宋体" w:cs="Times New Roman"/>
                <w:b w:val="0"/>
                <w:bCs/>
                <w:color w:val="auto"/>
                <w:sz w:val="24"/>
                <w:szCs w:val="24"/>
                <w:lang w:val="en-US" w:eastAsia="zh-CN"/>
              </w:rPr>
              <w:t>m高排气</w:t>
            </w:r>
            <w:r>
              <w:rPr>
                <w:rFonts w:hint="eastAsia" w:cs="Times New Roman"/>
                <w:b w:val="0"/>
                <w:bCs/>
                <w:color w:val="auto"/>
                <w:sz w:val="24"/>
                <w:szCs w:val="24"/>
                <w:lang w:val="en-US" w:eastAsia="zh-CN"/>
              </w:rPr>
              <w:t>筒</w:t>
            </w:r>
            <w:r>
              <w:rPr>
                <w:rFonts w:hint="default"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bCs w:val="0"/>
                <w:color w:val="auto"/>
                <w:sz w:val="24"/>
                <w:szCs w:val="24"/>
                <w:lang w:val="en-US" w:eastAsia="zh-CN"/>
              </w:rPr>
              <w:t>DA00</w:t>
            </w:r>
            <w:r>
              <w:rPr>
                <w:rFonts w:hint="eastAsia" w:cs="Times New Roman"/>
                <w:b/>
                <w:bCs w:val="0"/>
                <w:color w:val="auto"/>
                <w:sz w:val="24"/>
                <w:szCs w:val="24"/>
                <w:lang w:val="en-US" w:eastAsia="zh-CN"/>
              </w:rPr>
              <w:t>2</w:t>
            </w:r>
            <w:r>
              <w:rPr>
                <w:rFonts w:hint="default" w:ascii="Times New Roman" w:hAnsi="Times New Roman" w:eastAsia="宋体" w:cs="Times New Roman"/>
                <w:b w:val="0"/>
                <w:bCs/>
                <w:color w:val="auto"/>
                <w:sz w:val="24"/>
                <w:szCs w:val="24"/>
                <w:lang w:val="en-US" w:eastAsia="zh-CN"/>
              </w:rPr>
              <w:t>）</w:t>
            </w:r>
          </w:p>
        </w:tc>
        <w:tc>
          <w:tcPr>
            <w:tcW w:w="2044" w:type="dxa"/>
            <w:shd w:val="clear" w:color="auto" w:fill="auto"/>
            <w:vAlign w:val="center"/>
          </w:tcPr>
          <w:p w14:paraId="556A77C0">
            <w:pPr>
              <w:pStyle w:val="38"/>
              <w:keepNext w:val="0"/>
              <w:keepLines w:val="0"/>
              <w:pageBreakBefore w:val="0"/>
              <w:widowControl w:val="0"/>
              <w:kinsoku/>
              <w:wordWrap/>
              <w:overflowPunct/>
              <w:topLinePunct/>
              <w:autoSpaceDE w:val="0"/>
              <w:autoSpaceDN/>
              <w:bidi w:val="0"/>
              <w:adjustRightInd w:val="0"/>
              <w:snapToGrid/>
              <w:jc w:val="center"/>
              <w:textAlignment w:val="auto"/>
              <w:rPr>
                <w:rFonts w:hint="default"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合成树脂工业污染物排放标准》（GB31572-2015）（含2024年修改单）表</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val="en-US" w:eastAsia="zh-CN"/>
              </w:rPr>
              <w:t>中标准要求</w:t>
            </w:r>
          </w:p>
        </w:tc>
      </w:tr>
      <w:tr w14:paraId="12B63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Merge w:val="continue"/>
            <w:vAlign w:val="center"/>
          </w:tcPr>
          <w:p w14:paraId="327D846D">
            <w:pPr>
              <w:pStyle w:val="38"/>
              <w:jc w:val="center"/>
              <w:rPr>
                <w:rFonts w:hint="default" w:ascii="Times New Roman" w:hAnsi="Times New Roman" w:cs="Times New Roman"/>
                <w:b w:val="0"/>
                <w:bCs/>
                <w:color w:val="auto"/>
              </w:rPr>
            </w:pPr>
          </w:p>
        </w:tc>
        <w:tc>
          <w:tcPr>
            <w:tcW w:w="2040" w:type="dxa"/>
            <w:vMerge w:val="restart"/>
            <w:shd w:val="clear" w:color="auto" w:fill="auto"/>
            <w:vAlign w:val="center"/>
          </w:tcPr>
          <w:p w14:paraId="69ED9DAD">
            <w:pPr>
              <w:pStyle w:val="38"/>
              <w:jc w:val="center"/>
              <w:rPr>
                <w:rFonts w:hint="default" w:ascii="Times New Roman" w:hAnsi="Times New Roman" w:eastAsia="宋体" w:cs="Times New Roman"/>
                <w:b w:val="0"/>
                <w:bCs/>
                <w:color w:val="auto"/>
                <w:sz w:val="24"/>
                <w:szCs w:val="24"/>
                <w:lang w:val="en-US" w:eastAsia="zh-CN"/>
              </w:rPr>
            </w:pPr>
            <w:r>
              <w:rPr>
                <w:rFonts w:hint="eastAsia" w:cs="Times New Roman"/>
                <w:b w:val="0"/>
                <w:bCs/>
                <w:color w:val="auto"/>
                <w:sz w:val="24"/>
                <w:szCs w:val="24"/>
                <w:lang w:val="en-US" w:eastAsia="zh-CN"/>
              </w:rPr>
              <w:t>厂界</w:t>
            </w:r>
          </w:p>
        </w:tc>
        <w:tc>
          <w:tcPr>
            <w:tcW w:w="1301" w:type="dxa"/>
            <w:shd w:val="clear" w:color="auto" w:fill="auto"/>
            <w:vAlign w:val="center"/>
          </w:tcPr>
          <w:p w14:paraId="0F8CC069">
            <w:pPr>
              <w:pStyle w:val="38"/>
              <w:jc w:val="center"/>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颗粒物</w:t>
            </w:r>
            <w:r>
              <w:rPr>
                <w:rFonts w:hint="eastAsia" w:cs="Times New Roman"/>
                <w:b w:val="0"/>
                <w:bCs/>
                <w:color w:val="auto"/>
                <w:sz w:val="24"/>
                <w:szCs w:val="24"/>
                <w:lang w:val="en-US" w:eastAsia="zh-CN"/>
              </w:rPr>
              <w:t>、非甲烷总烃</w:t>
            </w:r>
          </w:p>
        </w:tc>
        <w:tc>
          <w:tcPr>
            <w:tcW w:w="2780" w:type="dxa"/>
            <w:vMerge w:val="restart"/>
            <w:shd w:val="clear" w:color="auto" w:fill="auto"/>
            <w:vAlign w:val="center"/>
          </w:tcPr>
          <w:p w14:paraId="4B78233C">
            <w:pPr>
              <w:pStyle w:val="38"/>
              <w:keepNext w:val="0"/>
              <w:keepLines w:val="0"/>
              <w:pageBreakBefore w:val="0"/>
              <w:widowControl w:val="0"/>
              <w:kinsoku/>
              <w:wordWrap/>
              <w:overflowPunct/>
              <w:topLinePunct w:val="0"/>
              <w:autoSpaceDE w:val="0"/>
              <w:bidi w:val="0"/>
              <w:adjustRightInd w:val="0"/>
              <w:snapToGrid/>
              <w:ind w:firstLine="0" w:firstLineChars="0"/>
              <w:jc w:val="center"/>
              <w:textAlignment w:val="auto"/>
              <w:rPr>
                <w:rFonts w:hint="default" w:cs="Times New Roman"/>
                <w:b w:val="0"/>
                <w:bCs/>
                <w:color w:val="auto"/>
                <w:sz w:val="24"/>
                <w:szCs w:val="24"/>
                <w:lang w:val="en-US" w:eastAsia="zh-CN"/>
              </w:rPr>
            </w:pPr>
            <w:r>
              <w:rPr>
                <w:rFonts w:hint="eastAsia" w:cs="Times New Roman"/>
                <w:b w:val="0"/>
                <w:bCs/>
                <w:color w:val="auto"/>
                <w:sz w:val="24"/>
                <w:szCs w:val="24"/>
                <w:lang w:val="en-US" w:eastAsia="zh-CN"/>
              </w:rPr>
              <w:t>车间通风</w:t>
            </w:r>
          </w:p>
        </w:tc>
        <w:tc>
          <w:tcPr>
            <w:tcW w:w="2044" w:type="dxa"/>
            <w:shd w:val="clear" w:color="auto" w:fill="auto"/>
            <w:vAlign w:val="center"/>
          </w:tcPr>
          <w:p w14:paraId="561B5FA3">
            <w:pPr>
              <w:pStyle w:val="38"/>
              <w:keepNext w:val="0"/>
              <w:keepLines w:val="0"/>
              <w:pageBreakBefore w:val="0"/>
              <w:widowControl w:val="0"/>
              <w:kinsoku/>
              <w:wordWrap/>
              <w:overflowPunct/>
              <w:topLinePunct/>
              <w:autoSpaceDE w:val="0"/>
              <w:autoSpaceDN/>
              <w:bidi w:val="0"/>
              <w:adjustRightInd w:val="0"/>
              <w:snapToGrid/>
              <w:jc w:val="center"/>
              <w:textAlignment w:val="auto"/>
              <w:rPr>
                <w:rFonts w:hint="default"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合成树脂工业污染物排放标准》（GB31572-2015）（含2024年修改单）表</w:t>
            </w:r>
            <w:r>
              <w:rPr>
                <w:rFonts w:hint="eastAsia" w:cs="Times New Roman"/>
                <w:color w:val="auto"/>
                <w:sz w:val="24"/>
                <w:lang w:val="en-US" w:eastAsia="zh-CN"/>
              </w:rPr>
              <w:t>9</w:t>
            </w:r>
            <w:r>
              <w:rPr>
                <w:rFonts w:hint="default" w:ascii="Times New Roman" w:hAnsi="Times New Roman" w:eastAsia="宋体" w:cs="Times New Roman"/>
                <w:color w:val="auto"/>
                <w:sz w:val="24"/>
                <w:lang w:val="en-US" w:eastAsia="zh-CN"/>
              </w:rPr>
              <w:t>中标准要求</w:t>
            </w:r>
          </w:p>
        </w:tc>
      </w:tr>
      <w:tr w14:paraId="392A39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Merge w:val="continue"/>
            <w:vAlign w:val="center"/>
          </w:tcPr>
          <w:p w14:paraId="72077385">
            <w:pPr>
              <w:pStyle w:val="38"/>
              <w:jc w:val="center"/>
              <w:rPr>
                <w:rFonts w:hint="default" w:ascii="Times New Roman" w:hAnsi="Times New Roman" w:cs="Times New Roman"/>
                <w:b w:val="0"/>
                <w:bCs/>
                <w:color w:val="auto"/>
              </w:rPr>
            </w:pPr>
          </w:p>
        </w:tc>
        <w:tc>
          <w:tcPr>
            <w:tcW w:w="2040" w:type="dxa"/>
            <w:vMerge w:val="continue"/>
            <w:shd w:val="clear" w:color="auto" w:fill="auto"/>
            <w:vAlign w:val="center"/>
          </w:tcPr>
          <w:p w14:paraId="6E4B700C">
            <w:pPr>
              <w:pStyle w:val="38"/>
              <w:jc w:val="center"/>
              <w:rPr>
                <w:rFonts w:hint="eastAsia" w:cs="Times New Roman"/>
                <w:b w:val="0"/>
                <w:bCs/>
                <w:color w:val="auto"/>
                <w:sz w:val="24"/>
                <w:szCs w:val="24"/>
                <w:lang w:val="en-US" w:eastAsia="zh-CN"/>
              </w:rPr>
            </w:pPr>
          </w:p>
        </w:tc>
        <w:tc>
          <w:tcPr>
            <w:tcW w:w="1301" w:type="dxa"/>
            <w:shd w:val="clear" w:color="auto" w:fill="auto"/>
            <w:vAlign w:val="center"/>
          </w:tcPr>
          <w:p w14:paraId="76FE2CE7">
            <w:pPr>
              <w:pStyle w:val="38"/>
              <w:jc w:val="center"/>
              <w:rPr>
                <w:rFonts w:hint="default" w:ascii="Times New Roman" w:hAnsi="Times New Roman" w:cs="Times New Roman"/>
                <w:b w:val="0"/>
                <w:bCs/>
                <w:color w:val="auto"/>
                <w:sz w:val="24"/>
                <w:szCs w:val="24"/>
                <w:lang w:val="en-US" w:eastAsia="zh-CN"/>
              </w:rPr>
            </w:pPr>
            <w:r>
              <w:rPr>
                <w:rFonts w:hint="eastAsia" w:cs="Times New Roman"/>
                <w:b w:val="0"/>
                <w:bCs/>
                <w:color w:val="auto"/>
                <w:sz w:val="24"/>
                <w:szCs w:val="24"/>
                <w:lang w:val="en-US" w:eastAsia="zh-CN"/>
              </w:rPr>
              <w:t>甲醛</w:t>
            </w:r>
          </w:p>
        </w:tc>
        <w:tc>
          <w:tcPr>
            <w:tcW w:w="2780" w:type="dxa"/>
            <w:vMerge w:val="continue"/>
            <w:shd w:val="clear" w:color="auto" w:fill="auto"/>
            <w:vAlign w:val="center"/>
          </w:tcPr>
          <w:p w14:paraId="32B132B6">
            <w:pPr>
              <w:pStyle w:val="38"/>
              <w:keepNext w:val="0"/>
              <w:keepLines w:val="0"/>
              <w:pageBreakBefore w:val="0"/>
              <w:widowControl w:val="0"/>
              <w:kinsoku/>
              <w:wordWrap/>
              <w:overflowPunct/>
              <w:topLinePunct w:val="0"/>
              <w:autoSpaceDE w:val="0"/>
              <w:bidi w:val="0"/>
              <w:adjustRightInd w:val="0"/>
              <w:snapToGrid/>
              <w:ind w:firstLine="0" w:firstLineChars="0"/>
              <w:jc w:val="center"/>
              <w:textAlignment w:val="auto"/>
              <w:rPr>
                <w:rFonts w:hint="eastAsia" w:cs="Times New Roman"/>
                <w:b w:val="0"/>
                <w:bCs/>
                <w:color w:val="auto"/>
                <w:sz w:val="24"/>
                <w:szCs w:val="24"/>
                <w:lang w:val="en-US" w:eastAsia="zh-CN"/>
              </w:rPr>
            </w:pPr>
          </w:p>
        </w:tc>
        <w:tc>
          <w:tcPr>
            <w:tcW w:w="2044" w:type="dxa"/>
            <w:shd w:val="clear" w:color="auto" w:fill="auto"/>
            <w:vAlign w:val="center"/>
          </w:tcPr>
          <w:p w14:paraId="1CA849E7">
            <w:pPr>
              <w:pStyle w:val="38"/>
              <w:keepNext w:val="0"/>
              <w:keepLines w:val="0"/>
              <w:pageBreakBefore w:val="0"/>
              <w:widowControl w:val="0"/>
              <w:kinsoku/>
              <w:wordWrap/>
              <w:overflowPunct/>
              <w:topLinePunct/>
              <w:autoSpaceDE w:val="0"/>
              <w:autoSpaceDN/>
              <w:bidi w:val="0"/>
              <w:adjustRightInd w:val="0"/>
              <w:snapToGrid/>
              <w:jc w:val="center"/>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《固定源挥发性有机物综合排放标准 第6部分：其他行业》（DB34/4812.6-2024）表5中标准限值</w:t>
            </w:r>
          </w:p>
        </w:tc>
      </w:tr>
      <w:tr w14:paraId="76B78F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14:paraId="782E14D1">
            <w:pPr>
              <w:pStyle w:val="38"/>
              <w:jc w:val="center"/>
              <w:rPr>
                <w:rFonts w:hint="default" w:ascii="Times New Roman" w:hAnsi="Times New Roman" w:cs="Times New Roman"/>
                <w:b w:val="0"/>
                <w:bCs/>
                <w:color w:val="auto"/>
              </w:rPr>
            </w:pPr>
            <w:r>
              <w:rPr>
                <w:rFonts w:hint="default" w:ascii="Times New Roman" w:hAnsi="Times New Roman" w:cs="Times New Roman"/>
                <w:b w:val="0"/>
                <w:bCs/>
                <w:color w:val="auto"/>
              </w:rPr>
              <w:t>水环境</w:t>
            </w:r>
          </w:p>
        </w:tc>
        <w:tc>
          <w:tcPr>
            <w:tcW w:w="2040" w:type="dxa"/>
            <w:vAlign w:val="center"/>
          </w:tcPr>
          <w:p w14:paraId="3CA65D0B">
            <w:pPr>
              <w:pStyle w:val="38"/>
              <w:jc w:val="center"/>
              <w:rPr>
                <w:rFonts w:hint="default" w:ascii="Times New Roman" w:hAnsi="Times New Roman" w:eastAsia="宋体" w:cs="Times New Roman"/>
                <w:b w:val="0"/>
                <w:bCs/>
                <w:color w:val="auto"/>
                <w:lang w:eastAsia="zh-CN"/>
              </w:rPr>
            </w:pPr>
            <w:r>
              <w:rPr>
                <w:rFonts w:hint="default" w:ascii="Times New Roman" w:hAnsi="Times New Roman" w:cs="Times New Roman"/>
                <w:b w:val="0"/>
                <w:bCs/>
                <w:color w:val="auto"/>
              </w:rPr>
              <w:t>职工生活</w:t>
            </w:r>
          </w:p>
        </w:tc>
        <w:tc>
          <w:tcPr>
            <w:tcW w:w="1301" w:type="dxa"/>
            <w:vAlign w:val="center"/>
          </w:tcPr>
          <w:p w14:paraId="2B5B1F5B">
            <w:pPr>
              <w:pStyle w:val="38"/>
              <w:jc w:val="center"/>
              <w:rPr>
                <w:rFonts w:hint="default" w:ascii="Times New Roman" w:hAnsi="Times New Roman" w:eastAsia="宋体" w:cs="Times New Roman"/>
                <w:b w:val="0"/>
                <w:bCs/>
                <w:color w:val="auto"/>
                <w:sz w:val="24"/>
                <w:szCs w:val="24"/>
                <w:lang w:val="en-US" w:eastAsia="zh-CN"/>
              </w:rPr>
            </w:pPr>
            <w:r>
              <w:rPr>
                <w:rFonts w:hint="default" w:ascii="Times New Roman" w:hAnsi="Times New Roman" w:cs="Times New Roman"/>
                <w:b w:val="0"/>
                <w:bCs/>
                <w:color w:val="auto"/>
              </w:rPr>
              <w:t>pH、COD、NH</w:t>
            </w:r>
            <w:r>
              <w:rPr>
                <w:rFonts w:hint="default" w:ascii="Times New Roman" w:hAnsi="Times New Roman" w:cs="Times New Roman"/>
                <w:b w:val="0"/>
                <w:bCs/>
                <w:color w:val="auto"/>
                <w:vertAlign w:val="subscript"/>
              </w:rPr>
              <w:t>3</w:t>
            </w:r>
            <w:r>
              <w:rPr>
                <w:rFonts w:hint="default" w:ascii="Times New Roman" w:hAnsi="Times New Roman" w:cs="Times New Roman"/>
                <w:b w:val="0"/>
                <w:bCs/>
                <w:color w:val="auto"/>
              </w:rPr>
              <w:t>-N、BOD</w:t>
            </w:r>
            <w:r>
              <w:rPr>
                <w:rFonts w:hint="default" w:ascii="Times New Roman" w:hAnsi="Times New Roman" w:cs="Times New Roman"/>
                <w:b w:val="0"/>
                <w:bCs/>
                <w:color w:val="auto"/>
                <w:vertAlign w:val="subscript"/>
              </w:rPr>
              <w:t>5</w:t>
            </w:r>
            <w:r>
              <w:rPr>
                <w:rFonts w:hint="default" w:ascii="Times New Roman" w:hAnsi="Times New Roman" w:cs="Times New Roman"/>
                <w:b w:val="0"/>
                <w:bCs/>
                <w:color w:val="auto"/>
              </w:rPr>
              <w:t>、SS</w:t>
            </w:r>
          </w:p>
        </w:tc>
        <w:tc>
          <w:tcPr>
            <w:tcW w:w="2780" w:type="dxa"/>
            <w:vAlign w:val="center"/>
          </w:tcPr>
          <w:p w14:paraId="014C145C">
            <w:pPr>
              <w:pStyle w:val="38"/>
              <w:keepNext w:val="0"/>
              <w:keepLines w:val="0"/>
              <w:pageBreakBefore w:val="0"/>
              <w:widowControl w:val="0"/>
              <w:kinsoku/>
              <w:wordWrap/>
              <w:overflowPunct/>
              <w:topLinePunct w:val="0"/>
              <w:autoSpaceDE w:val="0"/>
              <w:bidi w:val="0"/>
              <w:adjustRightInd w:val="0"/>
              <w:snapToGrid/>
              <w:ind w:firstLine="0" w:firstLineChars="0"/>
              <w:jc w:val="center"/>
              <w:textAlignment w:val="auto"/>
              <w:rPr>
                <w:rFonts w:hint="default" w:ascii="Times New Roman" w:hAnsi="Times New Roman" w:eastAsia="宋体" w:cs="Times New Roman"/>
                <w:b w:val="0"/>
                <w:bCs/>
                <w:color w:val="auto"/>
                <w:sz w:val="24"/>
                <w:szCs w:val="24"/>
                <w:lang w:val="en-US" w:eastAsia="zh-CN"/>
              </w:rPr>
            </w:pPr>
            <w:r>
              <w:rPr>
                <w:rFonts w:hint="eastAsia" w:cs="Times New Roman"/>
                <w:b w:val="0"/>
                <w:bCs/>
                <w:color w:val="auto"/>
                <w:lang w:eastAsia="zh-CN"/>
              </w:rPr>
              <w:t>职工生活污水依托园区现有“化粪池”处理后达到《污水综合排放标准》（GB8978-1996）表4中三级标准限值及泗县工业污水处理厂接管限值后排入泗县工业污水处理厂处理达《城镇污水处理厂污染物排放标准》（GB18918-2002）表1中一级标准A标准后排入石梁河。</w:t>
            </w:r>
          </w:p>
        </w:tc>
        <w:tc>
          <w:tcPr>
            <w:tcW w:w="2044" w:type="dxa"/>
            <w:vAlign w:val="center"/>
          </w:tcPr>
          <w:p w14:paraId="46872225">
            <w:pPr>
              <w:pStyle w:val="38"/>
              <w:keepNext w:val="0"/>
              <w:keepLines w:val="0"/>
              <w:pageBreakBefore w:val="0"/>
              <w:widowControl w:val="0"/>
              <w:kinsoku/>
              <w:wordWrap/>
              <w:overflowPunct/>
              <w:topLinePunct/>
              <w:autoSpaceDE w:val="0"/>
              <w:autoSpaceDN/>
              <w:bidi w:val="0"/>
              <w:adjustRightInd w:val="0"/>
              <w:snapToGrid/>
              <w:jc w:val="center"/>
              <w:textAlignment w:val="auto"/>
              <w:rPr>
                <w:rFonts w:hint="default" w:ascii="Times New Roman" w:hAnsi="Times New Roman" w:eastAsia="宋体" w:cs="Times New Roman"/>
                <w:b w:val="0"/>
                <w:bCs/>
                <w:color w:val="auto"/>
                <w:lang w:val="en-US" w:eastAsia="zh-CN"/>
              </w:rPr>
            </w:pPr>
            <w:r>
              <w:rPr>
                <w:rFonts w:hint="eastAsia" w:cs="Times New Roman"/>
                <w:b w:val="0"/>
                <w:bCs/>
                <w:color w:val="auto"/>
                <w:lang w:eastAsia="zh-CN"/>
              </w:rPr>
              <w:t>《污水综合排放标准》（GB8978-1996）表4中三级标准限值及泗县工业污水处理厂接管限值</w:t>
            </w:r>
          </w:p>
        </w:tc>
      </w:tr>
      <w:tr w14:paraId="1CC2CD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040" w:type="dxa"/>
            <w:vAlign w:val="center"/>
          </w:tcPr>
          <w:p w14:paraId="4457F18A">
            <w:pPr>
              <w:pStyle w:val="38"/>
              <w:jc w:val="center"/>
              <w:rPr>
                <w:rFonts w:hint="default" w:ascii="Times New Roman" w:hAnsi="Times New Roman" w:cs="Times New Roman"/>
                <w:b w:val="0"/>
                <w:bCs/>
                <w:color w:val="auto"/>
              </w:rPr>
            </w:pPr>
            <w:r>
              <w:rPr>
                <w:rFonts w:hint="default" w:ascii="Times New Roman" w:hAnsi="Times New Roman" w:cs="Times New Roman"/>
                <w:b w:val="0"/>
                <w:bCs/>
                <w:color w:val="auto"/>
              </w:rPr>
              <w:t>声环境</w:t>
            </w:r>
          </w:p>
        </w:tc>
        <w:tc>
          <w:tcPr>
            <w:tcW w:w="2040" w:type="dxa"/>
            <w:vAlign w:val="center"/>
          </w:tcPr>
          <w:p w14:paraId="5B7D0642">
            <w:pPr>
              <w:pStyle w:val="38"/>
              <w:jc w:val="center"/>
              <w:rPr>
                <w:rFonts w:hint="default" w:ascii="Times New Roman" w:hAnsi="Times New Roman" w:cs="Times New Roman"/>
                <w:b w:val="0"/>
                <w:bCs/>
                <w:color w:val="auto"/>
              </w:rPr>
            </w:pPr>
            <w:r>
              <w:rPr>
                <w:rFonts w:hint="eastAsia" w:cs="Times New Roman"/>
                <w:color w:val="auto"/>
                <w:szCs w:val="21"/>
                <w:lang w:val="en-US" w:eastAsia="zh-CN"/>
              </w:rPr>
              <w:t>高周波、热压成型机</w:t>
            </w:r>
            <w:r>
              <w:rPr>
                <w:rFonts w:hint="default" w:ascii="Times New Roman" w:hAnsi="Times New Roman" w:cs="Times New Roman"/>
                <w:color w:val="auto"/>
                <w:szCs w:val="21"/>
                <w:lang w:val="en-US" w:eastAsia="zh-CN"/>
              </w:rPr>
              <w:t>、风机</w:t>
            </w:r>
            <w:r>
              <w:rPr>
                <w:rFonts w:hint="default" w:ascii="Times New Roman" w:hAnsi="Times New Roman" w:cs="Times New Roman"/>
                <w:b w:val="0"/>
                <w:bCs/>
                <w:color w:val="auto"/>
              </w:rPr>
              <w:t>等</w:t>
            </w:r>
          </w:p>
        </w:tc>
        <w:tc>
          <w:tcPr>
            <w:tcW w:w="1301" w:type="dxa"/>
            <w:vAlign w:val="center"/>
          </w:tcPr>
          <w:p w14:paraId="19B2506A">
            <w:pPr>
              <w:pStyle w:val="38"/>
              <w:jc w:val="center"/>
              <w:rPr>
                <w:rFonts w:hint="default" w:ascii="Times New Roman" w:hAnsi="Times New Roman" w:cs="Times New Roman"/>
                <w:b w:val="0"/>
                <w:bCs/>
                <w:color w:val="auto"/>
              </w:rPr>
            </w:pPr>
            <w:r>
              <w:rPr>
                <w:rFonts w:hint="default" w:ascii="Times New Roman" w:hAnsi="Times New Roman" w:cs="Times New Roman"/>
                <w:b w:val="0"/>
                <w:bCs/>
                <w:color w:val="auto"/>
              </w:rPr>
              <w:t>Leq（A）</w:t>
            </w:r>
          </w:p>
        </w:tc>
        <w:tc>
          <w:tcPr>
            <w:tcW w:w="2780" w:type="dxa"/>
            <w:vAlign w:val="center"/>
          </w:tcPr>
          <w:p w14:paraId="67F821C3">
            <w:pPr>
              <w:pStyle w:val="38"/>
              <w:keepNext w:val="0"/>
              <w:keepLines w:val="0"/>
              <w:pageBreakBefore w:val="0"/>
              <w:widowControl w:val="0"/>
              <w:kinsoku/>
              <w:wordWrap/>
              <w:overflowPunct/>
              <w:topLinePunct w:val="0"/>
              <w:autoSpaceDE w:val="0"/>
              <w:bidi w:val="0"/>
              <w:adjustRightInd w:val="0"/>
              <w:snapToGrid/>
              <w:ind w:firstLine="0" w:firstLineChars="0"/>
              <w:jc w:val="center"/>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选用低噪设备、采取基础减震、柔性连接、建筑物隔声等，再通过屏蔽、阻挡及距离衰减作用进行噪声防治。</w:t>
            </w:r>
          </w:p>
        </w:tc>
        <w:tc>
          <w:tcPr>
            <w:tcW w:w="2044" w:type="dxa"/>
            <w:vAlign w:val="center"/>
          </w:tcPr>
          <w:p w14:paraId="7E9D6DA2">
            <w:pPr>
              <w:pStyle w:val="38"/>
              <w:keepNext w:val="0"/>
              <w:keepLines w:val="0"/>
              <w:pageBreakBefore w:val="0"/>
              <w:widowControl w:val="0"/>
              <w:kinsoku/>
              <w:wordWrap/>
              <w:overflowPunct/>
              <w:topLinePunct/>
              <w:autoSpaceDE w:val="0"/>
              <w:autoSpaceDN/>
              <w:bidi w:val="0"/>
              <w:adjustRightInd w:val="0"/>
              <w:snapToGrid/>
              <w:jc w:val="center"/>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《工业企业厂界环境噪声排放标准》</w:t>
            </w:r>
          </w:p>
          <w:p w14:paraId="0130CB75">
            <w:pPr>
              <w:pStyle w:val="38"/>
              <w:keepNext w:val="0"/>
              <w:keepLines w:val="0"/>
              <w:pageBreakBefore w:val="0"/>
              <w:widowControl w:val="0"/>
              <w:kinsoku/>
              <w:wordWrap/>
              <w:overflowPunct/>
              <w:topLinePunct/>
              <w:autoSpaceDE w:val="0"/>
              <w:autoSpaceDN/>
              <w:bidi w:val="0"/>
              <w:adjustRightInd w:val="0"/>
              <w:snapToGrid/>
              <w:jc w:val="center"/>
              <w:textAlignment w:val="auto"/>
              <w:rPr>
                <w:rFonts w:hint="default" w:ascii="Times New Roman" w:hAnsi="Times New Roman" w:cs="Times New Roman"/>
                <w:b w:val="0"/>
                <w:bCs/>
                <w:color w:val="auto"/>
                <w:lang w:val="en-US"/>
              </w:rPr>
            </w:pPr>
            <w:r>
              <w:rPr>
                <w:rFonts w:hint="default" w:ascii="Times New Roman" w:hAnsi="Times New Roman" w:eastAsia="宋体" w:cs="Times New Roman"/>
                <w:b w:val="0"/>
                <w:bCs/>
                <w:color w:val="auto"/>
                <w:sz w:val="24"/>
                <w:szCs w:val="24"/>
                <w:lang w:val="en-US" w:eastAsia="zh-CN"/>
              </w:rPr>
              <w:t>（GB12348-2008）</w:t>
            </w:r>
            <w:r>
              <w:rPr>
                <w:rFonts w:hint="eastAsia" w:cs="Times New Roman"/>
                <w:b w:val="0"/>
                <w:bCs/>
                <w:color w:val="auto"/>
                <w:sz w:val="24"/>
                <w:szCs w:val="24"/>
                <w:lang w:val="en-US" w:eastAsia="zh-CN"/>
              </w:rPr>
              <w:t>3</w:t>
            </w:r>
            <w:r>
              <w:rPr>
                <w:rFonts w:hint="default" w:ascii="Times New Roman" w:hAnsi="Times New Roman" w:eastAsia="宋体" w:cs="Times New Roman"/>
                <w:b w:val="0"/>
                <w:bCs/>
                <w:color w:val="auto"/>
                <w:sz w:val="24"/>
                <w:szCs w:val="24"/>
                <w:lang w:val="en-US" w:eastAsia="zh-CN"/>
              </w:rPr>
              <w:t>类标准</w:t>
            </w:r>
          </w:p>
        </w:tc>
      </w:tr>
      <w:tr w14:paraId="06EB1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14:paraId="42143B42">
            <w:pPr>
              <w:pStyle w:val="38"/>
              <w:jc w:val="center"/>
              <w:rPr>
                <w:rFonts w:hint="default" w:ascii="Times New Roman" w:hAnsi="Times New Roman" w:cs="Times New Roman"/>
                <w:b w:val="0"/>
                <w:bCs/>
                <w:color w:val="auto"/>
              </w:rPr>
            </w:pPr>
            <w:r>
              <w:rPr>
                <w:rFonts w:hint="default" w:ascii="Times New Roman" w:hAnsi="Times New Roman" w:cs="Times New Roman"/>
                <w:b w:val="0"/>
                <w:bCs/>
                <w:color w:val="auto"/>
              </w:rPr>
              <w:t>电磁辐射</w:t>
            </w:r>
          </w:p>
        </w:tc>
        <w:tc>
          <w:tcPr>
            <w:tcW w:w="2040" w:type="dxa"/>
            <w:vAlign w:val="center"/>
          </w:tcPr>
          <w:p w14:paraId="5A71000B">
            <w:pPr>
              <w:pStyle w:val="38"/>
              <w:jc w:val="center"/>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1301" w:type="dxa"/>
            <w:vAlign w:val="center"/>
          </w:tcPr>
          <w:p w14:paraId="6923D17E">
            <w:pPr>
              <w:pStyle w:val="38"/>
              <w:jc w:val="center"/>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2780" w:type="dxa"/>
            <w:vAlign w:val="center"/>
          </w:tcPr>
          <w:p w14:paraId="12956973">
            <w:pPr>
              <w:pStyle w:val="38"/>
              <w:jc w:val="center"/>
              <w:rPr>
                <w:rFonts w:hint="default" w:ascii="Times New Roman" w:hAnsi="Times New Roman" w:cs="Times New Roman"/>
                <w:b w:val="0"/>
                <w:bCs/>
                <w:color w:val="auto"/>
              </w:rPr>
            </w:pPr>
            <w:r>
              <w:rPr>
                <w:rFonts w:hint="default" w:ascii="Times New Roman" w:hAnsi="Times New Roman" w:cs="Times New Roman"/>
                <w:b w:val="0"/>
                <w:bCs/>
                <w:color w:val="auto"/>
              </w:rPr>
              <w:t>/</w:t>
            </w:r>
          </w:p>
        </w:tc>
        <w:tc>
          <w:tcPr>
            <w:tcW w:w="2044" w:type="dxa"/>
            <w:vAlign w:val="center"/>
          </w:tcPr>
          <w:p w14:paraId="39588C69">
            <w:pPr>
              <w:pStyle w:val="38"/>
              <w:jc w:val="center"/>
              <w:rPr>
                <w:rFonts w:hint="default" w:ascii="Times New Roman" w:hAnsi="Times New Roman" w:cs="Times New Roman"/>
                <w:b w:val="0"/>
                <w:bCs/>
                <w:color w:val="auto"/>
              </w:rPr>
            </w:pPr>
            <w:r>
              <w:rPr>
                <w:rFonts w:hint="default" w:ascii="Times New Roman" w:hAnsi="Times New Roman" w:cs="Times New Roman"/>
                <w:b w:val="0"/>
                <w:bCs/>
                <w:color w:val="auto"/>
              </w:rPr>
              <w:t>/</w:t>
            </w:r>
          </w:p>
        </w:tc>
      </w:tr>
      <w:tr w14:paraId="4EB3BD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14:paraId="198AD7E0">
            <w:pPr>
              <w:pStyle w:val="38"/>
              <w:spacing w:line="360" w:lineRule="auto"/>
              <w:jc w:val="center"/>
              <w:rPr>
                <w:rFonts w:hint="default" w:ascii="Times New Roman" w:hAnsi="Times New Roman" w:cs="Times New Roman"/>
                <w:b w:val="0"/>
                <w:bCs/>
                <w:color w:val="auto"/>
              </w:rPr>
            </w:pPr>
            <w:r>
              <w:rPr>
                <w:rFonts w:hint="default" w:ascii="Times New Roman" w:hAnsi="Times New Roman" w:cs="Times New Roman"/>
                <w:b w:val="0"/>
                <w:bCs/>
                <w:color w:val="auto"/>
              </w:rPr>
              <w:t>固体废物</w:t>
            </w:r>
          </w:p>
        </w:tc>
        <w:tc>
          <w:tcPr>
            <w:tcW w:w="8165" w:type="dxa"/>
            <w:gridSpan w:val="4"/>
            <w:vAlign w:val="center"/>
          </w:tcPr>
          <w:p w14:paraId="51DBB74D">
            <w:pPr>
              <w:pStyle w:val="38"/>
              <w:spacing w:line="360" w:lineRule="auto"/>
              <w:ind w:firstLine="480" w:firstLineChars="200"/>
              <w:rPr>
                <w:rFonts w:hint="default" w:ascii="Times New Roman" w:hAnsi="Times New Roman" w:cs="Times New Roman"/>
                <w:b w:val="0"/>
                <w:bCs/>
                <w:color w:val="auto"/>
              </w:rPr>
            </w:pPr>
            <w:r>
              <w:rPr>
                <w:rFonts w:hint="eastAsia"/>
                <w:b w:val="0"/>
                <w:bCs/>
                <w:color w:val="auto"/>
                <w:highlight w:val="none"/>
                <w:lang w:val="en-US" w:eastAsia="zh-CN"/>
              </w:rPr>
              <w:t>废包装物、除尘器收集的粉尘、边角料等一般工业固体废物</w:t>
            </w:r>
            <w:r>
              <w:rPr>
                <w:rFonts w:hint="eastAsia"/>
                <w:b w:val="0"/>
                <w:bCs/>
                <w:color w:val="auto"/>
                <w:highlight w:val="none"/>
              </w:rPr>
              <w:t>集中收集</w:t>
            </w:r>
            <w:r>
              <w:rPr>
                <w:rFonts w:hint="eastAsia"/>
                <w:b w:val="0"/>
                <w:bCs/>
                <w:color w:val="auto"/>
                <w:highlight w:val="none"/>
                <w:lang w:val="en-US" w:eastAsia="zh-CN"/>
              </w:rPr>
              <w:t>后出售给物资回收部门；废活性炭、废油桶、废矿物油等</w:t>
            </w:r>
            <w:r>
              <w:rPr>
                <w:rFonts w:hint="eastAsia"/>
                <w:b w:val="0"/>
                <w:bCs/>
                <w:color w:val="auto"/>
                <w:highlight w:val="none"/>
              </w:rPr>
              <w:t>危险废物集中收集后</w:t>
            </w:r>
            <w:r>
              <w:rPr>
                <w:b w:val="0"/>
                <w:bCs/>
                <w:color w:val="auto"/>
                <w:highlight w:val="none"/>
              </w:rPr>
              <w:t>委托具有危险废物处理资质单位处置</w:t>
            </w:r>
            <w:r>
              <w:rPr>
                <w:rFonts w:hint="eastAsia"/>
                <w:b w:val="0"/>
                <w:bCs/>
                <w:color w:val="auto"/>
                <w:highlight w:val="none"/>
              </w:rPr>
              <w:t>；</w:t>
            </w:r>
            <w:r>
              <w:rPr>
                <w:b w:val="0"/>
                <w:bCs/>
                <w:color w:val="auto"/>
                <w:highlight w:val="none"/>
              </w:rPr>
              <w:t>生活垃圾集中收集后定期交由环卫部门统一清运处置。</w:t>
            </w:r>
          </w:p>
        </w:tc>
      </w:tr>
      <w:tr w14:paraId="375F7E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14:paraId="4FB19095">
            <w:pPr>
              <w:pStyle w:val="38"/>
              <w:spacing w:line="360" w:lineRule="auto"/>
              <w:jc w:val="center"/>
              <w:rPr>
                <w:rFonts w:hint="default" w:ascii="Times New Roman" w:hAnsi="Times New Roman" w:cs="Times New Roman"/>
                <w:b w:val="0"/>
                <w:bCs/>
                <w:color w:val="auto"/>
              </w:rPr>
            </w:pPr>
            <w:r>
              <w:rPr>
                <w:rFonts w:hint="default" w:ascii="Times New Roman" w:hAnsi="Times New Roman" w:cs="Times New Roman"/>
                <w:b w:val="0"/>
                <w:bCs/>
                <w:color w:val="auto"/>
              </w:rPr>
              <w:t>土壤及地下水污染防治措施</w:t>
            </w:r>
          </w:p>
        </w:tc>
        <w:tc>
          <w:tcPr>
            <w:tcW w:w="8165" w:type="dxa"/>
            <w:gridSpan w:val="4"/>
            <w:vAlign w:val="center"/>
          </w:tcPr>
          <w:p w14:paraId="5EE18E3D">
            <w:pPr>
              <w:pStyle w:val="38"/>
              <w:spacing w:line="360" w:lineRule="auto"/>
              <w:ind w:firstLine="480" w:firstLineChars="200"/>
              <w:rPr>
                <w:rFonts w:hint="default" w:ascii="Times New Roman" w:hAnsi="Times New Roman" w:cs="Times New Roman"/>
                <w:b w:val="0"/>
                <w:bCs/>
                <w:color w:val="auto"/>
              </w:rPr>
            </w:pPr>
            <w:r>
              <w:rPr>
                <w:b w:val="0"/>
                <w:bCs/>
                <w:color w:val="auto"/>
              </w:rPr>
              <w:t>重点防渗区防渗技术要求：等效黏土防渗层M</w:t>
            </w:r>
            <w:r>
              <w:rPr>
                <w:b w:val="0"/>
                <w:bCs/>
                <w:color w:val="auto"/>
                <w:vertAlign w:val="subscript"/>
              </w:rPr>
              <w:t>b</w:t>
            </w:r>
            <w:r>
              <w:rPr>
                <w:b w:val="0"/>
                <w:bCs/>
                <w:color w:val="auto"/>
              </w:rPr>
              <w:t>≧6</w:t>
            </w:r>
            <w:r>
              <w:rPr>
                <w:rFonts w:hint="eastAsia"/>
                <w:b w:val="0"/>
                <w:bCs/>
                <w:color w:val="auto"/>
                <w:lang w:val="en-US" w:eastAsia="zh-CN"/>
              </w:rPr>
              <w:t>.0</w:t>
            </w:r>
            <w:r>
              <w:rPr>
                <w:b w:val="0"/>
                <w:bCs/>
                <w:color w:val="auto"/>
              </w:rPr>
              <w:t>m，K≦1</w:t>
            </w:r>
            <w:r>
              <w:rPr>
                <w:rFonts w:hint="eastAsia"/>
                <w:b w:val="0"/>
                <w:bCs/>
                <w:color w:val="auto"/>
                <w:lang w:val="en-US" w:eastAsia="zh-CN"/>
              </w:rPr>
              <w:t>.0</w:t>
            </w:r>
            <w:r>
              <w:rPr>
                <w:b w:val="0"/>
                <w:bCs/>
                <w:color w:val="auto"/>
              </w:rPr>
              <w:t>×10</w:t>
            </w:r>
            <w:r>
              <w:rPr>
                <w:b w:val="0"/>
                <w:bCs/>
                <w:color w:val="auto"/>
                <w:vertAlign w:val="superscript"/>
              </w:rPr>
              <w:t>-7</w:t>
            </w:r>
            <w:r>
              <w:rPr>
                <w:b w:val="0"/>
                <w:bCs/>
                <w:color w:val="auto"/>
              </w:rPr>
              <w:t>cm/s，或参照《危险废物填埋污染控制标准》（GB18598-2019）执行；一般防渗区防渗技术要求：等效黏土防渗层M</w:t>
            </w:r>
            <w:r>
              <w:rPr>
                <w:b w:val="0"/>
                <w:bCs/>
                <w:color w:val="auto"/>
                <w:vertAlign w:val="subscript"/>
              </w:rPr>
              <w:t>b</w:t>
            </w:r>
            <w:r>
              <w:rPr>
                <w:b w:val="0"/>
                <w:bCs/>
                <w:color w:val="auto"/>
              </w:rPr>
              <w:t>≧1.5m，K≦1×10</w:t>
            </w:r>
            <w:r>
              <w:rPr>
                <w:b w:val="0"/>
                <w:bCs/>
                <w:color w:val="auto"/>
                <w:vertAlign w:val="superscript"/>
              </w:rPr>
              <w:t>-7</w:t>
            </w:r>
            <w:r>
              <w:rPr>
                <w:b w:val="0"/>
                <w:bCs/>
                <w:color w:val="auto"/>
              </w:rPr>
              <w:t>cm/s，或参照《</w:t>
            </w:r>
            <w:r>
              <w:rPr>
                <w:rFonts w:hint="eastAsia"/>
                <w:b w:val="0"/>
                <w:bCs/>
                <w:color w:val="auto"/>
              </w:rPr>
              <w:t>生活垃圾填埋场污染控制标准</w:t>
            </w:r>
            <w:r>
              <w:rPr>
                <w:b w:val="0"/>
                <w:bCs/>
                <w:color w:val="auto"/>
              </w:rPr>
              <w:t>》（GB</w:t>
            </w:r>
            <w:r>
              <w:rPr>
                <w:rFonts w:hint="eastAsia"/>
                <w:b w:val="0"/>
                <w:bCs/>
                <w:color w:val="auto"/>
              </w:rPr>
              <w:t>16889-20</w:t>
            </w:r>
            <w:r>
              <w:rPr>
                <w:rFonts w:hint="eastAsia"/>
                <w:b w:val="0"/>
                <w:bCs/>
                <w:color w:val="auto"/>
                <w:lang w:val="en-US" w:eastAsia="zh-CN"/>
              </w:rPr>
              <w:t>24</w:t>
            </w:r>
            <w:r>
              <w:rPr>
                <w:b w:val="0"/>
                <w:bCs/>
                <w:color w:val="auto"/>
              </w:rPr>
              <w:t>）执行；简单防渗区防渗技术要求：一般地面硬化。</w:t>
            </w:r>
          </w:p>
        </w:tc>
      </w:tr>
      <w:tr w14:paraId="770DA5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040" w:type="dxa"/>
            <w:vAlign w:val="center"/>
          </w:tcPr>
          <w:p w14:paraId="0F630BD0">
            <w:pPr>
              <w:pStyle w:val="38"/>
              <w:spacing w:line="360" w:lineRule="auto"/>
              <w:jc w:val="center"/>
              <w:rPr>
                <w:rFonts w:hint="default" w:ascii="Times New Roman" w:hAnsi="Times New Roman" w:cs="Times New Roman"/>
                <w:b w:val="0"/>
                <w:bCs/>
                <w:color w:val="auto"/>
              </w:rPr>
            </w:pPr>
            <w:r>
              <w:rPr>
                <w:rFonts w:hint="default" w:ascii="Times New Roman" w:hAnsi="Times New Roman" w:cs="Times New Roman"/>
                <w:b w:val="0"/>
                <w:bCs/>
                <w:color w:val="auto"/>
              </w:rPr>
              <w:t>生态保护措施</w:t>
            </w:r>
          </w:p>
        </w:tc>
        <w:tc>
          <w:tcPr>
            <w:tcW w:w="8165" w:type="dxa"/>
            <w:gridSpan w:val="4"/>
            <w:vAlign w:val="center"/>
          </w:tcPr>
          <w:p w14:paraId="4FB15C27">
            <w:pPr>
              <w:pStyle w:val="45"/>
              <w:rPr>
                <w:rFonts w:hint="default" w:ascii="Times New Roman" w:hAnsi="Times New Roman" w:cs="Times New Roman"/>
                <w:b w:val="0"/>
                <w:bCs/>
                <w:color w:val="auto"/>
              </w:rPr>
            </w:pPr>
            <w:r>
              <w:rPr>
                <w:rFonts w:hint="default" w:ascii="Times New Roman" w:hAnsi="Times New Roman" w:cs="Times New Roman"/>
                <w:color w:val="auto"/>
                <w:lang w:eastAsia="zh-CN"/>
              </w:rPr>
              <w:t>本项目利用现有建设用地，用地范围内无生态环境保护目标，</w:t>
            </w:r>
            <w:r>
              <w:rPr>
                <w:rFonts w:hint="default" w:ascii="Times New Roman" w:hAnsi="Times New Roman" w:cs="Times New Roman"/>
                <w:b w:val="0"/>
                <w:bCs/>
                <w:color w:val="auto"/>
              </w:rPr>
              <w:t>不会对周边生态环境造成明显影响。</w:t>
            </w:r>
          </w:p>
        </w:tc>
      </w:tr>
      <w:tr w14:paraId="33E0F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14:paraId="1AE2C613">
            <w:pPr>
              <w:pStyle w:val="38"/>
              <w:spacing w:line="360" w:lineRule="auto"/>
              <w:jc w:val="center"/>
              <w:rPr>
                <w:rFonts w:hint="default" w:ascii="Times New Roman" w:hAnsi="Times New Roman" w:cs="Times New Roman"/>
                <w:b w:val="0"/>
                <w:bCs/>
                <w:color w:val="auto"/>
              </w:rPr>
            </w:pPr>
            <w:r>
              <w:rPr>
                <w:rFonts w:hint="default" w:ascii="Times New Roman" w:hAnsi="Times New Roman" w:cs="Times New Roman"/>
                <w:b w:val="0"/>
                <w:bCs/>
                <w:color w:val="auto"/>
              </w:rPr>
              <w:t>环境风险管控措施</w:t>
            </w:r>
          </w:p>
        </w:tc>
        <w:tc>
          <w:tcPr>
            <w:tcW w:w="8165" w:type="dxa"/>
            <w:gridSpan w:val="4"/>
            <w:vAlign w:val="center"/>
          </w:tcPr>
          <w:p w14:paraId="23587F8F">
            <w:pPr>
              <w:pStyle w:val="41"/>
              <w:spacing w:line="360" w:lineRule="auto"/>
              <w:rPr>
                <w:rFonts w:hint="default" w:ascii="Times New Roman" w:hAnsi="Times New Roman" w:cs="Times New Roman"/>
                <w:color w:val="auto"/>
              </w:rPr>
            </w:pPr>
            <w:r>
              <w:rPr>
                <w:rFonts w:hint="eastAsia" w:ascii="Times New Roman" w:hAnsi="Times New Roman" w:cs="Times New Roman"/>
                <w:bCs/>
                <w:color w:val="auto"/>
                <w:sz w:val="24"/>
                <w:szCs w:val="24"/>
                <w:highlight w:val="none"/>
                <w:lang w:val="en-US" w:eastAsia="zh-CN"/>
              </w:rPr>
              <w:t>①抗磨压油等储存区设置醒目的严禁烟火标志；严格储存使用管理；各类原辅料应分类贮</w:t>
            </w:r>
            <w:r>
              <w:rPr>
                <w:rFonts w:hint="eastAsia" w:ascii="Times New Roman" w:hAnsi="Times New Roman" w:cs="Times New Roman"/>
                <w:bCs/>
                <w:color w:val="auto"/>
                <w:sz w:val="24"/>
                <w:szCs w:val="24"/>
                <w:lang w:val="en-US" w:eastAsia="zh-CN"/>
              </w:rPr>
              <w:t>存。②企业定期对废气处理设施进行维护、修理，使其处于正常运转状态，杜绝事故性排放；一旦发现废气收集、处理设施出现故障，须立即停止生产，待故障排除完毕、治理设施正常运行后方可恢复生产。③设立单独的危险废物暂存间，并按照《危险废物贮存污染控制标准》（GB18597-2023）的规定做各项措施，并定期委托有资质单位清运处置。同时，建设单位在危险废物转移过程中须严格执行转移联单制度，并做好记录台账，防止危险废物在转移过程中发生遗失事故。④建设单位须制订环境突发事故应急预案，一旦突发环境风险事故，必须立即按应急预案提到的紧急处理、救援、监测方案等进行紧急救援，救援人员采取相应的防护措施，以避免造成人员伤亡事故。</w:t>
            </w:r>
          </w:p>
        </w:tc>
      </w:tr>
      <w:tr w14:paraId="211C9F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14:paraId="22B28EFD">
            <w:pPr>
              <w:pStyle w:val="38"/>
              <w:spacing w:line="360" w:lineRule="auto"/>
              <w:jc w:val="center"/>
              <w:rPr>
                <w:rFonts w:hint="default" w:ascii="Times New Roman" w:hAnsi="Times New Roman" w:cs="Times New Roman"/>
                <w:b w:val="0"/>
                <w:bCs/>
                <w:color w:val="auto"/>
              </w:rPr>
            </w:pPr>
            <w:r>
              <w:rPr>
                <w:rFonts w:hint="default" w:ascii="Times New Roman" w:hAnsi="Times New Roman" w:cs="Times New Roman"/>
                <w:b w:val="0"/>
                <w:bCs/>
                <w:color w:val="auto"/>
              </w:rPr>
              <w:t>其他环境管理要求</w:t>
            </w:r>
          </w:p>
        </w:tc>
        <w:tc>
          <w:tcPr>
            <w:tcW w:w="8165" w:type="dxa"/>
            <w:gridSpan w:val="4"/>
            <w:vAlign w:val="center"/>
          </w:tcPr>
          <w:p w14:paraId="141D29A2">
            <w:pPr>
              <w:pStyle w:val="48"/>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1、建设项目环境影响评价与排污许可联动</w:t>
            </w:r>
          </w:p>
          <w:p w14:paraId="2AAE76AA">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根据《排污许可管理条例》（国务院令第736号）：“依照法律规定实行排污许可管理的企业事业单位和其他生产经营者（以下称排污单位），应当依照本条例规定申请取得排污许可证；未取得排污许可证的不得排放污染物；根据污染物产生量、排放量、对环境影响程度等因素，对排污单位实行排污许可分类管理。”</w:t>
            </w:r>
          </w:p>
          <w:p w14:paraId="66474587">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关于&lt;统筹做好固定污染源排污许可日常监管工作&gt;的通知》（皖环发【2021】7号，安徽省生态环境厅，2021年01月30日起施行）：“属于现行《固定污染源排污许可分类管理名录》内重点管理和简化管理的行业，建设单位在组织编制建设项目环境影响报告书（表）时，可结合相应行业排污许可证申请与核发技术规范，在环评文件中一并明确“建设项目环境影响评价和排污许可联动内容”和《建设项目排污许可申请与填报信息表》。”</w:t>
            </w:r>
          </w:p>
          <w:p w14:paraId="0148ED2A">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根据《固定污染源排污许可分类管理名录》（2019年版），本项目管理类别判定见下表5.1。</w:t>
            </w:r>
          </w:p>
          <w:p w14:paraId="5BEB0C4B">
            <w:pPr>
              <w:keepNext/>
              <w:keepLines/>
              <w:tabs>
                <w:tab w:val="left" w:pos="0"/>
                <w:tab w:val="left" w:pos="180"/>
                <w:tab w:val="left" w:pos="1418"/>
                <w:tab w:val="left" w:pos="2976"/>
              </w:tabs>
              <w:ind w:left="180"/>
              <w:jc w:val="center"/>
              <w:outlineLvl w:val="7"/>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表</w:t>
            </w:r>
            <w:r>
              <w:rPr>
                <w:rFonts w:hint="default" w:ascii="Times New Roman" w:hAnsi="Times New Roman" w:cs="Times New Roman"/>
                <w:b/>
                <w:bCs w:val="0"/>
                <w:color w:val="auto"/>
                <w:sz w:val="21"/>
                <w:szCs w:val="21"/>
                <w:lang w:val="en-US" w:eastAsia="zh-CN"/>
              </w:rPr>
              <w:t>5.1</w:t>
            </w:r>
            <w:r>
              <w:rPr>
                <w:rFonts w:hint="default" w:ascii="Times New Roman" w:hAnsi="Times New Roman" w:cs="Times New Roman"/>
                <w:b/>
                <w:bCs w:val="0"/>
                <w:color w:val="auto"/>
                <w:sz w:val="21"/>
                <w:szCs w:val="21"/>
              </w:rPr>
              <w:t xml:space="preserve">  企业排污许可管理类别归类表</w:t>
            </w:r>
          </w:p>
          <w:tbl>
            <w:tblPr>
              <w:tblStyle w:val="31"/>
              <w:tblW w:w="8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840"/>
              <w:gridCol w:w="1020"/>
              <w:gridCol w:w="849"/>
              <w:gridCol w:w="3366"/>
              <w:gridCol w:w="659"/>
              <w:gridCol w:w="815"/>
            </w:tblGrid>
            <w:tr w14:paraId="4AE19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11" w:type="pct"/>
                  <w:tcBorders>
                    <w:top w:val="single" w:color="auto" w:sz="4" w:space="0"/>
                    <w:left w:val="single" w:color="auto" w:sz="4" w:space="0"/>
                    <w:bottom w:val="single" w:color="auto" w:sz="4" w:space="0"/>
                    <w:right w:val="single" w:color="auto" w:sz="4" w:space="0"/>
                  </w:tcBorders>
                  <w:noWrap w:val="0"/>
                  <w:vAlign w:val="center"/>
                </w:tcPr>
                <w:p w14:paraId="55863798">
                  <w:pPr>
                    <w:spacing w:line="240" w:lineRule="auto"/>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序号</w:t>
                  </w:r>
                </w:p>
              </w:tc>
              <w:tc>
                <w:tcPr>
                  <w:tcW w:w="521" w:type="pct"/>
                  <w:tcBorders>
                    <w:top w:val="single" w:color="auto" w:sz="4" w:space="0"/>
                    <w:left w:val="single" w:color="auto" w:sz="4" w:space="0"/>
                    <w:bottom w:val="single" w:color="auto" w:sz="4" w:space="0"/>
                    <w:right w:val="single" w:color="auto" w:sz="4" w:space="0"/>
                  </w:tcBorders>
                  <w:noWrap w:val="0"/>
                  <w:vAlign w:val="center"/>
                </w:tcPr>
                <w:p w14:paraId="23664849">
                  <w:pPr>
                    <w:spacing w:line="240" w:lineRule="auto"/>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行业类别</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21033B80">
                  <w:pPr>
                    <w:spacing w:line="240" w:lineRule="auto"/>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本项目行业类别</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0F236EAA">
                  <w:pPr>
                    <w:spacing w:line="240" w:lineRule="auto"/>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重点管理</w:t>
                  </w:r>
                </w:p>
              </w:tc>
              <w:tc>
                <w:tcPr>
                  <w:tcW w:w="2090" w:type="pct"/>
                  <w:tcBorders>
                    <w:top w:val="single" w:color="auto" w:sz="4" w:space="0"/>
                    <w:left w:val="single" w:color="auto" w:sz="4" w:space="0"/>
                    <w:bottom w:val="single" w:color="auto" w:sz="4" w:space="0"/>
                    <w:right w:val="single" w:color="auto" w:sz="4" w:space="0"/>
                  </w:tcBorders>
                  <w:noWrap w:val="0"/>
                  <w:vAlign w:val="center"/>
                </w:tcPr>
                <w:p w14:paraId="128B58D1">
                  <w:pPr>
                    <w:spacing w:line="240" w:lineRule="auto"/>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简化管理</w:t>
                  </w:r>
                </w:p>
              </w:tc>
              <w:tc>
                <w:tcPr>
                  <w:tcW w:w="409" w:type="pct"/>
                  <w:tcBorders>
                    <w:top w:val="single" w:color="auto" w:sz="4" w:space="0"/>
                    <w:left w:val="single" w:color="auto" w:sz="4" w:space="0"/>
                    <w:bottom w:val="single" w:color="auto" w:sz="4" w:space="0"/>
                    <w:right w:val="single" w:color="auto" w:sz="4" w:space="0"/>
                  </w:tcBorders>
                  <w:noWrap w:val="0"/>
                  <w:vAlign w:val="center"/>
                </w:tcPr>
                <w:p w14:paraId="4BD84C8B">
                  <w:pPr>
                    <w:spacing w:line="240" w:lineRule="auto"/>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登记管理</w:t>
                  </w:r>
                </w:p>
              </w:tc>
              <w:tc>
                <w:tcPr>
                  <w:tcW w:w="506" w:type="pct"/>
                  <w:tcBorders>
                    <w:top w:val="single" w:color="auto" w:sz="4" w:space="0"/>
                    <w:left w:val="single" w:color="auto" w:sz="4" w:space="0"/>
                    <w:bottom w:val="single" w:color="auto" w:sz="4" w:space="0"/>
                    <w:right w:val="single" w:color="auto" w:sz="4" w:space="0"/>
                  </w:tcBorders>
                  <w:noWrap w:val="0"/>
                  <w:vAlign w:val="center"/>
                </w:tcPr>
                <w:p w14:paraId="09FBA9C9">
                  <w:pPr>
                    <w:spacing w:line="240" w:lineRule="auto"/>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本项目类别</w:t>
                  </w:r>
                </w:p>
              </w:tc>
            </w:tr>
            <w:tr w14:paraId="70866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000" w:type="pct"/>
                  <w:gridSpan w:val="7"/>
                  <w:tcBorders>
                    <w:top w:val="single" w:color="auto" w:sz="4" w:space="0"/>
                    <w:left w:val="single" w:color="auto" w:sz="4" w:space="0"/>
                    <w:bottom w:val="single" w:color="auto" w:sz="4" w:space="0"/>
                    <w:right w:val="single" w:color="auto" w:sz="4" w:space="0"/>
                  </w:tcBorders>
                  <w:noWrap w:val="0"/>
                  <w:vAlign w:val="center"/>
                </w:tcPr>
                <w:p w14:paraId="490C87FA">
                  <w:pPr>
                    <w:spacing w:line="240" w:lineRule="auto"/>
                    <w:jc w:val="both"/>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二十四、橡胶和塑料制品业 29</w:t>
                  </w:r>
                </w:p>
              </w:tc>
            </w:tr>
            <w:tr w14:paraId="2CFA6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311" w:type="pct"/>
                  <w:tcBorders>
                    <w:top w:val="single" w:color="auto" w:sz="4" w:space="0"/>
                    <w:left w:val="single" w:color="auto" w:sz="4" w:space="0"/>
                    <w:bottom w:val="single" w:color="auto" w:sz="4" w:space="0"/>
                    <w:right w:val="single" w:color="auto" w:sz="4" w:space="0"/>
                  </w:tcBorders>
                  <w:noWrap w:val="0"/>
                  <w:vAlign w:val="center"/>
                </w:tcPr>
                <w:p w14:paraId="4BD7B545">
                  <w:pPr>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62</w:t>
                  </w:r>
                </w:p>
              </w:tc>
              <w:tc>
                <w:tcPr>
                  <w:tcW w:w="521" w:type="pct"/>
                  <w:tcBorders>
                    <w:top w:val="single" w:color="auto" w:sz="4" w:space="0"/>
                    <w:left w:val="single" w:color="auto" w:sz="4" w:space="0"/>
                    <w:bottom w:val="single" w:color="auto" w:sz="4" w:space="0"/>
                    <w:right w:val="single" w:color="auto" w:sz="4" w:space="0"/>
                  </w:tcBorders>
                  <w:noWrap w:val="0"/>
                  <w:vAlign w:val="center"/>
                </w:tcPr>
                <w:p w14:paraId="43BD211C">
                  <w:pPr>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塑料制品业292</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4D3F2E74">
                  <w:pPr>
                    <w:spacing w:line="240" w:lineRule="auto"/>
                    <w:jc w:val="center"/>
                    <w:rPr>
                      <w:rFonts w:hint="eastAsia" w:ascii="Times New Roman" w:hAnsi="Times New Roman" w:eastAsia="宋体" w:cs="Times New Roman"/>
                      <w:b w:val="0"/>
                      <w:bCs/>
                      <w:color w:val="auto"/>
                      <w:sz w:val="21"/>
                      <w:szCs w:val="21"/>
                      <w:lang w:eastAsia="zh-CN"/>
                    </w:rPr>
                  </w:pPr>
                  <w:r>
                    <w:rPr>
                      <w:rFonts w:hint="eastAsia" w:ascii="Times New Roman" w:hAnsi="Times New Roman" w:cs="Times New Roman"/>
                      <w:color w:val="auto"/>
                      <w:sz w:val="21"/>
                      <w:szCs w:val="21"/>
                      <w:lang w:eastAsia="zh-CN"/>
                    </w:rPr>
                    <w:t>日用塑料制品制造【</w:t>
                  </w:r>
                  <w:r>
                    <w:rPr>
                      <w:rFonts w:hint="eastAsia" w:ascii="Times New Roman" w:hAnsi="Times New Roman" w:cs="Times New Roman"/>
                      <w:color w:val="auto"/>
                      <w:sz w:val="21"/>
                      <w:szCs w:val="21"/>
                      <w:lang w:val="en-US" w:eastAsia="zh-CN"/>
                    </w:rPr>
                    <w:t>C</w:t>
                  </w:r>
                  <w:r>
                    <w:rPr>
                      <w:rFonts w:hint="eastAsia" w:ascii="Times New Roman" w:hAnsi="Times New Roman" w:cs="Times New Roman"/>
                      <w:color w:val="auto"/>
                      <w:sz w:val="21"/>
                      <w:szCs w:val="21"/>
                      <w:lang w:eastAsia="zh-CN"/>
                    </w:rPr>
                    <w:t>2927】</w:t>
                  </w:r>
                </w:p>
              </w:tc>
              <w:tc>
                <w:tcPr>
                  <w:tcW w:w="527" w:type="pct"/>
                  <w:tcBorders>
                    <w:top w:val="single" w:color="auto" w:sz="4" w:space="0"/>
                    <w:left w:val="single" w:color="auto" w:sz="4" w:space="0"/>
                    <w:bottom w:val="single" w:color="auto" w:sz="4" w:space="0"/>
                    <w:right w:val="single" w:color="auto" w:sz="4" w:space="0"/>
                  </w:tcBorders>
                  <w:noWrap w:val="0"/>
                  <w:vAlign w:val="center"/>
                </w:tcPr>
                <w:p w14:paraId="1FB8EC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塑料人造革、合成革制造2925</w:t>
                  </w:r>
                </w:p>
              </w:tc>
              <w:tc>
                <w:tcPr>
                  <w:tcW w:w="2090" w:type="pct"/>
                  <w:tcBorders>
                    <w:top w:val="single" w:color="auto" w:sz="4" w:space="0"/>
                    <w:left w:val="single" w:color="auto" w:sz="4" w:space="0"/>
                    <w:bottom w:val="single" w:color="auto" w:sz="4" w:space="0"/>
                    <w:right w:val="single" w:color="auto" w:sz="4" w:space="0"/>
                  </w:tcBorders>
                  <w:noWrap w:val="0"/>
                  <w:vAlign w:val="center"/>
                </w:tcPr>
                <w:p w14:paraId="482BA5B3">
                  <w:pPr>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年产1 万吨及以上的泡沫塑料制造2924，年产1 万吨及以上涉及改性的塑料薄膜制造2921、塑料板、管、型材制造2922、塑料丝、绳和编织品制造2923、塑料包装箱及容器制造2926、日用塑料品制造2927、人造草坪制造2928、塑料零件及其他塑料制品制造2929</w:t>
                  </w:r>
                </w:p>
              </w:tc>
              <w:tc>
                <w:tcPr>
                  <w:tcW w:w="409" w:type="pct"/>
                  <w:tcBorders>
                    <w:top w:val="single" w:color="auto" w:sz="4" w:space="0"/>
                    <w:left w:val="single" w:color="auto" w:sz="4" w:space="0"/>
                    <w:bottom w:val="single" w:color="auto" w:sz="4" w:space="0"/>
                    <w:right w:val="single" w:color="auto" w:sz="4" w:space="0"/>
                  </w:tcBorders>
                  <w:noWrap w:val="0"/>
                  <w:vAlign w:val="center"/>
                </w:tcPr>
                <w:p w14:paraId="0C0BADF6">
                  <w:pPr>
                    <w:spacing w:line="240" w:lineRule="auto"/>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其他</w:t>
                  </w:r>
                </w:p>
              </w:tc>
              <w:tc>
                <w:tcPr>
                  <w:tcW w:w="506" w:type="pct"/>
                  <w:tcBorders>
                    <w:top w:val="single" w:color="auto" w:sz="4" w:space="0"/>
                    <w:left w:val="single" w:color="auto" w:sz="4" w:space="0"/>
                    <w:bottom w:val="single" w:color="auto" w:sz="4" w:space="0"/>
                    <w:right w:val="single" w:color="auto" w:sz="4" w:space="0"/>
                  </w:tcBorders>
                  <w:noWrap w:val="0"/>
                  <w:vAlign w:val="center"/>
                </w:tcPr>
                <w:p w14:paraId="2BCD9CF1">
                  <w:pPr>
                    <w:spacing w:line="240" w:lineRule="auto"/>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登记管理</w:t>
                  </w:r>
                </w:p>
              </w:tc>
            </w:tr>
          </w:tbl>
          <w:p w14:paraId="67944185">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因此，本项目排污许可类别为“登记管理”。因此本项目</w:t>
            </w:r>
            <w:r>
              <w:rPr>
                <w:rFonts w:hint="default" w:ascii="Times New Roman" w:hAnsi="Times New Roman" w:cs="Times New Roman"/>
                <w:b/>
                <w:bCs w:val="0"/>
                <w:color w:val="auto"/>
                <w:sz w:val="24"/>
                <w:szCs w:val="24"/>
                <w:lang w:val="en-US" w:eastAsia="zh-CN"/>
              </w:rPr>
              <w:t>无需</w:t>
            </w:r>
            <w:r>
              <w:rPr>
                <w:rFonts w:hint="default" w:ascii="Times New Roman" w:hAnsi="Times New Roman" w:cs="Times New Roman"/>
                <w:b w:val="0"/>
                <w:bCs/>
                <w:color w:val="auto"/>
                <w:sz w:val="24"/>
                <w:szCs w:val="24"/>
                <w:lang w:val="en-US" w:eastAsia="zh-CN"/>
              </w:rPr>
              <w:t>填写《关于&lt;统筹做好固定污染源排污许可日常监管工作&gt;的通知》（皖环发【2021】7号）中规定的：“建设项目环境影响评价和排污许可联动内容”和《建设项目排污许可申请与填报信息表》。”</w:t>
            </w:r>
          </w:p>
          <w:p w14:paraId="4B531963">
            <w:pPr>
              <w:pStyle w:val="48"/>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val="0"/>
                <w:color w:val="auto"/>
                <w:sz w:val="24"/>
                <w:szCs w:val="24"/>
                <w:lang w:val="en-US" w:eastAsia="zh-CN"/>
              </w:rPr>
            </w:pPr>
            <w:r>
              <w:rPr>
                <w:rFonts w:hint="default" w:ascii="Times New Roman" w:hAnsi="Times New Roman" w:cs="Times New Roman"/>
                <w:b/>
                <w:bCs w:val="0"/>
                <w:color w:val="auto"/>
                <w:sz w:val="24"/>
                <w:szCs w:val="24"/>
                <w:lang w:val="en-US" w:eastAsia="zh-CN"/>
              </w:rPr>
              <w:t>2、排污口规范化设置</w:t>
            </w:r>
          </w:p>
          <w:p w14:paraId="1125334C">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（1）污水排放口</w:t>
            </w:r>
          </w:p>
          <w:p w14:paraId="709DAFCB">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对厂区外排主要水污染物进行监测，在总排放口设置采样点，在排污口附近醒目处设置环境保护图形标志牌。</w:t>
            </w:r>
          </w:p>
          <w:p w14:paraId="2C56C80F">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（2）废气排放口</w:t>
            </w:r>
          </w:p>
          <w:p w14:paraId="1B7E5204">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须符合规定高度，满足环境监测管理规定和《污染源监测技术规范》要求，建设维护永久性采样口、采样测试平台和排污口标志。</w:t>
            </w:r>
          </w:p>
          <w:p w14:paraId="3A5FE7F7">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（3）固定噪声排放源</w:t>
            </w:r>
          </w:p>
          <w:p w14:paraId="13847098">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按规定对固定噪声源进行治理，在企业边界、噪声敏感点且对外影响最大处设置标志牌。</w:t>
            </w:r>
          </w:p>
          <w:p w14:paraId="0A259257">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（4）固体废物暂存场</w:t>
            </w:r>
          </w:p>
          <w:p w14:paraId="31C8617B">
            <w:pPr>
              <w:pStyle w:val="4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val="0"/>
                <w:bCs/>
                <w:color w:val="auto"/>
                <w:sz w:val="24"/>
                <w:szCs w:val="24"/>
                <w:lang w:val="en-US" w:eastAsia="zh-CN"/>
              </w:rPr>
            </w:pPr>
            <w:r>
              <w:rPr>
                <w:rFonts w:hint="eastAsia" w:ascii="Times New Roman" w:hAnsi="Times New Roman" w:cs="Times New Roman"/>
                <w:b w:val="0"/>
                <w:bCs/>
                <w:color w:val="auto"/>
                <w:sz w:val="24"/>
                <w:szCs w:val="24"/>
                <w:lang w:val="en-US" w:eastAsia="zh-CN"/>
              </w:rPr>
              <w:t>有毒有害固体废物必须设置专用堆放场地，有防扬散、防流失、防渗漏等措施。</w:t>
            </w:r>
          </w:p>
          <w:p w14:paraId="446087E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（5）设置标志牌要求</w:t>
            </w:r>
          </w:p>
          <w:p w14:paraId="3205D21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应设置在排污口(采样点)附近且醒目处。排污口有关设置(如力形标志牌、计量装置、监控装置等)属环保设施，须负责日常的维护保养，任何单位和个人不得擅自拆除。</w:t>
            </w:r>
          </w:p>
          <w:p w14:paraId="06183257">
            <w:pPr>
              <w:adjustRightInd w:val="0"/>
              <w:snapToGrid w:val="0"/>
              <w:spacing w:line="240" w:lineRule="auto"/>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w:t>
            </w:r>
            <w:r>
              <w:rPr>
                <w:rFonts w:hint="default" w:ascii="Times New Roman" w:hAnsi="Times New Roman" w:eastAsia="宋体" w:cs="Times New Roman"/>
                <w:b/>
                <w:bCs w:val="0"/>
                <w:color w:val="auto"/>
                <w:sz w:val="21"/>
                <w:szCs w:val="21"/>
                <w:lang w:val="en-US" w:eastAsia="zh-CN"/>
              </w:rPr>
              <w:t xml:space="preserve">5.2  </w:t>
            </w:r>
            <w:r>
              <w:rPr>
                <w:rFonts w:hint="default" w:ascii="Times New Roman" w:hAnsi="Times New Roman" w:eastAsia="宋体" w:cs="Times New Roman"/>
                <w:b/>
                <w:bCs w:val="0"/>
                <w:color w:val="auto"/>
                <w:sz w:val="21"/>
                <w:szCs w:val="21"/>
              </w:rPr>
              <w:t>环境保护图形标志的形状及颜色表</w:t>
            </w:r>
          </w:p>
          <w:tbl>
            <w:tblPr>
              <w:tblStyle w:val="31"/>
              <w:tblW w:w="8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5"/>
              <w:gridCol w:w="2124"/>
              <w:gridCol w:w="2121"/>
              <w:gridCol w:w="2120"/>
            </w:tblGrid>
            <w:tr w14:paraId="465DA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046" w:type="pct"/>
                  <w:noWrap w:val="0"/>
                  <w:vAlign w:val="center"/>
                </w:tcPr>
                <w:p w14:paraId="300D323F">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标志名称</w:t>
                  </w:r>
                </w:p>
              </w:tc>
              <w:tc>
                <w:tcPr>
                  <w:tcW w:w="1319" w:type="pct"/>
                  <w:noWrap w:val="0"/>
                  <w:vAlign w:val="center"/>
                </w:tcPr>
                <w:p w14:paraId="328B6CF4">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形状</w:t>
                  </w:r>
                </w:p>
              </w:tc>
              <w:tc>
                <w:tcPr>
                  <w:tcW w:w="1317" w:type="pct"/>
                  <w:noWrap w:val="0"/>
                  <w:vAlign w:val="center"/>
                </w:tcPr>
                <w:p w14:paraId="71EF08E9">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背景颜色</w:t>
                  </w:r>
                </w:p>
              </w:tc>
              <w:tc>
                <w:tcPr>
                  <w:tcW w:w="1316" w:type="pct"/>
                  <w:noWrap w:val="0"/>
                  <w:vAlign w:val="center"/>
                </w:tcPr>
                <w:p w14:paraId="0F2E9242">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图形颜色</w:t>
                  </w:r>
                </w:p>
              </w:tc>
            </w:tr>
            <w:tr w14:paraId="6EF83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046" w:type="pct"/>
                  <w:noWrap w:val="0"/>
                  <w:vAlign w:val="center"/>
                </w:tcPr>
                <w:p w14:paraId="0BDE2F12">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警告标志</w:t>
                  </w:r>
                </w:p>
              </w:tc>
              <w:tc>
                <w:tcPr>
                  <w:tcW w:w="1319" w:type="pct"/>
                  <w:noWrap w:val="0"/>
                  <w:vAlign w:val="center"/>
                </w:tcPr>
                <w:p w14:paraId="49368ED0">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三角形边框</w:t>
                  </w:r>
                </w:p>
              </w:tc>
              <w:tc>
                <w:tcPr>
                  <w:tcW w:w="1317" w:type="pct"/>
                  <w:noWrap w:val="0"/>
                  <w:vAlign w:val="center"/>
                </w:tcPr>
                <w:p w14:paraId="7FB0EC92">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黄色</w:t>
                  </w:r>
                </w:p>
              </w:tc>
              <w:tc>
                <w:tcPr>
                  <w:tcW w:w="1316" w:type="pct"/>
                  <w:noWrap w:val="0"/>
                  <w:vAlign w:val="center"/>
                </w:tcPr>
                <w:p w14:paraId="231D927A">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黑色</w:t>
                  </w:r>
                </w:p>
              </w:tc>
            </w:tr>
            <w:tr w14:paraId="1264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046" w:type="pct"/>
                  <w:noWrap w:val="0"/>
                  <w:vAlign w:val="center"/>
                </w:tcPr>
                <w:p w14:paraId="356E393F">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提示标志</w:t>
                  </w:r>
                </w:p>
              </w:tc>
              <w:tc>
                <w:tcPr>
                  <w:tcW w:w="1319" w:type="pct"/>
                  <w:noWrap w:val="0"/>
                  <w:vAlign w:val="center"/>
                </w:tcPr>
                <w:p w14:paraId="39D5F11C">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正方形边框</w:t>
                  </w:r>
                </w:p>
              </w:tc>
              <w:tc>
                <w:tcPr>
                  <w:tcW w:w="1317" w:type="pct"/>
                  <w:noWrap w:val="0"/>
                  <w:vAlign w:val="center"/>
                </w:tcPr>
                <w:p w14:paraId="121CA159">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绿色</w:t>
                  </w:r>
                </w:p>
              </w:tc>
              <w:tc>
                <w:tcPr>
                  <w:tcW w:w="1316" w:type="pct"/>
                  <w:noWrap w:val="0"/>
                  <w:vAlign w:val="center"/>
                </w:tcPr>
                <w:p w14:paraId="59559B47">
                  <w:pPr>
                    <w:adjustRightInd w:val="0"/>
                    <w:snapToGrid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白色</w:t>
                  </w:r>
                </w:p>
              </w:tc>
            </w:tr>
          </w:tbl>
          <w:p w14:paraId="79D9A5B2">
            <w:pPr>
              <w:adjustRightInd w:val="0"/>
              <w:snapToGrid w:val="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w:t>
            </w:r>
            <w:r>
              <w:rPr>
                <w:rFonts w:hint="default" w:ascii="Times New Roman" w:hAnsi="Times New Roman" w:eastAsia="宋体" w:cs="Times New Roman"/>
                <w:b/>
                <w:bCs w:val="0"/>
                <w:color w:val="auto"/>
                <w:sz w:val="21"/>
                <w:szCs w:val="21"/>
                <w:lang w:val="en-US" w:eastAsia="zh-CN"/>
              </w:rPr>
              <w:t xml:space="preserve">5.3  </w:t>
            </w:r>
            <w:r>
              <w:rPr>
                <w:rFonts w:hint="default" w:ascii="Times New Roman" w:hAnsi="Times New Roman" w:eastAsia="宋体" w:cs="Times New Roman"/>
                <w:b/>
                <w:bCs w:val="0"/>
                <w:color w:val="auto"/>
                <w:sz w:val="21"/>
                <w:szCs w:val="21"/>
              </w:rPr>
              <w:t>环境保护图形标志</w:t>
            </w:r>
          </w:p>
          <w:tbl>
            <w:tblPr>
              <w:tblStyle w:val="31"/>
              <w:tblW w:w="8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583"/>
              <w:gridCol w:w="1762"/>
              <w:gridCol w:w="1775"/>
              <w:gridCol w:w="2010"/>
            </w:tblGrid>
            <w:tr w14:paraId="743C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571" w:type="pct"/>
                  <w:noWrap w:val="0"/>
                  <w:vAlign w:val="center"/>
                </w:tcPr>
                <w:p w14:paraId="3E48C016">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序号</w:t>
                  </w:r>
                </w:p>
              </w:tc>
              <w:tc>
                <w:tcPr>
                  <w:tcW w:w="983" w:type="pct"/>
                  <w:noWrap w:val="0"/>
                  <w:vAlign w:val="center"/>
                </w:tcPr>
                <w:p w14:paraId="6A38DFA4">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提示图形符号</w:t>
                  </w:r>
                </w:p>
              </w:tc>
              <w:tc>
                <w:tcPr>
                  <w:tcW w:w="1094" w:type="pct"/>
                  <w:noWrap w:val="0"/>
                  <w:vAlign w:val="center"/>
                </w:tcPr>
                <w:p w14:paraId="3EAD675B">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警告图形符号</w:t>
                  </w:r>
                </w:p>
              </w:tc>
              <w:tc>
                <w:tcPr>
                  <w:tcW w:w="1102" w:type="pct"/>
                  <w:noWrap w:val="0"/>
                  <w:vAlign w:val="center"/>
                </w:tcPr>
                <w:p w14:paraId="61A185BE">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名称</w:t>
                  </w:r>
                </w:p>
              </w:tc>
              <w:tc>
                <w:tcPr>
                  <w:tcW w:w="1248" w:type="pct"/>
                  <w:noWrap w:val="0"/>
                  <w:vAlign w:val="center"/>
                </w:tcPr>
                <w:p w14:paraId="466AD085">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功能</w:t>
                  </w:r>
                </w:p>
              </w:tc>
            </w:tr>
            <w:tr w14:paraId="1B79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571" w:type="pct"/>
                  <w:noWrap w:val="0"/>
                  <w:vAlign w:val="center"/>
                </w:tcPr>
                <w:p w14:paraId="71CE56D4">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1</w:t>
                  </w:r>
                </w:p>
              </w:tc>
              <w:tc>
                <w:tcPr>
                  <w:tcW w:w="983" w:type="pct"/>
                  <w:noWrap w:val="0"/>
                  <w:vAlign w:val="center"/>
                </w:tcPr>
                <w:p w14:paraId="580180A6">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fldChar w:fldCharType="begin"/>
                  </w:r>
                  <w:r>
                    <w:instrText xml:space="preserve"> INCLUDEPICTURE "（送审本）宿州美膳新材料有限公司年产100000套密胺餐具项目环境影响报告表/（送审本）宿州美膳新材料有限公司年产100000套密胺餐具项目环境影响报告表/A文本/" \* MERGEFORMAT \d </w:instrText>
                  </w:r>
                  <w:r>
                    <w:rPr>
                      <w:rFonts w:hint="default" w:ascii="Times New Roman" w:hAnsi="Times New Roman" w:eastAsia="宋体"/>
                      <w:b w:val="0"/>
                      <w:bCs/>
                      <w:color w:val="auto"/>
                      <w:sz w:val="21"/>
                      <w:szCs w:val="21"/>
                    </w:rPr>
                    <w:fldChar w:fldCharType="separate"/>
                  </w:r>
                  <w:r>
                    <w:rPr>
                      <w:rFonts w:hint="default" w:ascii="Times New Roman" w:hAnsi="Times New Roman" w:eastAsia="宋体"/>
                      <w:b w:val="0"/>
                      <w:bCs/>
                      <w:color w:val="auto"/>
                      <w:sz w:val="21"/>
                      <w:szCs w:val="21"/>
                    </w:rPr>
                    <w:drawing>
                      <wp:inline distT="0" distB="0" distL="114300" distR="114300">
                        <wp:extent cx="935355" cy="802640"/>
                        <wp:effectExtent l="0" t="0" r="17145" b="16510"/>
                        <wp:docPr id="4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descr="IMG_256"/>
                                <pic:cNvPicPr>
                                  <a:picLocks noChangeAspect="1"/>
                                </pic:cNvPicPr>
                              </pic:nvPicPr>
                              <pic:blipFill>
                                <a:blip r:embed="rId26"/>
                                <a:srcRect t="6667"/>
                                <a:stretch>
                                  <a:fillRect/>
                                </a:stretch>
                              </pic:blipFill>
                              <pic:spPr>
                                <a:xfrm>
                                  <a:off x="0" y="0"/>
                                  <a:ext cx="935355" cy="802640"/>
                                </a:xfrm>
                                <a:prstGeom prst="rect">
                                  <a:avLst/>
                                </a:prstGeom>
                                <a:noFill/>
                                <a:ln>
                                  <a:noFill/>
                                </a:ln>
                              </pic:spPr>
                            </pic:pic>
                          </a:graphicData>
                        </a:graphic>
                      </wp:inline>
                    </w:drawing>
                  </w:r>
                  <w:r>
                    <w:rPr>
                      <w:rFonts w:hint="default" w:ascii="Times New Roman" w:hAnsi="Times New Roman" w:eastAsia="宋体"/>
                      <w:b w:val="0"/>
                      <w:bCs/>
                      <w:color w:val="auto"/>
                      <w:sz w:val="21"/>
                      <w:szCs w:val="21"/>
                    </w:rPr>
                    <w:fldChar w:fldCharType="end"/>
                  </w:r>
                </w:p>
              </w:tc>
              <w:tc>
                <w:tcPr>
                  <w:tcW w:w="1094" w:type="pct"/>
                  <w:noWrap w:val="0"/>
                  <w:vAlign w:val="center"/>
                </w:tcPr>
                <w:p w14:paraId="36E2E491">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drawing>
                      <wp:inline distT="0" distB="0" distL="114300" distR="114300">
                        <wp:extent cx="955040" cy="780415"/>
                        <wp:effectExtent l="0" t="0" r="16510" b="635"/>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27"/>
                                <a:stretch>
                                  <a:fillRect/>
                                </a:stretch>
                              </pic:blipFill>
                              <pic:spPr>
                                <a:xfrm>
                                  <a:off x="0" y="0"/>
                                  <a:ext cx="955040" cy="780415"/>
                                </a:xfrm>
                                <a:prstGeom prst="rect">
                                  <a:avLst/>
                                </a:prstGeom>
                                <a:noFill/>
                                <a:ln>
                                  <a:noFill/>
                                </a:ln>
                              </pic:spPr>
                            </pic:pic>
                          </a:graphicData>
                        </a:graphic>
                      </wp:inline>
                    </w:drawing>
                  </w:r>
                </w:p>
              </w:tc>
              <w:tc>
                <w:tcPr>
                  <w:tcW w:w="1102" w:type="pct"/>
                  <w:noWrap w:val="0"/>
                  <w:vAlign w:val="center"/>
                </w:tcPr>
                <w:p w14:paraId="2C90D59B">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废水排放口</w:t>
                  </w:r>
                </w:p>
              </w:tc>
              <w:tc>
                <w:tcPr>
                  <w:tcW w:w="1248" w:type="pct"/>
                  <w:noWrap w:val="0"/>
                  <w:vAlign w:val="center"/>
                </w:tcPr>
                <w:p w14:paraId="454A4504">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表示废水向水体排放</w:t>
                  </w:r>
                </w:p>
              </w:tc>
            </w:tr>
            <w:tr w14:paraId="359C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571" w:type="pct"/>
                  <w:noWrap w:val="0"/>
                  <w:vAlign w:val="center"/>
                </w:tcPr>
                <w:p w14:paraId="1DA1A613">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2</w:t>
                  </w:r>
                </w:p>
              </w:tc>
              <w:tc>
                <w:tcPr>
                  <w:tcW w:w="983" w:type="pct"/>
                  <w:noWrap w:val="0"/>
                  <w:vAlign w:val="center"/>
                </w:tcPr>
                <w:p w14:paraId="7BBF08CF">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fldChar w:fldCharType="begin"/>
                  </w:r>
                  <w:r>
                    <w:instrText xml:space="preserve"> INCLUDEPICTURE "（送审本）宿州美膳新材料有限公司年产100000套密胺餐具项目环境影响报告表/（送审本）宿州美膳新材料有限公司年产100000套密胺餐具项目环境影响报告表/A文本/" \* MERGEFORMAT \d </w:instrText>
                  </w:r>
                  <w:r>
                    <w:rPr>
                      <w:rFonts w:hint="default" w:ascii="Times New Roman" w:hAnsi="Times New Roman" w:eastAsia="宋体"/>
                      <w:b w:val="0"/>
                      <w:bCs/>
                      <w:color w:val="auto"/>
                      <w:sz w:val="21"/>
                      <w:szCs w:val="21"/>
                    </w:rPr>
                    <w:fldChar w:fldCharType="separate"/>
                  </w:r>
                  <w:r>
                    <w:rPr>
                      <w:rFonts w:hint="default" w:ascii="Times New Roman" w:hAnsi="Times New Roman" w:eastAsia="宋体"/>
                      <w:b w:val="0"/>
                      <w:bCs/>
                      <w:color w:val="auto"/>
                      <w:sz w:val="21"/>
                      <w:szCs w:val="21"/>
                    </w:rPr>
                    <w:drawing>
                      <wp:inline distT="0" distB="0" distL="114300" distR="114300">
                        <wp:extent cx="951865" cy="951865"/>
                        <wp:effectExtent l="0" t="0" r="635" b="635"/>
                        <wp:docPr id="4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descr="IMG_256"/>
                                <pic:cNvPicPr>
                                  <a:picLocks noChangeAspect="1"/>
                                </pic:cNvPicPr>
                              </pic:nvPicPr>
                              <pic:blipFill>
                                <a:blip r:embed="rId28"/>
                                <a:stretch>
                                  <a:fillRect/>
                                </a:stretch>
                              </pic:blipFill>
                              <pic:spPr>
                                <a:xfrm>
                                  <a:off x="0" y="0"/>
                                  <a:ext cx="951865" cy="951865"/>
                                </a:xfrm>
                                <a:prstGeom prst="rect">
                                  <a:avLst/>
                                </a:prstGeom>
                                <a:noFill/>
                                <a:ln>
                                  <a:noFill/>
                                </a:ln>
                              </pic:spPr>
                            </pic:pic>
                          </a:graphicData>
                        </a:graphic>
                      </wp:inline>
                    </w:drawing>
                  </w:r>
                  <w:r>
                    <w:rPr>
                      <w:rFonts w:hint="default" w:ascii="Times New Roman" w:hAnsi="Times New Roman" w:eastAsia="宋体"/>
                      <w:b w:val="0"/>
                      <w:bCs/>
                      <w:color w:val="auto"/>
                      <w:sz w:val="21"/>
                      <w:szCs w:val="21"/>
                    </w:rPr>
                    <w:fldChar w:fldCharType="end"/>
                  </w:r>
                </w:p>
              </w:tc>
              <w:tc>
                <w:tcPr>
                  <w:tcW w:w="1094" w:type="pct"/>
                  <w:noWrap w:val="0"/>
                  <w:vAlign w:val="center"/>
                </w:tcPr>
                <w:p w14:paraId="4C76B2C0">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drawing>
                      <wp:inline distT="0" distB="0" distL="114300" distR="114300">
                        <wp:extent cx="1040130" cy="852805"/>
                        <wp:effectExtent l="0" t="0" r="7620" b="4445"/>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29"/>
                                <a:stretch>
                                  <a:fillRect/>
                                </a:stretch>
                              </pic:blipFill>
                              <pic:spPr>
                                <a:xfrm>
                                  <a:off x="0" y="0"/>
                                  <a:ext cx="1040130" cy="852805"/>
                                </a:xfrm>
                                <a:prstGeom prst="rect">
                                  <a:avLst/>
                                </a:prstGeom>
                                <a:noFill/>
                                <a:ln>
                                  <a:noFill/>
                                </a:ln>
                              </pic:spPr>
                            </pic:pic>
                          </a:graphicData>
                        </a:graphic>
                      </wp:inline>
                    </w:drawing>
                  </w:r>
                </w:p>
              </w:tc>
              <w:tc>
                <w:tcPr>
                  <w:tcW w:w="1102" w:type="pct"/>
                  <w:noWrap w:val="0"/>
                  <w:vAlign w:val="center"/>
                </w:tcPr>
                <w:p w14:paraId="1B3605B7">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一般工业固体废物</w:t>
                  </w:r>
                </w:p>
              </w:tc>
              <w:tc>
                <w:tcPr>
                  <w:tcW w:w="1248" w:type="pct"/>
                  <w:noWrap w:val="0"/>
                  <w:vAlign w:val="center"/>
                </w:tcPr>
                <w:p w14:paraId="2E52AD46">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表示一般工业固体废物贮存、处置场</w:t>
                  </w:r>
                </w:p>
              </w:tc>
            </w:tr>
            <w:tr w14:paraId="4BBF5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571" w:type="pct"/>
                  <w:noWrap w:val="0"/>
                  <w:vAlign w:val="center"/>
                </w:tcPr>
                <w:p w14:paraId="31918D37">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3</w:t>
                  </w:r>
                </w:p>
              </w:tc>
              <w:tc>
                <w:tcPr>
                  <w:tcW w:w="983" w:type="pct"/>
                  <w:noWrap w:val="0"/>
                  <w:vAlign w:val="center"/>
                </w:tcPr>
                <w:p w14:paraId="4E41619C">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w:t>
                  </w:r>
                </w:p>
              </w:tc>
              <w:tc>
                <w:tcPr>
                  <w:tcW w:w="1094" w:type="pct"/>
                  <w:noWrap w:val="0"/>
                  <w:vAlign w:val="center"/>
                </w:tcPr>
                <w:p w14:paraId="5A012548">
                  <w:pPr>
                    <w:adjustRightInd w:val="0"/>
                    <w:snapToGrid w:val="0"/>
                    <w:spacing w:line="240" w:lineRule="auto"/>
                    <w:jc w:val="center"/>
                    <w:rPr>
                      <w:rFonts w:hint="default" w:ascii="Times New Roman" w:hAnsi="Times New Roman" w:eastAsia="宋体"/>
                      <w:b w:val="0"/>
                      <w:bCs/>
                      <w:color w:val="auto"/>
                      <w:sz w:val="21"/>
                      <w:szCs w:val="21"/>
                    </w:rPr>
                  </w:pPr>
                  <w:r>
                    <w:rPr>
                      <w:rFonts w:hint="eastAsia" w:ascii="Times New Roman" w:hAnsi="Times New Roman" w:eastAsia="宋体"/>
                      <w:b w:val="0"/>
                      <w:bCs/>
                      <w:color w:val="auto"/>
                      <w:sz w:val="21"/>
                      <w:szCs w:val="21"/>
                      <w:lang w:eastAsia="zh-CN"/>
                    </w:rPr>
                    <w:drawing>
                      <wp:inline distT="0" distB="0" distL="114300" distR="114300">
                        <wp:extent cx="964565" cy="765810"/>
                        <wp:effectExtent l="0" t="0" r="6985" b="15240"/>
                        <wp:docPr id="47" name="图片 8" descr="168412901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1684129014677"/>
                                <pic:cNvPicPr>
                                  <a:picLocks noChangeAspect="1"/>
                                </pic:cNvPicPr>
                              </pic:nvPicPr>
                              <pic:blipFill>
                                <a:blip r:embed="rId30"/>
                                <a:stretch>
                                  <a:fillRect/>
                                </a:stretch>
                              </pic:blipFill>
                              <pic:spPr>
                                <a:xfrm>
                                  <a:off x="0" y="0"/>
                                  <a:ext cx="964565" cy="765810"/>
                                </a:xfrm>
                                <a:prstGeom prst="rect">
                                  <a:avLst/>
                                </a:prstGeom>
                                <a:noFill/>
                                <a:ln>
                                  <a:noFill/>
                                </a:ln>
                              </pic:spPr>
                            </pic:pic>
                          </a:graphicData>
                        </a:graphic>
                      </wp:inline>
                    </w:drawing>
                  </w:r>
                </w:p>
              </w:tc>
              <w:tc>
                <w:tcPr>
                  <w:tcW w:w="1102" w:type="pct"/>
                  <w:noWrap w:val="0"/>
                  <w:vAlign w:val="center"/>
                </w:tcPr>
                <w:p w14:paraId="61C5AB3B">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危险废物</w:t>
                  </w:r>
                </w:p>
              </w:tc>
              <w:tc>
                <w:tcPr>
                  <w:tcW w:w="1248" w:type="pct"/>
                  <w:noWrap w:val="0"/>
                  <w:vAlign w:val="center"/>
                </w:tcPr>
                <w:p w14:paraId="2FE2E2C6">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表示危险废物贮存、处置场</w:t>
                  </w:r>
                </w:p>
              </w:tc>
            </w:tr>
            <w:tr w14:paraId="0606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jc w:val="center"/>
              </w:trPr>
              <w:tc>
                <w:tcPr>
                  <w:tcW w:w="571" w:type="pct"/>
                  <w:noWrap w:val="0"/>
                  <w:vAlign w:val="center"/>
                </w:tcPr>
                <w:p w14:paraId="42259B6A">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4</w:t>
                  </w:r>
                </w:p>
              </w:tc>
              <w:tc>
                <w:tcPr>
                  <w:tcW w:w="983" w:type="pct"/>
                  <w:noWrap w:val="0"/>
                  <w:vAlign w:val="center"/>
                </w:tcPr>
                <w:p w14:paraId="17D5A999">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fldChar w:fldCharType="begin"/>
                  </w:r>
                  <w:r>
                    <w:instrText xml:space="preserve"> INCLUDEPICTURE "（送审本）宿州美膳新材料有限公司年产100000套密胺餐具项目环境影响报告表/（送审本）宿州美膳新材料有限公司年产100000套密胺餐具项目环境影响报告表/A文本/" \* MERGEFORMAT \d </w:instrText>
                  </w:r>
                  <w:r>
                    <w:rPr>
                      <w:rFonts w:hint="default" w:ascii="Times New Roman" w:hAnsi="Times New Roman" w:eastAsia="宋体"/>
                      <w:b w:val="0"/>
                      <w:bCs/>
                      <w:color w:val="auto"/>
                      <w:sz w:val="21"/>
                      <w:szCs w:val="21"/>
                    </w:rPr>
                    <w:fldChar w:fldCharType="separate"/>
                  </w:r>
                  <w:r>
                    <w:rPr>
                      <w:rFonts w:hint="default" w:ascii="Times New Roman" w:hAnsi="Times New Roman" w:eastAsia="宋体"/>
                      <w:b w:val="0"/>
                      <w:bCs/>
                      <w:color w:val="auto"/>
                      <w:sz w:val="21"/>
                      <w:szCs w:val="21"/>
                    </w:rPr>
                    <w:drawing>
                      <wp:inline distT="0" distB="0" distL="114300" distR="114300">
                        <wp:extent cx="944880" cy="935355"/>
                        <wp:effectExtent l="0" t="0" r="7620" b="17145"/>
                        <wp:docPr id="38"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56"/>
                                <pic:cNvPicPr>
                                  <a:picLocks noChangeAspect="1"/>
                                </pic:cNvPicPr>
                              </pic:nvPicPr>
                              <pic:blipFill>
                                <a:blip r:embed="rId31"/>
                                <a:stretch>
                                  <a:fillRect/>
                                </a:stretch>
                              </pic:blipFill>
                              <pic:spPr>
                                <a:xfrm>
                                  <a:off x="0" y="0"/>
                                  <a:ext cx="944880" cy="935355"/>
                                </a:xfrm>
                                <a:prstGeom prst="rect">
                                  <a:avLst/>
                                </a:prstGeom>
                                <a:noFill/>
                                <a:ln>
                                  <a:noFill/>
                                </a:ln>
                              </pic:spPr>
                            </pic:pic>
                          </a:graphicData>
                        </a:graphic>
                      </wp:inline>
                    </w:drawing>
                  </w:r>
                  <w:r>
                    <w:rPr>
                      <w:rFonts w:hint="default" w:ascii="Times New Roman" w:hAnsi="Times New Roman" w:eastAsia="宋体"/>
                      <w:b w:val="0"/>
                      <w:bCs/>
                      <w:color w:val="auto"/>
                      <w:sz w:val="21"/>
                      <w:szCs w:val="21"/>
                    </w:rPr>
                    <w:fldChar w:fldCharType="end"/>
                  </w:r>
                </w:p>
              </w:tc>
              <w:tc>
                <w:tcPr>
                  <w:tcW w:w="1094" w:type="pct"/>
                  <w:noWrap w:val="0"/>
                  <w:vAlign w:val="center"/>
                </w:tcPr>
                <w:p w14:paraId="472307BA">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drawing>
                      <wp:inline distT="0" distB="0" distL="114300" distR="114300">
                        <wp:extent cx="956310" cy="844550"/>
                        <wp:effectExtent l="0" t="0" r="15240" b="1270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32"/>
                                <a:stretch>
                                  <a:fillRect/>
                                </a:stretch>
                              </pic:blipFill>
                              <pic:spPr>
                                <a:xfrm>
                                  <a:off x="0" y="0"/>
                                  <a:ext cx="956310" cy="844550"/>
                                </a:xfrm>
                                <a:prstGeom prst="rect">
                                  <a:avLst/>
                                </a:prstGeom>
                                <a:noFill/>
                                <a:ln>
                                  <a:noFill/>
                                </a:ln>
                              </pic:spPr>
                            </pic:pic>
                          </a:graphicData>
                        </a:graphic>
                      </wp:inline>
                    </w:drawing>
                  </w:r>
                </w:p>
              </w:tc>
              <w:tc>
                <w:tcPr>
                  <w:tcW w:w="1102" w:type="pct"/>
                  <w:noWrap w:val="0"/>
                  <w:vAlign w:val="center"/>
                </w:tcPr>
                <w:p w14:paraId="64BF340F">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噪声排放源</w:t>
                  </w:r>
                </w:p>
              </w:tc>
              <w:tc>
                <w:tcPr>
                  <w:tcW w:w="1248" w:type="pct"/>
                  <w:noWrap w:val="0"/>
                  <w:vAlign w:val="center"/>
                </w:tcPr>
                <w:p w14:paraId="4B84E052">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表示噪声向外环境排放</w:t>
                  </w:r>
                </w:p>
              </w:tc>
            </w:tr>
            <w:tr w14:paraId="0E63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71" w:type="pct"/>
                  <w:noWrap w:val="0"/>
                  <w:vAlign w:val="center"/>
                </w:tcPr>
                <w:p w14:paraId="10EE1B39">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5</w:t>
                  </w:r>
                </w:p>
              </w:tc>
              <w:tc>
                <w:tcPr>
                  <w:tcW w:w="983" w:type="pct"/>
                  <w:noWrap w:val="0"/>
                  <w:vAlign w:val="center"/>
                </w:tcPr>
                <w:p w14:paraId="5A0D8CCE">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drawing>
                      <wp:inline distT="0" distB="0" distL="114300" distR="114300">
                        <wp:extent cx="898525" cy="879475"/>
                        <wp:effectExtent l="0" t="0" r="15875" b="15875"/>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33"/>
                                <a:stretch>
                                  <a:fillRect/>
                                </a:stretch>
                              </pic:blipFill>
                              <pic:spPr>
                                <a:xfrm>
                                  <a:off x="0" y="0"/>
                                  <a:ext cx="898525" cy="879475"/>
                                </a:xfrm>
                                <a:prstGeom prst="rect">
                                  <a:avLst/>
                                </a:prstGeom>
                                <a:noFill/>
                                <a:ln>
                                  <a:noFill/>
                                </a:ln>
                              </pic:spPr>
                            </pic:pic>
                          </a:graphicData>
                        </a:graphic>
                      </wp:inline>
                    </w:drawing>
                  </w:r>
                </w:p>
              </w:tc>
              <w:tc>
                <w:tcPr>
                  <w:tcW w:w="1094" w:type="pct"/>
                  <w:noWrap w:val="0"/>
                  <w:vAlign w:val="center"/>
                </w:tcPr>
                <w:p w14:paraId="62D11362">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fldChar w:fldCharType="begin"/>
                  </w:r>
                  <w:r>
                    <w:instrText xml:space="preserve"> INCLUDEPICTURE "（送审本）宿州美膳新材料有限公司年产100000套密胺餐具项目环境影响报告表/（送审本）宿州美膳新材料有限公司年产100000套密胺餐具项目环境影响报告表/A文本/" \* MERGEFORMAT \d </w:instrText>
                  </w:r>
                  <w:r>
                    <w:rPr>
                      <w:rFonts w:hint="default" w:ascii="Times New Roman" w:hAnsi="Times New Roman" w:eastAsia="宋体"/>
                      <w:b w:val="0"/>
                      <w:bCs/>
                      <w:color w:val="auto"/>
                      <w:sz w:val="21"/>
                      <w:szCs w:val="21"/>
                    </w:rPr>
                    <w:fldChar w:fldCharType="separate"/>
                  </w:r>
                  <w:r>
                    <w:rPr>
                      <w:rFonts w:hint="default" w:ascii="Times New Roman" w:hAnsi="Times New Roman" w:eastAsia="宋体"/>
                      <w:b w:val="0"/>
                      <w:bCs/>
                      <w:color w:val="auto"/>
                      <w:sz w:val="21"/>
                      <w:szCs w:val="21"/>
                    </w:rPr>
                    <w:drawing>
                      <wp:inline distT="0" distB="0" distL="114300" distR="114300">
                        <wp:extent cx="980440" cy="897255"/>
                        <wp:effectExtent l="0" t="0" r="10160" b="17145"/>
                        <wp:docPr id="49"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descr="IMG_256"/>
                                <pic:cNvPicPr>
                                  <a:picLocks noChangeAspect="1"/>
                                </pic:cNvPicPr>
                              </pic:nvPicPr>
                              <pic:blipFill>
                                <a:blip r:embed="rId34"/>
                                <a:stretch>
                                  <a:fillRect/>
                                </a:stretch>
                              </pic:blipFill>
                              <pic:spPr>
                                <a:xfrm>
                                  <a:off x="0" y="0"/>
                                  <a:ext cx="980440" cy="897255"/>
                                </a:xfrm>
                                <a:prstGeom prst="rect">
                                  <a:avLst/>
                                </a:prstGeom>
                                <a:noFill/>
                                <a:ln>
                                  <a:noFill/>
                                </a:ln>
                              </pic:spPr>
                            </pic:pic>
                          </a:graphicData>
                        </a:graphic>
                      </wp:inline>
                    </w:drawing>
                  </w:r>
                  <w:r>
                    <w:rPr>
                      <w:rFonts w:hint="default" w:ascii="Times New Roman" w:hAnsi="Times New Roman" w:eastAsia="宋体"/>
                      <w:b w:val="0"/>
                      <w:bCs/>
                      <w:color w:val="auto"/>
                      <w:sz w:val="21"/>
                      <w:szCs w:val="21"/>
                    </w:rPr>
                    <w:fldChar w:fldCharType="end"/>
                  </w:r>
                </w:p>
              </w:tc>
              <w:tc>
                <w:tcPr>
                  <w:tcW w:w="1102" w:type="pct"/>
                  <w:noWrap w:val="0"/>
                  <w:vAlign w:val="center"/>
                </w:tcPr>
                <w:p w14:paraId="10CCF242">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废气排放口</w:t>
                  </w:r>
                </w:p>
              </w:tc>
              <w:tc>
                <w:tcPr>
                  <w:tcW w:w="1248" w:type="pct"/>
                  <w:noWrap w:val="0"/>
                  <w:vAlign w:val="center"/>
                </w:tcPr>
                <w:p w14:paraId="31ECC2B6">
                  <w:pPr>
                    <w:adjustRightInd w:val="0"/>
                    <w:snapToGrid w:val="0"/>
                    <w:spacing w:line="240" w:lineRule="auto"/>
                    <w:jc w:val="center"/>
                    <w:rPr>
                      <w:rFonts w:hint="default" w:ascii="Times New Roman" w:hAnsi="Times New Roman" w:eastAsia="宋体"/>
                      <w:b w:val="0"/>
                      <w:bCs/>
                      <w:color w:val="auto"/>
                      <w:sz w:val="21"/>
                      <w:szCs w:val="21"/>
                    </w:rPr>
                  </w:pPr>
                  <w:r>
                    <w:rPr>
                      <w:rFonts w:hint="default" w:ascii="Times New Roman" w:hAnsi="Times New Roman" w:eastAsia="宋体"/>
                      <w:b w:val="0"/>
                      <w:bCs/>
                      <w:color w:val="auto"/>
                      <w:sz w:val="21"/>
                      <w:szCs w:val="21"/>
                    </w:rPr>
                    <w:t>表示废气向大气环境排放</w:t>
                  </w:r>
                </w:p>
              </w:tc>
            </w:tr>
          </w:tbl>
          <w:p w14:paraId="51769CAF">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both"/>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3、项目竣工环境保护验收</w:t>
            </w:r>
          </w:p>
          <w:p w14:paraId="6AF936C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建设单位应按照国家及本市有关法律法规、建设项目竣工环境保护验收技术规范、建设项目环境影响报告表和审批决定等要求，开展相关自主验收工作。建设项目配套建设的环境保护设施经验收合格，方可投入生产或者使用；未经验收或者验收不合格的，不得投入生产或者使用。</w:t>
            </w:r>
          </w:p>
          <w:p w14:paraId="71126309">
            <w:pPr>
              <w:pStyle w:val="2"/>
              <w:rPr>
                <w:rFonts w:hint="default" w:ascii="Times New Roman" w:hAnsi="Times New Roman" w:eastAsia="宋体" w:cs="Times New Roman"/>
                <w:b w:val="0"/>
                <w:bCs/>
                <w:color w:val="auto"/>
                <w:sz w:val="24"/>
                <w:szCs w:val="24"/>
                <w:lang w:val="en-US" w:eastAsia="zh-CN"/>
              </w:rPr>
            </w:pPr>
          </w:p>
          <w:p w14:paraId="132025F9">
            <w:pPr>
              <w:rPr>
                <w:rFonts w:hint="default" w:ascii="Times New Roman" w:hAnsi="Times New Roman" w:eastAsia="宋体" w:cs="Times New Roman"/>
                <w:b w:val="0"/>
                <w:bCs/>
                <w:color w:val="auto"/>
                <w:sz w:val="24"/>
                <w:szCs w:val="24"/>
                <w:lang w:val="en-US" w:eastAsia="zh-CN"/>
              </w:rPr>
            </w:pPr>
          </w:p>
          <w:p w14:paraId="4614D8D8">
            <w:pPr>
              <w:pStyle w:val="2"/>
              <w:rPr>
                <w:rFonts w:hint="default" w:ascii="Times New Roman" w:hAnsi="Times New Roman" w:eastAsia="宋体" w:cs="Times New Roman"/>
                <w:b w:val="0"/>
                <w:bCs/>
                <w:color w:val="auto"/>
                <w:sz w:val="24"/>
                <w:szCs w:val="24"/>
                <w:lang w:val="en-US" w:eastAsia="zh-CN"/>
              </w:rPr>
            </w:pPr>
          </w:p>
          <w:p w14:paraId="3DB5A9DA">
            <w:pPr>
              <w:rPr>
                <w:rFonts w:hint="default" w:ascii="Times New Roman" w:hAnsi="Times New Roman" w:eastAsia="宋体" w:cs="Times New Roman"/>
                <w:b w:val="0"/>
                <w:bCs/>
                <w:color w:val="auto"/>
                <w:sz w:val="24"/>
                <w:szCs w:val="24"/>
                <w:lang w:val="en-US" w:eastAsia="zh-CN"/>
              </w:rPr>
            </w:pPr>
          </w:p>
          <w:p w14:paraId="22B7496D">
            <w:pPr>
              <w:pStyle w:val="2"/>
              <w:rPr>
                <w:rFonts w:hint="default" w:ascii="Times New Roman" w:hAnsi="Times New Roman" w:eastAsia="宋体" w:cs="Times New Roman"/>
                <w:b w:val="0"/>
                <w:bCs/>
                <w:color w:val="auto"/>
                <w:sz w:val="24"/>
                <w:szCs w:val="24"/>
                <w:lang w:val="en-US" w:eastAsia="zh-CN"/>
              </w:rPr>
            </w:pPr>
          </w:p>
          <w:p w14:paraId="3FEED2D9">
            <w:pPr>
              <w:pStyle w:val="2"/>
              <w:rPr>
                <w:rFonts w:hint="default" w:ascii="Times New Roman" w:hAnsi="Times New Roman" w:eastAsia="宋体" w:cs="Times New Roman"/>
                <w:b w:val="0"/>
                <w:bCs/>
                <w:color w:val="auto"/>
                <w:sz w:val="24"/>
                <w:szCs w:val="24"/>
                <w:lang w:val="en-US" w:eastAsia="zh-CN"/>
              </w:rPr>
            </w:pPr>
          </w:p>
          <w:p w14:paraId="7CDF57CC">
            <w:pPr>
              <w:rPr>
                <w:rFonts w:hint="default" w:ascii="Times New Roman" w:hAnsi="Times New Roman" w:eastAsia="宋体" w:cs="Times New Roman"/>
                <w:b w:val="0"/>
                <w:bCs/>
                <w:color w:val="auto"/>
                <w:sz w:val="24"/>
                <w:szCs w:val="24"/>
                <w:lang w:val="en-US" w:eastAsia="zh-CN"/>
              </w:rPr>
            </w:pPr>
          </w:p>
          <w:p w14:paraId="6346ED17">
            <w:pPr>
              <w:pStyle w:val="2"/>
              <w:rPr>
                <w:rFonts w:hint="default" w:ascii="Times New Roman" w:hAnsi="Times New Roman" w:eastAsia="宋体" w:cs="Times New Roman"/>
                <w:b w:val="0"/>
                <w:bCs/>
                <w:color w:val="auto"/>
                <w:sz w:val="24"/>
                <w:szCs w:val="24"/>
                <w:lang w:val="en-US" w:eastAsia="zh-CN"/>
              </w:rPr>
            </w:pPr>
          </w:p>
          <w:p w14:paraId="74460B09">
            <w:pPr>
              <w:rPr>
                <w:rFonts w:hint="default" w:ascii="Times New Roman" w:hAnsi="Times New Roman" w:eastAsia="宋体" w:cs="Times New Roman"/>
                <w:b w:val="0"/>
                <w:bCs/>
                <w:color w:val="auto"/>
                <w:sz w:val="24"/>
                <w:szCs w:val="24"/>
                <w:lang w:val="en-US" w:eastAsia="zh-CN"/>
              </w:rPr>
            </w:pPr>
          </w:p>
          <w:p w14:paraId="4FF9B55F">
            <w:pPr>
              <w:pStyle w:val="2"/>
              <w:rPr>
                <w:rFonts w:hint="default" w:ascii="Times New Roman" w:hAnsi="Times New Roman" w:eastAsia="宋体" w:cs="Times New Roman"/>
                <w:b w:val="0"/>
                <w:bCs/>
                <w:color w:val="auto"/>
                <w:sz w:val="24"/>
                <w:szCs w:val="24"/>
                <w:lang w:val="en-US" w:eastAsia="zh-CN"/>
              </w:rPr>
            </w:pPr>
          </w:p>
          <w:p w14:paraId="29EEC898">
            <w:pPr>
              <w:rPr>
                <w:rFonts w:hint="default" w:ascii="Times New Roman" w:hAnsi="Times New Roman" w:eastAsia="宋体" w:cs="Times New Roman"/>
                <w:b w:val="0"/>
                <w:bCs/>
                <w:color w:val="auto"/>
                <w:sz w:val="24"/>
                <w:szCs w:val="24"/>
                <w:lang w:val="en-US" w:eastAsia="zh-CN"/>
              </w:rPr>
            </w:pPr>
          </w:p>
          <w:p w14:paraId="3D7F989C">
            <w:pPr>
              <w:rPr>
                <w:rFonts w:hint="default"/>
                <w:lang w:val="en-US" w:eastAsia="zh-CN"/>
              </w:rPr>
            </w:pPr>
          </w:p>
        </w:tc>
      </w:tr>
    </w:tbl>
    <w:p w14:paraId="14783492">
      <w:pPr>
        <w:pStyle w:val="38"/>
        <w:keepNext w:val="0"/>
        <w:keepLines w:val="0"/>
        <w:pageBreakBefore/>
        <w:widowControl w:val="0"/>
        <w:kinsoku/>
        <w:wordWrap/>
        <w:overflowPunct/>
        <w:topLinePunct w:val="0"/>
        <w:autoSpaceDE w:val="0"/>
        <w:autoSpaceDN w:val="0"/>
        <w:bidi w:val="0"/>
        <w:adjustRightInd w:val="0"/>
        <w:snapToGrid/>
        <w:textAlignment w:val="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六、结论</w:t>
      </w:r>
    </w:p>
    <w:tbl>
      <w:tblPr>
        <w:tblStyle w:val="32"/>
        <w:tblW w:w="102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05"/>
      </w:tblGrid>
      <w:tr w14:paraId="5A95CE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638" w:type="dxa"/>
            <w:vAlign w:val="center"/>
          </w:tcPr>
          <w:p w14:paraId="2FD41731">
            <w:pPr>
              <w:pStyle w:val="38"/>
              <w:spacing w:line="360" w:lineRule="auto"/>
              <w:ind w:firstLine="480" w:firstLineChars="200"/>
              <w:rPr>
                <w:rFonts w:hint="default" w:ascii="Times New Roman" w:hAnsi="Times New Roman" w:cs="Times New Roman"/>
                <w:b w:val="0"/>
                <w:bCs/>
                <w:color w:val="auto"/>
              </w:rPr>
            </w:pPr>
            <w:r>
              <w:rPr>
                <w:rFonts w:hint="default" w:ascii="Times New Roman" w:hAnsi="Times New Roman" w:cs="Times New Roman"/>
                <w:b w:val="0"/>
                <w:bCs/>
                <w:color w:val="auto"/>
              </w:rPr>
              <w:t>本项目建设符合国家和</w:t>
            </w:r>
            <w:r>
              <w:rPr>
                <w:rFonts w:hint="default" w:ascii="Times New Roman" w:hAnsi="Times New Roman" w:cs="Times New Roman"/>
                <w:b w:val="0"/>
                <w:bCs/>
                <w:color w:val="auto"/>
                <w:lang w:val="en-US" w:eastAsia="zh-CN"/>
              </w:rPr>
              <w:t>宿州</w:t>
            </w:r>
            <w:r>
              <w:rPr>
                <w:rFonts w:hint="default" w:ascii="Times New Roman" w:hAnsi="Times New Roman" w:cs="Times New Roman"/>
                <w:b w:val="0"/>
                <w:bCs/>
                <w:color w:val="auto"/>
              </w:rPr>
              <w:t>市产</w:t>
            </w:r>
            <w:r>
              <w:rPr>
                <w:rFonts w:hint="default" w:ascii="Times New Roman" w:hAnsi="Times New Roman" w:cs="Times New Roman"/>
                <w:b w:val="0"/>
                <w:bCs/>
                <w:color w:val="auto"/>
                <w:highlight w:val="none"/>
              </w:rPr>
              <w:t>业政策要求，</w:t>
            </w:r>
            <w:r>
              <w:rPr>
                <w:rFonts w:hint="default" w:ascii="Times New Roman" w:hAnsi="Times New Roman" w:cs="Times New Roman"/>
                <w:color w:val="auto"/>
                <w:sz w:val="24"/>
                <w:szCs w:val="24"/>
                <w:highlight w:val="none"/>
                <w:vertAlign w:val="baseline"/>
                <w:lang w:val="en-US" w:eastAsia="zh-CN"/>
              </w:rPr>
              <w:t>根据泗县土地利用总体规划图，本项目用地为建设用地</w:t>
            </w:r>
            <w:r>
              <w:rPr>
                <w:rFonts w:hint="default" w:ascii="Times New Roman" w:hAnsi="Times New Roman" w:cs="Times New Roman"/>
                <w:b w:val="0"/>
                <w:bCs/>
                <w:color w:val="auto"/>
                <w:highlight w:val="none"/>
              </w:rPr>
              <w:t>。本项目实施后产生的废气、废水污染物经相应的环保措施治理后均可实现达标排放，厂界噪声可实现达标排放，固体废物处置去向合理，预</w:t>
            </w:r>
            <w:r>
              <w:rPr>
                <w:rFonts w:hint="default" w:ascii="Times New Roman" w:hAnsi="Times New Roman" w:cs="Times New Roman"/>
                <w:b w:val="0"/>
                <w:bCs/>
                <w:color w:val="auto"/>
              </w:rPr>
              <w:t>计不会对环境产生明显不利影响。综上所述，在落实本报告提出的各项环保措施的情况下，本项目的建设具备环境可行性。</w:t>
            </w:r>
          </w:p>
          <w:p w14:paraId="3834704C">
            <w:pPr>
              <w:pStyle w:val="38"/>
              <w:rPr>
                <w:rFonts w:hint="default" w:ascii="Times New Roman" w:hAnsi="Times New Roman" w:cs="Times New Roman"/>
                <w:color w:val="auto"/>
              </w:rPr>
            </w:pPr>
          </w:p>
          <w:p w14:paraId="4791FD58">
            <w:pPr>
              <w:pStyle w:val="38"/>
              <w:rPr>
                <w:rFonts w:hint="default" w:ascii="Times New Roman" w:hAnsi="Times New Roman" w:cs="Times New Roman"/>
                <w:color w:val="auto"/>
              </w:rPr>
            </w:pPr>
          </w:p>
          <w:p w14:paraId="63AE6316">
            <w:pPr>
              <w:pStyle w:val="38"/>
              <w:rPr>
                <w:rFonts w:hint="default" w:ascii="Times New Roman" w:hAnsi="Times New Roman" w:cs="Times New Roman"/>
                <w:color w:val="auto"/>
              </w:rPr>
            </w:pPr>
          </w:p>
          <w:p w14:paraId="0BA0BEA4">
            <w:pPr>
              <w:pStyle w:val="38"/>
              <w:rPr>
                <w:rFonts w:hint="default" w:ascii="Times New Roman" w:hAnsi="Times New Roman" w:cs="Times New Roman"/>
                <w:color w:val="auto"/>
              </w:rPr>
            </w:pPr>
          </w:p>
          <w:p w14:paraId="48645CE1">
            <w:pPr>
              <w:pStyle w:val="38"/>
              <w:rPr>
                <w:rFonts w:hint="default" w:ascii="Times New Roman" w:hAnsi="Times New Roman" w:cs="Times New Roman"/>
                <w:color w:val="auto"/>
              </w:rPr>
            </w:pPr>
          </w:p>
          <w:p w14:paraId="5E6BD0DF">
            <w:pPr>
              <w:pStyle w:val="38"/>
              <w:rPr>
                <w:rFonts w:hint="default" w:ascii="Times New Roman" w:hAnsi="Times New Roman" w:cs="Times New Roman"/>
                <w:color w:val="auto"/>
              </w:rPr>
            </w:pPr>
          </w:p>
          <w:p w14:paraId="0A9AEEBF">
            <w:pPr>
              <w:pStyle w:val="38"/>
              <w:rPr>
                <w:rFonts w:hint="default" w:ascii="Times New Roman" w:hAnsi="Times New Roman" w:cs="Times New Roman"/>
                <w:color w:val="auto"/>
              </w:rPr>
            </w:pPr>
          </w:p>
          <w:p w14:paraId="0D83B253">
            <w:pPr>
              <w:pStyle w:val="38"/>
              <w:rPr>
                <w:rFonts w:hint="default" w:ascii="Times New Roman" w:hAnsi="Times New Roman" w:cs="Times New Roman"/>
                <w:color w:val="auto"/>
              </w:rPr>
            </w:pPr>
          </w:p>
          <w:p w14:paraId="2EA5DA17">
            <w:pPr>
              <w:pStyle w:val="38"/>
              <w:rPr>
                <w:rFonts w:hint="default" w:ascii="Times New Roman" w:hAnsi="Times New Roman" w:cs="Times New Roman"/>
                <w:color w:val="auto"/>
              </w:rPr>
            </w:pPr>
          </w:p>
          <w:p w14:paraId="3F96CCC1">
            <w:pPr>
              <w:pStyle w:val="38"/>
              <w:rPr>
                <w:rFonts w:hint="default" w:ascii="Times New Roman" w:hAnsi="Times New Roman" w:cs="Times New Roman"/>
                <w:color w:val="auto"/>
              </w:rPr>
            </w:pPr>
          </w:p>
          <w:p w14:paraId="5483E1EA">
            <w:pPr>
              <w:pStyle w:val="38"/>
              <w:rPr>
                <w:rFonts w:hint="default" w:ascii="Times New Roman" w:hAnsi="Times New Roman" w:cs="Times New Roman"/>
                <w:color w:val="auto"/>
              </w:rPr>
            </w:pPr>
          </w:p>
          <w:p w14:paraId="42685C67">
            <w:pPr>
              <w:pStyle w:val="38"/>
              <w:rPr>
                <w:rFonts w:hint="default" w:ascii="Times New Roman" w:hAnsi="Times New Roman" w:cs="Times New Roman"/>
                <w:color w:val="auto"/>
              </w:rPr>
            </w:pPr>
          </w:p>
          <w:p w14:paraId="748B7BCD">
            <w:pPr>
              <w:pStyle w:val="38"/>
              <w:rPr>
                <w:rFonts w:hint="default" w:ascii="Times New Roman" w:hAnsi="Times New Roman" w:cs="Times New Roman"/>
                <w:color w:val="auto"/>
              </w:rPr>
            </w:pPr>
          </w:p>
          <w:p w14:paraId="477B94B1">
            <w:pPr>
              <w:pStyle w:val="38"/>
              <w:rPr>
                <w:rFonts w:hint="default" w:ascii="Times New Roman" w:hAnsi="Times New Roman" w:cs="Times New Roman"/>
                <w:color w:val="auto"/>
              </w:rPr>
            </w:pPr>
          </w:p>
          <w:p w14:paraId="06C72054">
            <w:pPr>
              <w:pStyle w:val="38"/>
              <w:rPr>
                <w:rFonts w:hint="default" w:ascii="Times New Roman" w:hAnsi="Times New Roman" w:cs="Times New Roman"/>
                <w:color w:val="auto"/>
              </w:rPr>
            </w:pPr>
          </w:p>
          <w:p w14:paraId="305DA520">
            <w:pPr>
              <w:pStyle w:val="38"/>
              <w:rPr>
                <w:rFonts w:hint="default" w:ascii="Times New Roman" w:hAnsi="Times New Roman" w:cs="Times New Roman"/>
                <w:color w:val="auto"/>
              </w:rPr>
            </w:pPr>
          </w:p>
          <w:p w14:paraId="452A1321">
            <w:pPr>
              <w:pStyle w:val="38"/>
              <w:rPr>
                <w:rFonts w:hint="default" w:ascii="Times New Roman" w:hAnsi="Times New Roman" w:cs="Times New Roman"/>
                <w:color w:val="auto"/>
              </w:rPr>
            </w:pPr>
          </w:p>
          <w:p w14:paraId="33AEC8DD">
            <w:pPr>
              <w:pStyle w:val="38"/>
              <w:rPr>
                <w:rFonts w:hint="default" w:ascii="Times New Roman" w:hAnsi="Times New Roman" w:cs="Times New Roman"/>
                <w:color w:val="auto"/>
              </w:rPr>
            </w:pPr>
          </w:p>
          <w:p w14:paraId="352510AD">
            <w:pPr>
              <w:pStyle w:val="38"/>
              <w:rPr>
                <w:rFonts w:hint="default" w:ascii="Times New Roman" w:hAnsi="Times New Roman" w:cs="Times New Roman"/>
                <w:color w:val="auto"/>
              </w:rPr>
            </w:pPr>
          </w:p>
          <w:p w14:paraId="1BD86E07">
            <w:pPr>
              <w:pStyle w:val="38"/>
              <w:rPr>
                <w:rFonts w:hint="default" w:ascii="Times New Roman" w:hAnsi="Times New Roman" w:cs="Times New Roman"/>
                <w:color w:val="auto"/>
              </w:rPr>
            </w:pPr>
          </w:p>
          <w:p w14:paraId="127BC184">
            <w:pPr>
              <w:pStyle w:val="38"/>
              <w:rPr>
                <w:rFonts w:hint="default" w:ascii="Times New Roman" w:hAnsi="Times New Roman" w:cs="Times New Roman"/>
                <w:color w:val="auto"/>
              </w:rPr>
            </w:pPr>
          </w:p>
          <w:p w14:paraId="609FE0E7">
            <w:pPr>
              <w:pStyle w:val="38"/>
              <w:rPr>
                <w:rFonts w:hint="default" w:ascii="Times New Roman" w:hAnsi="Times New Roman" w:cs="Times New Roman"/>
                <w:color w:val="auto"/>
              </w:rPr>
            </w:pPr>
          </w:p>
          <w:p w14:paraId="1C3088D7">
            <w:pPr>
              <w:pStyle w:val="38"/>
              <w:rPr>
                <w:rFonts w:hint="default" w:ascii="Times New Roman" w:hAnsi="Times New Roman" w:cs="Times New Roman"/>
                <w:color w:val="auto"/>
              </w:rPr>
            </w:pPr>
          </w:p>
          <w:p w14:paraId="0FA4137B">
            <w:pPr>
              <w:pStyle w:val="38"/>
              <w:rPr>
                <w:rFonts w:hint="default" w:ascii="Times New Roman" w:hAnsi="Times New Roman" w:cs="Times New Roman"/>
                <w:color w:val="auto"/>
              </w:rPr>
            </w:pPr>
          </w:p>
          <w:p w14:paraId="3A8D8888">
            <w:pPr>
              <w:pStyle w:val="38"/>
              <w:rPr>
                <w:rFonts w:hint="default" w:ascii="Times New Roman" w:hAnsi="Times New Roman" w:cs="Times New Roman"/>
                <w:color w:val="auto"/>
              </w:rPr>
            </w:pPr>
          </w:p>
          <w:p w14:paraId="4C878805">
            <w:pPr>
              <w:pStyle w:val="38"/>
              <w:rPr>
                <w:rFonts w:hint="default" w:ascii="Times New Roman" w:hAnsi="Times New Roman" w:cs="Times New Roman"/>
                <w:color w:val="auto"/>
              </w:rPr>
            </w:pPr>
          </w:p>
          <w:p w14:paraId="738AF8E3">
            <w:pPr>
              <w:pStyle w:val="38"/>
              <w:rPr>
                <w:rFonts w:hint="default" w:ascii="Times New Roman" w:hAnsi="Times New Roman" w:cs="Times New Roman"/>
                <w:color w:val="auto"/>
              </w:rPr>
            </w:pPr>
          </w:p>
          <w:p w14:paraId="2A5F1D8F">
            <w:pPr>
              <w:pStyle w:val="38"/>
              <w:rPr>
                <w:rFonts w:hint="default" w:ascii="Times New Roman" w:hAnsi="Times New Roman" w:cs="Times New Roman"/>
                <w:color w:val="auto"/>
              </w:rPr>
            </w:pPr>
          </w:p>
          <w:p w14:paraId="43BB5FB5">
            <w:pPr>
              <w:pStyle w:val="38"/>
              <w:rPr>
                <w:rFonts w:hint="default" w:ascii="Times New Roman" w:hAnsi="Times New Roman" w:cs="Times New Roman"/>
                <w:color w:val="auto"/>
              </w:rPr>
            </w:pPr>
          </w:p>
          <w:p w14:paraId="3E257B75">
            <w:pPr>
              <w:pStyle w:val="38"/>
              <w:rPr>
                <w:rFonts w:hint="default" w:ascii="Times New Roman" w:hAnsi="Times New Roman" w:cs="Times New Roman"/>
                <w:color w:val="auto"/>
              </w:rPr>
            </w:pPr>
          </w:p>
          <w:p w14:paraId="63BC3AE7">
            <w:pPr>
              <w:pStyle w:val="38"/>
              <w:rPr>
                <w:rFonts w:hint="default" w:ascii="Times New Roman" w:hAnsi="Times New Roman" w:cs="Times New Roman"/>
                <w:color w:val="auto"/>
              </w:rPr>
            </w:pPr>
          </w:p>
          <w:p w14:paraId="42460E87">
            <w:pPr>
              <w:pStyle w:val="38"/>
              <w:rPr>
                <w:rFonts w:hint="default" w:ascii="Times New Roman" w:hAnsi="Times New Roman" w:cs="Times New Roman"/>
                <w:color w:val="auto"/>
              </w:rPr>
            </w:pPr>
          </w:p>
          <w:p w14:paraId="3055715C">
            <w:pPr>
              <w:pStyle w:val="38"/>
              <w:rPr>
                <w:rFonts w:hint="default" w:ascii="Times New Roman" w:hAnsi="Times New Roman" w:cs="Times New Roman"/>
                <w:color w:val="auto"/>
              </w:rPr>
            </w:pPr>
          </w:p>
          <w:p w14:paraId="1B4E8407">
            <w:pPr>
              <w:pStyle w:val="38"/>
              <w:rPr>
                <w:rFonts w:hint="default" w:ascii="Times New Roman" w:hAnsi="Times New Roman" w:cs="Times New Roman"/>
                <w:color w:val="auto"/>
              </w:rPr>
            </w:pPr>
          </w:p>
        </w:tc>
      </w:tr>
    </w:tbl>
    <w:p w14:paraId="1728CB50">
      <w:pPr>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09472CB">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污染物排放统计汇总表</w:t>
      </w:r>
    </w:p>
    <w:tbl>
      <w:tblPr>
        <w:tblStyle w:val="32"/>
        <w:tblW w:w="1474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1638"/>
        <w:gridCol w:w="1638"/>
        <w:gridCol w:w="1638"/>
        <w:gridCol w:w="1637"/>
        <w:gridCol w:w="1638"/>
        <w:gridCol w:w="1638"/>
        <w:gridCol w:w="1638"/>
        <w:gridCol w:w="1638"/>
      </w:tblGrid>
      <w:tr w14:paraId="519B84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14:paraId="141B6A21">
            <w:pPr>
              <w:jc w:val="center"/>
              <w:rPr>
                <w:rFonts w:hint="default" w:ascii="Times New Roman" w:hAnsi="Times New Roman" w:cs="Times New Roman"/>
                <w:color w:val="auto"/>
                <w:szCs w:val="21"/>
              </w:rPr>
            </w:pPr>
            <w:r>
              <w:rPr>
                <w:rFonts w:hint="default" w:ascii="Times New Roman" w:hAnsi="Times New Roman" w:cs="Times New Roman"/>
                <w:color w:val="auto"/>
                <w:szCs w:val="21"/>
              </w:rPr>
              <mc:AlternateContent>
                <mc:Choice Requires="wps">
                  <w:drawing>
                    <wp:anchor distT="0" distB="0" distL="114300" distR="114300" simplePos="0" relativeHeight="251661312" behindDoc="0" locked="0" layoutInCell="1" allowOverlap="1">
                      <wp:simplePos x="0" y="0"/>
                      <wp:positionH relativeFrom="column">
                        <wp:posOffset>-60325</wp:posOffset>
                      </wp:positionH>
                      <wp:positionV relativeFrom="paragraph">
                        <wp:posOffset>-6350</wp:posOffset>
                      </wp:positionV>
                      <wp:extent cx="1019175" cy="785495"/>
                      <wp:effectExtent l="3175" t="3810" r="6350" b="10795"/>
                      <wp:wrapNone/>
                      <wp:docPr id="4" name="直接连接符 4"/>
                      <wp:cNvGraphicFramePr/>
                      <a:graphic xmlns:a="http://schemas.openxmlformats.org/drawingml/2006/main">
                        <a:graphicData uri="http://schemas.microsoft.com/office/word/2010/wordprocessingShape">
                          <wps:wsp>
                            <wps:cNvCnPr/>
                            <wps:spPr>
                              <a:xfrm>
                                <a:off x="674370" y="1353820"/>
                                <a:ext cx="1019175" cy="7854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75pt;margin-top:-0.5pt;height:61.85pt;width:80.25pt;z-index:251661312;mso-width-relative:page;mso-height-relative:page;" filled="f" stroked="t" coordsize="21600,21600" o:gfxdata="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SdiSTUAAAACQEAAA8AAAAAAAAAAQAgAAAAIgAAAGRycy9kb3ducmV2LnhtbFBLAQIUABQA&#10;AAAIAIdO4kCEDJth9AEAAMEDAAAOAAAAAAAAAAEAIAAAACMBAABkcnMvZTJvRG9jLnhtbFBLBQYA&#10;AAAABgAGAFkBAACJBQAAAAA=&#10;">
                      <v:fill on="f" focussize="0,0"/>
                      <v:stroke weight="0.5pt" color="#000000 [3213]" miterlimit="8" joinstyle="miter"/>
                      <v:imagedata o:title=""/>
                      <o:lock v:ext="edit" aspectratio="f"/>
                    </v:line>
                  </w:pict>
                </mc:Fallback>
              </mc:AlternateContent>
            </w:r>
            <w:r>
              <w:rPr>
                <w:rFonts w:hint="default" w:ascii="Times New Roman" w:hAnsi="Times New Roman" w:cs="Times New Roman"/>
                <w:color w:val="auto"/>
                <w:szCs w:val="21"/>
              </w:rPr>
              <w:t xml:space="preserve">         项目</w:t>
            </w:r>
          </w:p>
          <w:p w14:paraId="5F181FDB">
            <w:pPr>
              <w:rPr>
                <w:rFonts w:hint="default" w:ascii="Times New Roman" w:hAnsi="Times New Roman" w:cs="Times New Roman"/>
                <w:color w:val="auto"/>
                <w:szCs w:val="21"/>
              </w:rPr>
            </w:pPr>
          </w:p>
          <w:p w14:paraId="09D9A50B">
            <w:pPr>
              <w:rPr>
                <w:rFonts w:hint="default" w:ascii="Times New Roman" w:hAnsi="Times New Roman" w:cs="Times New Roman"/>
                <w:color w:val="auto"/>
                <w:szCs w:val="21"/>
              </w:rPr>
            </w:pPr>
          </w:p>
          <w:p w14:paraId="69FD1231">
            <w:pPr>
              <w:rPr>
                <w:rFonts w:hint="default" w:ascii="Times New Roman" w:hAnsi="Times New Roman" w:cs="Times New Roman"/>
                <w:color w:val="auto"/>
                <w:szCs w:val="21"/>
              </w:rPr>
            </w:pPr>
            <w:r>
              <w:rPr>
                <w:rFonts w:hint="default" w:ascii="Times New Roman" w:hAnsi="Times New Roman" w:cs="Times New Roman"/>
                <w:color w:val="auto"/>
                <w:szCs w:val="21"/>
              </w:rPr>
              <w:t>分类</w:t>
            </w:r>
          </w:p>
        </w:tc>
        <w:tc>
          <w:tcPr>
            <w:tcW w:w="1638" w:type="dxa"/>
            <w:vAlign w:val="center"/>
          </w:tcPr>
          <w:p w14:paraId="1CE07B79">
            <w:pPr>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污染物名称</w:t>
            </w:r>
          </w:p>
        </w:tc>
        <w:tc>
          <w:tcPr>
            <w:tcW w:w="1638" w:type="dxa"/>
            <w:vAlign w:val="center"/>
          </w:tcPr>
          <w:p w14:paraId="3541B1D4">
            <w:pPr>
              <w:jc w:val="center"/>
              <w:rPr>
                <w:rFonts w:hint="default" w:ascii="Times New Roman" w:hAnsi="Times New Roman" w:cs="Times New Roman"/>
                <w:color w:val="auto"/>
                <w:szCs w:val="21"/>
              </w:rPr>
            </w:pPr>
            <w:r>
              <w:rPr>
                <w:rFonts w:hint="default" w:ascii="Times New Roman" w:hAnsi="Times New Roman" w:cs="Times New Roman"/>
                <w:color w:val="auto"/>
                <w:szCs w:val="21"/>
              </w:rPr>
              <w:t>现有工程排放量（固体废物产生量）①</w:t>
            </w:r>
          </w:p>
        </w:tc>
        <w:tc>
          <w:tcPr>
            <w:tcW w:w="1638" w:type="dxa"/>
            <w:vAlign w:val="center"/>
          </w:tcPr>
          <w:p w14:paraId="0AF25020">
            <w:pPr>
              <w:jc w:val="center"/>
              <w:rPr>
                <w:rFonts w:hint="default" w:ascii="Times New Roman" w:hAnsi="Times New Roman" w:cs="Times New Roman"/>
                <w:color w:val="auto"/>
                <w:szCs w:val="21"/>
              </w:rPr>
            </w:pPr>
            <w:r>
              <w:rPr>
                <w:rFonts w:hint="default" w:ascii="Times New Roman" w:hAnsi="Times New Roman" w:cs="Times New Roman"/>
                <w:color w:val="auto"/>
                <w:szCs w:val="21"/>
              </w:rPr>
              <w:t>现有工程许可排放量②</w:t>
            </w:r>
          </w:p>
        </w:tc>
        <w:tc>
          <w:tcPr>
            <w:tcW w:w="1637" w:type="dxa"/>
            <w:vAlign w:val="center"/>
          </w:tcPr>
          <w:p w14:paraId="6BD73336">
            <w:pPr>
              <w:jc w:val="center"/>
              <w:rPr>
                <w:rFonts w:hint="default" w:ascii="Times New Roman" w:hAnsi="Times New Roman" w:cs="Times New Roman"/>
                <w:color w:val="auto"/>
                <w:szCs w:val="21"/>
              </w:rPr>
            </w:pPr>
            <w:r>
              <w:rPr>
                <w:rFonts w:hint="default" w:ascii="Times New Roman" w:hAnsi="Times New Roman" w:cs="Times New Roman"/>
                <w:color w:val="auto"/>
                <w:szCs w:val="21"/>
              </w:rPr>
              <w:t>在建工程排放量（固体废物产生量）③</w:t>
            </w:r>
          </w:p>
        </w:tc>
        <w:tc>
          <w:tcPr>
            <w:tcW w:w="1638" w:type="dxa"/>
            <w:vAlign w:val="center"/>
          </w:tcPr>
          <w:p w14:paraId="26FE8132">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本项目排放量（固体废物产生量）④</w:t>
            </w:r>
          </w:p>
        </w:tc>
        <w:tc>
          <w:tcPr>
            <w:tcW w:w="1638" w:type="dxa"/>
            <w:vAlign w:val="center"/>
          </w:tcPr>
          <w:p w14:paraId="4038AF62">
            <w:pPr>
              <w:jc w:val="center"/>
              <w:rPr>
                <w:rFonts w:hint="default" w:ascii="Times New Roman" w:hAnsi="Times New Roman" w:cs="Times New Roman"/>
                <w:color w:val="auto"/>
                <w:szCs w:val="21"/>
              </w:rPr>
            </w:pPr>
            <w:r>
              <w:rPr>
                <w:rFonts w:hint="default" w:ascii="Times New Roman" w:hAnsi="Times New Roman" w:cs="Times New Roman"/>
                <w:color w:val="auto"/>
                <w:szCs w:val="21"/>
              </w:rPr>
              <w:t>以新带老消减量（新建项目不填）⑤</w:t>
            </w:r>
          </w:p>
        </w:tc>
        <w:tc>
          <w:tcPr>
            <w:tcW w:w="1638" w:type="dxa"/>
            <w:vAlign w:val="center"/>
          </w:tcPr>
          <w:p w14:paraId="1824E9A2">
            <w:pPr>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本项目建成后全厂排放量（固体废物产生量）⑥</w:t>
            </w:r>
          </w:p>
        </w:tc>
        <w:tc>
          <w:tcPr>
            <w:tcW w:w="1638" w:type="dxa"/>
            <w:vAlign w:val="center"/>
          </w:tcPr>
          <w:p w14:paraId="5EFB276B">
            <w:pPr>
              <w:jc w:val="center"/>
              <w:rPr>
                <w:rFonts w:hint="default" w:ascii="Times New Roman" w:hAnsi="Times New Roman" w:cs="Times New Roman"/>
                <w:color w:val="auto"/>
                <w:szCs w:val="21"/>
              </w:rPr>
            </w:pPr>
            <w:r>
              <w:rPr>
                <w:rFonts w:hint="default" w:ascii="Times New Roman" w:hAnsi="Times New Roman" w:cs="Times New Roman"/>
                <w:color w:val="auto"/>
                <w:szCs w:val="21"/>
              </w:rPr>
              <w:t>变化量⑦</w:t>
            </w:r>
          </w:p>
        </w:tc>
      </w:tr>
      <w:tr w14:paraId="6CCC7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Merge w:val="restart"/>
            <w:vAlign w:val="center"/>
          </w:tcPr>
          <w:p w14:paraId="6BB92A55">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废气</w:t>
            </w:r>
          </w:p>
        </w:tc>
        <w:tc>
          <w:tcPr>
            <w:tcW w:w="1638" w:type="dxa"/>
            <w:vAlign w:val="center"/>
          </w:tcPr>
          <w:p w14:paraId="5D897078">
            <w:pPr>
              <w:pStyle w:val="48"/>
              <w:spacing w:line="240" w:lineRule="auto"/>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color w:val="auto"/>
                <w:sz w:val="21"/>
                <w:szCs w:val="21"/>
                <w:lang w:val="en-US" w:eastAsia="zh-CN"/>
              </w:rPr>
              <w:t>颗粒物</w:t>
            </w:r>
          </w:p>
        </w:tc>
        <w:tc>
          <w:tcPr>
            <w:tcW w:w="1638" w:type="dxa"/>
            <w:shd w:val="clear" w:color="auto" w:fill="auto"/>
            <w:vAlign w:val="center"/>
          </w:tcPr>
          <w:p w14:paraId="11DE81C0">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29457FC3">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7" w:type="dxa"/>
            <w:shd w:val="clear" w:color="auto" w:fill="auto"/>
            <w:vAlign w:val="center"/>
          </w:tcPr>
          <w:p w14:paraId="3073E44D">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vAlign w:val="center"/>
          </w:tcPr>
          <w:p w14:paraId="48186922">
            <w:pPr>
              <w:pStyle w:val="38"/>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0.0215</w:t>
            </w:r>
          </w:p>
        </w:tc>
        <w:tc>
          <w:tcPr>
            <w:tcW w:w="1638" w:type="dxa"/>
            <w:shd w:val="clear" w:color="auto" w:fill="auto"/>
            <w:vAlign w:val="center"/>
          </w:tcPr>
          <w:p w14:paraId="0B5B358F">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vAlign w:val="center"/>
          </w:tcPr>
          <w:p w14:paraId="42E47E19">
            <w:pPr>
              <w:pStyle w:val="38"/>
              <w:jc w:val="center"/>
              <w:rPr>
                <w:rFonts w:hint="default" w:ascii="Times New Roman" w:hAnsi="Times New Roman" w:cs="Times New Roman"/>
                <w:color w:val="auto"/>
                <w:sz w:val="21"/>
                <w:szCs w:val="21"/>
                <w:lang w:val="en-US"/>
              </w:rPr>
            </w:pPr>
            <w:r>
              <w:rPr>
                <w:rFonts w:hint="eastAsia" w:cs="Times New Roman" w:eastAsiaTheme="minorEastAsia"/>
                <w:color w:val="auto"/>
                <w:sz w:val="21"/>
                <w:szCs w:val="21"/>
                <w:lang w:val="en-US" w:eastAsia="zh-CN"/>
              </w:rPr>
              <w:t>0.0215</w:t>
            </w:r>
          </w:p>
        </w:tc>
        <w:tc>
          <w:tcPr>
            <w:tcW w:w="1638" w:type="dxa"/>
            <w:vAlign w:val="center"/>
          </w:tcPr>
          <w:p w14:paraId="22A47A60">
            <w:pPr>
              <w:pStyle w:val="38"/>
              <w:jc w:val="center"/>
              <w:rPr>
                <w:rFonts w:hint="default" w:ascii="Times New Roman" w:hAnsi="Times New Roman" w:cs="Times New Roman"/>
                <w:color w:val="auto"/>
                <w:sz w:val="21"/>
                <w:szCs w:val="21"/>
                <w:lang w:val="en-US"/>
              </w:rPr>
            </w:pPr>
            <w:r>
              <w:rPr>
                <w:rFonts w:hint="eastAsia" w:cs="Times New Roman" w:eastAsiaTheme="minorEastAsia"/>
                <w:color w:val="auto"/>
                <w:sz w:val="21"/>
                <w:szCs w:val="21"/>
                <w:lang w:val="en-US" w:eastAsia="zh-CN"/>
              </w:rPr>
              <w:t>0.0215</w:t>
            </w:r>
          </w:p>
        </w:tc>
      </w:tr>
      <w:tr w14:paraId="2B973C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Merge w:val="continue"/>
            <w:vAlign w:val="center"/>
          </w:tcPr>
          <w:p w14:paraId="39196DE0">
            <w:pPr>
              <w:jc w:val="center"/>
              <w:rPr>
                <w:rFonts w:hint="default" w:ascii="Times New Roman" w:hAnsi="Times New Roman" w:cs="Times New Roman"/>
                <w:color w:val="auto"/>
                <w:szCs w:val="21"/>
              </w:rPr>
            </w:pPr>
          </w:p>
        </w:tc>
        <w:tc>
          <w:tcPr>
            <w:tcW w:w="1638" w:type="dxa"/>
            <w:vAlign w:val="center"/>
          </w:tcPr>
          <w:p w14:paraId="69F74573">
            <w:pPr>
              <w:pStyle w:val="48"/>
              <w:spacing w:line="240" w:lineRule="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非甲烷总烃</w:t>
            </w:r>
          </w:p>
        </w:tc>
        <w:tc>
          <w:tcPr>
            <w:tcW w:w="1638" w:type="dxa"/>
            <w:shd w:val="clear" w:color="auto" w:fill="auto"/>
            <w:vAlign w:val="center"/>
          </w:tcPr>
          <w:p w14:paraId="351D68F5">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7B05153A">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7" w:type="dxa"/>
            <w:shd w:val="clear" w:color="auto" w:fill="auto"/>
            <w:vAlign w:val="center"/>
          </w:tcPr>
          <w:p w14:paraId="6AF1D395">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vAlign w:val="center"/>
          </w:tcPr>
          <w:p w14:paraId="2CB2E9A6">
            <w:pPr>
              <w:keepNext w:val="0"/>
              <w:keepLines w:val="0"/>
              <w:widowControl/>
              <w:suppressLineNumbers w:val="0"/>
              <w:jc w:val="center"/>
              <w:textAlignment w:val="center"/>
              <w:rPr>
                <w:rFonts w:hint="eastAsia"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0.0486 </w:t>
            </w:r>
          </w:p>
        </w:tc>
        <w:tc>
          <w:tcPr>
            <w:tcW w:w="1638" w:type="dxa"/>
            <w:shd w:val="clear" w:color="auto" w:fill="auto"/>
            <w:vAlign w:val="center"/>
          </w:tcPr>
          <w:p w14:paraId="6F34A1FE">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vAlign w:val="center"/>
          </w:tcPr>
          <w:p w14:paraId="41C3EA3C">
            <w:pPr>
              <w:keepNext w:val="0"/>
              <w:keepLines w:val="0"/>
              <w:widowControl/>
              <w:suppressLineNumbers w:val="0"/>
              <w:jc w:val="center"/>
              <w:textAlignment w:val="center"/>
              <w:rPr>
                <w:rFonts w:hint="eastAsia"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0.0486 </w:t>
            </w:r>
          </w:p>
        </w:tc>
        <w:tc>
          <w:tcPr>
            <w:tcW w:w="1638" w:type="dxa"/>
            <w:shd w:val="clear" w:color="auto" w:fill="auto"/>
            <w:vAlign w:val="center"/>
          </w:tcPr>
          <w:p w14:paraId="4D61F3C1">
            <w:pPr>
              <w:keepNext w:val="0"/>
              <w:keepLines w:val="0"/>
              <w:widowControl/>
              <w:suppressLineNumbers w:val="0"/>
              <w:jc w:val="center"/>
              <w:textAlignment w:val="center"/>
              <w:rPr>
                <w:rFonts w:hint="default" w:cs="Times New Roman" w:asciiTheme="minorHAnsi" w:hAnsiTheme="minorHAnsi" w:eastAsiaTheme="minorEastAsia"/>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0.0486 </w:t>
            </w:r>
          </w:p>
        </w:tc>
      </w:tr>
      <w:tr w14:paraId="1FFF86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637" w:type="dxa"/>
            <w:vMerge w:val="continue"/>
            <w:vAlign w:val="center"/>
          </w:tcPr>
          <w:p w14:paraId="2AFBC18F">
            <w:pPr>
              <w:jc w:val="center"/>
              <w:rPr>
                <w:rFonts w:hint="default" w:ascii="Times New Roman" w:hAnsi="Times New Roman" w:cs="Times New Roman"/>
                <w:color w:val="auto"/>
                <w:szCs w:val="21"/>
              </w:rPr>
            </w:pPr>
          </w:p>
        </w:tc>
        <w:tc>
          <w:tcPr>
            <w:tcW w:w="1638" w:type="dxa"/>
            <w:vAlign w:val="center"/>
          </w:tcPr>
          <w:p w14:paraId="6B5ED484">
            <w:pPr>
              <w:pStyle w:val="48"/>
              <w:spacing w:line="240" w:lineRule="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甲醛</w:t>
            </w:r>
          </w:p>
        </w:tc>
        <w:tc>
          <w:tcPr>
            <w:tcW w:w="1638" w:type="dxa"/>
            <w:shd w:val="clear" w:color="auto" w:fill="auto"/>
            <w:vAlign w:val="center"/>
          </w:tcPr>
          <w:p w14:paraId="16752D28">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4A20FB44">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7" w:type="dxa"/>
            <w:shd w:val="clear" w:color="auto" w:fill="auto"/>
            <w:vAlign w:val="center"/>
          </w:tcPr>
          <w:p w14:paraId="1B2322AE">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vAlign w:val="center"/>
          </w:tcPr>
          <w:p w14:paraId="665AB8BA">
            <w:pPr>
              <w:keepNext w:val="0"/>
              <w:keepLines w:val="0"/>
              <w:widowControl/>
              <w:suppressLineNumbers w:val="0"/>
              <w:jc w:val="center"/>
              <w:textAlignment w:val="center"/>
              <w:rPr>
                <w:rFonts w:hint="eastAsia"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0.0003 </w:t>
            </w:r>
          </w:p>
        </w:tc>
        <w:tc>
          <w:tcPr>
            <w:tcW w:w="1638" w:type="dxa"/>
            <w:shd w:val="clear" w:color="auto" w:fill="auto"/>
            <w:vAlign w:val="center"/>
          </w:tcPr>
          <w:p w14:paraId="4C553326">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vAlign w:val="center"/>
          </w:tcPr>
          <w:p w14:paraId="34AFFE57">
            <w:pPr>
              <w:keepNext w:val="0"/>
              <w:keepLines w:val="0"/>
              <w:widowControl/>
              <w:suppressLineNumbers w:val="0"/>
              <w:jc w:val="center"/>
              <w:textAlignment w:val="center"/>
              <w:rPr>
                <w:rFonts w:hint="eastAsia"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0.0003 </w:t>
            </w:r>
          </w:p>
        </w:tc>
        <w:tc>
          <w:tcPr>
            <w:tcW w:w="1638" w:type="dxa"/>
            <w:shd w:val="clear" w:color="auto" w:fill="auto"/>
            <w:vAlign w:val="center"/>
          </w:tcPr>
          <w:p w14:paraId="3B34ACB5">
            <w:pPr>
              <w:keepNext w:val="0"/>
              <w:keepLines w:val="0"/>
              <w:widowControl/>
              <w:suppressLineNumbers w:val="0"/>
              <w:jc w:val="center"/>
              <w:textAlignment w:val="center"/>
              <w:rPr>
                <w:rFonts w:hint="default" w:cs="Times New Roman" w:asciiTheme="minorHAnsi" w:hAnsiTheme="minorHAnsi" w:eastAsiaTheme="minorEastAsia"/>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0.0003 </w:t>
            </w:r>
          </w:p>
        </w:tc>
      </w:tr>
      <w:tr w14:paraId="2522BC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Merge w:val="restart"/>
            <w:vAlign w:val="center"/>
          </w:tcPr>
          <w:p w14:paraId="6E591ECA">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1638" w:type="dxa"/>
            <w:vAlign w:val="center"/>
          </w:tcPr>
          <w:p w14:paraId="4CFD6430">
            <w:pPr>
              <w:pStyle w:val="52"/>
              <w:spacing w:line="240" w:lineRule="auto"/>
              <w:ind w:firstLine="0" w:firstLineChars="0"/>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COD</w:t>
            </w:r>
          </w:p>
        </w:tc>
        <w:tc>
          <w:tcPr>
            <w:tcW w:w="1638" w:type="dxa"/>
            <w:shd w:val="clear" w:color="auto" w:fill="auto"/>
            <w:vAlign w:val="center"/>
          </w:tcPr>
          <w:p w14:paraId="0AE90C1A">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319972AF">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7" w:type="dxa"/>
            <w:shd w:val="clear" w:color="auto" w:fill="auto"/>
            <w:vAlign w:val="center"/>
          </w:tcPr>
          <w:p w14:paraId="6FAE474D">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vAlign w:val="center"/>
          </w:tcPr>
          <w:p w14:paraId="72E62D4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0.1210 </w:t>
            </w:r>
          </w:p>
        </w:tc>
        <w:tc>
          <w:tcPr>
            <w:tcW w:w="1638" w:type="dxa"/>
            <w:shd w:val="clear" w:color="auto" w:fill="auto"/>
            <w:vAlign w:val="center"/>
          </w:tcPr>
          <w:p w14:paraId="2D20FC08">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vAlign w:val="center"/>
          </w:tcPr>
          <w:p w14:paraId="023D4E13">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0.1210 </w:t>
            </w:r>
          </w:p>
        </w:tc>
        <w:tc>
          <w:tcPr>
            <w:tcW w:w="1638" w:type="dxa"/>
            <w:vAlign w:val="center"/>
          </w:tcPr>
          <w:p w14:paraId="4CD2BA2D">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0.1210 </w:t>
            </w:r>
          </w:p>
        </w:tc>
      </w:tr>
      <w:tr w14:paraId="4AFCD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Merge w:val="continue"/>
            <w:vAlign w:val="center"/>
          </w:tcPr>
          <w:p w14:paraId="5CA293A7">
            <w:pPr>
              <w:jc w:val="center"/>
              <w:rPr>
                <w:rFonts w:hint="default" w:ascii="Times New Roman" w:hAnsi="Times New Roman" w:cs="Times New Roman"/>
                <w:color w:val="auto"/>
                <w:szCs w:val="21"/>
              </w:rPr>
            </w:pPr>
          </w:p>
        </w:tc>
        <w:tc>
          <w:tcPr>
            <w:tcW w:w="1638" w:type="dxa"/>
            <w:vAlign w:val="center"/>
          </w:tcPr>
          <w:p w14:paraId="7FFBB43A">
            <w:pPr>
              <w:pStyle w:val="52"/>
              <w:spacing w:line="240" w:lineRule="auto"/>
              <w:ind w:firstLine="0" w:firstLineChars="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BOD</w:t>
            </w:r>
            <w:r>
              <w:rPr>
                <w:rFonts w:hint="eastAsia" w:ascii="Times New Roman" w:hAnsi="Times New Roman" w:cs="Times New Roman"/>
                <w:b w:val="0"/>
                <w:bCs/>
                <w:color w:val="auto"/>
                <w:sz w:val="21"/>
                <w:szCs w:val="21"/>
                <w:vertAlign w:val="subscript"/>
                <w:lang w:val="en-US" w:eastAsia="zh-CN"/>
              </w:rPr>
              <w:t>5</w:t>
            </w:r>
          </w:p>
        </w:tc>
        <w:tc>
          <w:tcPr>
            <w:tcW w:w="1638" w:type="dxa"/>
            <w:shd w:val="clear" w:color="auto" w:fill="auto"/>
            <w:vAlign w:val="center"/>
          </w:tcPr>
          <w:p w14:paraId="1ED642A9">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5A44FBFC">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7" w:type="dxa"/>
            <w:shd w:val="clear" w:color="auto" w:fill="auto"/>
            <w:vAlign w:val="center"/>
          </w:tcPr>
          <w:p w14:paraId="48FF5778">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vAlign w:val="center"/>
          </w:tcPr>
          <w:p w14:paraId="278F97E1">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0.0454 </w:t>
            </w:r>
          </w:p>
        </w:tc>
        <w:tc>
          <w:tcPr>
            <w:tcW w:w="1638" w:type="dxa"/>
            <w:shd w:val="clear" w:color="auto" w:fill="auto"/>
            <w:vAlign w:val="center"/>
          </w:tcPr>
          <w:p w14:paraId="34548080">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vAlign w:val="center"/>
          </w:tcPr>
          <w:p w14:paraId="5498A1A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0.0454 </w:t>
            </w:r>
          </w:p>
        </w:tc>
        <w:tc>
          <w:tcPr>
            <w:tcW w:w="1638" w:type="dxa"/>
            <w:vAlign w:val="center"/>
          </w:tcPr>
          <w:p w14:paraId="5300785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0.0454 </w:t>
            </w:r>
          </w:p>
        </w:tc>
      </w:tr>
      <w:tr w14:paraId="68E4F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Merge w:val="continue"/>
            <w:vAlign w:val="center"/>
          </w:tcPr>
          <w:p w14:paraId="2B6023DB">
            <w:pPr>
              <w:jc w:val="center"/>
              <w:rPr>
                <w:rFonts w:hint="default" w:ascii="Times New Roman" w:hAnsi="Times New Roman" w:cs="Times New Roman"/>
                <w:color w:val="auto"/>
                <w:szCs w:val="21"/>
              </w:rPr>
            </w:pPr>
          </w:p>
        </w:tc>
        <w:tc>
          <w:tcPr>
            <w:tcW w:w="1638" w:type="dxa"/>
            <w:vAlign w:val="center"/>
          </w:tcPr>
          <w:p w14:paraId="5E098F97">
            <w:pPr>
              <w:pStyle w:val="52"/>
              <w:spacing w:line="240" w:lineRule="auto"/>
              <w:ind w:firstLine="0" w:firstLineChars="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SS</w:t>
            </w:r>
          </w:p>
        </w:tc>
        <w:tc>
          <w:tcPr>
            <w:tcW w:w="1638" w:type="dxa"/>
            <w:shd w:val="clear" w:color="auto" w:fill="auto"/>
            <w:vAlign w:val="center"/>
          </w:tcPr>
          <w:p w14:paraId="78DB590E">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31CBBB13">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7" w:type="dxa"/>
            <w:shd w:val="clear" w:color="auto" w:fill="auto"/>
            <w:vAlign w:val="center"/>
          </w:tcPr>
          <w:p w14:paraId="42F89D6C">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vAlign w:val="center"/>
          </w:tcPr>
          <w:p w14:paraId="12D9C1AE">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0.0706 </w:t>
            </w:r>
          </w:p>
        </w:tc>
        <w:tc>
          <w:tcPr>
            <w:tcW w:w="1638" w:type="dxa"/>
            <w:shd w:val="clear" w:color="auto" w:fill="auto"/>
            <w:vAlign w:val="center"/>
          </w:tcPr>
          <w:p w14:paraId="1B860764">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vAlign w:val="center"/>
          </w:tcPr>
          <w:p w14:paraId="54CFE205">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0.0706 </w:t>
            </w:r>
          </w:p>
        </w:tc>
        <w:tc>
          <w:tcPr>
            <w:tcW w:w="1638" w:type="dxa"/>
            <w:vAlign w:val="center"/>
          </w:tcPr>
          <w:p w14:paraId="4847E0B0">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0.0706 </w:t>
            </w:r>
          </w:p>
        </w:tc>
      </w:tr>
      <w:tr w14:paraId="6FD8F2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637" w:type="dxa"/>
            <w:vMerge w:val="continue"/>
            <w:vAlign w:val="center"/>
          </w:tcPr>
          <w:p w14:paraId="1E54377D">
            <w:pPr>
              <w:jc w:val="center"/>
              <w:rPr>
                <w:rFonts w:hint="default" w:ascii="Times New Roman" w:hAnsi="Times New Roman" w:cs="Times New Roman"/>
                <w:color w:val="auto"/>
                <w:szCs w:val="21"/>
              </w:rPr>
            </w:pPr>
          </w:p>
        </w:tc>
        <w:tc>
          <w:tcPr>
            <w:tcW w:w="1638" w:type="dxa"/>
            <w:vAlign w:val="center"/>
          </w:tcPr>
          <w:p w14:paraId="0C76CEE4">
            <w:pPr>
              <w:pStyle w:val="52"/>
              <w:spacing w:line="240" w:lineRule="auto"/>
              <w:ind w:firstLine="0" w:firstLineChars="0"/>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NH</w:t>
            </w:r>
            <w:r>
              <w:rPr>
                <w:rFonts w:hint="eastAsia" w:ascii="Times New Roman" w:hAnsi="Times New Roman" w:cs="Times New Roman"/>
                <w:b w:val="0"/>
                <w:bCs/>
                <w:color w:val="auto"/>
                <w:sz w:val="21"/>
                <w:szCs w:val="21"/>
                <w:vertAlign w:val="subscript"/>
                <w:lang w:val="en-US" w:eastAsia="zh-CN"/>
              </w:rPr>
              <w:t>3</w:t>
            </w:r>
            <w:r>
              <w:rPr>
                <w:rFonts w:hint="eastAsia" w:ascii="Times New Roman" w:hAnsi="Times New Roman" w:cs="Times New Roman"/>
                <w:b w:val="0"/>
                <w:bCs/>
                <w:color w:val="auto"/>
                <w:sz w:val="21"/>
                <w:szCs w:val="21"/>
                <w:lang w:val="en-US" w:eastAsia="zh-CN"/>
              </w:rPr>
              <w:t>-N</w:t>
            </w:r>
          </w:p>
        </w:tc>
        <w:tc>
          <w:tcPr>
            <w:tcW w:w="1638" w:type="dxa"/>
            <w:shd w:val="clear" w:color="auto" w:fill="auto"/>
            <w:vAlign w:val="center"/>
          </w:tcPr>
          <w:p w14:paraId="49D170AC">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1F24D9A1">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7" w:type="dxa"/>
            <w:shd w:val="clear" w:color="auto" w:fill="auto"/>
            <w:vAlign w:val="center"/>
          </w:tcPr>
          <w:p w14:paraId="7ECCDBD9">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vAlign w:val="center"/>
          </w:tcPr>
          <w:p w14:paraId="6253B0E8">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0.0113 </w:t>
            </w:r>
          </w:p>
        </w:tc>
        <w:tc>
          <w:tcPr>
            <w:tcW w:w="1638" w:type="dxa"/>
            <w:shd w:val="clear" w:color="auto" w:fill="auto"/>
            <w:vAlign w:val="center"/>
          </w:tcPr>
          <w:p w14:paraId="56D641E4">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vAlign w:val="center"/>
          </w:tcPr>
          <w:p w14:paraId="26B1D9BF">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0.0113 </w:t>
            </w:r>
          </w:p>
        </w:tc>
        <w:tc>
          <w:tcPr>
            <w:tcW w:w="1638" w:type="dxa"/>
            <w:vAlign w:val="center"/>
          </w:tcPr>
          <w:p w14:paraId="72C9CDFA">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0.0113 </w:t>
            </w:r>
          </w:p>
        </w:tc>
      </w:tr>
      <w:tr w14:paraId="5DCE3A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14:paraId="669F90EB">
            <w:pPr>
              <w:jc w:val="center"/>
              <w:rPr>
                <w:rFonts w:hint="default" w:ascii="Times New Roman" w:hAnsi="Times New Roman" w:cs="Times New Roman" w:eastAsiaTheme="minorEastAsia"/>
                <w:color w:val="auto"/>
                <w:szCs w:val="21"/>
                <w:lang w:eastAsia="zh-CN"/>
              </w:rPr>
            </w:pPr>
            <w:r>
              <w:rPr>
                <w:rFonts w:hint="default" w:ascii="Times New Roman" w:hAnsi="Times New Roman" w:cs="Times New Roman"/>
                <w:color w:val="auto"/>
                <w:szCs w:val="21"/>
                <w:lang w:eastAsia="zh-CN"/>
              </w:rPr>
              <w:t>其他固废</w:t>
            </w:r>
          </w:p>
        </w:tc>
        <w:tc>
          <w:tcPr>
            <w:tcW w:w="1638" w:type="dxa"/>
            <w:vAlign w:val="center"/>
          </w:tcPr>
          <w:p w14:paraId="74FE16EA">
            <w:pPr>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生活垃圾</w:t>
            </w:r>
          </w:p>
        </w:tc>
        <w:tc>
          <w:tcPr>
            <w:tcW w:w="1638" w:type="dxa"/>
            <w:shd w:val="clear" w:color="auto" w:fill="auto"/>
            <w:vAlign w:val="center"/>
          </w:tcPr>
          <w:p w14:paraId="45D0E7ED">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017C6A3E">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7" w:type="dxa"/>
            <w:shd w:val="clear" w:color="auto" w:fill="auto"/>
            <w:vAlign w:val="center"/>
          </w:tcPr>
          <w:p w14:paraId="1C3B38A4">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vAlign w:val="center"/>
          </w:tcPr>
          <w:p w14:paraId="1CA3507D">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4.5</w:t>
            </w:r>
          </w:p>
        </w:tc>
        <w:tc>
          <w:tcPr>
            <w:tcW w:w="1638" w:type="dxa"/>
            <w:shd w:val="clear" w:color="auto" w:fill="auto"/>
            <w:vAlign w:val="center"/>
          </w:tcPr>
          <w:p w14:paraId="1628BCAC">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vAlign w:val="center"/>
          </w:tcPr>
          <w:p w14:paraId="06AF42A4">
            <w:pPr>
              <w:spacing w:line="240" w:lineRule="auto"/>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4.5</w:t>
            </w:r>
          </w:p>
        </w:tc>
        <w:tc>
          <w:tcPr>
            <w:tcW w:w="1638" w:type="dxa"/>
            <w:vAlign w:val="center"/>
          </w:tcPr>
          <w:p w14:paraId="42B908FC">
            <w:pPr>
              <w:spacing w:line="240" w:lineRule="auto"/>
              <w:jc w:val="center"/>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4.5</w:t>
            </w:r>
          </w:p>
        </w:tc>
      </w:tr>
      <w:tr w14:paraId="5B9A47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Merge w:val="restart"/>
            <w:vAlign w:val="center"/>
          </w:tcPr>
          <w:p w14:paraId="4818B124">
            <w:pPr>
              <w:jc w:val="center"/>
              <w:rPr>
                <w:rFonts w:hint="default" w:ascii="Times New Roman" w:hAnsi="Times New Roman" w:cs="Times New Roman"/>
                <w:color w:val="auto"/>
                <w:szCs w:val="21"/>
              </w:rPr>
            </w:pPr>
            <w:r>
              <w:rPr>
                <w:rFonts w:hint="default" w:ascii="Times New Roman" w:hAnsi="Times New Roman" w:cs="Times New Roman"/>
                <w:color w:val="auto"/>
                <w:szCs w:val="21"/>
              </w:rPr>
              <w:t>一般工业固体废物</w:t>
            </w:r>
          </w:p>
        </w:tc>
        <w:tc>
          <w:tcPr>
            <w:tcW w:w="1638" w:type="dxa"/>
            <w:shd w:val="clear" w:color="auto" w:fill="auto"/>
            <w:vAlign w:val="center"/>
          </w:tcPr>
          <w:p w14:paraId="53979746">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废包装物</w:t>
            </w:r>
          </w:p>
        </w:tc>
        <w:tc>
          <w:tcPr>
            <w:tcW w:w="1638" w:type="dxa"/>
            <w:shd w:val="clear" w:color="auto" w:fill="auto"/>
            <w:vAlign w:val="center"/>
          </w:tcPr>
          <w:p w14:paraId="0EFEC4BB">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0A3CC858">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7" w:type="dxa"/>
            <w:shd w:val="clear" w:color="auto" w:fill="auto"/>
            <w:vAlign w:val="center"/>
          </w:tcPr>
          <w:p w14:paraId="4BB2DEC3">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2C8C0E63">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0.2</w:t>
            </w:r>
          </w:p>
        </w:tc>
        <w:tc>
          <w:tcPr>
            <w:tcW w:w="1638" w:type="dxa"/>
            <w:shd w:val="clear" w:color="auto" w:fill="auto"/>
            <w:vAlign w:val="center"/>
          </w:tcPr>
          <w:p w14:paraId="0A29C909">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23BF011E">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0.2</w:t>
            </w:r>
          </w:p>
        </w:tc>
        <w:tc>
          <w:tcPr>
            <w:tcW w:w="1638" w:type="dxa"/>
            <w:shd w:val="clear" w:color="auto" w:fill="auto"/>
            <w:vAlign w:val="center"/>
          </w:tcPr>
          <w:p w14:paraId="3C54E18F">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0.2</w:t>
            </w:r>
          </w:p>
        </w:tc>
      </w:tr>
      <w:tr w14:paraId="2AFC25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Merge w:val="continue"/>
            <w:vAlign w:val="center"/>
          </w:tcPr>
          <w:p w14:paraId="55349176">
            <w:pPr>
              <w:jc w:val="center"/>
              <w:rPr>
                <w:rFonts w:hint="default" w:ascii="Times New Roman" w:hAnsi="Times New Roman" w:cs="Times New Roman"/>
                <w:color w:val="auto"/>
                <w:szCs w:val="21"/>
              </w:rPr>
            </w:pPr>
          </w:p>
        </w:tc>
        <w:tc>
          <w:tcPr>
            <w:tcW w:w="1638" w:type="dxa"/>
            <w:shd w:val="clear" w:color="auto" w:fill="auto"/>
            <w:vAlign w:val="center"/>
          </w:tcPr>
          <w:p w14:paraId="32B9D04E">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除尘器收集的粉尘</w:t>
            </w:r>
          </w:p>
        </w:tc>
        <w:tc>
          <w:tcPr>
            <w:tcW w:w="1638" w:type="dxa"/>
            <w:shd w:val="clear" w:color="auto" w:fill="auto"/>
            <w:vAlign w:val="center"/>
          </w:tcPr>
          <w:p w14:paraId="0C8F113E">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15DB35E2">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7" w:type="dxa"/>
            <w:shd w:val="clear" w:color="auto" w:fill="auto"/>
            <w:vAlign w:val="center"/>
          </w:tcPr>
          <w:p w14:paraId="1B6CEC1C">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066F80CE">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2.125</w:t>
            </w:r>
          </w:p>
        </w:tc>
        <w:tc>
          <w:tcPr>
            <w:tcW w:w="1638" w:type="dxa"/>
            <w:shd w:val="clear" w:color="auto" w:fill="auto"/>
            <w:vAlign w:val="center"/>
          </w:tcPr>
          <w:p w14:paraId="61157665">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7C40AF27">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2.125</w:t>
            </w:r>
          </w:p>
        </w:tc>
        <w:tc>
          <w:tcPr>
            <w:tcW w:w="1638" w:type="dxa"/>
            <w:shd w:val="clear" w:color="auto" w:fill="auto"/>
            <w:vAlign w:val="center"/>
          </w:tcPr>
          <w:p w14:paraId="30639BE7">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2.125</w:t>
            </w:r>
          </w:p>
        </w:tc>
      </w:tr>
      <w:tr w14:paraId="52648C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637" w:type="dxa"/>
            <w:vMerge w:val="continue"/>
            <w:vAlign w:val="center"/>
          </w:tcPr>
          <w:p w14:paraId="3DF67C34">
            <w:pPr>
              <w:jc w:val="center"/>
              <w:rPr>
                <w:rFonts w:hint="default" w:ascii="Times New Roman" w:hAnsi="Times New Roman" w:cs="Times New Roman"/>
                <w:color w:val="auto"/>
                <w:szCs w:val="21"/>
              </w:rPr>
            </w:pPr>
          </w:p>
        </w:tc>
        <w:tc>
          <w:tcPr>
            <w:tcW w:w="1638" w:type="dxa"/>
            <w:shd w:val="clear" w:color="auto" w:fill="auto"/>
            <w:vAlign w:val="center"/>
          </w:tcPr>
          <w:p w14:paraId="34231EB5">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边角料</w:t>
            </w:r>
          </w:p>
        </w:tc>
        <w:tc>
          <w:tcPr>
            <w:tcW w:w="1638" w:type="dxa"/>
            <w:shd w:val="clear" w:color="auto" w:fill="auto"/>
            <w:vAlign w:val="center"/>
          </w:tcPr>
          <w:p w14:paraId="7132B099">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1B62992A">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7" w:type="dxa"/>
            <w:shd w:val="clear" w:color="auto" w:fill="auto"/>
            <w:vAlign w:val="center"/>
          </w:tcPr>
          <w:p w14:paraId="11257C83">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5AE7A642">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2.05</w:t>
            </w:r>
          </w:p>
        </w:tc>
        <w:tc>
          <w:tcPr>
            <w:tcW w:w="1638" w:type="dxa"/>
            <w:shd w:val="clear" w:color="auto" w:fill="auto"/>
            <w:vAlign w:val="center"/>
          </w:tcPr>
          <w:p w14:paraId="1A4687F5">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51F92702">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2.05</w:t>
            </w:r>
          </w:p>
        </w:tc>
        <w:tc>
          <w:tcPr>
            <w:tcW w:w="1638" w:type="dxa"/>
            <w:shd w:val="clear" w:color="auto" w:fill="auto"/>
            <w:vAlign w:val="center"/>
          </w:tcPr>
          <w:p w14:paraId="7827E0C6">
            <w:pPr>
              <w:spacing w:line="240" w:lineRule="auto"/>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2.05</w:t>
            </w:r>
          </w:p>
        </w:tc>
      </w:tr>
      <w:tr w14:paraId="3A9625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Merge w:val="restart"/>
            <w:vAlign w:val="center"/>
          </w:tcPr>
          <w:p w14:paraId="03432BB6">
            <w:pPr>
              <w:jc w:val="center"/>
              <w:rPr>
                <w:rFonts w:hint="eastAsia" w:ascii="Times New Roman" w:hAnsi="Times New Roman" w:cs="Times New Roman" w:eastAsiaTheme="minorEastAsia"/>
                <w:color w:val="auto"/>
                <w:szCs w:val="21"/>
                <w:lang w:val="en-US" w:eastAsia="zh-CN"/>
              </w:rPr>
            </w:pPr>
            <w:r>
              <w:rPr>
                <w:rFonts w:hint="eastAsia" w:ascii="Times New Roman" w:hAnsi="Times New Roman" w:cs="Times New Roman"/>
                <w:color w:val="auto"/>
                <w:szCs w:val="21"/>
                <w:lang w:val="en-US" w:eastAsia="zh-CN"/>
              </w:rPr>
              <w:t>危险废物</w:t>
            </w:r>
          </w:p>
        </w:tc>
        <w:tc>
          <w:tcPr>
            <w:tcW w:w="1638" w:type="dxa"/>
            <w:shd w:val="clear" w:color="auto" w:fill="auto"/>
            <w:vAlign w:val="center"/>
          </w:tcPr>
          <w:p w14:paraId="020D2855">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废活性炭</w:t>
            </w:r>
          </w:p>
        </w:tc>
        <w:tc>
          <w:tcPr>
            <w:tcW w:w="1638" w:type="dxa"/>
            <w:shd w:val="clear" w:color="auto" w:fill="auto"/>
            <w:vAlign w:val="center"/>
          </w:tcPr>
          <w:p w14:paraId="7F62A36E">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1EF28BE7">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7" w:type="dxa"/>
            <w:shd w:val="clear" w:color="auto" w:fill="auto"/>
            <w:vAlign w:val="center"/>
          </w:tcPr>
          <w:p w14:paraId="3A5F308A">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20AEC171">
            <w:pPr>
              <w:spacing w:line="240" w:lineRule="auto"/>
              <w:jc w:val="center"/>
              <w:rPr>
                <w:rFonts w:hint="eastAsia" w:ascii="TimesNewRomanPSMT" w:hAnsi="TimesNewRomanPSMT" w:eastAsia="TimesNewRomanPSMT" w:cs="TimesNewRomanPSMT"/>
                <w:b w:val="0"/>
                <w:bCs w:val="0"/>
                <w:i w:val="0"/>
                <w:iCs w:val="0"/>
                <w:color w:val="auto"/>
                <w:kern w:val="0"/>
                <w:sz w:val="21"/>
                <w:szCs w:val="21"/>
                <w:lang w:val="en-US" w:eastAsia="zh-CN" w:bidi="ar"/>
              </w:rPr>
            </w:pPr>
            <w:r>
              <w:rPr>
                <w:rFonts w:hint="eastAsia" w:ascii="TimesNewRomanPSMT" w:hAnsi="TimesNewRomanPSMT" w:eastAsia="TimesNewRomanPSMT" w:cs="TimesNewRomanPSMT"/>
                <w:b w:val="0"/>
                <w:bCs w:val="0"/>
                <w:i w:val="0"/>
                <w:iCs w:val="0"/>
                <w:color w:val="auto"/>
                <w:kern w:val="0"/>
                <w:sz w:val="21"/>
                <w:szCs w:val="21"/>
                <w:lang w:val="en-US" w:eastAsia="zh-CN" w:bidi="ar"/>
              </w:rPr>
              <w:t>2.3274</w:t>
            </w:r>
          </w:p>
        </w:tc>
        <w:tc>
          <w:tcPr>
            <w:tcW w:w="1638" w:type="dxa"/>
            <w:shd w:val="clear" w:color="auto" w:fill="auto"/>
            <w:vAlign w:val="center"/>
          </w:tcPr>
          <w:p w14:paraId="610B41B8">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04A05BBD">
            <w:pPr>
              <w:spacing w:line="240" w:lineRule="auto"/>
              <w:jc w:val="center"/>
              <w:rPr>
                <w:rFonts w:hint="eastAsia" w:ascii="TimesNewRomanPSMT" w:hAnsi="TimesNewRomanPSMT" w:eastAsia="TimesNewRomanPSMT" w:cs="TimesNewRomanPSMT"/>
                <w:b w:val="0"/>
                <w:bCs w:val="0"/>
                <w:i w:val="0"/>
                <w:iCs w:val="0"/>
                <w:color w:val="auto"/>
                <w:kern w:val="0"/>
                <w:sz w:val="21"/>
                <w:szCs w:val="21"/>
                <w:lang w:val="en-US" w:eastAsia="zh-CN" w:bidi="ar"/>
              </w:rPr>
            </w:pPr>
            <w:r>
              <w:rPr>
                <w:rFonts w:hint="eastAsia" w:ascii="TimesNewRomanPSMT" w:hAnsi="TimesNewRomanPSMT" w:eastAsia="TimesNewRomanPSMT" w:cs="TimesNewRomanPSMT"/>
                <w:b w:val="0"/>
                <w:bCs w:val="0"/>
                <w:i w:val="0"/>
                <w:iCs w:val="0"/>
                <w:color w:val="auto"/>
                <w:kern w:val="0"/>
                <w:sz w:val="21"/>
                <w:szCs w:val="21"/>
                <w:lang w:val="en-US" w:eastAsia="zh-CN" w:bidi="ar"/>
              </w:rPr>
              <w:t>2.3274</w:t>
            </w:r>
          </w:p>
        </w:tc>
        <w:tc>
          <w:tcPr>
            <w:tcW w:w="1638" w:type="dxa"/>
            <w:shd w:val="clear" w:color="auto" w:fill="auto"/>
            <w:vAlign w:val="center"/>
          </w:tcPr>
          <w:p w14:paraId="5919EFD5">
            <w:pPr>
              <w:spacing w:line="240" w:lineRule="auto"/>
              <w:jc w:val="center"/>
              <w:rPr>
                <w:rFonts w:hint="default" w:ascii="TimesNewRomanPSMT" w:hAnsi="TimesNewRomanPSMT" w:eastAsia="TimesNewRomanPSMT" w:cs="TimesNewRomanPSMT"/>
                <w:b w:val="0"/>
                <w:bCs w:val="0"/>
                <w:i w:val="0"/>
                <w:iCs w:val="0"/>
                <w:color w:val="auto"/>
                <w:kern w:val="0"/>
                <w:sz w:val="21"/>
                <w:szCs w:val="21"/>
                <w:lang w:val="en-US" w:eastAsia="zh-CN" w:bidi="ar"/>
              </w:rPr>
            </w:pPr>
            <w:r>
              <w:rPr>
                <w:rFonts w:hint="eastAsia" w:ascii="TimesNewRomanPSMT" w:hAnsi="TimesNewRomanPSMT" w:eastAsia="TimesNewRomanPSMT" w:cs="TimesNewRomanPSMT"/>
                <w:b w:val="0"/>
                <w:bCs w:val="0"/>
                <w:i w:val="0"/>
                <w:iCs w:val="0"/>
                <w:color w:val="auto"/>
                <w:kern w:val="0"/>
                <w:sz w:val="21"/>
                <w:szCs w:val="21"/>
                <w:lang w:val="en-US" w:eastAsia="zh-CN" w:bidi="ar"/>
              </w:rPr>
              <w:t>2.3274</w:t>
            </w:r>
          </w:p>
        </w:tc>
      </w:tr>
      <w:tr w14:paraId="316909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Merge w:val="continue"/>
            <w:vAlign w:val="center"/>
          </w:tcPr>
          <w:p w14:paraId="079386CE">
            <w:pPr>
              <w:jc w:val="center"/>
              <w:rPr>
                <w:rFonts w:hint="default" w:ascii="Times New Roman" w:hAnsi="Times New Roman" w:cs="Times New Roman"/>
                <w:color w:val="auto"/>
                <w:szCs w:val="21"/>
              </w:rPr>
            </w:pPr>
          </w:p>
        </w:tc>
        <w:tc>
          <w:tcPr>
            <w:tcW w:w="1638" w:type="dxa"/>
            <w:shd w:val="clear" w:color="auto" w:fill="auto"/>
            <w:vAlign w:val="center"/>
          </w:tcPr>
          <w:p w14:paraId="1090CE80">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废油桶</w:t>
            </w:r>
          </w:p>
        </w:tc>
        <w:tc>
          <w:tcPr>
            <w:tcW w:w="1638" w:type="dxa"/>
            <w:shd w:val="clear" w:color="auto" w:fill="auto"/>
            <w:vAlign w:val="center"/>
          </w:tcPr>
          <w:p w14:paraId="598A104D">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2D015747">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7" w:type="dxa"/>
            <w:shd w:val="clear" w:color="auto" w:fill="auto"/>
            <w:vAlign w:val="center"/>
          </w:tcPr>
          <w:p w14:paraId="7E15BA90">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09FD1EB1">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0.3</w:t>
            </w:r>
          </w:p>
        </w:tc>
        <w:tc>
          <w:tcPr>
            <w:tcW w:w="1638" w:type="dxa"/>
            <w:shd w:val="clear" w:color="auto" w:fill="auto"/>
            <w:vAlign w:val="center"/>
          </w:tcPr>
          <w:p w14:paraId="66058A65">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3A05112A">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0.3</w:t>
            </w:r>
          </w:p>
        </w:tc>
        <w:tc>
          <w:tcPr>
            <w:tcW w:w="1638" w:type="dxa"/>
            <w:shd w:val="clear" w:color="auto" w:fill="auto"/>
            <w:vAlign w:val="center"/>
          </w:tcPr>
          <w:p w14:paraId="4257EAB9">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0.3</w:t>
            </w:r>
          </w:p>
        </w:tc>
      </w:tr>
      <w:tr w14:paraId="4E4F54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Merge w:val="continue"/>
            <w:vAlign w:val="center"/>
          </w:tcPr>
          <w:p w14:paraId="32E5F14E">
            <w:pPr>
              <w:jc w:val="center"/>
              <w:rPr>
                <w:rFonts w:hint="default" w:ascii="Times New Roman" w:hAnsi="Times New Roman" w:cs="Times New Roman"/>
                <w:color w:val="auto"/>
                <w:szCs w:val="21"/>
              </w:rPr>
            </w:pPr>
          </w:p>
        </w:tc>
        <w:tc>
          <w:tcPr>
            <w:tcW w:w="1638" w:type="dxa"/>
            <w:shd w:val="clear" w:color="auto" w:fill="auto"/>
            <w:vAlign w:val="center"/>
          </w:tcPr>
          <w:p w14:paraId="7CA1D466">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废矿物油</w:t>
            </w:r>
          </w:p>
        </w:tc>
        <w:tc>
          <w:tcPr>
            <w:tcW w:w="1638" w:type="dxa"/>
            <w:shd w:val="clear" w:color="auto" w:fill="auto"/>
            <w:vAlign w:val="center"/>
          </w:tcPr>
          <w:p w14:paraId="4BE81A8B">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76C383E3">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7" w:type="dxa"/>
            <w:shd w:val="clear" w:color="auto" w:fill="auto"/>
            <w:vAlign w:val="center"/>
          </w:tcPr>
          <w:p w14:paraId="509858A0">
            <w:pPr>
              <w:pStyle w:val="48"/>
              <w:spacing w:line="240" w:lineRule="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79FE5CC9">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0.1</w:t>
            </w:r>
          </w:p>
        </w:tc>
        <w:tc>
          <w:tcPr>
            <w:tcW w:w="1638" w:type="dxa"/>
            <w:shd w:val="clear" w:color="auto" w:fill="auto"/>
            <w:vAlign w:val="center"/>
          </w:tcPr>
          <w:p w14:paraId="372A9C09">
            <w:pPr>
              <w:pStyle w:val="48"/>
              <w:spacing w:line="240" w:lineRule="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638" w:type="dxa"/>
            <w:shd w:val="clear" w:color="auto" w:fill="auto"/>
            <w:vAlign w:val="center"/>
          </w:tcPr>
          <w:p w14:paraId="1F7CEA24">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0.1</w:t>
            </w:r>
          </w:p>
        </w:tc>
        <w:tc>
          <w:tcPr>
            <w:tcW w:w="1638" w:type="dxa"/>
            <w:shd w:val="clear" w:color="auto" w:fill="auto"/>
            <w:vAlign w:val="center"/>
          </w:tcPr>
          <w:p w14:paraId="3846787C">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0.1</w:t>
            </w:r>
          </w:p>
        </w:tc>
      </w:tr>
      <w:tr w14:paraId="023459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4740" w:type="dxa"/>
            <w:gridSpan w:val="9"/>
            <w:vAlign w:val="center"/>
          </w:tcPr>
          <w:p w14:paraId="393FB5DB">
            <w:pPr>
              <w:pStyle w:val="38"/>
              <w:keepNext w:val="0"/>
              <w:keepLines w:val="0"/>
              <w:pageBreakBefore w:val="0"/>
              <w:widowControl w:val="0"/>
              <w:kinsoku/>
              <w:wordWrap/>
              <w:overflowPunct/>
              <w:topLinePunct w:val="0"/>
              <w:autoSpaceDE w:val="0"/>
              <w:autoSpaceDN w:val="0"/>
              <w:bidi w:val="0"/>
              <w:adjustRightInd w:val="0"/>
              <w:snapToGrid/>
              <w:ind w:firstLine="422"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bCs/>
                <w:color w:val="auto"/>
                <w:sz w:val="21"/>
                <w:szCs w:val="21"/>
              </w:rPr>
              <w:t>注：</w:t>
            </w:r>
            <w:r>
              <w:rPr>
                <w:rFonts w:hint="default" w:ascii="Times New Roman" w:hAnsi="Times New Roman" w:cs="Times New Roman"/>
                <w:b w:val="0"/>
                <w:bCs/>
                <w:color w:val="auto"/>
                <w:sz w:val="21"/>
                <w:szCs w:val="21"/>
              </w:rPr>
              <w:t>⑥=①+③+④-⑤；⑦=⑥-①</w:t>
            </w:r>
            <w:r>
              <w:rPr>
                <w:rFonts w:hint="default" w:ascii="Times New Roman" w:hAnsi="Times New Roman" w:cs="Times New Roman"/>
                <w:b w:val="0"/>
                <w:bCs/>
                <w:color w:val="auto"/>
                <w:sz w:val="21"/>
                <w:szCs w:val="21"/>
                <w:lang w:val="en-US" w:eastAsia="zh-CN"/>
              </w:rPr>
              <w:t>。</w:t>
            </w:r>
          </w:p>
        </w:tc>
      </w:tr>
    </w:tbl>
    <w:p w14:paraId="2B8CEE24">
      <w:pPr>
        <w:pStyle w:val="41"/>
        <w:rPr>
          <w:rFonts w:hint="default" w:ascii="Times New Roman" w:hAnsi="Times New Roman" w:cs="Times New Roman"/>
          <w:color w:val="auto"/>
        </w:rPr>
      </w:pPr>
    </w:p>
    <w:sectPr>
      <w:footerReference r:id="rId5"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0"/>
    <w:family w:val="auto"/>
    <w:pitch w:val="default"/>
    <w:sig w:usb0="00000000" w:usb1="00000000"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altName w:val="国标宋体-超大字符集扩"/>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国标宋体-超大字符集扩"/>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国标宋体-超大字符集扩">
    <w:panose1 w:val="00000500000000000000"/>
    <w:charset w:val="86"/>
    <w:family w:val="auto"/>
    <w:pitch w:val="default"/>
    <w:sig w:usb0="00000001" w:usb1="08000000" w:usb2="00000000" w:usb3="00000000" w:csb0="00040000" w:csb1="00000000"/>
  </w:font>
  <w:font w:name="Arial Unicode MS">
    <w:altName w:val="DejaVu Sans"/>
    <w:panose1 w:val="020B0604020202020204"/>
    <w:charset w:val="86"/>
    <w:family w:val="swiss"/>
    <w:pitch w:val="default"/>
    <w:sig w:usb0="00000000" w:usb1="00000000" w:usb2="0000007F" w:usb3="00000000" w:csb0="203F01FF" w:csb1="DFFF0000"/>
  </w:font>
  <w:font w:name="TimesNewRomanPSMT">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7359B">
    <w:pPr>
      <w:pStyle w:val="17"/>
      <w:tabs>
        <w:tab w:val="left" w:pos="5421"/>
        <w:tab w:val="left" w:pos="8390"/>
        <w:tab w:val="clear" w:pos="4153"/>
        <w:tab w:val="clear" w:pos="8306"/>
      </w:tabs>
      <w:rPr>
        <w:rFonts w:hint="default"/>
        <w:lang w:val="en-US"/>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BC807A">
                          <w:pPr>
                            <w:pStyle w:val="17"/>
                            <w:rPr>
                              <w:rFonts w:hint="default" w:ascii="Times New Roman" w:hAnsi="Times New Roman" w:cs="Times New Roman"/>
                            </w:rPr>
                          </w:pPr>
                          <w:r>
                            <w:rPr>
                              <w:rFonts w:hint="default" w:ascii="Times New Roman" w:hAnsi="Times New Roman" w:cs="Times New Roman"/>
                            </w:rPr>
                            <w:t xml:space="preserve">第 </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t xml:space="preserve"> 页 共 </w:t>
                          </w:r>
                          <w:r>
                            <w:rPr>
                              <w:rFonts w:hint="default" w:ascii="Times New Roman" w:hAnsi="Times New Roman" w:cs="Times New Roman"/>
                            </w:rPr>
                            <w:fldChar w:fldCharType="begin"/>
                          </w:r>
                          <w:r>
                            <w:rPr>
                              <w:rFonts w:hint="default" w:ascii="Times New Roman" w:hAnsi="Times New Roman" w:cs="Times New Roman"/>
                            </w:rPr>
                            <w:instrText xml:space="preserve"> NUMPAGES  \* MERGEFORMAT </w:instrText>
                          </w:r>
                          <w:r>
                            <w:rPr>
                              <w:rFonts w:hint="default" w:ascii="Times New Roman" w:hAnsi="Times New Roman" w:cs="Times New Roman"/>
                            </w:rPr>
                            <w:fldChar w:fldCharType="separate"/>
                          </w:r>
                          <w:r>
                            <w:rPr>
                              <w:rFonts w:hint="default" w:ascii="Times New Roman" w:hAnsi="Times New Roman" w:cs="Times New Roman"/>
                            </w:rPr>
                            <w:t>195</w:t>
                          </w:r>
                          <w:r>
                            <w:rPr>
                              <w:rFonts w:hint="default" w:ascii="Times New Roman" w:hAnsi="Times New Roman" w:cs="Times New Roman"/>
                            </w:rPr>
                            <w:fldChar w:fldCharType="end"/>
                          </w:r>
                          <w:r>
                            <w:rPr>
                              <w:rFonts w:hint="default" w:ascii="Times New Roman" w:hAnsi="Times New Roman" w:cs="Times New Roma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5BC807A">
                    <w:pPr>
                      <w:pStyle w:val="17"/>
                      <w:rPr>
                        <w:rFonts w:hint="default" w:ascii="Times New Roman" w:hAnsi="Times New Roman" w:cs="Times New Roman"/>
                      </w:rPr>
                    </w:pPr>
                    <w:r>
                      <w:rPr>
                        <w:rFonts w:hint="default" w:ascii="Times New Roman" w:hAnsi="Times New Roman" w:cs="Times New Roman"/>
                      </w:rPr>
                      <w:t xml:space="preserve">第 </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t xml:space="preserve"> 页 共 </w:t>
                    </w:r>
                    <w:r>
                      <w:rPr>
                        <w:rFonts w:hint="default" w:ascii="Times New Roman" w:hAnsi="Times New Roman" w:cs="Times New Roman"/>
                      </w:rPr>
                      <w:fldChar w:fldCharType="begin"/>
                    </w:r>
                    <w:r>
                      <w:rPr>
                        <w:rFonts w:hint="default" w:ascii="Times New Roman" w:hAnsi="Times New Roman" w:cs="Times New Roman"/>
                      </w:rPr>
                      <w:instrText xml:space="preserve"> NUMPAGES  \* MERGEFORMAT </w:instrText>
                    </w:r>
                    <w:r>
                      <w:rPr>
                        <w:rFonts w:hint="default" w:ascii="Times New Roman" w:hAnsi="Times New Roman" w:cs="Times New Roman"/>
                      </w:rPr>
                      <w:fldChar w:fldCharType="separate"/>
                    </w:r>
                    <w:r>
                      <w:rPr>
                        <w:rFonts w:hint="default" w:ascii="Times New Roman" w:hAnsi="Times New Roman" w:cs="Times New Roman"/>
                      </w:rPr>
                      <w:t>195</w:t>
                    </w:r>
                    <w:r>
                      <w:rPr>
                        <w:rFonts w:hint="default" w:ascii="Times New Roman" w:hAnsi="Times New Roman" w:cs="Times New Roman"/>
                      </w:rPr>
                      <w:fldChar w:fldCharType="end"/>
                    </w:r>
                    <w:r>
                      <w:rPr>
                        <w:rFonts w:hint="default" w:ascii="Times New Roman" w:hAnsi="Times New Roman" w:cs="Times New Roman"/>
                      </w:rPr>
                      <w:t xml:space="preserve"> 页</w:t>
                    </w:r>
                  </w:p>
                </w:txbxContent>
              </v:textbox>
            </v:shape>
          </w:pict>
        </mc:Fallback>
      </mc:AlternateContent>
    </w:r>
    <w:r>
      <w:rPr>
        <w:rFonts w:hint="eastAsia"/>
        <w:lang w:val="en-US" w:eastAsia="zh-CN"/>
      </w:rPr>
      <w:t>安徽绿宿环境科技有限公司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F32D4">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766DA8">
                          <w:pPr>
                            <w:pStyle w:val="17"/>
                            <w:rPr>
                              <w:rFonts w:hint="default" w:ascii="Times New Roman" w:hAnsi="Times New Roman" w:cs="Times New Roman"/>
                            </w:rPr>
                          </w:pPr>
                          <w:r>
                            <w:rPr>
                              <w:rFonts w:hint="default" w:ascii="Times New Roman" w:hAnsi="Times New Roman" w:cs="Times New Roman"/>
                            </w:rPr>
                            <w:t xml:space="preserve">第 </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192</w:t>
                          </w:r>
                          <w:r>
                            <w:rPr>
                              <w:rFonts w:hint="default" w:ascii="Times New Roman" w:hAnsi="Times New Roman" w:cs="Times New Roman"/>
                            </w:rPr>
                            <w:fldChar w:fldCharType="end"/>
                          </w:r>
                          <w:r>
                            <w:rPr>
                              <w:rFonts w:hint="default" w:ascii="Times New Roman" w:hAnsi="Times New Roman" w:cs="Times New Roman"/>
                            </w:rPr>
                            <w:t xml:space="preserve"> 页 共 </w:t>
                          </w:r>
                          <w:r>
                            <w:rPr>
                              <w:rFonts w:hint="default" w:ascii="Times New Roman" w:hAnsi="Times New Roman" w:cs="Times New Roman"/>
                            </w:rPr>
                            <w:fldChar w:fldCharType="begin"/>
                          </w:r>
                          <w:r>
                            <w:rPr>
                              <w:rFonts w:hint="default" w:ascii="Times New Roman" w:hAnsi="Times New Roman" w:cs="Times New Roman"/>
                            </w:rPr>
                            <w:instrText xml:space="preserve"> NUMPAGES  \* MERGEFORMAT </w:instrText>
                          </w:r>
                          <w:r>
                            <w:rPr>
                              <w:rFonts w:hint="default" w:ascii="Times New Roman" w:hAnsi="Times New Roman" w:cs="Times New Roman"/>
                            </w:rPr>
                            <w:fldChar w:fldCharType="separate"/>
                          </w:r>
                          <w:r>
                            <w:rPr>
                              <w:rFonts w:hint="default" w:ascii="Times New Roman" w:hAnsi="Times New Roman" w:cs="Times New Roman"/>
                            </w:rPr>
                            <w:t>195</w:t>
                          </w:r>
                          <w:r>
                            <w:rPr>
                              <w:rFonts w:hint="default" w:ascii="Times New Roman" w:hAnsi="Times New Roman" w:cs="Times New Roman"/>
                            </w:rPr>
                            <w:fldChar w:fldCharType="end"/>
                          </w:r>
                          <w:r>
                            <w:rPr>
                              <w:rFonts w:hint="default" w:ascii="Times New Roman" w:hAnsi="Times New Roman" w:cs="Times New Roma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4766DA8">
                    <w:pPr>
                      <w:pStyle w:val="17"/>
                      <w:rPr>
                        <w:rFonts w:hint="default" w:ascii="Times New Roman" w:hAnsi="Times New Roman" w:cs="Times New Roman"/>
                      </w:rPr>
                    </w:pPr>
                    <w:r>
                      <w:rPr>
                        <w:rFonts w:hint="default" w:ascii="Times New Roman" w:hAnsi="Times New Roman" w:cs="Times New Roman"/>
                      </w:rPr>
                      <w:t xml:space="preserve">第 </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192</w:t>
                    </w:r>
                    <w:r>
                      <w:rPr>
                        <w:rFonts w:hint="default" w:ascii="Times New Roman" w:hAnsi="Times New Roman" w:cs="Times New Roman"/>
                      </w:rPr>
                      <w:fldChar w:fldCharType="end"/>
                    </w:r>
                    <w:r>
                      <w:rPr>
                        <w:rFonts w:hint="default" w:ascii="Times New Roman" w:hAnsi="Times New Roman" w:cs="Times New Roman"/>
                      </w:rPr>
                      <w:t xml:space="preserve"> 页 共 </w:t>
                    </w:r>
                    <w:r>
                      <w:rPr>
                        <w:rFonts w:hint="default" w:ascii="Times New Roman" w:hAnsi="Times New Roman" w:cs="Times New Roman"/>
                      </w:rPr>
                      <w:fldChar w:fldCharType="begin"/>
                    </w:r>
                    <w:r>
                      <w:rPr>
                        <w:rFonts w:hint="default" w:ascii="Times New Roman" w:hAnsi="Times New Roman" w:cs="Times New Roman"/>
                      </w:rPr>
                      <w:instrText xml:space="preserve"> NUMPAGES  \* MERGEFORMAT </w:instrText>
                    </w:r>
                    <w:r>
                      <w:rPr>
                        <w:rFonts w:hint="default" w:ascii="Times New Roman" w:hAnsi="Times New Roman" w:cs="Times New Roman"/>
                      </w:rPr>
                      <w:fldChar w:fldCharType="separate"/>
                    </w:r>
                    <w:r>
                      <w:rPr>
                        <w:rFonts w:hint="default" w:ascii="Times New Roman" w:hAnsi="Times New Roman" w:cs="Times New Roman"/>
                      </w:rPr>
                      <w:t>195</w:t>
                    </w:r>
                    <w:r>
                      <w:rPr>
                        <w:rFonts w:hint="default" w:ascii="Times New Roman" w:hAnsi="Times New Roman" w:cs="Times New Roman"/>
                      </w:rPr>
                      <w:fldChar w:fldCharType="end"/>
                    </w:r>
                    <w:r>
                      <w:rPr>
                        <w:rFonts w:hint="default" w:ascii="Times New Roman" w:hAnsi="Times New Roman" w:cs="Times New Roma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C8078">
    <w:pPr>
      <w:pStyle w:val="19"/>
      <w:pBdr>
        <w:bottom w:val="dotDash" w:color="auto" w:sz="4" w:space="1"/>
      </w:pBdr>
      <w:jc w:val="center"/>
      <w:rPr>
        <w:rFonts w:hint="default"/>
        <w:sz w:val="18"/>
        <w:szCs w:val="18"/>
        <w:lang w:val="en-US" w:eastAsia="zh-CN"/>
      </w:rPr>
    </w:pPr>
    <w:r>
      <w:rPr>
        <w:rFonts w:hint="eastAsia" w:ascii="Times New Roman" w:hAnsi="Times New Roman" w:cs="Times New Roman"/>
        <w:color w:val="auto"/>
        <w:sz w:val="18"/>
        <w:szCs w:val="18"/>
        <w:lang w:val="en-US" w:eastAsia="zh-CN"/>
      </w:rPr>
      <w:t>宿州美膳新材料有限公司年产100000套密胺餐具项目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D6DF5B"/>
    <w:multiLevelType w:val="singleLevel"/>
    <w:tmpl w:val="D9D6DF5B"/>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1">
    <w:nsid w:val="58C6562C"/>
    <w:multiLevelType w:val="singleLevel"/>
    <w:tmpl w:val="58C6562C"/>
    <w:lvl w:ilvl="0" w:tentative="0">
      <w:start w:val="1"/>
      <w:numFmt w:val="decimal"/>
      <w:pStyle w:val="86"/>
      <w:lvlText w:val="图%1 "/>
      <w:lvlJc w:val="center"/>
      <w:pPr>
        <w:tabs>
          <w:tab w:val="left" w:pos="420"/>
        </w:tabs>
        <w:ind w:left="425" w:hanging="425"/>
      </w:pPr>
      <w:rPr>
        <w:rFonts w:ascii="Times New Roman" w:hAnsi="Times New Roman" w:eastAsia="宋体" w:cs="Times New Roman"/>
        <w:b/>
        <w:bCs/>
        <w:sz w:val="24"/>
        <w:szCs w:val="24"/>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3MTI4Y2I1ZjIyZTMyYTRhNjY0ZmEyYzAyOTdhYjUifQ=="/>
  </w:docVars>
  <w:rsids>
    <w:rsidRoot w:val="00172A27"/>
    <w:rsid w:val="00013654"/>
    <w:rsid w:val="00041AF7"/>
    <w:rsid w:val="00064F81"/>
    <w:rsid w:val="00066EBC"/>
    <w:rsid w:val="000942B7"/>
    <w:rsid w:val="000950EB"/>
    <w:rsid w:val="000B0A59"/>
    <w:rsid w:val="000B3D97"/>
    <w:rsid w:val="000E72D6"/>
    <w:rsid w:val="00101AE9"/>
    <w:rsid w:val="00112AA1"/>
    <w:rsid w:val="0011760F"/>
    <w:rsid w:val="00124D16"/>
    <w:rsid w:val="00125861"/>
    <w:rsid w:val="00132403"/>
    <w:rsid w:val="0013354C"/>
    <w:rsid w:val="001418B7"/>
    <w:rsid w:val="001434CE"/>
    <w:rsid w:val="00144231"/>
    <w:rsid w:val="001669D4"/>
    <w:rsid w:val="001950B5"/>
    <w:rsid w:val="001A64C4"/>
    <w:rsid w:val="001B223C"/>
    <w:rsid w:val="001C048E"/>
    <w:rsid w:val="001F0CE1"/>
    <w:rsid w:val="001F1D2C"/>
    <w:rsid w:val="0020709F"/>
    <w:rsid w:val="00207A14"/>
    <w:rsid w:val="00215723"/>
    <w:rsid w:val="00216226"/>
    <w:rsid w:val="00247B5B"/>
    <w:rsid w:val="00250CD9"/>
    <w:rsid w:val="00257A67"/>
    <w:rsid w:val="0026130D"/>
    <w:rsid w:val="002A3D8A"/>
    <w:rsid w:val="002B247F"/>
    <w:rsid w:val="002C1113"/>
    <w:rsid w:val="002C74CA"/>
    <w:rsid w:val="002E3848"/>
    <w:rsid w:val="002E4C72"/>
    <w:rsid w:val="002E687C"/>
    <w:rsid w:val="002F707E"/>
    <w:rsid w:val="00300B43"/>
    <w:rsid w:val="00300D6E"/>
    <w:rsid w:val="00310A92"/>
    <w:rsid w:val="00337586"/>
    <w:rsid w:val="00344825"/>
    <w:rsid w:val="003532FE"/>
    <w:rsid w:val="003577A2"/>
    <w:rsid w:val="00380314"/>
    <w:rsid w:val="003C6FF5"/>
    <w:rsid w:val="003D6656"/>
    <w:rsid w:val="003E3A6C"/>
    <w:rsid w:val="003E5DC9"/>
    <w:rsid w:val="003F417C"/>
    <w:rsid w:val="003F6DE6"/>
    <w:rsid w:val="004259FF"/>
    <w:rsid w:val="00441793"/>
    <w:rsid w:val="00443541"/>
    <w:rsid w:val="0046375D"/>
    <w:rsid w:val="00467758"/>
    <w:rsid w:val="004874D5"/>
    <w:rsid w:val="00496DA9"/>
    <w:rsid w:val="004970DF"/>
    <w:rsid w:val="004B48CF"/>
    <w:rsid w:val="004C0647"/>
    <w:rsid w:val="004C5D63"/>
    <w:rsid w:val="004D601E"/>
    <w:rsid w:val="004F2B5E"/>
    <w:rsid w:val="00512438"/>
    <w:rsid w:val="005253B5"/>
    <w:rsid w:val="005319D6"/>
    <w:rsid w:val="00537C28"/>
    <w:rsid w:val="00561CAE"/>
    <w:rsid w:val="005714C6"/>
    <w:rsid w:val="005755DD"/>
    <w:rsid w:val="00583A0B"/>
    <w:rsid w:val="005940DC"/>
    <w:rsid w:val="005A0BB1"/>
    <w:rsid w:val="005B1D90"/>
    <w:rsid w:val="005E1660"/>
    <w:rsid w:val="005F38DE"/>
    <w:rsid w:val="005F6A37"/>
    <w:rsid w:val="00612345"/>
    <w:rsid w:val="00623CE1"/>
    <w:rsid w:val="006360BD"/>
    <w:rsid w:val="00661625"/>
    <w:rsid w:val="00661C58"/>
    <w:rsid w:val="006639C1"/>
    <w:rsid w:val="00671EFF"/>
    <w:rsid w:val="0068221B"/>
    <w:rsid w:val="0069762B"/>
    <w:rsid w:val="006A4F4D"/>
    <w:rsid w:val="006B16A9"/>
    <w:rsid w:val="006B6D1F"/>
    <w:rsid w:val="006E05BE"/>
    <w:rsid w:val="00704336"/>
    <w:rsid w:val="00713800"/>
    <w:rsid w:val="007145B2"/>
    <w:rsid w:val="007332E9"/>
    <w:rsid w:val="00733E26"/>
    <w:rsid w:val="00773916"/>
    <w:rsid w:val="007760B6"/>
    <w:rsid w:val="007A6C49"/>
    <w:rsid w:val="007A78A9"/>
    <w:rsid w:val="007C717F"/>
    <w:rsid w:val="007E1547"/>
    <w:rsid w:val="007E4E5D"/>
    <w:rsid w:val="007F0F5A"/>
    <w:rsid w:val="00806DB0"/>
    <w:rsid w:val="00807108"/>
    <w:rsid w:val="008156D6"/>
    <w:rsid w:val="00816543"/>
    <w:rsid w:val="008431CD"/>
    <w:rsid w:val="00843E1B"/>
    <w:rsid w:val="00846033"/>
    <w:rsid w:val="00883F7A"/>
    <w:rsid w:val="00886609"/>
    <w:rsid w:val="00890D34"/>
    <w:rsid w:val="008A43CF"/>
    <w:rsid w:val="008B05E3"/>
    <w:rsid w:val="008B5614"/>
    <w:rsid w:val="008B7D2A"/>
    <w:rsid w:val="008E4ACC"/>
    <w:rsid w:val="008F127C"/>
    <w:rsid w:val="008F66AB"/>
    <w:rsid w:val="00900F7C"/>
    <w:rsid w:val="009225FB"/>
    <w:rsid w:val="009443E6"/>
    <w:rsid w:val="009658BE"/>
    <w:rsid w:val="0097363A"/>
    <w:rsid w:val="009873F8"/>
    <w:rsid w:val="009A499C"/>
    <w:rsid w:val="009C15CF"/>
    <w:rsid w:val="009D3880"/>
    <w:rsid w:val="00A0348C"/>
    <w:rsid w:val="00A10FE1"/>
    <w:rsid w:val="00A12741"/>
    <w:rsid w:val="00A24B21"/>
    <w:rsid w:val="00A42231"/>
    <w:rsid w:val="00A51176"/>
    <w:rsid w:val="00A566D5"/>
    <w:rsid w:val="00A9133B"/>
    <w:rsid w:val="00AA3CEC"/>
    <w:rsid w:val="00AB1FF2"/>
    <w:rsid w:val="00AC6E0E"/>
    <w:rsid w:val="00AE238E"/>
    <w:rsid w:val="00AE30B0"/>
    <w:rsid w:val="00AF7125"/>
    <w:rsid w:val="00B06D0B"/>
    <w:rsid w:val="00B10357"/>
    <w:rsid w:val="00B14ED6"/>
    <w:rsid w:val="00B3306F"/>
    <w:rsid w:val="00B33F7A"/>
    <w:rsid w:val="00B414A1"/>
    <w:rsid w:val="00B51FAF"/>
    <w:rsid w:val="00B5237F"/>
    <w:rsid w:val="00B52690"/>
    <w:rsid w:val="00B559E6"/>
    <w:rsid w:val="00B61D2A"/>
    <w:rsid w:val="00B61E8C"/>
    <w:rsid w:val="00B832B0"/>
    <w:rsid w:val="00B850A8"/>
    <w:rsid w:val="00B93A51"/>
    <w:rsid w:val="00BA66AE"/>
    <w:rsid w:val="00BB1136"/>
    <w:rsid w:val="00BD01B0"/>
    <w:rsid w:val="00BE7797"/>
    <w:rsid w:val="00BF52BD"/>
    <w:rsid w:val="00C025D1"/>
    <w:rsid w:val="00C04AD4"/>
    <w:rsid w:val="00C13CC8"/>
    <w:rsid w:val="00C1425A"/>
    <w:rsid w:val="00C148DD"/>
    <w:rsid w:val="00C228D2"/>
    <w:rsid w:val="00C34089"/>
    <w:rsid w:val="00C530D9"/>
    <w:rsid w:val="00C5632D"/>
    <w:rsid w:val="00C627DB"/>
    <w:rsid w:val="00C823C4"/>
    <w:rsid w:val="00C827E2"/>
    <w:rsid w:val="00C91C98"/>
    <w:rsid w:val="00CB1EB4"/>
    <w:rsid w:val="00CB2456"/>
    <w:rsid w:val="00CD5961"/>
    <w:rsid w:val="00CE62BB"/>
    <w:rsid w:val="00CF4366"/>
    <w:rsid w:val="00CF6EAD"/>
    <w:rsid w:val="00D01278"/>
    <w:rsid w:val="00D40D69"/>
    <w:rsid w:val="00D72607"/>
    <w:rsid w:val="00DA21C9"/>
    <w:rsid w:val="00DA355E"/>
    <w:rsid w:val="00DB3F8E"/>
    <w:rsid w:val="00DE3995"/>
    <w:rsid w:val="00DF14BB"/>
    <w:rsid w:val="00DF3BEE"/>
    <w:rsid w:val="00E04532"/>
    <w:rsid w:val="00E23B02"/>
    <w:rsid w:val="00E46F2A"/>
    <w:rsid w:val="00E50935"/>
    <w:rsid w:val="00E52530"/>
    <w:rsid w:val="00E52F76"/>
    <w:rsid w:val="00E57BE9"/>
    <w:rsid w:val="00E6284A"/>
    <w:rsid w:val="00E74B4B"/>
    <w:rsid w:val="00E865C2"/>
    <w:rsid w:val="00E90C66"/>
    <w:rsid w:val="00E97FBA"/>
    <w:rsid w:val="00EA058C"/>
    <w:rsid w:val="00EA40E8"/>
    <w:rsid w:val="00EB1C84"/>
    <w:rsid w:val="00EB7E60"/>
    <w:rsid w:val="00EC0A6E"/>
    <w:rsid w:val="00ED1E2A"/>
    <w:rsid w:val="00ED4EB3"/>
    <w:rsid w:val="00EF5BA2"/>
    <w:rsid w:val="00F0443D"/>
    <w:rsid w:val="00F10618"/>
    <w:rsid w:val="00F33ADE"/>
    <w:rsid w:val="00F36999"/>
    <w:rsid w:val="00F44225"/>
    <w:rsid w:val="00F46D14"/>
    <w:rsid w:val="00F50CDF"/>
    <w:rsid w:val="00F66F31"/>
    <w:rsid w:val="00F672F9"/>
    <w:rsid w:val="00F72067"/>
    <w:rsid w:val="00FC1BB6"/>
    <w:rsid w:val="00FD3793"/>
    <w:rsid w:val="00FE1942"/>
    <w:rsid w:val="00FE567D"/>
    <w:rsid w:val="00FE7B94"/>
    <w:rsid w:val="00FF0116"/>
    <w:rsid w:val="0104655C"/>
    <w:rsid w:val="01064C9A"/>
    <w:rsid w:val="01066A48"/>
    <w:rsid w:val="01075E28"/>
    <w:rsid w:val="0109619B"/>
    <w:rsid w:val="010A6538"/>
    <w:rsid w:val="010B2E65"/>
    <w:rsid w:val="010B6C42"/>
    <w:rsid w:val="01115B19"/>
    <w:rsid w:val="011375A8"/>
    <w:rsid w:val="0114376C"/>
    <w:rsid w:val="011614FB"/>
    <w:rsid w:val="01192C1F"/>
    <w:rsid w:val="01193A2F"/>
    <w:rsid w:val="011E5C78"/>
    <w:rsid w:val="011E5E26"/>
    <w:rsid w:val="01213B43"/>
    <w:rsid w:val="01242E93"/>
    <w:rsid w:val="01255120"/>
    <w:rsid w:val="0128294E"/>
    <w:rsid w:val="01286562"/>
    <w:rsid w:val="01287748"/>
    <w:rsid w:val="01287AB4"/>
    <w:rsid w:val="012C6BA1"/>
    <w:rsid w:val="012F05BA"/>
    <w:rsid w:val="012F1B58"/>
    <w:rsid w:val="013101B5"/>
    <w:rsid w:val="0132265F"/>
    <w:rsid w:val="01323CE1"/>
    <w:rsid w:val="0132783D"/>
    <w:rsid w:val="01344A07"/>
    <w:rsid w:val="0137560B"/>
    <w:rsid w:val="01396E1E"/>
    <w:rsid w:val="013C06BC"/>
    <w:rsid w:val="013D34D7"/>
    <w:rsid w:val="013D4B60"/>
    <w:rsid w:val="013F05B8"/>
    <w:rsid w:val="013F77F9"/>
    <w:rsid w:val="01404FFF"/>
    <w:rsid w:val="01415CD2"/>
    <w:rsid w:val="014252EF"/>
    <w:rsid w:val="0143002D"/>
    <w:rsid w:val="01431A4A"/>
    <w:rsid w:val="014337F8"/>
    <w:rsid w:val="01435AC5"/>
    <w:rsid w:val="01452E60"/>
    <w:rsid w:val="01455AEC"/>
    <w:rsid w:val="01475D3C"/>
    <w:rsid w:val="014A06FC"/>
    <w:rsid w:val="014B08FF"/>
    <w:rsid w:val="014C6B51"/>
    <w:rsid w:val="014D0B1B"/>
    <w:rsid w:val="014F2E8B"/>
    <w:rsid w:val="014F34AC"/>
    <w:rsid w:val="014F4180"/>
    <w:rsid w:val="014F4893"/>
    <w:rsid w:val="014F6641"/>
    <w:rsid w:val="014F7656"/>
    <w:rsid w:val="01516274"/>
    <w:rsid w:val="01516B4A"/>
    <w:rsid w:val="015178A9"/>
    <w:rsid w:val="015242C0"/>
    <w:rsid w:val="01534385"/>
    <w:rsid w:val="01553334"/>
    <w:rsid w:val="01562CE7"/>
    <w:rsid w:val="01565C82"/>
    <w:rsid w:val="0159301C"/>
    <w:rsid w:val="015A4A44"/>
    <w:rsid w:val="015B6D94"/>
    <w:rsid w:val="016043AA"/>
    <w:rsid w:val="016073E8"/>
    <w:rsid w:val="01607743"/>
    <w:rsid w:val="01607F94"/>
    <w:rsid w:val="016206F8"/>
    <w:rsid w:val="01637D30"/>
    <w:rsid w:val="01671BDD"/>
    <w:rsid w:val="01673EBF"/>
    <w:rsid w:val="01680176"/>
    <w:rsid w:val="016C0FA1"/>
    <w:rsid w:val="016C2D4F"/>
    <w:rsid w:val="016F430C"/>
    <w:rsid w:val="0170404F"/>
    <w:rsid w:val="017068EF"/>
    <w:rsid w:val="01710365"/>
    <w:rsid w:val="01751AD8"/>
    <w:rsid w:val="0176355A"/>
    <w:rsid w:val="01770C0B"/>
    <w:rsid w:val="01785B98"/>
    <w:rsid w:val="017878EF"/>
    <w:rsid w:val="01792D23"/>
    <w:rsid w:val="017B7436"/>
    <w:rsid w:val="017C5080"/>
    <w:rsid w:val="017F6DDD"/>
    <w:rsid w:val="01814321"/>
    <w:rsid w:val="0182460A"/>
    <w:rsid w:val="01842867"/>
    <w:rsid w:val="01855436"/>
    <w:rsid w:val="01857148"/>
    <w:rsid w:val="01875D5C"/>
    <w:rsid w:val="01875DDB"/>
    <w:rsid w:val="01882206"/>
    <w:rsid w:val="018C6405"/>
    <w:rsid w:val="018D0F17"/>
    <w:rsid w:val="018E0D25"/>
    <w:rsid w:val="018F3C90"/>
    <w:rsid w:val="01924994"/>
    <w:rsid w:val="0192642E"/>
    <w:rsid w:val="01944054"/>
    <w:rsid w:val="019601E9"/>
    <w:rsid w:val="0196601E"/>
    <w:rsid w:val="01973B44"/>
    <w:rsid w:val="01981D96"/>
    <w:rsid w:val="01985BC2"/>
    <w:rsid w:val="01987FE8"/>
    <w:rsid w:val="01995B0E"/>
    <w:rsid w:val="019A3AB2"/>
    <w:rsid w:val="019B1886"/>
    <w:rsid w:val="019B2F5B"/>
    <w:rsid w:val="019E31A2"/>
    <w:rsid w:val="019F1377"/>
    <w:rsid w:val="01A00C4B"/>
    <w:rsid w:val="01A07A9B"/>
    <w:rsid w:val="01A14E6D"/>
    <w:rsid w:val="01A15407"/>
    <w:rsid w:val="01A73E39"/>
    <w:rsid w:val="01A746B1"/>
    <w:rsid w:val="01A748D1"/>
    <w:rsid w:val="01A7595E"/>
    <w:rsid w:val="01A76C28"/>
    <w:rsid w:val="01A842C5"/>
    <w:rsid w:val="01A94F4C"/>
    <w:rsid w:val="01AA3FFB"/>
    <w:rsid w:val="01AF64BC"/>
    <w:rsid w:val="01AF70E0"/>
    <w:rsid w:val="01B12E58"/>
    <w:rsid w:val="01B14C06"/>
    <w:rsid w:val="01B15FAF"/>
    <w:rsid w:val="01B25157"/>
    <w:rsid w:val="01B34E22"/>
    <w:rsid w:val="01B52838"/>
    <w:rsid w:val="01BA1191"/>
    <w:rsid w:val="01BA4EE0"/>
    <w:rsid w:val="01BB0A97"/>
    <w:rsid w:val="01BB649A"/>
    <w:rsid w:val="01C04E49"/>
    <w:rsid w:val="01C22EC9"/>
    <w:rsid w:val="01C2337F"/>
    <w:rsid w:val="01C347D9"/>
    <w:rsid w:val="01C6148B"/>
    <w:rsid w:val="01C800A7"/>
    <w:rsid w:val="01C80EB6"/>
    <w:rsid w:val="01C95BE4"/>
    <w:rsid w:val="01CC7C92"/>
    <w:rsid w:val="01CF6808"/>
    <w:rsid w:val="01D46B46"/>
    <w:rsid w:val="01D54D98"/>
    <w:rsid w:val="01DA20AA"/>
    <w:rsid w:val="01DA508E"/>
    <w:rsid w:val="01DB1C83"/>
    <w:rsid w:val="01DB1F7B"/>
    <w:rsid w:val="01E054EB"/>
    <w:rsid w:val="01E16E78"/>
    <w:rsid w:val="01E27B92"/>
    <w:rsid w:val="01E40F90"/>
    <w:rsid w:val="01E43525"/>
    <w:rsid w:val="01E46F63"/>
    <w:rsid w:val="01E70628"/>
    <w:rsid w:val="01E925F2"/>
    <w:rsid w:val="01EB45BC"/>
    <w:rsid w:val="01EB6E21"/>
    <w:rsid w:val="01F03350"/>
    <w:rsid w:val="01F21968"/>
    <w:rsid w:val="01F339D5"/>
    <w:rsid w:val="01F42D45"/>
    <w:rsid w:val="01F976FC"/>
    <w:rsid w:val="01FA5486"/>
    <w:rsid w:val="01FB1A92"/>
    <w:rsid w:val="01FB228C"/>
    <w:rsid w:val="01FD0A4D"/>
    <w:rsid w:val="01FD2F18"/>
    <w:rsid w:val="01FE27B5"/>
    <w:rsid w:val="01FF0067"/>
    <w:rsid w:val="01FF1E15"/>
    <w:rsid w:val="020016E9"/>
    <w:rsid w:val="02021905"/>
    <w:rsid w:val="02042614"/>
    <w:rsid w:val="020945D8"/>
    <w:rsid w:val="0209606A"/>
    <w:rsid w:val="020A04E6"/>
    <w:rsid w:val="020B16A6"/>
    <w:rsid w:val="020C0A95"/>
    <w:rsid w:val="020C68B4"/>
    <w:rsid w:val="020D3558"/>
    <w:rsid w:val="020D57B6"/>
    <w:rsid w:val="020D74DD"/>
    <w:rsid w:val="020E0518"/>
    <w:rsid w:val="02100EDC"/>
    <w:rsid w:val="021013D5"/>
    <w:rsid w:val="0211514D"/>
    <w:rsid w:val="02121FCC"/>
    <w:rsid w:val="02137D56"/>
    <w:rsid w:val="02144A93"/>
    <w:rsid w:val="02147D64"/>
    <w:rsid w:val="02151639"/>
    <w:rsid w:val="0215534B"/>
    <w:rsid w:val="02194252"/>
    <w:rsid w:val="02194BB0"/>
    <w:rsid w:val="021A09FD"/>
    <w:rsid w:val="021F6013"/>
    <w:rsid w:val="02203B3A"/>
    <w:rsid w:val="02212075"/>
    <w:rsid w:val="02213D51"/>
    <w:rsid w:val="022831DB"/>
    <w:rsid w:val="022B70FD"/>
    <w:rsid w:val="022C6982"/>
    <w:rsid w:val="022D2771"/>
    <w:rsid w:val="022E68FE"/>
    <w:rsid w:val="022E7DE4"/>
    <w:rsid w:val="022F0983"/>
    <w:rsid w:val="02300221"/>
    <w:rsid w:val="023029FC"/>
    <w:rsid w:val="02305C56"/>
    <w:rsid w:val="02322A0C"/>
    <w:rsid w:val="0233386D"/>
    <w:rsid w:val="02345383"/>
    <w:rsid w:val="02345425"/>
    <w:rsid w:val="02354A10"/>
    <w:rsid w:val="023627C3"/>
    <w:rsid w:val="023748EE"/>
    <w:rsid w:val="02391278"/>
    <w:rsid w:val="02391BF0"/>
    <w:rsid w:val="023D51E8"/>
    <w:rsid w:val="023F0464"/>
    <w:rsid w:val="023F66B6"/>
    <w:rsid w:val="0241242E"/>
    <w:rsid w:val="02441F1E"/>
    <w:rsid w:val="024837DC"/>
    <w:rsid w:val="024E06A7"/>
    <w:rsid w:val="024E2467"/>
    <w:rsid w:val="024E516F"/>
    <w:rsid w:val="024E71FD"/>
    <w:rsid w:val="024E73C1"/>
    <w:rsid w:val="024F720F"/>
    <w:rsid w:val="02514EF6"/>
    <w:rsid w:val="025261C0"/>
    <w:rsid w:val="025760E2"/>
    <w:rsid w:val="02581365"/>
    <w:rsid w:val="02581684"/>
    <w:rsid w:val="02591C4C"/>
    <w:rsid w:val="025C23FB"/>
    <w:rsid w:val="025C7268"/>
    <w:rsid w:val="02610413"/>
    <w:rsid w:val="026142D1"/>
    <w:rsid w:val="0266577D"/>
    <w:rsid w:val="026873A8"/>
    <w:rsid w:val="026A139A"/>
    <w:rsid w:val="026B16A9"/>
    <w:rsid w:val="026C678D"/>
    <w:rsid w:val="026D5E00"/>
    <w:rsid w:val="0270061D"/>
    <w:rsid w:val="02700D57"/>
    <w:rsid w:val="02736F3F"/>
    <w:rsid w:val="02757D86"/>
    <w:rsid w:val="02764B21"/>
    <w:rsid w:val="02777BFD"/>
    <w:rsid w:val="02781BC8"/>
    <w:rsid w:val="02796A74"/>
    <w:rsid w:val="027C16B8"/>
    <w:rsid w:val="027D0F8C"/>
    <w:rsid w:val="027D2D3A"/>
    <w:rsid w:val="027E45E3"/>
    <w:rsid w:val="02810A7C"/>
    <w:rsid w:val="02812582"/>
    <w:rsid w:val="02816CCE"/>
    <w:rsid w:val="028247F4"/>
    <w:rsid w:val="02832A46"/>
    <w:rsid w:val="028422ED"/>
    <w:rsid w:val="02875E5C"/>
    <w:rsid w:val="02883D0D"/>
    <w:rsid w:val="028B75C9"/>
    <w:rsid w:val="028C467A"/>
    <w:rsid w:val="028D2630"/>
    <w:rsid w:val="028E4F47"/>
    <w:rsid w:val="028F5751"/>
    <w:rsid w:val="028F5803"/>
    <w:rsid w:val="02900890"/>
    <w:rsid w:val="02900CBF"/>
    <w:rsid w:val="02902A6D"/>
    <w:rsid w:val="029070C0"/>
    <w:rsid w:val="02914086"/>
    <w:rsid w:val="029307AF"/>
    <w:rsid w:val="02980763"/>
    <w:rsid w:val="02993083"/>
    <w:rsid w:val="029A653C"/>
    <w:rsid w:val="029C1412"/>
    <w:rsid w:val="029D18A6"/>
    <w:rsid w:val="029D518A"/>
    <w:rsid w:val="029F53A6"/>
    <w:rsid w:val="02A12ECC"/>
    <w:rsid w:val="02A66735"/>
    <w:rsid w:val="02A76009"/>
    <w:rsid w:val="02A93B2F"/>
    <w:rsid w:val="02AB4AF3"/>
    <w:rsid w:val="02AC112D"/>
    <w:rsid w:val="02AC72AB"/>
    <w:rsid w:val="02AD184E"/>
    <w:rsid w:val="02AF69EA"/>
    <w:rsid w:val="02B4263C"/>
    <w:rsid w:val="02B524D4"/>
    <w:rsid w:val="02B61082"/>
    <w:rsid w:val="02B67E74"/>
    <w:rsid w:val="02B96468"/>
    <w:rsid w:val="02BE55E2"/>
    <w:rsid w:val="02BE7569"/>
    <w:rsid w:val="02BF2840"/>
    <w:rsid w:val="02BF46E1"/>
    <w:rsid w:val="02C164F0"/>
    <w:rsid w:val="02C170CB"/>
    <w:rsid w:val="02C23ACE"/>
    <w:rsid w:val="02C35542"/>
    <w:rsid w:val="02C92423"/>
    <w:rsid w:val="02CA1633"/>
    <w:rsid w:val="02CC6723"/>
    <w:rsid w:val="02CF4893"/>
    <w:rsid w:val="02D037B2"/>
    <w:rsid w:val="02D11BD4"/>
    <w:rsid w:val="02D26AA1"/>
    <w:rsid w:val="02D54187"/>
    <w:rsid w:val="02D569EA"/>
    <w:rsid w:val="02D63692"/>
    <w:rsid w:val="02D91DE7"/>
    <w:rsid w:val="02DA1F3A"/>
    <w:rsid w:val="02DC57FB"/>
    <w:rsid w:val="02DD1A2B"/>
    <w:rsid w:val="02DF39F5"/>
    <w:rsid w:val="02E01C47"/>
    <w:rsid w:val="02E103E9"/>
    <w:rsid w:val="02E132C9"/>
    <w:rsid w:val="02E334E5"/>
    <w:rsid w:val="02E35293"/>
    <w:rsid w:val="02E352E7"/>
    <w:rsid w:val="02E613D9"/>
    <w:rsid w:val="02E73D73"/>
    <w:rsid w:val="02E8243F"/>
    <w:rsid w:val="02E83FAA"/>
    <w:rsid w:val="02E910F0"/>
    <w:rsid w:val="02E95F13"/>
    <w:rsid w:val="02EA02C5"/>
    <w:rsid w:val="02EA34E4"/>
    <w:rsid w:val="02EA4873"/>
    <w:rsid w:val="02EE578C"/>
    <w:rsid w:val="02EE7407"/>
    <w:rsid w:val="02F27DF5"/>
    <w:rsid w:val="02F474A0"/>
    <w:rsid w:val="02F53218"/>
    <w:rsid w:val="02F54AD8"/>
    <w:rsid w:val="02F56B52"/>
    <w:rsid w:val="02F637FD"/>
    <w:rsid w:val="02F76F90"/>
    <w:rsid w:val="02FA25DD"/>
    <w:rsid w:val="02FC6355"/>
    <w:rsid w:val="02FD4578"/>
    <w:rsid w:val="02FE3E7B"/>
    <w:rsid w:val="02FF6C5F"/>
    <w:rsid w:val="03032814"/>
    <w:rsid w:val="030518BB"/>
    <w:rsid w:val="030559FB"/>
    <w:rsid w:val="03056896"/>
    <w:rsid w:val="030719DC"/>
    <w:rsid w:val="030825EA"/>
    <w:rsid w:val="030B4E6A"/>
    <w:rsid w:val="030C57E9"/>
    <w:rsid w:val="03107C59"/>
    <w:rsid w:val="03123187"/>
    <w:rsid w:val="03125B78"/>
    <w:rsid w:val="03127217"/>
    <w:rsid w:val="031511C4"/>
    <w:rsid w:val="03157416"/>
    <w:rsid w:val="03185937"/>
    <w:rsid w:val="03190415"/>
    <w:rsid w:val="031A03D3"/>
    <w:rsid w:val="031C261C"/>
    <w:rsid w:val="031D766C"/>
    <w:rsid w:val="031E167E"/>
    <w:rsid w:val="031F37E2"/>
    <w:rsid w:val="03200295"/>
    <w:rsid w:val="032064E7"/>
    <w:rsid w:val="0321413B"/>
    <w:rsid w:val="0321587C"/>
    <w:rsid w:val="03217B69"/>
    <w:rsid w:val="03231B33"/>
    <w:rsid w:val="0324119F"/>
    <w:rsid w:val="03250DED"/>
    <w:rsid w:val="03253AFD"/>
    <w:rsid w:val="032575B9"/>
    <w:rsid w:val="032816F5"/>
    <w:rsid w:val="032929D3"/>
    <w:rsid w:val="032A0AC5"/>
    <w:rsid w:val="032A2EC2"/>
    <w:rsid w:val="032A4589"/>
    <w:rsid w:val="032B09E8"/>
    <w:rsid w:val="032B7DBE"/>
    <w:rsid w:val="032D26DE"/>
    <w:rsid w:val="032D4760"/>
    <w:rsid w:val="032E4F25"/>
    <w:rsid w:val="032E77FB"/>
    <w:rsid w:val="032F4D4A"/>
    <w:rsid w:val="032F672A"/>
    <w:rsid w:val="03301255"/>
    <w:rsid w:val="03301E6E"/>
    <w:rsid w:val="0333644D"/>
    <w:rsid w:val="0334789D"/>
    <w:rsid w:val="03351867"/>
    <w:rsid w:val="03353A41"/>
    <w:rsid w:val="03376DB8"/>
    <w:rsid w:val="033A6712"/>
    <w:rsid w:val="033C49A3"/>
    <w:rsid w:val="033E390B"/>
    <w:rsid w:val="033E4BBF"/>
    <w:rsid w:val="033F5DAF"/>
    <w:rsid w:val="0341020B"/>
    <w:rsid w:val="0341645D"/>
    <w:rsid w:val="034750E0"/>
    <w:rsid w:val="034932DF"/>
    <w:rsid w:val="034A3564"/>
    <w:rsid w:val="034C108A"/>
    <w:rsid w:val="034E4753"/>
    <w:rsid w:val="034F0B7A"/>
    <w:rsid w:val="034F2928"/>
    <w:rsid w:val="035000AB"/>
    <w:rsid w:val="03501AE0"/>
    <w:rsid w:val="03507512"/>
    <w:rsid w:val="035175F7"/>
    <w:rsid w:val="03524AF0"/>
    <w:rsid w:val="03526A59"/>
    <w:rsid w:val="03547671"/>
    <w:rsid w:val="03547F3F"/>
    <w:rsid w:val="03553EE4"/>
    <w:rsid w:val="035644BB"/>
    <w:rsid w:val="0359601B"/>
    <w:rsid w:val="035A42CC"/>
    <w:rsid w:val="035B4572"/>
    <w:rsid w:val="035C032D"/>
    <w:rsid w:val="035C2778"/>
    <w:rsid w:val="035D78B3"/>
    <w:rsid w:val="035E4B0D"/>
    <w:rsid w:val="03663A8A"/>
    <w:rsid w:val="03676684"/>
    <w:rsid w:val="03697A39"/>
    <w:rsid w:val="036A59B4"/>
    <w:rsid w:val="036F39FE"/>
    <w:rsid w:val="036F67A3"/>
    <w:rsid w:val="03710C5B"/>
    <w:rsid w:val="037307C2"/>
    <w:rsid w:val="03754DBB"/>
    <w:rsid w:val="03760668"/>
    <w:rsid w:val="037830CE"/>
    <w:rsid w:val="037836BC"/>
    <w:rsid w:val="0379030A"/>
    <w:rsid w:val="03793528"/>
    <w:rsid w:val="03795C80"/>
    <w:rsid w:val="03797855"/>
    <w:rsid w:val="037F684F"/>
    <w:rsid w:val="03802AE2"/>
    <w:rsid w:val="0381452E"/>
    <w:rsid w:val="03854360"/>
    <w:rsid w:val="03884C34"/>
    <w:rsid w:val="038A07DA"/>
    <w:rsid w:val="038A1948"/>
    <w:rsid w:val="038A33AB"/>
    <w:rsid w:val="038D16A3"/>
    <w:rsid w:val="038D496A"/>
    <w:rsid w:val="0390385D"/>
    <w:rsid w:val="03904403"/>
    <w:rsid w:val="03906A9D"/>
    <w:rsid w:val="03912AC4"/>
    <w:rsid w:val="039175D2"/>
    <w:rsid w:val="03936CB9"/>
    <w:rsid w:val="039449AF"/>
    <w:rsid w:val="03945B9F"/>
    <w:rsid w:val="039467C7"/>
    <w:rsid w:val="039741DC"/>
    <w:rsid w:val="03974ED2"/>
    <w:rsid w:val="0397775C"/>
    <w:rsid w:val="039B4242"/>
    <w:rsid w:val="039B6582"/>
    <w:rsid w:val="039C3694"/>
    <w:rsid w:val="039D1D62"/>
    <w:rsid w:val="03A2514E"/>
    <w:rsid w:val="03A32C74"/>
    <w:rsid w:val="03A52548"/>
    <w:rsid w:val="03A60534"/>
    <w:rsid w:val="03A61A43"/>
    <w:rsid w:val="03A61A90"/>
    <w:rsid w:val="03AA2FE2"/>
    <w:rsid w:val="03AA7192"/>
    <w:rsid w:val="03AB48B4"/>
    <w:rsid w:val="03AB4F52"/>
    <w:rsid w:val="03B17D9E"/>
    <w:rsid w:val="03B2335B"/>
    <w:rsid w:val="03B3040D"/>
    <w:rsid w:val="03B44E81"/>
    <w:rsid w:val="03B51189"/>
    <w:rsid w:val="03B620B9"/>
    <w:rsid w:val="03BB7FBE"/>
    <w:rsid w:val="03BD3D36"/>
    <w:rsid w:val="03BE185C"/>
    <w:rsid w:val="03BE44DA"/>
    <w:rsid w:val="03BF2EBB"/>
    <w:rsid w:val="03C0788A"/>
    <w:rsid w:val="03C33F93"/>
    <w:rsid w:val="03C34149"/>
    <w:rsid w:val="03C5140E"/>
    <w:rsid w:val="03C55996"/>
    <w:rsid w:val="03C64392"/>
    <w:rsid w:val="03C65A75"/>
    <w:rsid w:val="03C7077C"/>
    <w:rsid w:val="03C775CF"/>
    <w:rsid w:val="03CC64F1"/>
    <w:rsid w:val="03CE26ED"/>
    <w:rsid w:val="03CF1C84"/>
    <w:rsid w:val="03D42E2E"/>
    <w:rsid w:val="03D746CC"/>
    <w:rsid w:val="03D773FB"/>
    <w:rsid w:val="03DA51CD"/>
    <w:rsid w:val="03DA5C82"/>
    <w:rsid w:val="03DB14EE"/>
    <w:rsid w:val="03DD04B0"/>
    <w:rsid w:val="03DE4CF1"/>
    <w:rsid w:val="03DE7F1E"/>
    <w:rsid w:val="03E2379C"/>
    <w:rsid w:val="03E272F9"/>
    <w:rsid w:val="03E42333"/>
    <w:rsid w:val="03E47CA3"/>
    <w:rsid w:val="03E5778C"/>
    <w:rsid w:val="03E72B61"/>
    <w:rsid w:val="03E77005"/>
    <w:rsid w:val="03E80687"/>
    <w:rsid w:val="03EA2651"/>
    <w:rsid w:val="03EB7101"/>
    <w:rsid w:val="03EE2141"/>
    <w:rsid w:val="03F2770B"/>
    <w:rsid w:val="03F51722"/>
    <w:rsid w:val="03F55EA6"/>
    <w:rsid w:val="03F62DA4"/>
    <w:rsid w:val="03F870DC"/>
    <w:rsid w:val="03FB340F"/>
    <w:rsid w:val="03FD42A4"/>
    <w:rsid w:val="04002FD7"/>
    <w:rsid w:val="04003C23"/>
    <w:rsid w:val="040177F9"/>
    <w:rsid w:val="04040D6C"/>
    <w:rsid w:val="04043594"/>
    <w:rsid w:val="040556DD"/>
    <w:rsid w:val="040A3239"/>
    <w:rsid w:val="040A56FD"/>
    <w:rsid w:val="040A684F"/>
    <w:rsid w:val="040C364D"/>
    <w:rsid w:val="040D3CAC"/>
    <w:rsid w:val="040D4871"/>
    <w:rsid w:val="040D6820"/>
    <w:rsid w:val="040E1A24"/>
    <w:rsid w:val="041047B1"/>
    <w:rsid w:val="04125FCD"/>
    <w:rsid w:val="04137DFA"/>
    <w:rsid w:val="04146D82"/>
    <w:rsid w:val="041651F4"/>
    <w:rsid w:val="04177352"/>
    <w:rsid w:val="04185410"/>
    <w:rsid w:val="041B1889"/>
    <w:rsid w:val="041B6FBC"/>
    <w:rsid w:val="041E5ACA"/>
    <w:rsid w:val="04200157"/>
    <w:rsid w:val="04206136"/>
    <w:rsid w:val="04207454"/>
    <w:rsid w:val="042172A9"/>
    <w:rsid w:val="04242FC7"/>
    <w:rsid w:val="042876D4"/>
    <w:rsid w:val="04293179"/>
    <w:rsid w:val="042F1191"/>
    <w:rsid w:val="042F398A"/>
    <w:rsid w:val="043206E5"/>
    <w:rsid w:val="04340AAA"/>
    <w:rsid w:val="04351B1E"/>
    <w:rsid w:val="04360288"/>
    <w:rsid w:val="04361E2D"/>
    <w:rsid w:val="0438006D"/>
    <w:rsid w:val="04390EE3"/>
    <w:rsid w:val="043B10FF"/>
    <w:rsid w:val="043B150F"/>
    <w:rsid w:val="043C4A54"/>
    <w:rsid w:val="043C673E"/>
    <w:rsid w:val="04425FE9"/>
    <w:rsid w:val="04461F7D"/>
    <w:rsid w:val="044A617F"/>
    <w:rsid w:val="044B1342"/>
    <w:rsid w:val="044B7594"/>
    <w:rsid w:val="044E0E32"/>
    <w:rsid w:val="044F07A2"/>
    <w:rsid w:val="04500ADC"/>
    <w:rsid w:val="04510A21"/>
    <w:rsid w:val="045126D0"/>
    <w:rsid w:val="0451520A"/>
    <w:rsid w:val="04520533"/>
    <w:rsid w:val="04524A4D"/>
    <w:rsid w:val="04533DF5"/>
    <w:rsid w:val="045350F9"/>
    <w:rsid w:val="04544215"/>
    <w:rsid w:val="0454474C"/>
    <w:rsid w:val="045521C0"/>
    <w:rsid w:val="04580C6C"/>
    <w:rsid w:val="04581CB1"/>
    <w:rsid w:val="045A3333"/>
    <w:rsid w:val="045D12A3"/>
    <w:rsid w:val="046643CE"/>
    <w:rsid w:val="04673CA2"/>
    <w:rsid w:val="04684FDD"/>
    <w:rsid w:val="04695C6C"/>
    <w:rsid w:val="04697A1A"/>
    <w:rsid w:val="046B19E4"/>
    <w:rsid w:val="046B451C"/>
    <w:rsid w:val="046C6DEA"/>
    <w:rsid w:val="046D09A4"/>
    <w:rsid w:val="046E43CA"/>
    <w:rsid w:val="04711C95"/>
    <w:rsid w:val="04721B00"/>
    <w:rsid w:val="04722D72"/>
    <w:rsid w:val="04725735"/>
    <w:rsid w:val="04727A41"/>
    <w:rsid w:val="047519F7"/>
    <w:rsid w:val="04782D76"/>
    <w:rsid w:val="04790026"/>
    <w:rsid w:val="04791AC8"/>
    <w:rsid w:val="047C0850"/>
    <w:rsid w:val="047D3E7B"/>
    <w:rsid w:val="047D4D0B"/>
    <w:rsid w:val="048003C8"/>
    <w:rsid w:val="04815689"/>
    <w:rsid w:val="04820ADC"/>
    <w:rsid w:val="04854128"/>
    <w:rsid w:val="0486237A"/>
    <w:rsid w:val="0487091A"/>
    <w:rsid w:val="048760F2"/>
    <w:rsid w:val="04885962"/>
    <w:rsid w:val="04894F5E"/>
    <w:rsid w:val="048A575A"/>
    <w:rsid w:val="048B5BE2"/>
    <w:rsid w:val="048C212A"/>
    <w:rsid w:val="048F0D2D"/>
    <w:rsid w:val="048F2BA6"/>
    <w:rsid w:val="0490144A"/>
    <w:rsid w:val="0490338C"/>
    <w:rsid w:val="049036F7"/>
    <w:rsid w:val="04910D1F"/>
    <w:rsid w:val="04912ACD"/>
    <w:rsid w:val="049164CF"/>
    <w:rsid w:val="04931CC5"/>
    <w:rsid w:val="04932CE9"/>
    <w:rsid w:val="04940161"/>
    <w:rsid w:val="049440EF"/>
    <w:rsid w:val="049462DE"/>
    <w:rsid w:val="049525BD"/>
    <w:rsid w:val="04953688"/>
    <w:rsid w:val="04981B52"/>
    <w:rsid w:val="049977A8"/>
    <w:rsid w:val="049A0EC9"/>
    <w:rsid w:val="049A17F4"/>
    <w:rsid w:val="049A4077"/>
    <w:rsid w:val="049C7DEF"/>
    <w:rsid w:val="049D2642"/>
    <w:rsid w:val="049D4355"/>
    <w:rsid w:val="049E532B"/>
    <w:rsid w:val="04A11AF5"/>
    <w:rsid w:val="04A14D61"/>
    <w:rsid w:val="04A35713"/>
    <w:rsid w:val="04A647CA"/>
    <w:rsid w:val="04A70542"/>
    <w:rsid w:val="04A74CD8"/>
    <w:rsid w:val="04A86794"/>
    <w:rsid w:val="04A8688D"/>
    <w:rsid w:val="04A905C0"/>
    <w:rsid w:val="04AA3A81"/>
    <w:rsid w:val="04AB37E2"/>
    <w:rsid w:val="04AC5B58"/>
    <w:rsid w:val="04AD54D3"/>
    <w:rsid w:val="04B05649"/>
    <w:rsid w:val="04B20DCF"/>
    <w:rsid w:val="04B549A8"/>
    <w:rsid w:val="04B92AD2"/>
    <w:rsid w:val="04BA0275"/>
    <w:rsid w:val="04BA2023"/>
    <w:rsid w:val="04BB3176"/>
    <w:rsid w:val="04BC244D"/>
    <w:rsid w:val="04BC5D9C"/>
    <w:rsid w:val="04BE589C"/>
    <w:rsid w:val="04BF3660"/>
    <w:rsid w:val="04BF3ADE"/>
    <w:rsid w:val="04BF763A"/>
    <w:rsid w:val="04C12EFD"/>
    <w:rsid w:val="04C21B55"/>
    <w:rsid w:val="04C2711D"/>
    <w:rsid w:val="04C31FE0"/>
    <w:rsid w:val="04C36455"/>
    <w:rsid w:val="04C7654C"/>
    <w:rsid w:val="04C86EA5"/>
    <w:rsid w:val="04CB2483"/>
    <w:rsid w:val="04CB4468"/>
    <w:rsid w:val="04CE24A2"/>
    <w:rsid w:val="04D15CDC"/>
    <w:rsid w:val="04D1736D"/>
    <w:rsid w:val="04D534BD"/>
    <w:rsid w:val="04D83DED"/>
    <w:rsid w:val="04DB41B7"/>
    <w:rsid w:val="04DC643E"/>
    <w:rsid w:val="04DF5F2E"/>
    <w:rsid w:val="04DF7CDC"/>
    <w:rsid w:val="04E470A0"/>
    <w:rsid w:val="04E57E5F"/>
    <w:rsid w:val="04E66DA8"/>
    <w:rsid w:val="04E7150E"/>
    <w:rsid w:val="04E85778"/>
    <w:rsid w:val="04E903A7"/>
    <w:rsid w:val="04E9263C"/>
    <w:rsid w:val="04E92820"/>
    <w:rsid w:val="04E978D1"/>
    <w:rsid w:val="04EE556D"/>
    <w:rsid w:val="04F512AE"/>
    <w:rsid w:val="04F516FB"/>
    <w:rsid w:val="04F6109D"/>
    <w:rsid w:val="04F630F4"/>
    <w:rsid w:val="04F7190C"/>
    <w:rsid w:val="04F80D9E"/>
    <w:rsid w:val="04F930C7"/>
    <w:rsid w:val="04FA6C67"/>
    <w:rsid w:val="04FB74DF"/>
    <w:rsid w:val="04FC4B0B"/>
    <w:rsid w:val="04FE4606"/>
    <w:rsid w:val="05015EA4"/>
    <w:rsid w:val="05025778"/>
    <w:rsid w:val="050301B1"/>
    <w:rsid w:val="05033049"/>
    <w:rsid w:val="05045994"/>
    <w:rsid w:val="05047743"/>
    <w:rsid w:val="050551FA"/>
    <w:rsid w:val="0506170D"/>
    <w:rsid w:val="05092FAB"/>
    <w:rsid w:val="050B170C"/>
    <w:rsid w:val="050B46AD"/>
    <w:rsid w:val="050B4C74"/>
    <w:rsid w:val="050B6D23"/>
    <w:rsid w:val="050D2829"/>
    <w:rsid w:val="051054BA"/>
    <w:rsid w:val="05133691"/>
    <w:rsid w:val="05143E2A"/>
    <w:rsid w:val="0515288D"/>
    <w:rsid w:val="05156EFE"/>
    <w:rsid w:val="05164FA1"/>
    <w:rsid w:val="05191114"/>
    <w:rsid w:val="051A0DC3"/>
    <w:rsid w:val="051D57B0"/>
    <w:rsid w:val="051E0A67"/>
    <w:rsid w:val="05220716"/>
    <w:rsid w:val="05234C3E"/>
    <w:rsid w:val="0525547A"/>
    <w:rsid w:val="052573EE"/>
    <w:rsid w:val="052B1173"/>
    <w:rsid w:val="052D3F38"/>
    <w:rsid w:val="052E656D"/>
    <w:rsid w:val="05300538"/>
    <w:rsid w:val="053055AE"/>
    <w:rsid w:val="05322790"/>
    <w:rsid w:val="053242B0"/>
    <w:rsid w:val="05373674"/>
    <w:rsid w:val="05380ED5"/>
    <w:rsid w:val="053A3164"/>
    <w:rsid w:val="053B7608"/>
    <w:rsid w:val="053C0C8A"/>
    <w:rsid w:val="053C11E9"/>
    <w:rsid w:val="053E0EA6"/>
    <w:rsid w:val="053E36FF"/>
    <w:rsid w:val="053F077B"/>
    <w:rsid w:val="054110B3"/>
    <w:rsid w:val="05427468"/>
    <w:rsid w:val="0544213B"/>
    <w:rsid w:val="05443677"/>
    <w:rsid w:val="05447617"/>
    <w:rsid w:val="05471621"/>
    <w:rsid w:val="0547634E"/>
    <w:rsid w:val="0548762F"/>
    <w:rsid w:val="054B3704"/>
    <w:rsid w:val="054D23ED"/>
    <w:rsid w:val="054D4F76"/>
    <w:rsid w:val="054D51EE"/>
    <w:rsid w:val="054F072B"/>
    <w:rsid w:val="05502D4D"/>
    <w:rsid w:val="05504736"/>
    <w:rsid w:val="05505507"/>
    <w:rsid w:val="05510907"/>
    <w:rsid w:val="05551D4C"/>
    <w:rsid w:val="0559298F"/>
    <w:rsid w:val="0559658C"/>
    <w:rsid w:val="055A5560"/>
    <w:rsid w:val="055E50A5"/>
    <w:rsid w:val="0560380A"/>
    <w:rsid w:val="05656433"/>
    <w:rsid w:val="056621AB"/>
    <w:rsid w:val="056854E4"/>
    <w:rsid w:val="05687CD1"/>
    <w:rsid w:val="056944A2"/>
    <w:rsid w:val="056B36EB"/>
    <w:rsid w:val="056D52E8"/>
    <w:rsid w:val="056E4DF6"/>
    <w:rsid w:val="056F1060"/>
    <w:rsid w:val="056F1B47"/>
    <w:rsid w:val="056F2E0E"/>
    <w:rsid w:val="05704DD8"/>
    <w:rsid w:val="0571302A"/>
    <w:rsid w:val="05720B6D"/>
    <w:rsid w:val="057231CE"/>
    <w:rsid w:val="05740424"/>
    <w:rsid w:val="05770CE7"/>
    <w:rsid w:val="05777856"/>
    <w:rsid w:val="05785C8A"/>
    <w:rsid w:val="05787E8E"/>
    <w:rsid w:val="05791EDF"/>
    <w:rsid w:val="057A01C6"/>
    <w:rsid w:val="057C19CF"/>
    <w:rsid w:val="057C3D1C"/>
    <w:rsid w:val="057C552B"/>
    <w:rsid w:val="057D0DBC"/>
    <w:rsid w:val="057E6D6C"/>
    <w:rsid w:val="05803478"/>
    <w:rsid w:val="05822C11"/>
    <w:rsid w:val="05832D5D"/>
    <w:rsid w:val="05832D9D"/>
    <w:rsid w:val="058368B9"/>
    <w:rsid w:val="058421AB"/>
    <w:rsid w:val="05850883"/>
    <w:rsid w:val="05852631"/>
    <w:rsid w:val="058676A3"/>
    <w:rsid w:val="05877B50"/>
    <w:rsid w:val="05880374"/>
    <w:rsid w:val="058A49FF"/>
    <w:rsid w:val="058B39C0"/>
    <w:rsid w:val="058E4AB2"/>
    <w:rsid w:val="058F34B0"/>
    <w:rsid w:val="0591547A"/>
    <w:rsid w:val="05946E4A"/>
    <w:rsid w:val="05946FA8"/>
    <w:rsid w:val="05951C9A"/>
    <w:rsid w:val="059611F2"/>
    <w:rsid w:val="05971F55"/>
    <w:rsid w:val="059840B3"/>
    <w:rsid w:val="05986704"/>
    <w:rsid w:val="059C5BB5"/>
    <w:rsid w:val="059F0E35"/>
    <w:rsid w:val="05A212BC"/>
    <w:rsid w:val="05A27D30"/>
    <w:rsid w:val="05A30D0A"/>
    <w:rsid w:val="05A32BC9"/>
    <w:rsid w:val="05A401A4"/>
    <w:rsid w:val="05A52CD4"/>
    <w:rsid w:val="05A73074"/>
    <w:rsid w:val="05A97689"/>
    <w:rsid w:val="05AC08F0"/>
    <w:rsid w:val="05AC22B4"/>
    <w:rsid w:val="05AE7E4C"/>
    <w:rsid w:val="05AF2FCC"/>
    <w:rsid w:val="05AF5900"/>
    <w:rsid w:val="05B02EA6"/>
    <w:rsid w:val="05B366B7"/>
    <w:rsid w:val="05B42F17"/>
    <w:rsid w:val="05B5373C"/>
    <w:rsid w:val="05B72F56"/>
    <w:rsid w:val="05BB6053"/>
    <w:rsid w:val="05BC1DCB"/>
    <w:rsid w:val="05BE71CA"/>
    <w:rsid w:val="05C03FCA"/>
    <w:rsid w:val="05C059EA"/>
    <w:rsid w:val="05C313AC"/>
    <w:rsid w:val="05C451BE"/>
    <w:rsid w:val="05C81175"/>
    <w:rsid w:val="05C814D1"/>
    <w:rsid w:val="05CE5343"/>
    <w:rsid w:val="05CE7FBD"/>
    <w:rsid w:val="05D02834"/>
    <w:rsid w:val="05D11D1B"/>
    <w:rsid w:val="05D42645"/>
    <w:rsid w:val="05D42C36"/>
    <w:rsid w:val="05D50A03"/>
    <w:rsid w:val="05D84E57"/>
    <w:rsid w:val="05D9297D"/>
    <w:rsid w:val="05DA2889"/>
    <w:rsid w:val="05DB04A3"/>
    <w:rsid w:val="05DC0DD7"/>
    <w:rsid w:val="05DC526D"/>
    <w:rsid w:val="05DE4A6C"/>
    <w:rsid w:val="05DF50A3"/>
    <w:rsid w:val="05E11832"/>
    <w:rsid w:val="05E57574"/>
    <w:rsid w:val="05E75F32"/>
    <w:rsid w:val="05E76E48"/>
    <w:rsid w:val="05EB3658"/>
    <w:rsid w:val="05EE6DAA"/>
    <w:rsid w:val="05EF03F3"/>
    <w:rsid w:val="05F115FA"/>
    <w:rsid w:val="05F11B6D"/>
    <w:rsid w:val="05F15F19"/>
    <w:rsid w:val="05F34E83"/>
    <w:rsid w:val="05F34E9C"/>
    <w:rsid w:val="05F41C2F"/>
    <w:rsid w:val="05F51706"/>
    <w:rsid w:val="05F52048"/>
    <w:rsid w:val="05F72E03"/>
    <w:rsid w:val="05FA6BB2"/>
    <w:rsid w:val="05FB57F0"/>
    <w:rsid w:val="05FC4B31"/>
    <w:rsid w:val="060048C5"/>
    <w:rsid w:val="060101C2"/>
    <w:rsid w:val="060164D4"/>
    <w:rsid w:val="0608138F"/>
    <w:rsid w:val="060816FA"/>
    <w:rsid w:val="06090C01"/>
    <w:rsid w:val="06090E6E"/>
    <w:rsid w:val="06097875"/>
    <w:rsid w:val="060D2627"/>
    <w:rsid w:val="060E313C"/>
    <w:rsid w:val="060E6ACB"/>
    <w:rsid w:val="061225E7"/>
    <w:rsid w:val="06135BCE"/>
    <w:rsid w:val="061439B5"/>
    <w:rsid w:val="06177EE0"/>
    <w:rsid w:val="0619141B"/>
    <w:rsid w:val="061B784D"/>
    <w:rsid w:val="061C6C31"/>
    <w:rsid w:val="061E6AAA"/>
    <w:rsid w:val="061F3C37"/>
    <w:rsid w:val="062116C9"/>
    <w:rsid w:val="06221681"/>
    <w:rsid w:val="06224324"/>
    <w:rsid w:val="06242DE9"/>
    <w:rsid w:val="06253E14"/>
    <w:rsid w:val="062652CF"/>
    <w:rsid w:val="06265ABD"/>
    <w:rsid w:val="06265C73"/>
    <w:rsid w:val="06297255"/>
    <w:rsid w:val="062A4F87"/>
    <w:rsid w:val="062C0CFF"/>
    <w:rsid w:val="062E2782"/>
    <w:rsid w:val="062F07EF"/>
    <w:rsid w:val="063522A9"/>
    <w:rsid w:val="06355981"/>
    <w:rsid w:val="063577E2"/>
    <w:rsid w:val="06361B7E"/>
    <w:rsid w:val="06366E11"/>
    <w:rsid w:val="06373010"/>
    <w:rsid w:val="063858F6"/>
    <w:rsid w:val="063B401D"/>
    <w:rsid w:val="063C3527"/>
    <w:rsid w:val="063D4CBA"/>
    <w:rsid w:val="063E0174"/>
    <w:rsid w:val="063F0D37"/>
    <w:rsid w:val="063F6C84"/>
    <w:rsid w:val="064029FC"/>
    <w:rsid w:val="0641242C"/>
    <w:rsid w:val="06415816"/>
    <w:rsid w:val="06432CD4"/>
    <w:rsid w:val="06441289"/>
    <w:rsid w:val="06445916"/>
    <w:rsid w:val="06472842"/>
    <w:rsid w:val="06486C30"/>
    <w:rsid w:val="064A12E8"/>
    <w:rsid w:val="064A14F4"/>
    <w:rsid w:val="064B4CFE"/>
    <w:rsid w:val="064B7F72"/>
    <w:rsid w:val="064E336B"/>
    <w:rsid w:val="064F40D5"/>
    <w:rsid w:val="06513503"/>
    <w:rsid w:val="06514C09"/>
    <w:rsid w:val="065344DE"/>
    <w:rsid w:val="06547BC2"/>
    <w:rsid w:val="0655171D"/>
    <w:rsid w:val="06552C16"/>
    <w:rsid w:val="065613AF"/>
    <w:rsid w:val="0656700C"/>
    <w:rsid w:val="06590181"/>
    <w:rsid w:val="06595012"/>
    <w:rsid w:val="065A3ABE"/>
    <w:rsid w:val="065C4EC6"/>
    <w:rsid w:val="065C5002"/>
    <w:rsid w:val="065C6176"/>
    <w:rsid w:val="065D08AA"/>
    <w:rsid w:val="065D1D27"/>
    <w:rsid w:val="065D35AE"/>
    <w:rsid w:val="065D4412"/>
    <w:rsid w:val="065D5943"/>
    <w:rsid w:val="065F10D4"/>
    <w:rsid w:val="065F2239"/>
    <w:rsid w:val="065F46BF"/>
    <w:rsid w:val="065F787C"/>
    <w:rsid w:val="06606C84"/>
    <w:rsid w:val="0661309E"/>
    <w:rsid w:val="06616243"/>
    <w:rsid w:val="06644329"/>
    <w:rsid w:val="066466EB"/>
    <w:rsid w:val="06677F89"/>
    <w:rsid w:val="0668016C"/>
    <w:rsid w:val="06687E1B"/>
    <w:rsid w:val="06693D01"/>
    <w:rsid w:val="066A7A79"/>
    <w:rsid w:val="066B05A6"/>
    <w:rsid w:val="066C1A43"/>
    <w:rsid w:val="066D691C"/>
    <w:rsid w:val="066E34EC"/>
    <w:rsid w:val="066F5090"/>
    <w:rsid w:val="06700636"/>
    <w:rsid w:val="067032E2"/>
    <w:rsid w:val="06712BB6"/>
    <w:rsid w:val="06744454"/>
    <w:rsid w:val="06746933"/>
    <w:rsid w:val="067761B3"/>
    <w:rsid w:val="06782D5D"/>
    <w:rsid w:val="06783BAF"/>
    <w:rsid w:val="067927FB"/>
    <w:rsid w:val="067B176A"/>
    <w:rsid w:val="067B1C86"/>
    <w:rsid w:val="067C324D"/>
    <w:rsid w:val="067D501D"/>
    <w:rsid w:val="067D7EF3"/>
    <w:rsid w:val="0680729D"/>
    <w:rsid w:val="068113EE"/>
    <w:rsid w:val="06824166"/>
    <w:rsid w:val="06846D01"/>
    <w:rsid w:val="06852BBB"/>
    <w:rsid w:val="06862B05"/>
    <w:rsid w:val="0687062B"/>
    <w:rsid w:val="06873CA3"/>
    <w:rsid w:val="06875245"/>
    <w:rsid w:val="06897EFF"/>
    <w:rsid w:val="068A1C09"/>
    <w:rsid w:val="068C2786"/>
    <w:rsid w:val="069114AA"/>
    <w:rsid w:val="06911A0A"/>
    <w:rsid w:val="0699220F"/>
    <w:rsid w:val="069A328D"/>
    <w:rsid w:val="069B7C33"/>
    <w:rsid w:val="06A03CF3"/>
    <w:rsid w:val="06A176D3"/>
    <w:rsid w:val="06A26ADE"/>
    <w:rsid w:val="06A30B9A"/>
    <w:rsid w:val="06A3450E"/>
    <w:rsid w:val="06A66996"/>
    <w:rsid w:val="06A845BA"/>
    <w:rsid w:val="06A9102C"/>
    <w:rsid w:val="06A938AC"/>
    <w:rsid w:val="06AB256C"/>
    <w:rsid w:val="06AC5AB4"/>
    <w:rsid w:val="06AE0CED"/>
    <w:rsid w:val="06AE6F3C"/>
    <w:rsid w:val="06AE6F96"/>
    <w:rsid w:val="06AF48C8"/>
    <w:rsid w:val="06B02B5B"/>
    <w:rsid w:val="06B50CF4"/>
    <w:rsid w:val="06B62CBE"/>
    <w:rsid w:val="06BA5035"/>
    <w:rsid w:val="06BB2083"/>
    <w:rsid w:val="06BB4388"/>
    <w:rsid w:val="06BC74A8"/>
    <w:rsid w:val="06C25034"/>
    <w:rsid w:val="06C5626B"/>
    <w:rsid w:val="06C57E7F"/>
    <w:rsid w:val="06C64923"/>
    <w:rsid w:val="06C673A5"/>
    <w:rsid w:val="06C70A28"/>
    <w:rsid w:val="06C76C7A"/>
    <w:rsid w:val="06C947A0"/>
    <w:rsid w:val="06CA277E"/>
    <w:rsid w:val="06CC39A9"/>
    <w:rsid w:val="06CE7052"/>
    <w:rsid w:val="06CE70B8"/>
    <w:rsid w:val="06CF0127"/>
    <w:rsid w:val="06D118A6"/>
    <w:rsid w:val="06D22892"/>
    <w:rsid w:val="06D25A57"/>
    <w:rsid w:val="06D33870"/>
    <w:rsid w:val="06D51397"/>
    <w:rsid w:val="06D66EBD"/>
    <w:rsid w:val="06D83007"/>
    <w:rsid w:val="06D85DD9"/>
    <w:rsid w:val="06D86136"/>
    <w:rsid w:val="06D93828"/>
    <w:rsid w:val="06DA0B31"/>
    <w:rsid w:val="06DD3C31"/>
    <w:rsid w:val="06E15F8D"/>
    <w:rsid w:val="06E17D3B"/>
    <w:rsid w:val="06E65352"/>
    <w:rsid w:val="06E92249"/>
    <w:rsid w:val="06EA1B0A"/>
    <w:rsid w:val="06EA4131"/>
    <w:rsid w:val="06EA450E"/>
    <w:rsid w:val="06EB076D"/>
    <w:rsid w:val="06EB2968"/>
    <w:rsid w:val="06EC048E"/>
    <w:rsid w:val="06EE06AA"/>
    <w:rsid w:val="06EE2458"/>
    <w:rsid w:val="06EE6695"/>
    <w:rsid w:val="06F0153D"/>
    <w:rsid w:val="06F04422"/>
    <w:rsid w:val="06F3506B"/>
    <w:rsid w:val="06F6179A"/>
    <w:rsid w:val="06F63309"/>
    <w:rsid w:val="06F7130D"/>
    <w:rsid w:val="06F76D7E"/>
    <w:rsid w:val="06FA704F"/>
    <w:rsid w:val="07000B16"/>
    <w:rsid w:val="07033F39"/>
    <w:rsid w:val="07035F04"/>
    <w:rsid w:val="070401C9"/>
    <w:rsid w:val="07046BC9"/>
    <w:rsid w:val="07057767"/>
    <w:rsid w:val="0708176C"/>
    <w:rsid w:val="07091A4F"/>
    <w:rsid w:val="070966AA"/>
    <w:rsid w:val="07097C83"/>
    <w:rsid w:val="070C30F3"/>
    <w:rsid w:val="070D7FE9"/>
    <w:rsid w:val="070E313E"/>
    <w:rsid w:val="070F64E0"/>
    <w:rsid w:val="07106873"/>
    <w:rsid w:val="07120E73"/>
    <w:rsid w:val="07132F6D"/>
    <w:rsid w:val="071418B8"/>
    <w:rsid w:val="071543B8"/>
    <w:rsid w:val="07155C37"/>
    <w:rsid w:val="071874D5"/>
    <w:rsid w:val="071954EF"/>
    <w:rsid w:val="071A4FFB"/>
    <w:rsid w:val="071B22B6"/>
    <w:rsid w:val="071C5C45"/>
    <w:rsid w:val="071D5244"/>
    <w:rsid w:val="071E1F77"/>
    <w:rsid w:val="071E2E8C"/>
    <w:rsid w:val="07247C28"/>
    <w:rsid w:val="072530ED"/>
    <w:rsid w:val="07267E44"/>
    <w:rsid w:val="072702BE"/>
    <w:rsid w:val="072930CA"/>
    <w:rsid w:val="072C21C1"/>
    <w:rsid w:val="072C4B12"/>
    <w:rsid w:val="072C6909"/>
    <w:rsid w:val="072D11D3"/>
    <w:rsid w:val="072D136C"/>
    <w:rsid w:val="0733430F"/>
    <w:rsid w:val="07350087"/>
    <w:rsid w:val="07372784"/>
    <w:rsid w:val="073B10E6"/>
    <w:rsid w:val="073C18F2"/>
    <w:rsid w:val="073C4F5C"/>
    <w:rsid w:val="073C7E19"/>
    <w:rsid w:val="0741050E"/>
    <w:rsid w:val="07413D40"/>
    <w:rsid w:val="074526C1"/>
    <w:rsid w:val="07474BDA"/>
    <w:rsid w:val="07481B68"/>
    <w:rsid w:val="07493ED9"/>
    <w:rsid w:val="074A3B33"/>
    <w:rsid w:val="074A6AAC"/>
    <w:rsid w:val="074B16CA"/>
    <w:rsid w:val="074C5FC0"/>
    <w:rsid w:val="074D3623"/>
    <w:rsid w:val="074E6EE9"/>
    <w:rsid w:val="074E7893"/>
    <w:rsid w:val="074F739B"/>
    <w:rsid w:val="07503F44"/>
    <w:rsid w:val="07504C61"/>
    <w:rsid w:val="07506C6F"/>
    <w:rsid w:val="07530298"/>
    <w:rsid w:val="075731CD"/>
    <w:rsid w:val="0758386F"/>
    <w:rsid w:val="075852F4"/>
    <w:rsid w:val="075A6D19"/>
    <w:rsid w:val="075C5614"/>
    <w:rsid w:val="075F1F89"/>
    <w:rsid w:val="07612C2A"/>
    <w:rsid w:val="07637229"/>
    <w:rsid w:val="076573F4"/>
    <w:rsid w:val="076C586C"/>
    <w:rsid w:val="076D7821"/>
    <w:rsid w:val="076F3599"/>
    <w:rsid w:val="076F41ED"/>
    <w:rsid w:val="07702E6D"/>
    <w:rsid w:val="07706E6E"/>
    <w:rsid w:val="07712A3D"/>
    <w:rsid w:val="07746198"/>
    <w:rsid w:val="07752CF0"/>
    <w:rsid w:val="07764F07"/>
    <w:rsid w:val="07772174"/>
    <w:rsid w:val="0777317C"/>
    <w:rsid w:val="077A0A8D"/>
    <w:rsid w:val="077A3FE6"/>
    <w:rsid w:val="077C1812"/>
    <w:rsid w:val="077E1A2E"/>
    <w:rsid w:val="077E5935"/>
    <w:rsid w:val="077F5F2C"/>
    <w:rsid w:val="078048B9"/>
    <w:rsid w:val="07807554"/>
    <w:rsid w:val="07822663"/>
    <w:rsid w:val="07823025"/>
    <w:rsid w:val="07857CEB"/>
    <w:rsid w:val="0788465B"/>
    <w:rsid w:val="078A1921"/>
    <w:rsid w:val="078B00AF"/>
    <w:rsid w:val="078B19E3"/>
    <w:rsid w:val="078B1FB9"/>
    <w:rsid w:val="078B414B"/>
    <w:rsid w:val="078B7A40"/>
    <w:rsid w:val="078E2BB3"/>
    <w:rsid w:val="078E642C"/>
    <w:rsid w:val="07901F7A"/>
    <w:rsid w:val="07910536"/>
    <w:rsid w:val="07911761"/>
    <w:rsid w:val="07931DA3"/>
    <w:rsid w:val="07960FA0"/>
    <w:rsid w:val="07974D51"/>
    <w:rsid w:val="079B06BC"/>
    <w:rsid w:val="079C3C62"/>
    <w:rsid w:val="079C71D9"/>
    <w:rsid w:val="079D726B"/>
    <w:rsid w:val="079F6195"/>
    <w:rsid w:val="07A02195"/>
    <w:rsid w:val="07A061AB"/>
    <w:rsid w:val="07A11004"/>
    <w:rsid w:val="07A115CB"/>
    <w:rsid w:val="07A174CB"/>
    <w:rsid w:val="07A33E01"/>
    <w:rsid w:val="07AA728C"/>
    <w:rsid w:val="07AD6554"/>
    <w:rsid w:val="07AE0904"/>
    <w:rsid w:val="07B00E42"/>
    <w:rsid w:val="07B05960"/>
    <w:rsid w:val="07B1439D"/>
    <w:rsid w:val="07B17B90"/>
    <w:rsid w:val="07B22115"/>
    <w:rsid w:val="07B2792A"/>
    <w:rsid w:val="07B436A2"/>
    <w:rsid w:val="07B45450"/>
    <w:rsid w:val="07B471FE"/>
    <w:rsid w:val="07B62F76"/>
    <w:rsid w:val="07B64A08"/>
    <w:rsid w:val="07BF6B8F"/>
    <w:rsid w:val="07C02047"/>
    <w:rsid w:val="07C03DF5"/>
    <w:rsid w:val="07C309C8"/>
    <w:rsid w:val="07C72207"/>
    <w:rsid w:val="07C76200"/>
    <w:rsid w:val="07C80EFB"/>
    <w:rsid w:val="07C85456"/>
    <w:rsid w:val="07CA3EC9"/>
    <w:rsid w:val="07CA4AF5"/>
    <w:rsid w:val="07CD4D00"/>
    <w:rsid w:val="07CE2556"/>
    <w:rsid w:val="07CE3C29"/>
    <w:rsid w:val="07CE75F1"/>
    <w:rsid w:val="07D50775"/>
    <w:rsid w:val="07D56EA5"/>
    <w:rsid w:val="07D653C6"/>
    <w:rsid w:val="07D85021"/>
    <w:rsid w:val="07DF2BD2"/>
    <w:rsid w:val="07E10088"/>
    <w:rsid w:val="07E1193E"/>
    <w:rsid w:val="07E136A6"/>
    <w:rsid w:val="07E15B19"/>
    <w:rsid w:val="07E51281"/>
    <w:rsid w:val="07E52E90"/>
    <w:rsid w:val="07E5385B"/>
    <w:rsid w:val="07E6312F"/>
    <w:rsid w:val="07E7538A"/>
    <w:rsid w:val="07E850FA"/>
    <w:rsid w:val="07E85FE1"/>
    <w:rsid w:val="07E86C40"/>
    <w:rsid w:val="07ED44BE"/>
    <w:rsid w:val="07ED7F1F"/>
    <w:rsid w:val="07EF46DA"/>
    <w:rsid w:val="07F1357E"/>
    <w:rsid w:val="07F25F78"/>
    <w:rsid w:val="07F43A9E"/>
    <w:rsid w:val="07F60B29"/>
    <w:rsid w:val="07F712CB"/>
    <w:rsid w:val="07F7533D"/>
    <w:rsid w:val="07F9151C"/>
    <w:rsid w:val="07FB307F"/>
    <w:rsid w:val="07FB6BDB"/>
    <w:rsid w:val="08000695"/>
    <w:rsid w:val="0800313E"/>
    <w:rsid w:val="08016490"/>
    <w:rsid w:val="080223B8"/>
    <w:rsid w:val="08030360"/>
    <w:rsid w:val="0806390A"/>
    <w:rsid w:val="0808579C"/>
    <w:rsid w:val="081447CD"/>
    <w:rsid w:val="08145EEF"/>
    <w:rsid w:val="081573C4"/>
    <w:rsid w:val="08171804"/>
    <w:rsid w:val="081A2F98"/>
    <w:rsid w:val="081C4913"/>
    <w:rsid w:val="081D704B"/>
    <w:rsid w:val="081D7FA8"/>
    <w:rsid w:val="081F094E"/>
    <w:rsid w:val="08204893"/>
    <w:rsid w:val="082223BA"/>
    <w:rsid w:val="08236CAC"/>
    <w:rsid w:val="0824564F"/>
    <w:rsid w:val="08250DAB"/>
    <w:rsid w:val="08283748"/>
    <w:rsid w:val="08284165"/>
    <w:rsid w:val="08292BE9"/>
    <w:rsid w:val="08297BEC"/>
    <w:rsid w:val="082B09E9"/>
    <w:rsid w:val="082B7429"/>
    <w:rsid w:val="082D0FA0"/>
    <w:rsid w:val="082E5202"/>
    <w:rsid w:val="082F62F4"/>
    <w:rsid w:val="0831084F"/>
    <w:rsid w:val="0833664F"/>
    <w:rsid w:val="0837398B"/>
    <w:rsid w:val="083A2BED"/>
    <w:rsid w:val="083A3E7D"/>
    <w:rsid w:val="083B16CD"/>
    <w:rsid w:val="083F4F56"/>
    <w:rsid w:val="08404F36"/>
    <w:rsid w:val="084163BB"/>
    <w:rsid w:val="08421BC8"/>
    <w:rsid w:val="08422A5C"/>
    <w:rsid w:val="08425411"/>
    <w:rsid w:val="0842655F"/>
    <w:rsid w:val="0844028A"/>
    <w:rsid w:val="08470072"/>
    <w:rsid w:val="08486EDF"/>
    <w:rsid w:val="084B6C7C"/>
    <w:rsid w:val="084B746C"/>
    <w:rsid w:val="084C5688"/>
    <w:rsid w:val="084D1933"/>
    <w:rsid w:val="084D632F"/>
    <w:rsid w:val="084E1401"/>
    <w:rsid w:val="084E626A"/>
    <w:rsid w:val="0851611F"/>
    <w:rsid w:val="085265C0"/>
    <w:rsid w:val="0854681A"/>
    <w:rsid w:val="08566507"/>
    <w:rsid w:val="08570EF4"/>
    <w:rsid w:val="085714BC"/>
    <w:rsid w:val="08581AE2"/>
    <w:rsid w:val="08594CC6"/>
    <w:rsid w:val="085B44D1"/>
    <w:rsid w:val="085D514A"/>
    <w:rsid w:val="085D5AE7"/>
    <w:rsid w:val="085D7896"/>
    <w:rsid w:val="08605BE9"/>
    <w:rsid w:val="086230FE"/>
    <w:rsid w:val="08647224"/>
    <w:rsid w:val="08655071"/>
    <w:rsid w:val="08683767"/>
    <w:rsid w:val="086A3084"/>
    <w:rsid w:val="086B597F"/>
    <w:rsid w:val="086D781E"/>
    <w:rsid w:val="086E3F84"/>
    <w:rsid w:val="086E55F4"/>
    <w:rsid w:val="086F1B39"/>
    <w:rsid w:val="087370B9"/>
    <w:rsid w:val="08745B64"/>
    <w:rsid w:val="0874698D"/>
    <w:rsid w:val="0878022B"/>
    <w:rsid w:val="08783C2B"/>
    <w:rsid w:val="087A4356"/>
    <w:rsid w:val="087A4A9E"/>
    <w:rsid w:val="087B2722"/>
    <w:rsid w:val="087B468F"/>
    <w:rsid w:val="087C63BC"/>
    <w:rsid w:val="087E4839"/>
    <w:rsid w:val="08800C7C"/>
    <w:rsid w:val="08812D93"/>
    <w:rsid w:val="08817E93"/>
    <w:rsid w:val="08823FCB"/>
    <w:rsid w:val="088272FC"/>
    <w:rsid w:val="08832493"/>
    <w:rsid w:val="08854027"/>
    <w:rsid w:val="08867257"/>
    <w:rsid w:val="08871D2A"/>
    <w:rsid w:val="0887776E"/>
    <w:rsid w:val="088923D7"/>
    <w:rsid w:val="08892439"/>
    <w:rsid w:val="088C017B"/>
    <w:rsid w:val="088D794E"/>
    <w:rsid w:val="088E1D7C"/>
    <w:rsid w:val="089112ED"/>
    <w:rsid w:val="089328EA"/>
    <w:rsid w:val="089332B7"/>
    <w:rsid w:val="08941AA5"/>
    <w:rsid w:val="08951DAD"/>
    <w:rsid w:val="08955281"/>
    <w:rsid w:val="08955C95"/>
    <w:rsid w:val="089716ED"/>
    <w:rsid w:val="08986A51"/>
    <w:rsid w:val="089900B5"/>
    <w:rsid w:val="089963F4"/>
    <w:rsid w:val="089B0F50"/>
    <w:rsid w:val="089B79DB"/>
    <w:rsid w:val="089E681A"/>
    <w:rsid w:val="089F3848"/>
    <w:rsid w:val="08A26EED"/>
    <w:rsid w:val="08A31EFC"/>
    <w:rsid w:val="08A47272"/>
    <w:rsid w:val="08A50945"/>
    <w:rsid w:val="08A640D8"/>
    <w:rsid w:val="08A64151"/>
    <w:rsid w:val="08A70B11"/>
    <w:rsid w:val="08AB3BAE"/>
    <w:rsid w:val="08AB6853"/>
    <w:rsid w:val="08AC16C5"/>
    <w:rsid w:val="08AC25CB"/>
    <w:rsid w:val="08AC57F9"/>
    <w:rsid w:val="08AE6343"/>
    <w:rsid w:val="08AE68AF"/>
    <w:rsid w:val="08AF24D7"/>
    <w:rsid w:val="08B266C5"/>
    <w:rsid w:val="08B3366A"/>
    <w:rsid w:val="08B47C32"/>
    <w:rsid w:val="08B51480"/>
    <w:rsid w:val="08B5506F"/>
    <w:rsid w:val="08B63EA5"/>
    <w:rsid w:val="08B87D63"/>
    <w:rsid w:val="08B915CA"/>
    <w:rsid w:val="08B975FF"/>
    <w:rsid w:val="08BA6A96"/>
    <w:rsid w:val="08BC12A9"/>
    <w:rsid w:val="08BC21AF"/>
    <w:rsid w:val="08BE1AE3"/>
    <w:rsid w:val="08BF22FE"/>
    <w:rsid w:val="08BF2F27"/>
    <w:rsid w:val="08C1341F"/>
    <w:rsid w:val="08C23B9D"/>
    <w:rsid w:val="08C305F9"/>
    <w:rsid w:val="08C50C45"/>
    <w:rsid w:val="08C538B7"/>
    <w:rsid w:val="08C61F81"/>
    <w:rsid w:val="08C6368D"/>
    <w:rsid w:val="08C71150"/>
    <w:rsid w:val="08C77F45"/>
    <w:rsid w:val="08CB21EB"/>
    <w:rsid w:val="08CC4A1B"/>
    <w:rsid w:val="08CE7D92"/>
    <w:rsid w:val="08D0349B"/>
    <w:rsid w:val="08D31906"/>
    <w:rsid w:val="08D328FF"/>
    <w:rsid w:val="08D3343D"/>
    <w:rsid w:val="08D4742C"/>
    <w:rsid w:val="08D86D42"/>
    <w:rsid w:val="08DA2C94"/>
    <w:rsid w:val="08DA7138"/>
    <w:rsid w:val="08DB07BA"/>
    <w:rsid w:val="08DC2427"/>
    <w:rsid w:val="08DC62DA"/>
    <w:rsid w:val="08DF1698"/>
    <w:rsid w:val="08E04023"/>
    <w:rsid w:val="08E104C7"/>
    <w:rsid w:val="08E12275"/>
    <w:rsid w:val="08E25FED"/>
    <w:rsid w:val="08E41D65"/>
    <w:rsid w:val="08E61514"/>
    <w:rsid w:val="08E720CC"/>
    <w:rsid w:val="08E92ED7"/>
    <w:rsid w:val="08E93C56"/>
    <w:rsid w:val="08E9531B"/>
    <w:rsid w:val="08EB3229"/>
    <w:rsid w:val="08EB4EA1"/>
    <w:rsid w:val="08EB557E"/>
    <w:rsid w:val="08EB6A17"/>
    <w:rsid w:val="08EC53DD"/>
    <w:rsid w:val="08EF501B"/>
    <w:rsid w:val="08EF5B5B"/>
    <w:rsid w:val="08F11838"/>
    <w:rsid w:val="08F35831"/>
    <w:rsid w:val="08F43C68"/>
    <w:rsid w:val="08F50C8D"/>
    <w:rsid w:val="08F5166D"/>
    <w:rsid w:val="08F54642"/>
    <w:rsid w:val="08F63846"/>
    <w:rsid w:val="08FA6E92"/>
    <w:rsid w:val="08FC70AE"/>
    <w:rsid w:val="08FE3527"/>
    <w:rsid w:val="08FE5BB6"/>
    <w:rsid w:val="090029E8"/>
    <w:rsid w:val="09006911"/>
    <w:rsid w:val="09012917"/>
    <w:rsid w:val="09014112"/>
    <w:rsid w:val="090146C5"/>
    <w:rsid w:val="09035A98"/>
    <w:rsid w:val="09063A89"/>
    <w:rsid w:val="090650D7"/>
    <w:rsid w:val="09067F2D"/>
    <w:rsid w:val="09093579"/>
    <w:rsid w:val="090A578A"/>
    <w:rsid w:val="090E72E7"/>
    <w:rsid w:val="09107C0A"/>
    <w:rsid w:val="0911242E"/>
    <w:rsid w:val="09114FA0"/>
    <w:rsid w:val="091370F5"/>
    <w:rsid w:val="09162E6C"/>
    <w:rsid w:val="091757C8"/>
    <w:rsid w:val="09175C96"/>
    <w:rsid w:val="091A6930"/>
    <w:rsid w:val="091C14FF"/>
    <w:rsid w:val="091D420B"/>
    <w:rsid w:val="09214893"/>
    <w:rsid w:val="09227807"/>
    <w:rsid w:val="09246605"/>
    <w:rsid w:val="09246792"/>
    <w:rsid w:val="09271C52"/>
    <w:rsid w:val="09282E4A"/>
    <w:rsid w:val="092B1742"/>
    <w:rsid w:val="092D370C"/>
    <w:rsid w:val="092D54BA"/>
    <w:rsid w:val="092D5890"/>
    <w:rsid w:val="092D62F0"/>
    <w:rsid w:val="092E4D8E"/>
    <w:rsid w:val="092F6E09"/>
    <w:rsid w:val="09301E18"/>
    <w:rsid w:val="09303554"/>
    <w:rsid w:val="09313816"/>
    <w:rsid w:val="093343E7"/>
    <w:rsid w:val="093455B9"/>
    <w:rsid w:val="0935611C"/>
    <w:rsid w:val="093564A1"/>
    <w:rsid w:val="093700E7"/>
    <w:rsid w:val="09373735"/>
    <w:rsid w:val="09375C5F"/>
    <w:rsid w:val="0938662F"/>
    <w:rsid w:val="093920B1"/>
    <w:rsid w:val="093A7267"/>
    <w:rsid w:val="093E0C75"/>
    <w:rsid w:val="09475E50"/>
    <w:rsid w:val="094817DD"/>
    <w:rsid w:val="094822F4"/>
    <w:rsid w:val="094942A9"/>
    <w:rsid w:val="094A13A7"/>
    <w:rsid w:val="094A52F6"/>
    <w:rsid w:val="094E3039"/>
    <w:rsid w:val="09504FF4"/>
    <w:rsid w:val="095347F5"/>
    <w:rsid w:val="0955714E"/>
    <w:rsid w:val="09572537"/>
    <w:rsid w:val="095732CD"/>
    <w:rsid w:val="09593312"/>
    <w:rsid w:val="095A265D"/>
    <w:rsid w:val="095A6D85"/>
    <w:rsid w:val="095B0389"/>
    <w:rsid w:val="095E1336"/>
    <w:rsid w:val="095E1B17"/>
    <w:rsid w:val="095E38C5"/>
    <w:rsid w:val="09605393"/>
    <w:rsid w:val="09615163"/>
    <w:rsid w:val="096437AA"/>
    <w:rsid w:val="096441F2"/>
    <w:rsid w:val="0965025A"/>
    <w:rsid w:val="0965366A"/>
    <w:rsid w:val="09667C1C"/>
    <w:rsid w:val="09677133"/>
    <w:rsid w:val="096802A0"/>
    <w:rsid w:val="09680BF5"/>
    <w:rsid w:val="09694018"/>
    <w:rsid w:val="096A1E50"/>
    <w:rsid w:val="096B3B03"/>
    <w:rsid w:val="096B60C6"/>
    <w:rsid w:val="096C213A"/>
    <w:rsid w:val="096E1AF0"/>
    <w:rsid w:val="096F24B4"/>
    <w:rsid w:val="09703ADE"/>
    <w:rsid w:val="09704607"/>
    <w:rsid w:val="097114FB"/>
    <w:rsid w:val="097162A3"/>
    <w:rsid w:val="0971769C"/>
    <w:rsid w:val="09722A2B"/>
    <w:rsid w:val="09722ECD"/>
    <w:rsid w:val="09740E87"/>
    <w:rsid w:val="09747D0E"/>
    <w:rsid w:val="0976316B"/>
    <w:rsid w:val="09773D0A"/>
    <w:rsid w:val="09773E24"/>
    <w:rsid w:val="09780AE4"/>
    <w:rsid w:val="0978425B"/>
    <w:rsid w:val="09795784"/>
    <w:rsid w:val="097E71E5"/>
    <w:rsid w:val="09811362"/>
    <w:rsid w:val="098267F6"/>
    <w:rsid w:val="09827358"/>
    <w:rsid w:val="0983332C"/>
    <w:rsid w:val="09842C00"/>
    <w:rsid w:val="09871336"/>
    <w:rsid w:val="09876BF7"/>
    <w:rsid w:val="0988038C"/>
    <w:rsid w:val="098933B6"/>
    <w:rsid w:val="098C2D10"/>
    <w:rsid w:val="098C5306"/>
    <w:rsid w:val="098F0414"/>
    <w:rsid w:val="09903C9B"/>
    <w:rsid w:val="09927D1B"/>
    <w:rsid w:val="099512B1"/>
    <w:rsid w:val="099754B7"/>
    <w:rsid w:val="09992B4F"/>
    <w:rsid w:val="099A0675"/>
    <w:rsid w:val="099B14BB"/>
    <w:rsid w:val="099B2942"/>
    <w:rsid w:val="099C43EE"/>
    <w:rsid w:val="099D23CD"/>
    <w:rsid w:val="099D7D2C"/>
    <w:rsid w:val="09A237B6"/>
    <w:rsid w:val="09A26553"/>
    <w:rsid w:val="09A514F4"/>
    <w:rsid w:val="09A54DF0"/>
    <w:rsid w:val="09A6701A"/>
    <w:rsid w:val="09A671A9"/>
    <w:rsid w:val="09A80165"/>
    <w:rsid w:val="09AB49A9"/>
    <w:rsid w:val="09AC2863"/>
    <w:rsid w:val="09AC2C7C"/>
    <w:rsid w:val="09AC5238"/>
    <w:rsid w:val="09AD4A12"/>
    <w:rsid w:val="09B05E5F"/>
    <w:rsid w:val="09B07E99"/>
    <w:rsid w:val="09B23C11"/>
    <w:rsid w:val="09B5471F"/>
    <w:rsid w:val="09B702C0"/>
    <w:rsid w:val="09B74D83"/>
    <w:rsid w:val="09B83ED8"/>
    <w:rsid w:val="09B904A8"/>
    <w:rsid w:val="09B96E8C"/>
    <w:rsid w:val="09BA1363"/>
    <w:rsid w:val="09BA5B2A"/>
    <w:rsid w:val="09BB733E"/>
    <w:rsid w:val="09BC692F"/>
    <w:rsid w:val="09BC7977"/>
    <w:rsid w:val="09BE4364"/>
    <w:rsid w:val="09C000DC"/>
    <w:rsid w:val="09C0632E"/>
    <w:rsid w:val="09C12F73"/>
    <w:rsid w:val="09C1649F"/>
    <w:rsid w:val="09C2391F"/>
    <w:rsid w:val="09C31CFE"/>
    <w:rsid w:val="09C56173"/>
    <w:rsid w:val="09C70FE2"/>
    <w:rsid w:val="09CD0A4B"/>
    <w:rsid w:val="09CD44CE"/>
    <w:rsid w:val="09CF47C3"/>
    <w:rsid w:val="09CF754B"/>
    <w:rsid w:val="09D2328D"/>
    <w:rsid w:val="09D4008F"/>
    <w:rsid w:val="09D516AE"/>
    <w:rsid w:val="09D63345"/>
    <w:rsid w:val="09D75426"/>
    <w:rsid w:val="09D8102E"/>
    <w:rsid w:val="09D947CF"/>
    <w:rsid w:val="09DB182A"/>
    <w:rsid w:val="09DB4F16"/>
    <w:rsid w:val="09DB7278"/>
    <w:rsid w:val="09DC2A3C"/>
    <w:rsid w:val="09DD3FC3"/>
    <w:rsid w:val="09DE70BA"/>
    <w:rsid w:val="09DE76CE"/>
    <w:rsid w:val="09E013D8"/>
    <w:rsid w:val="09E216CF"/>
    <w:rsid w:val="09E4703B"/>
    <w:rsid w:val="09E518F1"/>
    <w:rsid w:val="09E60981"/>
    <w:rsid w:val="09E71B0D"/>
    <w:rsid w:val="09E813E1"/>
    <w:rsid w:val="09E836C4"/>
    <w:rsid w:val="09EA6F07"/>
    <w:rsid w:val="09EB516F"/>
    <w:rsid w:val="09EF1549"/>
    <w:rsid w:val="09EF276F"/>
    <w:rsid w:val="09F14739"/>
    <w:rsid w:val="09F2400E"/>
    <w:rsid w:val="09F47D86"/>
    <w:rsid w:val="09F55070"/>
    <w:rsid w:val="09F558AC"/>
    <w:rsid w:val="09F636B3"/>
    <w:rsid w:val="09FA0553"/>
    <w:rsid w:val="09FB709E"/>
    <w:rsid w:val="09FB7366"/>
    <w:rsid w:val="09FC40F0"/>
    <w:rsid w:val="09FC67F4"/>
    <w:rsid w:val="09FD7A5F"/>
    <w:rsid w:val="09FE0C04"/>
    <w:rsid w:val="09FE783E"/>
    <w:rsid w:val="0A0107ED"/>
    <w:rsid w:val="0A026946"/>
    <w:rsid w:val="0A03446D"/>
    <w:rsid w:val="0A035FA0"/>
    <w:rsid w:val="0A037FC9"/>
    <w:rsid w:val="0A0505FE"/>
    <w:rsid w:val="0A0510B6"/>
    <w:rsid w:val="0A060033"/>
    <w:rsid w:val="0A0605FC"/>
    <w:rsid w:val="0A073827"/>
    <w:rsid w:val="0A073D6E"/>
    <w:rsid w:val="0A084735"/>
    <w:rsid w:val="0A0A0275"/>
    <w:rsid w:val="0A0B4BDA"/>
    <w:rsid w:val="0A0B50CF"/>
    <w:rsid w:val="0A0C17EE"/>
    <w:rsid w:val="0A0E3763"/>
    <w:rsid w:val="0A0F3905"/>
    <w:rsid w:val="0A1026E6"/>
    <w:rsid w:val="0A137410"/>
    <w:rsid w:val="0A1506D3"/>
    <w:rsid w:val="0A195A3E"/>
    <w:rsid w:val="0A1A137B"/>
    <w:rsid w:val="0A1A3D63"/>
    <w:rsid w:val="0A1F7DCE"/>
    <w:rsid w:val="0A217411"/>
    <w:rsid w:val="0A232419"/>
    <w:rsid w:val="0A2368BD"/>
    <w:rsid w:val="0A253FFD"/>
    <w:rsid w:val="0A2543E3"/>
    <w:rsid w:val="0A286F7A"/>
    <w:rsid w:val="0A297390"/>
    <w:rsid w:val="0A2A5F89"/>
    <w:rsid w:val="0A2A62B8"/>
    <w:rsid w:val="0A2A768E"/>
    <w:rsid w:val="0A2B76E6"/>
    <w:rsid w:val="0A2C5771"/>
    <w:rsid w:val="0A2C74AD"/>
    <w:rsid w:val="0A2E0C9A"/>
    <w:rsid w:val="0A2E74B8"/>
    <w:rsid w:val="0A2F212A"/>
    <w:rsid w:val="0A2F386B"/>
    <w:rsid w:val="0A2F5262"/>
    <w:rsid w:val="0A322824"/>
    <w:rsid w:val="0A3356C5"/>
    <w:rsid w:val="0A355621"/>
    <w:rsid w:val="0A355F9C"/>
    <w:rsid w:val="0A357927"/>
    <w:rsid w:val="0A36039E"/>
    <w:rsid w:val="0A36214C"/>
    <w:rsid w:val="0A3665F0"/>
    <w:rsid w:val="0A3746B8"/>
    <w:rsid w:val="0A391660"/>
    <w:rsid w:val="0A39654D"/>
    <w:rsid w:val="0A3C5294"/>
    <w:rsid w:val="0A3D797F"/>
    <w:rsid w:val="0A406EBB"/>
    <w:rsid w:val="0A40746F"/>
    <w:rsid w:val="0A410AF1"/>
    <w:rsid w:val="0A420DCF"/>
    <w:rsid w:val="0A424F95"/>
    <w:rsid w:val="0A467399"/>
    <w:rsid w:val="0A4704BB"/>
    <w:rsid w:val="0A4707FD"/>
    <w:rsid w:val="0A4732E1"/>
    <w:rsid w:val="0A481D88"/>
    <w:rsid w:val="0A486F37"/>
    <w:rsid w:val="0A4A6522"/>
    <w:rsid w:val="0A4B77A5"/>
    <w:rsid w:val="0A4C1970"/>
    <w:rsid w:val="0A4C1DF8"/>
    <w:rsid w:val="0A4C5E14"/>
    <w:rsid w:val="0A4D0EAF"/>
    <w:rsid w:val="0A4D3CB6"/>
    <w:rsid w:val="0A4F1460"/>
    <w:rsid w:val="0A4F605B"/>
    <w:rsid w:val="0A4F76B2"/>
    <w:rsid w:val="0A504FE7"/>
    <w:rsid w:val="0A536594"/>
    <w:rsid w:val="0A5847B8"/>
    <w:rsid w:val="0A586566"/>
    <w:rsid w:val="0A595E3B"/>
    <w:rsid w:val="0A5B7E05"/>
    <w:rsid w:val="0A5C592B"/>
    <w:rsid w:val="0A5C7F02"/>
    <w:rsid w:val="0A5D08A7"/>
    <w:rsid w:val="0A5D1DCF"/>
    <w:rsid w:val="0A680B90"/>
    <w:rsid w:val="0A6B1C9E"/>
    <w:rsid w:val="0A6C67C4"/>
    <w:rsid w:val="0A6D009A"/>
    <w:rsid w:val="0A6E5D8A"/>
    <w:rsid w:val="0A6F44B8"/>
    <w:rsid w:val="0A6F565E"/>
    <w:rsid w:val="0A6F59D8"/>
    <w:rsid w:val="0A717628"/>
    <w:rsid w:val="0A726EFC"/>
    <w:rsid w:val="0A777490"/>
    <w:rsid w:val="0A7A7C71"/>
    <w:rsid w:val="0A7B32AF"/>
    <w:rsid w:val="0A7D4828"/>
    <w:rsid w:val="0A7E2759"/>
    <w:rsid w:val="0A800542"/>
    <w:rsid w:val="0A8455AD"/>
    <w:rsid w:val="0A852B6F"/>
    <w:rsid w:val="0A856C30"/>
    <w:rsid w:val="0A861318"/>
    <w:rsid w:val="0A870BFA"/>
    <w:rsid w:val="0A876E4C"/>
    <w:rsid w:val="0A876F46"/>
    <w:rsid w:val="0A886720"/>
    <w:rsid w:val="0A894972"/>
    <w:rsid w:val="0A8964F9"/>
    <w:rsid w:val="0A8A2498"/>
    <w:rsid w:val="0A8A487F"/>
    <w:rsid w:val="0A8A7A3F"/>
    <w:rsid w:val="0A8C4462"/>
    <w:rsid w:val="0A8C76C6"/>
    <w:rsid w:val="0A8F5D00"/>
    <w:rsid w:val="0A912696"/>
    <w:rsid w:val="0A943317"/>
    <w:rsid w:val="0A973040"/>
    <w:rsid w:val="0A9A1B2A"/>
    <w:rsid w:val="0A9A472B"/>
    <w:rsid w:val="0A9A6B7F"/>
    <w:rsid w:val="0A9E1125"/>
    <w:rsid w:val="0AA20691"/>
    <w:rsid w:val="0AA21DCC"/>
    <w:rsid w:val="0AA23C86"/>
    <w:rsid w:val="0AA51080"/>
    <w:rsid w:val="0AA572D2"/>
    <w:rsid w:val="0AA74DF8"/>
    <w:rsid w:val="0AA91055"/>
    <w:rsid w:val="0AAA1E9F"/>
    <w:rsid w:val="0AAA48E8"/>
    <w:rsid w:val="0AAC0816"/>
    <w:rsid w:val="0AAC35CD"/>
    <w:rsid w:val="0AAC68B2"/>
    <w:rsid w:val="0AB17507"/>
    <w:rsid w:val="0AB35643"/>
    <w:rsid w:val="0AB52B74"/>
    <w:rsid w:val="0AB81272"/>
    <w:rsid w:val="0AB84D4F"/>
    <w:rsid w:val="0AB87005"/>
    <w:rsid w:val="0AB946D6"/>
    <w:rsid w:val="0AB9662C"/>
    <w:rsid w:val="0ABA143F"/>
    <w:rsid w:val="0ABA6375"/>
    <w:rsid w:val="0ABC0FBD"/>
    <w:rsid w:val="0ABD3BF9"/>
    <w:rsid w:val="0ABD5450"/>
    <w:rsid w:val="0ABE4FA1"/>
    <w:rsid w:val="0AC01B2F"/>
    <w:rsid w:val="0AC0235E"/>
    <w:rsid w:val="0AC36B4B"/>
    <w:rsid w:val="0AC430C6"/>
    <w:rsid w:val="0AC736EC"/>
    <w:rsid w:val="0AC94BF5"/>
    <w:rsid w:val="0ACC25AD"/>
    <w:rsid w:val="0ACC2AB1"/>
    <w:rsid w:val="0ACC56B9"/>
    <w:rsid w:val="0AD02B1E"/>
    <w:rsid w:val="0AD60A8C"/>
    <w:rsid w:val="0AD6392F"/>
    <w:rsid w:val="0AD6763D"/>
    <w:rsid w:val="0AD72607"/>
    <w:rsid w:val="0AD91549"/>
    <w:rsid w:val="0ADA341F"/>
    <w:rsid w:val="0ADC2637"/>
    <w:rsid w:val="0ADD081A"/>
    <w:rsid w:val="0ADF27E4"/>
    <w:rsid w:val="0AE06CDF"/>
    <w:rsid w:val="0AE156E0"/>
    <w:rsid w:val="0AE40B42"/>
    <w:rsid w:val="0AE447D7"/>
    <w:rsid w:val="0AE47DFA"/>
    <w:rsid w:val="0AE54D53"/>
    <w:rsid w:val="0AE62ED3"/>
    <w:rsid w:val="0AE7186C"/>
    <w:rsid w:val="0AE727EE"/>
    <w:rsid w:val="0AE778EA"/>
    <w:rsid w:val="0AE93662"/>
    <w:rsid w:val="0AE9400E"/>
    <w:rsid w:val="0AEB7056"/>
    <w:rsid w:val="0AEC0A3A"/>
    <w:rsid w:val="0AEC3F8E"/>
    <w:rsid w:val="0AF10769"/>
    <w:rsid w:val="0AF12517"/>
    <w:rsid w:val="0AF142C5"/>
    <w:rsid w:val="0AF27792"/>
    <w:rsid w:val="0AF33DC6"/>
    <w:rsid w:val="0AF344E1"/>
    <w:rsid w:val="0AF50259"/>
    <w:rsid w:val="0AF64ACD"/>
    <w:rsid w:val="0AF65D7F"/>
    <w:rsid w:val="0AF674AA"/>
    <w:rsid w:val="0AF76584"/>
    <w:rsid w:val="0AF804A8"/>
    <w:rsid w:val="0AF97AFD"/>
    <w:rsid w:val="0AFA123A"/>
    <w:rsid w:val="0AFB1C14"/>
    <w:rsid w:val="0AFB24CA"/>
    <w:rsid w:val="0AFB3396"/>
    <w:rsid w:val="0AFD00AB"/>
    <w:rsid w:val="0AFF2E86"/>
    <w:rsid w:val="0B041A88"/>
    <w:rsid w:val="0B043FF8"/>
    <w:rsid w:val="0B057D70"/>
    <w:rsid w:val="0B071D3B"/>
    <w:rsid w:val="0B077F6C"/>
    <w:rsid w:val="0B082A4D"/>
    <w:rsid w:val="0B09160F"/>
    <w:rsid w:val="0B0A5387"/>
    <w:rsid w:val="0B0B182B"/>
    <w:rsid w:val="0B0B2B07"/>
    <w:rsid w:val="0B0B7F7B"/>
    <w:rsid w:val="0B0C7351"/>
    <w:rsid w:val="0B0E2A53"/>
    <w:rsid w:val="0B0E4788"/>
    <w:rsid w:val="0B1123B1"/>
    <w:rsid w:val="0B112BB9"/>
    <w:rsid w:val="0B116715"/>
    <w:rsid w:val="0B12482A"/>
    <w:rsid w:val="0B154457"/>
    <w:rsid w:val="0B156206"/>
    <w:rsid w:val="0B165733"/>
    <w:rsid w:val="0B1667CF"/>
    <w:rsid w:val="0B183F48"/>
    <w:rsid w:val="0B185CF6"/>
    <w:rsid w:val="0B1A25F4"/>
    <w:rsid w:val="0B1B64EB"/>
    <w:rsid w:val="0B1B7594"/>
    <w:rsid w:val="0B1F0E32"/>
    <w:rsid w:val="0B1F18C4"/>
    <w:rsid w:val="0B204A9D"/>
    <w:rsid w:val="0B204BAA"/>
    <w:rsid w:val="0B2226D0"/>
    <w:rsid w:val="0B2239FA"/>
    <w:rsid w:val="0B247F12"/>
    <w:rsid w:val="0B2508ED"/>
    <w:rsid w:val="0B275F39"/>
    <w:rsid w:val="0B297F03"/>
    <w:rsid w:val="0B2B1FCE"/>
    <w:rsid w:val="0B2B417C"/>
    <w:rsid w:val="0B2C441C"/>
    <w:rsid w:val="0B2C5E24"/>
    <w:rsid w:val="0B2D79F3"/>
    <w:rsid w:val="0B2E1C4C"/>
    <w:rsid w:val="0B2F6673"/>
    <w:rsid w:val="0B301735"/>
    <w:rsid w:val="0B322488"/>
    <w:rsid w:val="0B324867"/>
    <w:rsid w:val="0B353A4F"/>
    <w:rsid w:val="0B3643CE"/>
    <w:rsid w:val="0B386398"/>
    <w:rsid w:val="0B3C2631"/>
    <w:rsid w:val="0B3C686D"/>
    <w:rsid w:val="0B3C6DA8"/>
    <w:rsid w:val="0B3D3FDE"/>
    <w:rsid w:val="0B41349E"/>
    <w:rsid w:val="0B433AF2"/>
    <w:rsid w:val="0B435684"/>
    <w:rsid w:val="0B462863"/>
    <w:rsid w:val="0B464290"/>
    <w:rsid w:val="0B495EAF"/>
    <w:rsid w:val="0B4A13AC"/>
    <w:rsid w:val="0B4A355A"/>
    <w:rsid w:val="0B4A5BCD"/>
    <w:rsid w:val="0B4C599F"/>
    <w:rsid w:val="0B4E219A"/>
    <w:rsid w:val="0B4F505C"/>
    <w:rsid w:val="0B4F77DD"/>
    <w:rsid w:val="0B513434"/>
    <w:rsid w:val="0B5166AE"/>
    <w:rsid w:val="0B533B9F"/>
    <w:rsid w:val="0B536D2E"/>
    <w:rsid w:val="0B5450D5"/>
    <w:rsid w:val="0B5558F0"/>
    <w:rsid w:val="0B5A3057"/>
    <w:rsid w:val="0B5B0786"/>
    <w:rsid w:val="0B5C103D"/>
    <w:rsid w:val="0B5C7A80"/>
    <w:rsid w:val="0B5D7BAD"/>
    <w:rsid w:val="0B5F6506"/>
    <w:rsid w:val="0B6059C5"/>
    <w:rsid w:val="0B653679"/>
    <w:rsid w:val="0B655FB4"/>
    <w:rsid w:val="0B6576F5"/>
    <w:rsid w:val="0B661A58"/>
    <w:rsid w:val="0B6658BD"/>
    <w:rsid w:val="0B674587"/>
    <w:rsid w:val="0B676EEA"/>
    <w:rsid w:val="0B696551"/>
    <w:rsid w:val="0B6B22C9"/>
    <w:rsid w:val="0B6B5998"/>
    <w:rsid w:val="0B6D2CFE"/>
    <w:rsid w:val="0B6E1DBA"/>
    <w:rsid w:val="0B70056B"/>
    <w:rsid w:val="0B700CB1"/>
    <w:rsid w:val="0B7078E0"/>
    <w:rsid w:val="0B7218AA"/>
    <w:rsid w:val="0B723658"/>
    <w:rsid w:val="0B7277C4"/>
    <w:rsid w:val="0B7423F7"/>
    <w:rsid w:val="0B754EF6"/>
    <w:rsid w:val="0B765D27"/>
    <w:rsid w:val="0B7849E6"/>
    <w:rsid w:val="0B810E9E"/>
    <w:rsid w:val="0B8247A8"/>
    <w:rsid w:val="0B825D4B"/>
    <w:rsid w:val="0B8359AC"/>
    <w:rsid w:val="0B865355"/>
    <w:rsid w:val="0B89451B"/>
    <w:rsid w:val="0B8A5E0A"/>
    <w:rsid w:val="0B8B296C"/>
    <w:rsid w:val="0B8C1C46"/>
    <w:rsid w:val="0B8C7D0B"/>
    <w:rsid w:val="0B8D2240"/>
    <w:rsid w:val="0B8D6013"/>
    <w:rsid w:val="0B8E16AB"/>
    <w:rsid w:val="0B920097"/>
    <w:rsid w:val="0B9263C7"/>
    <w:rsid w:val="0B927856"/>
    <w:rsid w:val="0B97217C"/>
    <w:rsid w:val="0B984452"/>
    <w:rsid w:val="0B9B06C1"/>
    <w:rsid w:val="0B9F71E3"/>
    <w:rsid w:val="0BA0204B"/>
    <w:rsid w:val="0BA13F3D"/>
    <w:rsid w:val="0BA23811"/>
    <w:rsid w:val="0BA510D5"/>
    <w:rsid w:val="0BA53A2D"/>
    <w:rsid w:val="0BA54B88"/>
    <w:rsid w:val="0BA61553"/>
    <w:rsid w:val="0BA7774D"/>
    <w:rsid w:val="0BA85FE8"/>
    <w:rsid w:val="0BAB0442"/>
    <w:rsid w:val="0BAB0918"/>
    <w:rsid w:val="0BAB2AA6"/>
    <w:rsid w:val="0BAD401F"/>
    <w:rsid w:val="0BB3364C"/>
    <w:rsid w:val="0BB35294"/>
    <w:rsid w:val="0BB70474"/>
    <w:rsid w:val="0BB7146C"/>
    <w:rsid w:val="0BB73761"/>
    <w:rsid w:val="0BB832CA"/>
    <w:rsid w:val="0BB84DE3"/>
    <w:rsid w:val="0BB86125"/>
    <w:rsid w:val="0BBA0B5B"/>
    <w:rsid w:val="0BBC2B25"/>
    <w:rsid w:val="0BC0004F"/>
    <w:rsid w:val="0BC25540"/>
    <w:rsid w:val="0BC40159"/>
    <w:rsid w:val="0BC47C2C"/>
    <w:rsid w:val="0BC63851"/>
    <w:rsid w:val="0BC67E31"/>
    <w:rsid w:val="0BC67F78"/>
    <w:rsid w:val="0BC712C2"/>
    <w:rsid w:val="0BC776E0"/>
    <w:rsid w:val="0BC83278"/>
    <w:rsid w:val="0BC914E5"/>
    <w:rsid w:val="0BCC2263"/>
    <w:rsid w:val="0BCC35FC"/>
    <w:rsid w:val="0BCC4492"/>
    <w:rsid w:val="0BCD419B"/>
    <w:rsid w:val="0BD0413A"/>
    <w:rsid w:val="0BD25035"/>
    <w:rsid w:val="0BD52526"/>
    <w:rsid w:val="0BD72CF1"/>
    <w:rsid w:val="0BD75BB1"/>
    <w:rsid w:val="0BD77A17"/>
    <w:rsid w:val="0BDA0986"/>
    <w:rsid w:val="0BDA6660"/>
    <w:rsid w:val="0BDB0202"/>
    <w:rsid w:val="0BDC0B16"/>
    <w:rsid w:val="0BDF2BDA"/>
    <w:rsid w:val="0BE259FB"/>
    <w:rsid w:val="0BE44893"/>
    <w:rsid w:val="0BE51BEF"/>
    <w:rsid w:val="0BE55E0C"/>
    <w:rsid w:val="0BE65228"/>
    <w:rsid w:val="0BE83ACE"/>
    <w:rsid w:val="0BEA2470"/>
    <w:rsid w:val="0BEA46B1"/>
    <w:rsid w:val="0BEA58E4"/>
    <w:rsid w:val="0BEA7692"/>
    <w:rsid w:val="0BEB6F66"/>
    <w:rsid w:val="0BEB75B1"/>
    <w:rsid w:val="0BEC07C7"/>
    <w:rsid w:val="0BED0F30"/>
    <w:rsid w:val="0BED2CDE"/>
    <w:rsid w:val="0BED626F"/>
    <w:rsid w:val="0BEF336F"/>
    <w:rsid w:val="0BEF4CA9"/>
    <w:rsid w:val="0BF027CF"/>
    <w:rsid w:val="0BF0712E"/>
    <w:rsid w:val="0BF202F5"/>
    <w:rsid w:val="0BF235E0"/>
    <w:rsid w:val="0BF46F3F"/>
    <w:rsid w:val="0BF55E1C"/>
    <w:rsid w:val="0BF70001"/>
    <w:rsid w:val="0BF91683"/>
    <w:rsid w:val="0BF945B1"/>
    <w:rsid w:val="0BFC54F5"/>
    <w:rsid w:val="0BFC66C8"/>
    <w:rsid w:val="0BFC73C5"/>
    <w:rsid w:val="0BFD7EC6"/>
    <w:rsid w:val="0C0369A6"/>
    <w:rsid w:val="0C050C22"/>
    <w:rsid w:val="0C061FF2"/>
    <w:rsid w:val="0C0651AD"/>
    <w:rsid w:val="0C0727E4"/>
    <w:rsid w:val="0C076C2A"/>
    <w:rsid w:val="0C084561"/>
    <w:rsid w:val="0C0944D1"/>
    <w:rsid w:val="0C0B585A"/>
    <w:rsid w:val="0C0C6711"/>
    <w:rsid w:val="0C0D512F"/>
    <w:rsid w:val="0C0E5AEB"/>
    <w:rsid w:val="0C0E6C8B"/>
    <w:rsid w:val="0C0F6BAC"/>
    <w:rsid w:val="0C1053BE"/>
    <w:rsid w:val="0C105729"/>
    <w:rsid w:val="0C112E71"/>
    <w:rsid w:val="0C12796D"/>
    <w:rsid w:val="0C142961"/>
    <w:rsid w:val="0C16497C"/>
    <w:rsid w:val="0C191D25"/>
    <w:rsid w:val="0C1C14A4"/>
    <w:rsid w:val="0C1D75DB"/>
    <w:rsid w:val="0C1E558E"/>
    <w:rsid w:val="0C1E6220"/>
    <w:rsid w:val="0C1F363C"/>
    <w:rsid w:val="0C1F4E62"/>
    <w:rsid w:val="0C2506CA"/>
    <w:rsid w:val="0C2A7A8F"/>
    <w:rsid w:val="0C2C20EB"/>
    <w:rsid w:val="0C2C5C40"/>
    <w:rsid w:val="0C2D5832"/>
    <w:rsid w:val="0C2D5E4A"/>
    <w:rsid w:val="0C2E24BC"/>
    <w:rsid w:val="0C2F19F0"/>
    <w:rsid w:val="0C2F32F7"/>
    <w:rsid w:val="0C3157FF"/>
    <w:rsid w:val="0C322DE7"/>
    <w:rsid w:val="0C325230"/>
    <w:rsid w:val="0C33561A"/>
    <w:rsid w:val="0C360952"/>
    <w:rsid w:val="0C370182"/>
    <w:rsid w:val="0C3778AA"/>
    <w:rsid w:val="0C382FA7"/>
    <w:rsid w:val="0C3923C8"/>
    <w:rsid w:val="0C3A1FCF"/>
    <w:rsid w:val="0C3D6BC5"/>
    <w:rsid w:val="0C3F5BB7"/>
    <w:rsid w:val="0C403756"/>
    <w:rsid w:val="0C4072B2"/>
    <w:rsid w:val="0C41127C"/>
    <w:rsid w:val="0C452A2F"/>
    <w:rsid w:val="0C4549C3"/>
    <w:rsid w:val="0C48517F"/>
    <w:rsid w:val="0C4B5A65"/>
    <w:rsid w:val="0C4B5C57"/>
    <w:rsid w:val="0C4C2685"/>
    <w:rsid w:val="0C4D1ADB"/>
    <w:rsid w:val="0C4F3999"/>
    <w:rsid w:val="0C4F4BB4"/>
    <w:rsid w:val="0C5059D0"/>
    <w:rsid w:val="0C517711"/>
    <w:rsid w:val="0C526741"/>
    <w:rsid w:val="0C57284E"/>
    <w:rsid w:val="0C574464"/>
    <w:rsid w:val="0C580AA0"/>
    <w:rsid w:val="0C58208C"/>
    <w:rsid w:val="0C5823BF"/>
    <w:rsid w:val="0C587157"/>
    <w:rsid w:val="0C59203A"/>
    <w:rsid w:val="0C5936DE"/>
    <w:rsid w:val="0C5B233E"/>
    <w:rsid w:val="0C5C5076"/>
    <w:rsid w:val="0C5C65AB"/>
    <w:rsid w:val="0C605BA6"/>
    <w:rsid w:val="0C61088C"/>
    <w:rsid w:val="0C62191E"/>
    <w:rsid w:val="0C654F33"/>
    <w:rsid w:val="0C6725A4"/>
    <w:rsid w:val="0C684A5B"/>
    <w:rsid w:val="0C6D112D"/>
    <w:rsid w:val="0C6E661B"/>
    <w:rsid w:val="0C700313"/>
    <w:rsid w:val="0C71390F"/>
    <w:rsid w:val="0C7156BE"/>
    <w:rsid w:val="0C730594"/>
    <w:rsid w:val="0C732EEE"/>
    <w:rsid w:val="0C7358DA"/>
    <w:rsid w:val="0C7451AE"/>
    <w:rsid w:val="0C7476C0"/>
    <w:rsid w:val="0C762CD4"/>
    <w:rsid w:val="0C763554"/>
    <w:rsid w:val="0C7701E6"/>
    <w:rsid w:val="0C774464"/>
    <w:rsid w:val="0C785EA3"/>
    <w:rsid w:val="0C7927C4"/>
    <w:rsid w:val="0C7B42D5"/>
    <w:rsid w:val="0C7B5426"/>
    <w:rsid w:val="0C8278CB"/>
    <w:rsid w:val="0C8317C7"/>
    <w:rsid w:val="0C831E9D"/>
    <w:rsid w:val="0C847D58"/>
    <w:rsid w:val="0C882A07"/>
    <w:rsid w:val="0C90517B"/>
    <w:rsid w:val="0C913FB2"/>
    <w:rsid w:val="0C950B9E"/>
    <w:rsid w:val="0C96202E"/>
    <w:rsid w:val="0C963376"/>
    <w:rsid w:val="0C965124"/>
    <w:rsid w:val="0C9668AB"/>
    <w:rsid w:val="0C9A5B78"/>
    <w:rsid w:val="0C9D4705"/>
    <w:rsid w:val="0C9E222B"/>
    <w:rsid w:val="0C9F4821"/>
    <w:rsid w:val="0C9F65F1"/>
    <w:rsid w:val="0CA041F5"/>
    <w:rsid w:val="0CA1357C"/>
    <w:rsid w:val="0CA217EA"/>
    <w:rsid w:val="0CA21D12"/>
    <w:rsid w:val="0CA43CE5"/>
    <w:rsid w:val="0CA5332B"/>
    <w:rsid w:val="0CA57A5D"/>
    <w:rsid w:val="0CA745CE"/>
    <w:rsid w:val="0CA826EC"/>
    <w:rsid w:val="0CAB2DC4"/>
    <w:rsid w:val="0CAC1E74"/>
    <w:rsid w:val="0CAE02B5"/>
    <w:rsid w:val="0CAE6912"/>
    <w:rsid w:val="0CAF17E2"/>
    <w:rsid w:val="0CAF268A"/>
    <w:rsid w:val="0CAF4438"/>
    <w:rsid w:val="0CB13FF3"/>
    <w:rsid w:val="0CB17C12"/>
    <w:rsid w:val="0CB608A8"/>
    <w:rsid w:val="0CB87790"/>
    <w:rsid w:val="0CB96E09"/>
    <w:rsid w:val="0CBA3508"/>
    <w:rsid w:val="0CBB22AC"/>
    <w:rsid w:val="0CBB3FF9"/>
    <w:rsid w:val="0CBB4B8B"/>
    <w:rsid w:val="0CBE28CD"/>
    <w:rsid w:val="0CBF5B3A"/>
    <w:rsid w:val="0CC003F3"/>
    <w:rsid w:val="0CC04897"/>
    <w:rsid w:val="0CC223BD"/>
    <w:rsid w:val="0CC46135"/>
    <w:rsid w:val="0CC47EE3"/>
    <w:rsid w:val="0CC53C5B"/>
    <w:rsid w:val="0CC56A6D"/>
    <w:rsid w:val="0CC73E81"/>
    <w:rsid w:val="0CC807DA"/>
    <w:rsid w:val="0CC9374C"/>
    <w:rsid w:val="0CC954FA"/>
    <w:rsid w:val="0CCC77DA"/>
    <w:rsid w:val="0CCD2354"/>
    <w:rsid w:val="0CCE224F"/>
    <w:rsid w:val="0CCE3A1E"/>
    <w:rsid w:val="0CD32DDF"/>
    <w:rsid w:val="0CD52552"/>
    <w:rsid w:val="0CD5331C"/>
    <w:rsid w:val="0CD70950"/>
    <w:rsid w:val="0CD80FB6"/>
    <w:rsid w:val="0CD90EE9"/>
    <w:rsid w:val="0CD94122"/>
    <w:rsid w:val="0CD94771"/>
    <w:rsid w:val="0CDA7707"/>
    <w:rsid w:val="0CDA7793"/>
    <w:rsid w:val="0CDB522D"/>
    <w:rsid w:val="0CDD4A4E"/>
    <w:rsid w:val="0CDE6F83"/>
    <w:rsid w:val="0CDF2F6F"/>
    <w:rsid w:val="0CE20369"/>
    <w:rsid w:val="0CE41AC4"/>
    <w:rsid w:val="0CE5008E"/>
    <w:rsid w:val="0CE71DE0"/>
    <w:rsid w:val="0CE83A40"/>
    <w:rsid w:val="0CE92278"/>
    <w:rsid w:val="0CEF15F2"/>
    <w:rsid w:val="0CF05162"/>
    <w:rsid w:val="0CF236F8"/>
    <w:rsid w:val="0CF307C8"/>
    <w:rsid w:val="0CF34325"/>
    <w:rsid w:val="0CF6195F"/>
    <w:rsid w:val="0CF71B5A"/>
    <w:rsid w:val="0CF82C2D"/>
    <w:rsid w:val="0CF83D0C"/>
    <w:rsid w:val="0CF87B8D"/>
    <w:rsid w:val="0CF902E6"/>
    <w:rsid w:val="0CF97B3D"/>
    <w:rsid w:val="0CFA1B57"/>
    <w:rsid w:val="0CFA40B8"/>
    <w:rsid w:val="0CFD51A3"/>
    <w:rsid w:val="0CFE7E0D"/>
    <w:rsid w:val="0D004C93"/>
    <w:rsid w:val="0D0069DE"/>
    <w:rsid w:val="0D0227BA"/>
    <w:rsid w:val="0D02678E"/>
    <w:rsid w:val="0D054058"/>
    <w:rsid w:val="0D080EBF"/>
    <w:rsid w:val="0D084835"/>
    <w:rsid w:val="0D085D56"/>
    <w:rsid w:val="0D0C188A"/>
    <w:rsid w:val="0D166265"/>
    <w:rsid w:val="0D1B16BD"/>
    <w:rsid w:val="0D1B365A"/>
    <w:rsid w:val="0D1C22AB"/>
    <w:rsid w:val="0D1D0481"/>
    <w:rsid w:val="0D1F511A"/>
    <w:rsid w:val="0D2131A7"/>
    <w:rsid w:val="0D232E37"/>
    <w:rsid w:val="0D233138"/>
    <w:rsid w:val="0D233491"/>
    <w:rsid w:val="0D23735A"/>
    <w:rsid w:val="0D237E96"/>
    <w:rsid w:val="0D241B28"/>
    <w:rsid w:val="0D2518A2"/>
    <w:rsid w:val="0D26294C"/>
    <w:rsid w:val="0D263B6E"/>
    <w:rsid w:val="0D270472"/>
    <w:rsid w:val="0D281CCE"/>
    <w:rsid w:val="0D2F7B33"/>
    <w:rsid w:val="0D316917"/>
    <w:rsid w:val="0D350DE1"/>
    <w:rsid w:val="0D35493D"/>
    <w:rsid w:val="0D38267F"/>
    <w:rsid w:val="0D3928BE"/>
    <w:rsid w:val="0D3A63F7"/>
    <w:rsid w:val="0D3B7E14"/>
    <w:rsid w:val="0D3C4317"/>
    <w:rsid w:val="0D3E47AD"/>
    <w:rsid w:val="0D3F0603"/>
    <w:rsid w:val="0D3F40C1"/>
    <w:rsid w:val="0D3F57BC"/>
    <w:rsid w:val="0D407866"/>
    <w:rsid w:val="0D412A68"/>
    <w:rsid w:val="0D415C78"/>
    <w:rsid w:val="0D416D9E"/>
    <w:rsid w:val="0D447276"/>
    <w:rsid w:val="0D447CF4"/>
    <w:rsid w:val="0D46076A"/>
    <w:rsid w:val="0D4657C2"/>
    <w:rsid w:val="0D466117"/>
    <w:rsid w:val="0D470D78"/>
    <w:rsid w:val="0D4728C2"/>
    <w:rsid w:val="0D481120"/>
    <w:rsid w:val="0D48737D"/>
    <w:rsid w:val="0D49488C"/>
    <w:rsid w:val="0D4B1CD1"/>
    <w:rsid w:val="0D4B4CD3"/>
    <w:rsid w:val="0D4B5F8A"/>
    <w:rsid w:val="0D4C1C87"/>
    <w:rsid w:val="0D4C3EFE"/>
    <w:rsid w:val="0D4E3C51"/>
    <w:rsid w:val="0D4E59FF"/>
    <w:rsid w:val="0D4F1B22"/>
    <w:rsid w:val="0D4F5F25"/>
    <w:rsid w:val="0D500D75"/>
    <w:rsid w:val="0D511E4A"/>
    <w:rsid w:val="0D5469F9"/>
    <w:rsid w:val="0D55165E"/>
    <w:rsid w:val="0D5568B2"/>
    <w:rsid w:val="0D564607"/>
    <w:rsid w:val="0D5A21AE"/>
    <w:rsid w:val="0D5B77A5"/>
    <w:rsid w:val="0D5D20E6"/>
    <w:rsid w:val="0D5E339D"/>
    <w:rsid w:val="0D5F7C0C"/>
    <w:rsid w:val="0D6014DD"/>
    <w:rsid w:val="0D61063A"/>
    <w:rsid w:val="0D6115F5"/>
    <w:rsid w:val="0D615EC0"/>
    <w:rsid w:val="0D6214AA"/>
    <w:rsid w:val="0D646FD0"/>
    <w:rsid w:val="0D6677D6"/>
    <w:rsid w:val="0D6A409F"/>
    <w:rsid w:val="0D6C2329"/>
    <w:rsid w:val="0D6C40D7"/>
    <w:rsid w:val="0D6D057B"/>
    <w:rsid w:val="0D6D5D30"/>
    <w:rsid w:val="0D6F0642"/>
    <w:rsid w:val="0D6F1C0C"/>
    <w:rsid w:val="0D70006B"/>
    <w:rsid w:val="0D7123E9"/>
    <w:rsid w:val="0D761A1F"/>
    <w:rsid w:val="0D766D04"/>
    <w:rsid w:val="0D774F56"/>
    <w:rsid w:val="0D776940"/>
    <w:rsid w:val="0D780CCE"/>
    <w:rsid w:val="0D7A67F4"/>
    <w:rsid w:val="0D7D0092"/>
    <w:rsid w:val="0D805053"/>
    <w:rsid w:val="0D865FF2"/>
    <w:rsid w:val="0D88034E"/>
    <w:rsid w:val="0D886685"/>
    <w:rsid w:val="0D897A5E"/>
    <w:rsid w:val="0D8A1D87"/>
    <w:rsid w:val="0D8D4779"/>
    <w:rsid w:val="0D8E2BDF"/>
    <w:rsid w:val="0D8F29E4"/>
    <w:rsid w:val="0D907DC5"/>
    <w:rsid w:val="0D915FD5"/>
    <w:rsid w:val="0D920250"/>
    <w:rsid w:val="0D941F50"/>
    <w:rsid w:val="0D9765DF"/>
    <w:rsid w:val="0D9773A6"/>
    <w:rsid w:val="0D9819EB"/>
    <w:rsid w:val="0D9A4364"/>
    <w:rsid w:val="0D9B6C4A"/>
    <w:rsid w:val="0D9B7981"/>
    <w:rsid w:val="0DA10224"/>
    <w:rsid w:val="0DA11FD2"/>
    <w:rsid w:val="0DA16476"/>
    <w:rsid w:val="0DA230FC"/>
    <w:rsid w:val="0DA27AF9"/>
    <w:rsid w:val="0DA43871"/>
    <w:rsid w:val="0DA442E1"/>
    <w:rsid w:val="0DA675E9"/>
    <w:rsid w:val="0DA907EF"/>
    <w:rsid w:val="0DA90E87"/>
    <w:rsid w:val="0DA970D9"/>
    <w:rsid w:val="0DAC2403"/>
    <w:rsid w:val="0DAE1B89"/>
    <w:rsid w:val="0DAE2941"/>
    <w:rsid w:val="0DB029F1"/>
    <w:rsid w:val="0DB201C0"/>
    <w:rsid w:val="0DB461AA"/>
    <w:rsid w:val="0DB71B0D"/>
    <w:rsid w:val="0DB92B2C"/>
    <w:rsid w:val="0DBA3094"/>
    <w:rsid w:val="0DBB3946"/>
    <w:rsid w:val="0DBD0BE2"/>
    <w:rsid w:val="0DBE1A50"/>
    <w:rsid w:val="0DBE38B4"/>
    <w:rsid w:val="0DBF2603"/>
    <w:rsid w:val="0DC01B7D"/>
    <w:rsid w:val="0DC23221"/>
    <w:rsid w:val="0DC3019B"/>
    <w:rsid w:val="0DC32316"/>
    <w:rsid w:val="0DC33621"/>
    <w:rsid w:val="0DC4058F"/>
    <w:rsid w:val="0DC42DDE"/>
    <w:rsid w:val="0DC47726"/>
    <w:rsid w:val="0DC54C1B"/>
    <w:rsid w:val="0DC74C21"/>
    <w:rsid w:val="0DC91529"/>
    <w:rsid w:val="0DC9375D"/>
    <w:rsid w:val="0DC9476C"/>
    <w:rsid w:val="0DC97C18"/>
    <w:rsid w:val="0DCA1929"/>
    <w:rsid w:val="0DCA796E"/>
    <w:rsid w:val="0DCA7D52"/>
    <w:rsid w:val="0DCC024E"/>
    <w:rsid w:val="0DCE6B40"/>
    <w:rsid w:val="0DD04666"/>
    <w:rsid w:val="0DD12DB9"/>
    <w:rsid w:val="0DD141D6"/>
    <w:rsid w:val="0DD26630"/>
    <w:rsid w:val="0DD51C7C"/>
    <w:rsid w:val="0DD56120"/>
    <w:rsid w:val="0DD6470C"/>
    <w:rsid w:val="0DD816A2"/>
    <w:rsid w:val="0DD81A96"/>
    <w:rsid w:val="0DD979BE"/>
    <w:rsid w:val="0DDA54E4"/>
    <w:rsid w:val="0DDB1CC4"/>
    <w:rsid w:val="0DDB6BA9"/>
    <w:rsid w:val="0DDF6F9F"/>
    <w:rsid w:val="0DE0713E"/>
    <w:rsid w:val="0DE2778F"/>
    <w:rsid w:val="0DE27B9E"/>
    <w:rsid w:val="0DE40585"/>
    <w:rsid w:val="0DE45DFB"/>
    <w:rsid w:val="0DE87C01"/>
    <w:rsid w:val="0DE97EAF"/>
    <w:rsid w:val="0DEB14A0"/>
    <w:rsid w:val="0DEE3BAE"/>
    <w:rsid w:val="0DEF71E2"/>
    <w:rsid w:val="0DF41267"/>
    <w:rsid w:val="0DF476ED"/>
    <w:rsid w:val="0DF57C95"/>
    <w:rsid w:val="0DF73A45"/>
    <w:rsid w:val="0DF744BE"/>
    <w:rsid w:val="0DF826B9"/>
    <w:rsid w:val="0DF83342"/>
    <w:rsid w:val="0DF93DF1"/>
    <w:rsid w:val="0DFA67E4"/>
    <w:rsid w:val="0DFB1411"/>
    <w:rsid w:val="0DFC545B"/>
    <w:rsid w:val="0DFC5A94"/>
    <w:rsid w:val="0DFD52D4"/>
    <w:rsid w:val="0E00255D"/>
    <w:rsid w:val="0E0241F7"/>
    <w:rsid w:val="0E03425A"/>
    <w:rsid w:val="0E041AF6"/>
    <w:rsid w:val="0E0437CE"/>
    <w:rsid w:val="0E0501E3"/>
    <w:rsid w:val="0E052F04"/>
    <w:rsid w:val="0E081A5C"/>
    <w:rsid w:val="0E0B2B80"/>
    <w:rsid w:val="0E0C1F93"/>
    <w:rsid w:val="0E0E083C"/>
    <w:rsid w:val="0E0E6B16"/>
    <w:rsid w:val="0E0E7662"/>
    <w:rsid w:val="0E101EB9"/>
    <w:rsid w:val="0E1053AA"/>
    <w:rsid w:val="0E1704E7"/>
    <w:rsid w:val="0E1708B7"/>
    <w:rsid w:val="0E173A09"/>
    <w:rsid w:val="0E176AA9"/>
    <w:rsid w:val="0E1844BF"/>
    <w:rsid w:val="0E185C00"/>
    <w:rsid w:val="0E1C51DE"/>
    <w:rsid w:val="0E1C78AB"/>
    <w:rsid w:val="0E1D1A69"/>
    <w:rsid w:val="0E1E3623"/>
    <w:rsid w:val="0E2128BA"/>
    <w:rsid w:val="0E232D13"/>
    <w:rsid w:val="0E234185"/>
    <w:rsid w:val="0E245572"/>
    <w:rsid w:val="0E255CC9"/>
    <w:rsid w:val="0E270499"/>
    <w:rsid w:val="0E273934"/>
    <w:rsid w:val="0E295443"/>
    <w:rsid w:val="0E297097"/>
    <w:rsid w:val="0E2C2B37"/>
    <w:rsid w:val="0E2D3B6E"/>
    <w:rsid w:val="0E2D7D0A"/>
    <w:rsid w:val="0E2E7323"/>
    <w:rsid w:val="0E2F3E86"/>
    <w:rsid w:val="0E2F75DE"/>
    <w:rsid w:val="0E327C36"/>
    <w:rsid w:val="0E333D5D"/>
    <w:rsid w:val="0E35723F"/>
    <w:rsid w:val="0E3855FA"/>
    <w:rsid w:val="0E39220B"/>
    <w:rsid w:val="0E3A3D87"/>
    <w:rsid w:val="0E3A5F83"/>
    <w:rsid w:val="0E3C64B2"/>
    <w:rsid w:val="0E3F25F0"/>
    <w:rsid w:val="0E4678FD"/>
    <w:rsid w:val="0E4911BF"/>
    <w:rsid w:val="0E4B63E2"/>
    <w:rsid w:val="0E4F5ED2"/>
    <w:rsid w:val="0E553383"/>
    <w:rsid w:val="0E56100F"/>
    <w:rsid w:val="0E5704C1"/>
    <w:rsid w:val="0E574D87"/>
    <w:rsid w:val="0E575EC1"/>
    <w:rsid w:val="0E59465B"/>
    <w:rsid w:val="0E5B6625"/>
    <w:rsid w:val="0E5E2469"/>
    <w:rsid w:val="0E5F7E9D"/>
    <w:rsid w:val="0E600FE7"/>
    <w:rsid w:val="0E602F64"/>
    <w:rsid w:val="0E606097"/>
    <w:rsid w:val="0E613956"/>
    <w:rsid w:val="0E630180"/>
    <w:rsid w:val="0E653000"/>
    <w:rsid w:val="0E6574A4"/>
    <w:rsid w:val="0E675CD8"/>
    <w:rsid w:val="0E6850CB"/>
    <w:rsid w:val="0E6911C2"/>
    <w:rsid w:val="0E6A2D0C"/>
    <w:rsid w:val="0E6B152D"/>
    <w:rsid w:val="0E6B6318"/>
    <w:rsid w:val="0E6F5C5A"/>
    <w:rsid w:val="0E6F74A6"/>
    <w:rsid w:val="0E711482"/>
    <w:rsid w:val="0E715E49"/>
    <w:rsid w:val="0E721A6C"/>
    <w:rsid w:val="0E731F27"/>
    <w:rsid w:val="0E73429B"/>
    <w:rsid w:val="0E750700"/>
    <w:rsid w:val="0E75128A"/>
    <w:rsid w:val="0E7705ED"/>
    <w:rsid w:val="0E7771D7"/>
    <w:rsid w:val="0E7806B3"/>
    <w:rsid w:val="0E7964FD"/>
    <w:rsid w:val="0E7A0BCF"/>
    <w:rsid w:val="0E7A4F28"/>
    <w:rsid w:val="0E7B5C8F"/>
    <w:rsid w:val="0E7D6595"/>
    <w:rsid w:val="0E7E0566"/>
    <w:rsid w:val="0E7E19AE"/>
    <w:rsid w:val="0E7E703C"/>
    <w:rsid w:val="0E7E7E86"/>
    <w:rsid w:val="0E8027DC"/>
    <w:rsid w:val="0E811E04"/>
    <w:rsid w:val="0E813BB2"/>
    <w:rsid w:val="0E814C31"/>
    <w:rsid w:val="0E8327C4"/>
    <w:rsid w:val="0E873ED2"/>
    <w:rsid w:val="0E875836"/>
    <w:rsid w:val="0E8910BD"/>
    <w:rsid w:val="0E8973CD"/>
    <w:rsid w:val="0E8A515C"/>
    <w:rsid w:val="0E8B5502"/>
    <w:rsid w:val="0E8C4899"/>
    <w:rsid w:val="0E8C4A31"/>
    <w:rsid w:val="0E8D07A9"/>
    <w:rsid w:val="0E8D0C20"/>
    <w:rsid w:val="0E910299"/>
    <w:rsid w:val="0E916879"/>
    <w:rsid w:val="0E927B6D"/>
    <w:rsid w:val="0E9346FD"/>
    <w:rsid w:val="0E950205"/>
    <w:rsid w:val="0E98231D"/>
    <w:rsid w:val="0E9872D6"/>
    <w:rsid w:val="0E997665"/>
    <w:rsid w:val="0E9A7672"/>
    <w:rsid w:val="0E9C038E"/>
    <w:rsid w:val="0E9D6C3E"/>
    <w:rsid w:val="0EA16002"/>
    <w:rsid w:val="0EA224A6"/>
    <w:rsid w:val="0EA3062B"/>
    <w:rsid w:val="0EA343BD"/>
    <w:rsid w:val="0EA55AF2"/>
    <w:rsid w:val="0EA87190"/>
    <w:rsid w:val="0EA93835"/>
    <w:rsid w:val="0EAB3514"/>
    <w:rsid w:val="0EAB3DCA"/>
    <w:rsid w:val="0EAF071F"/>
    <w:rsid w:val="0EB16245"/>
    <w:rsid w:val="0EB40990"/>
    <w:rsid w:val="0EB57808"/>
    <w:rsid w:val="0EB65F51"/>
    <w:rsid w:val="0EB67D00"/>
    <w:rsid w:val="0EB74F3E"/>
    <w:rsid w:val="0EB775D4"/>
    <w:rsid w:val="0EB972E3"/>
    <w:rsid w:val="0EBB3118"/>
    <w:rsid w:val="0EBB5380"/>
    <w:rsid w:val="0EBC4D14"/>
    <w:rsid w:val="0EC1530F"/>
    <w:rsid w:val="0EC341CA"/>
    <w:rsid w:val="0EC47D9E"/>
    <w:rsid w:val="0EC56BBB"/>
    <w:rsid w:val="0EC57F43"/>
    <w:rsid w:val="0EC6483A"/>
    <w:rsid w:val="0EC71E62"/>
    <w:rsid w:val="0EC71F0D"/>
    <w:rsid w:val="0EC821F7"/>
    <w:rsid w:val="0EC85224"/>
    <w:rsid w:val="0ECD1453"/>
    <w:rsid w:val="0ECD5610"/>
    <w:rsid w:val="0ECD7B53"/>
    <w:rsid w:val="0ECE6141"/>
    <w:rsid w:val="0ECE702F"/>
    <w:rsid w:val="0ECF0DC1"/>
    <w:rsid w:val="0ECF491D"/>
    <w:rsid w:val="0ED20AB6"/>
    <w:rsid w:val="0ED4462A"/>
    <w:rsid w:val="0ED55183"/>
    <w:rsid w:val="0ED604E9"/>
    <w:rsid w:val="0ED65CAC"/>
    <w:rsid w:val="0EDA6089"/>
    <w:rsid w:val="0EDB1514"/>
    <w:rsid w:val="0EDB1768"/>
    <w:rsid w:val="0EDB42AC"/>
    <w:rsid w:val="0EDF1AEA"/>
    <w:rsid w:val="0EDF64BB"/>
    <w:rsid w:val="0EDF7256"/>
    <w:rsid w:val="0EE21728"/>
    <w:rsid w:val="0EE55D05"/>
    <w:rsid w:val="0EE634A6"/>
    <w:rsid w:val="0EE72A52"/>
    <w:rsid w:val="0EE753AF"/>
    <w:rsid w:val="0EED6044"/>
    <w:rsid w:val="0EEF1867"/>
    <w:rsid w:val="0EEF3211"/>
    <w:rsid w:val="0EF02B48"/>
    <w:rsid w:val="0EF10D38"/>
    <w:rsid w:val="0EF30E7F"/>
    <w:rsid w:val="0EF3685E"/>
    <w:rsid w:val="0EF40828"/>
    <w:rsid w:val="0EF45AB6"/>
    <w:rsid w:val="0EF55077"/>
    <w:rsid w:val="0EF67752"/>
    <w:rsid w:val="0EF80318"/>
    <w:rsid w:val="0EF807AC"/>
    <w:rsid w:val="0EF877DC"/>
    <w:rsid w:val="0EF91869"/>
    <w:rsid w:val="0EFB1BB6"/>
    <w:rsid w:val="0EFC4554"/>
    <w:rsid w:val="0EFC5932"/>
    <w:rsid w:val="0EFE5203"/>
    <w:rsid w:val="0EFF07A0"/>
    <w:rsid w:val="0EFF2622"/>
    <w:rsid w:val="0EFF704F"/>
    <w:rsid w:val="0F071E5B"/>
    <w:rsid w:val="0F0F08D0"/>
    <w:rsid w:val="0F0F11BE"/>
    <w:rsid w:val="0F0F5662"/>
    <w:rsid w:val="0F110AE2"/>
    <w:rsid w:val="0F1113D7"/>
    <w:rsid w:val="0F13113D"/>
    <w:rsid w:val="0F136F00"/>
    <w:rsid w:val="0F147644"/>
    <w:rsid w:val="0F147922"/>
    <w:rsid w:val="0F151F49"/>
    <w:rsid w:val="0F1532CB"/>
    <w:rsid w:val="0F1669F0"/>
    <w:rsid w:val="0F185116"/>
    <w:rsid w:val="0F190C16"/>
    <w:rsid w:val="0F19228A"/>
    <w:rsid w:val="0F1953E7"/>
    <w:rsid w:val="0F1A028E"/>
    <w:rsid w:val="0F1A74E1"/>
    <w:rsid w:val="0F1B6A72"/>
    <w:rsid w:val="0F1B7B63"/>
    <w:rsid w:val="0F1C703F"/>
    <w:rsid w:val="0F1D3633"/>
    <w:rsid w:val="0F1E715C"/>
    <w:rsid w:val="0F1F58A5"/>
    <w:rsid w:val="0F1F6A0C"/>
    <w:rsid w:val="0F204BAE"/>
    <w:rsid w:val="0F20535B"/>
    <w:rsid w:val="0F211612"/>
    <w:rsid w:val="0F224C14"/>
    <w:rsid w:val="0F22538D"/>
    <w:rsid w:val="0F234C69"/>
    <w:rsid w:val="0F254881"/>
    <w:rsid w:val="0F294770"/>
    <w:rsid w:val="0F2B249C"/>
    <w:rsid w:val="0F2C5F64"/>
    <w:rsid w:val="0F2D785B"/>
    <w:rsid w:val="0F2E788D"/>
    <w:rsid w:val="0F30513C"/>
    <w:rsid w:val="0F3330FE"/>
    <w:rsid w:val="0F36499C"/>
    <w:rsid w:val="0F37442A"/>
    <w:rsid w:val="0F380D9A"/>
    <w:rsid w:val="0F395EEF"/>
    <w:rsid w:val="0F3A23BD"/>
    <w:rsid w:val="0F3B1FB3"/>
    <w:rsid w:val="0F3B6457"/>
    <w:rsid w:val="0F3C1B01"/>
    <w:rsid w:val="0F3C2F15"/>
    <w:rsid w:val="0F3D21CF"/>
    <w:rsid w:val="0F3D439E"/>
    <w:rsid w:val="0F400BA0"/>
    <w:rsid w:val="0F4252DA"/>
    <w:rsid w:val="0F432858"/>
    <w:rsid w:val="0F450727"/>
    <w:rsid w:val="0F4543A7"/>
    <w:rsid w:val="0F49054D"/>
    <w:rsid w:val="0F4B48EC"/>
    <w:rsid w:val="0F4C2412"/>
    <w:rsid w:val="0F4F6F9D"/>
    <w:rsid w:val="0F506C15"/>
    <w:rsid w:val="0F506F98"/>
    <w:rsid w:val="0F517A28"/>
    <w:rsid w:val="0F543075"/>
    <w:rsid w:val="0F551F83"/>
    <w:rsid w:val="0F5546E2"/>
    <w:rsid w:val="0F557518"/>
    <w:rsid w:val="0F563304"/>
    <w:rsid w:val="0F56503F"/>
    <w:rsid w:val="0F5660FF"/>
    <w:rsid w:val="0F566DED"/>
    <w:rsid w:val="0F5C437C"/>
    <w:rsid w:val="0F5D017B"/>
    <w:rsid w:val="0F5D2623"/>
    <w:rsid w:val="0F5D63CD"/>
    <w:rsid w:val="0F5E6A84"/>
    <w:rsid w:val="0F5F4446"/>
    <w:rsid w:val="0F5F5CA1"/>
    <w:rsid w:val="0F6063A9"/>
    <w:rsid w:val="0F6167BF"/>
    <w:rsid w:val="0F625A7E"/>
    <w:rsid w:val="0F64150A"/>
    <w:rsid w:val="0F6609D1"/>
    <w:rsid w:val="0F663D0F"/>
    <w:rsid w:val="0F672DA8"/>
    <w:rsid w:val="0F6A0FB2"/>
    <w:rsid w:val="0F6B3041"/>
    <w:rsid w:val="0F6B50CB"/>
    <w:rsid w:val="0F6C03BE"/>
    <w:rsid w:val="0F7014AD"/>
    <w:rsid w:val="0F7036E3"/>
    <w:rsid w:val="0F722A26"/>
    <w:rsid w:val="0F742064"/>
    <w:rsid w:val="0F7423F2"/>
    <w:rsid w:val="0F760DE8"/>
    <w:rsid w:val="0F772B5B"/>
    <w:rsid w:val="0F772D8D"/>
    <w:rsid w:val="0F784FB5"/>
    <w:rsid w:val="0F7979B8"/>
    <w:rsid w:val="0F7B4AA5"/>
    <w:rsid w:val="0F7B5AFA"/>
    <w:rsid w:val="0F7B6853"/>
    <w:rsid w:val="0F7F6343"/>
    <w:rsid w:val="0F803ADB"/>
    <w:rsid w:val="0F817E76"/>
    <w:rsid w:val="0F847388"/>
    <w:rsid w:val="0F855859"/>
    <w:rsid w:val="0F86109D"/>
    <w:rsid w:val="0F8728B5"/>
    <w:rsid w:val="0F8732BE"/>
    <w:rsid w:val="0F8744E6"/>
    <w:rsid w:val="0F875B72"/>
    <w:rsid w:val="0F8932E2"/>
    <w:rsid w:val="0F8A5DC2"/>
    <w:rsid w:val="0F8D3ACC"/>
    <w:rsid w:val="0F8D434C"/>
    <w:rsid w:val="0F8E7511"/>
    <w:rsid w:val="0F900551"/>
    <w:rsid w:val="0F91415D"/>
    <w:rsid w:val="0F917E25"/>
    <w:rsid w:val="0F974E41"/>
    <w:rsid w:val="0F977B31"/>
    <w:rsid w:val="0F9A13CF"/>
    <w:rsid w:val="0F9F0794"/>
    <w:rsid w:val="0F9F1332"/>
    <w:rsid w:val="0FA011D9"/>
    <w:rsid w:val="0FA062BA"/>
    <w:rsid w:val="0FA1398E"/>
    <w:rsid w:val="0FA23F17"/>
    <w:rsid w:val="0FA638D0"/>
    <w:rsid w:val="0FA933C0"/>
    <w:rsid w:val="0FAA3873"/>
    <w:rsid w:val="0FAB64D8"/>
    <w:rsid w:val="0FAD7159"/>
    <w:rsid w:val="0FAE0F39"/>
    <w:rsid w:val="0FAE6C29"/>
    <w:rsid w:val="0FAF50EA"/>
    <w:rsid w:val="0FB25863"/>
    <w:rsid w:val="0FB277A7"/>
    <w:rsid w:val="0FB30D7D"/>
    <w:rsid w:val="0FB32491"/>
    <w:rsid w:val="0FB40444"/>
    <w:rsid w:val="0FB46C23"/>
    <w:rsid w:val="0FB72B2B"/>
    <w:rsid w:val="0FB770C1"/>
    <w:rsid w:val="0FBC1346"/>
    <w:rsid w:val="0FBE0A70"/>
    <w:rsid w:val="0FBF0D10"/>
    <w:rsid w:val="0FBF0E36"/>
    <w:rsid w:val="0FBF36B0"/>
    <w:rsid w:val="0FC03B56"/>
    <w:rsid w:val="0FC1070A"/>
    <w:rsid w:val="0FC235BB"/>
    <w:rsid w:val="0FC2411A"/>
    <w:rsid w:val="0FC24482"/>
    <w:rsid w:val="0FC31E03"/>
    <w:rsid w:val="0FC4592A"/>
    <w:rsid w:val="0FC538A0"/>
    <w:rsid w:val="0FC71F01"/>
    <w:rsid w:val="0FC916EA"/>
    <w:rsid w:val="0FCA717D"/>
    <w:rsid w:val="0FCB6EBE"/>
    <w:rsid w:val="0FCB77DB"/>
    <w:rsid w:val="0FCC03BE"/>
    <w:rsid w:val="0FCD2E9B"/>
    <w:rsid w:val="0FCF0AB2"/>
    <w:rsid w:val="0FD1151F"/>
    <w:rsid w:val="0FD3668F"/>
    <w:rsid w:val="0FD52583"/>
    <w:rsid w:val="0FD65FF9"/>
    <w:rsid w:val="0FD71945"/>
    <w:rsid w:val="0FD77F2D"/>
    <w:rsid w:val="0FD85593"/>
    <w:rsid w:val="0FDA17CC"/>
    <w:rsid w:val="0FDA30C2"/>
    <w:rsid w:val="0FDE5FC9"/>
    <w:rsid w:val="0FDF5034"/>
    <w:rsid w:val="0FE003EF"/>
    <w:rsid w:val="0FE02DBB"/>
    <w:rsid w:val="0FE30324"/>
    <w:rsid w:val="0FE54723"/>
    <w:rsid w:val="0FE648B0"/>
    <w:rsid w:val="0FEB17EC"/>
    <w:rsid w:val="0FEB39D9"/>
    <w:rsid w:val="0FED3546"/>
    <w:rsid w:val="0FED7751"/>
    <w:rsid w:val="0FEE34C9"/>
    <w:rsid w:val="0FF02D9D"/>
    <w:rsid w:val="0FF07749"/>
    <w:rsid w:val="0FF24D67"/>
    <w:rsid w:val="0FF360CA"/>
    <w:rsid w:val="0FF46D31"/>
    <w:rsid w:val="0FF47CB4"/>
    <w:rsid w:val="0FF5212E"/>
    <w:rsid w:val="0FF55E19"/>
    <w:rsid w:val="0FF56606"/>
    <w:rsid w:val="0FF7412C"/>
    <w:rsid w:val="0FF764C3"/>
    <w:rsid w:val="0FF82429"/>
    <w:rsid w:val="0FFB485C"/>
    <w:rsid w:val="0FFC5BE6"/>
    <w:rsid w:val="10001523"/>
    <w:rsid w:val="10042CED"/>
    <w:rsid w:val="10046849"/>
    <w:rsid w:val="1006368A"/>
    <w:rsid w:val="100A27E6"/>
    <w:rsid w:val="100B7BD7"/>
    <w:rsid w:val="100C3F23"/>
    <w:rsid w:val="100D1BA1"/>
    <w:rsid w:val="10120392"/>
    <w:rsid w:val="10127C44"/>
    <w:rsid w:val="10141182"/>
    <w:rsid w:val="10142805"/>
    <w:rsid w:val="1015122F"/>
    <w:rsid w:val="10152804"/>
    <w:rsid w:val="10156CA8"/>
    <w:rsid w:val="101807E7"/>
    <w:rsid w:val="101E298A"/>
    <w:rsid w:val="101F7844"/>
    <w:rsid w:val="10207243"/>
    <w:rsid w:val="102173FB"/>
    <w:rsid w:val="1022461B"/>
    <w:rsid w:val="10252A40"/>
    <w:rsid w:val="102559E2"/>
    <w:rsid w:val="10260EB5"/>
    <w:rsid w:val="10284C2D"/>
    <w:rsid w:val="102869DB"/>
    <w:rsid w:val="102A36D7"/>
    <w:rsid w:val="102B472A"/>
    <w:rsid w:val="102C283E"/>
    <w:rsid w:val="102F3558"/>
    <w:rsid w:val="102F7CF9"/>
    <w:rsid w:val="10305E2E"/>
    <w:rsid w:val="1031606C"/>
    <w:rsid w:val="1033163B"/>
    <w:rsid w:val="1034300F"/>
    <w:rsid w:val="1035205D"/>
    <w:rsid w:val="10361FC0"/>
    <w:rsid w:val="10374E70"/>
    <w:rsid w:val="1038336E"/>
    <w:rsid w:val="10392996"/>
    <w:rsid w:val="103955ED"/>
    <w:rsid w:val="103A226A"/>
    <w:rsid w:val="10432EB6"/>
    <w:rsid w:val="104430E9"/>
    <w:rsid w:val="10452479"/>
    <w:rsid w:val="1047079D"/>
    <w:rsid w:val="104713E4"/>
    <w:rsid w:val="1048443D"/>
    <w:rsid w:val="1049083F"/>
    <w:rsid w:val="104D4694"/>
    <w:rsid w:val="10500180"/>
    <w:rsid w:val="10507EB4"/>
    <w:rsid w:val="10516984"/>
    <w:rsid w:val="10523A58"/>
    <w:rsid w:val="10524E07"/>
    <w:rsid w:val="10525131"/>
    <w:rsid w:val="1053332C"/>
    <w:rsid w:val="10533984"/>
    <w:rsid w:val="105448E7"/>
    <w:rsid w:val="1056523F"/>
    <w:rsid w:val="10581BF8"/>
    <w:rsid w:val="105A46BB"/>
    <w:rsid w:val="105B0B5E"/>
    <w:rsid w:val="105C2769"/>
    <w:rsid w:val="105C48D7"/>
    <w:rsid w:val="105D2427"/>
    <w:rsid w:val="105E064F"/>
    <w:rsid w:val="105E41AB"/>
    <w:rsid w:val="105F0EF9"/>
    <w:rsid w:val="10606175"/>
    <w:rsid w:val="10607279"/>
    <w:rsid w:val="10612472"/>
    <w:rsid w:val="10637A13"/>
    <w:rsid w:val="1064392C"/>
    <w:rsid w:val="1066051D"/>
    <w:rsid w:val="10667503"/>
    <w:rsid w:val="10685029"/>
    <w:rsid w:val="106A1193"/>
    <w:rsid w:val="106C074C"/>
    <w:rsid w:val="106D36EE"/>
    <w:rsid w:val="106F460A"/>
    <w:rsid w:val="106F63B8"/>
    <w:rsid w:val="10702130"/>
    <w:rsid w:val="10713B5C"/>
    <w:rsid w:val="107264E9"/>
    <w:rsid w:val="1074577C"/>
    <w:rsid w:val="10796615"/>
    <w:rsid w:val="107A00B2"/>
    <w:rsid w:val="107A4E46"/>
    <w:rsid w:val="107A6B0B"/>
    <w:rsid w:val="107D3EC8"/>
    <w:rsid w:val="108300B5"/>
    <w:rsid w:val="10831E63"/>
    <w:rsid w:val="10845622"/>
    <w:rsid w:val="10847E39"/>
    <w:rsid w:val="10853E2D"/>
    <w:rsid w:val="10860A2F"/>
    <w:rsid w:val="108743E5"/>
    <w:rsid w:val="108A14D5"/>
    <w:rsid w:val="108B0D18"/>
    <w:rsid w:val="108D2CE2"/>
    <w:rsid w:val="108F3029"/>
    <w:rsid w:val="109041A4"/>
    <w:rsid w:val="109202F8"/>
    <w:rsid w:val="10922838"/>
    <w:rsid w:val="10926AB7"/>
    <w:rsid w:val="10935409"/>
    <w:rsid w:val="10950DE7"/>
    <w:rsid w:val="109776BD"/>
    <w:rsid w:val="109A0CCD"/>
    <w:rsid w:val="109B18B5"/>
    <w:rsid w:val="109F26A5"/>
    <w:rsid w:val="10A23824"/>
    <w:rsid w:val="10A451BD"/>
    <w:rsid w:val="10A51DDA"/>
    <w:rsid w:val="10A67900"/>
    <w:rsid w:val="10A822C0"/>
    <w:rsid w:val="10A82B01"/>
    <w:rsid w:val="10A87B1C"/>
    <w:rsid w:val="10A92DD3"/>
    <w:rsid w:val="10AB4B20"/>
    <w:rsid w:val="10AB4F16"/>
    <w:rsid w:val="10AC13BA"/>
    <w:rsid w:val="10AD2085"/>
    <w:rsid w:val="10AD6194"/>
    <w:rsid w:val="10AE2011"/>
    <w:rsid w:val="10AE3A08"/>
    <w:rsid w:val="10AE3DF1"/>
    <w:rsid w:val="10AF1616"/>
    <w:rsid w:val="10AF4A06"/>
    <w:rsid w:val="10B03702"/>
    <w:rsid w:val="10B0731E"/>
    <w:rsid w:val="10B362E0"/>
    <w:rsid w:val="10B44742"/>
    <w:rsid w:val="10B62239"/>
    <w:rsid w:val="10B62B1B"/>
    <w:rsid w:val="10BA05B4"/>
    <w:rsid w:val="10BD69F8"/>
    <w:rsid w:val="10BE733F"/>
    <w:rsid w:val="10C06C14"/>
    <w:rsid w:val="10C13627"/>
    <w:rsid w:val="10C31666"/>
    <w:rsid w:val="10C43531"/>
    <w:rsid w:val="10C53C9A"/>
    <w:rsid w:val="10C602C6"/>
    <w:rsid w:val="10C7119F"/>
    <w:rsid w:val="10CA4C2E"/>
    <w:rsid w:val="10CA7A92"/>
    <w:rsid w:val="10CB7366"/>
    <w:rsid w:val="10CD7582"/>
    <w:rsid w:val="10CD7E52"/>
    <w:rsid w:val="10CE7DDB"/>
    <w:rsid w:val="10D03DBD"/>
    <w:rsid w:val="10D07F53"/>
    <w:rsid w:val="10D10FCE"/>
    <w:rsid w:val="10D428D6"/>
    <w:rsid w:val="10D551BC"/>
    <w:rsid w:val="10D66437"/>
    <w:rsid w:val="10D76236"/>
    <w:rsid w:val="10D7678C"/>
    <w:rsid w:val="10DB6058"/>
    <w:rsid w:val="10DD77C5"/>
    <w:rsid w:val="10DE1CA4"/>
    <w:rsid w:val="10DF0AE1"/>
    <w:rsid w:val="10E022CF"/>
    <w:rsid w:val="10E42E83"/>
    <w:rsid w:val="10E53A8D"/>
    <w:rsid w:val="10E637F4"/>
    <w:rsid w:val="10E82B6D"/>
    <w:rsid w:val="10E94AC2"/>
    <w:rsid w:val="10EA0B23"/>
    <w:rsid w:val="10EA1A0B"/>
    <w:rsid w:val="10EC3A3F"/>
    <w:rsid w:val="10EC6C53"/>
    <w:rsid w:val="10EE4F14"/>
    <w:rsid w:val="10EF574B"/>
    <w:rsid w:val="10EF5D73"/>
    <w:rsid w:val="10EF799B"/>
    <w:rsid w:val="10F01DC4"/>
    <w:rsid w:val="10F20D97"/>
    <w:rsid w:val="10F20DC2"/>
    <w:rsid w:val="10F33CB6"/>
    <w:rsid w:val="10F3555E"/>
    <w:rsid w:val="10F60887"/>
    <w:rsid w:val="10F62523"/>
    <w:rsid w:val="10F86900"/>
    <w:rsid w:val="10F9273A"/>
    <w:rsid w:val="10FB1F86"/>
    <w:rsid w:val="10FB7C4C"/>
    <w:rsid w:val="10FC5772"/>
    <w:rsid w:val="10FD1B60"/>
    <w:rsid w:val="10FD3C99"/>
    <w:rsid w:val="10FD4EE8"/>
    <w:rsid w:val="10FE14EA"/>
    <w:rsid w:val="11000BEA"/>
    <w:rsid w:val="11000E15"/>
    <w:rsid w:val="11017E6E"/>
    <w:rsid w:val="11042690"/>
    <w:rsid w:val="11044600"/>
    <w:rsid w:val="1109192F"/>
    <w:rsid w:val="110C32DA"/>
    <w:rsid w:val="110C4E62"/>
    <w:rsid w:val="110D48B2"/>
    <w:rsid w:val="1111746F"/>
    <w:rsid w:val="11132AE4"/>
    <w:rsid w:val="11134DD6"/>
    <w:rsid w:val="11145FBB"/>
    <w:rsid w:val="11145FEB"/>
    <w:rsid w:val="11156B59"/>
    <w:rsid w:val="11160F29"/>
    <w:rsid w:val="111927C8"/>
    <w:rsid w:val="111A6C61"/>
    <w:rsid w:val="111E36A6"/>
    <w:rsid w:val="11203B56"/>
    <w:rsid w:val="11206FB7"/>
    <w:rsid w:val="11207143"/>
    <w:rsid w:val="11230F50"/>
    <w:rsid w:val="11233241"/>
    <w:rsid w:val="11233511"/>
    <w:rsid w:val="11254CC9"/>
    <w:rsid w:val="11291F54"/>
    <w:rsid w:val="112A22DF"/>
    <w:rsid w:val="112C24FB"/>
    <w:rsid w:val="112E152D"/>
    <w:rsid w:val="112F1F07"/>
    <w:rsid w:val="11301F04"/>
    <w:rsid w:val="11332015"/>
    <w:rsid w:val="11357581"/>
    <w:rsid w:val="113759C4"/>
    <w:rsid w:val="11380EA0"/>
    <w:rsid w:val="113849FC"/>
    <w:rsid w:val="113B0990"/>
    <w:rsid w:val="113B3A70"/>
    <w:rsid w:val="113C22BB"/>
    <w:rsid w:val="113D64B6"/>
    <w:rsid w:val="11411D58"/>
    <w:rsid w:val="114159F0"/>
    <w:rsid w:val="1141750D"/>
    <w:rsid w:val="114335B5"/>
    <w:rsid w:val="11433763"/>
    <w:rsid w:val="11447845"/>
    <w:rsid w:val="1145536B"/>
    <w:rsid w:val="11483534"/>
    <w:rsid w:val="114958B1"/>
    <w:rsid w:val="114A5843"/>
    <w:rsid w:val="114A5E54"/>
    <w:rsid w:val="114D291B"/>
    <w:rsid w:val="114E2471"/>
    <w:rsid w:val="11517516"/>
    <w:rsid w:val="11531CF9"/>
    <w:rsid w:val="115437F5"/>
    <w:rsid w:val="11551A52"/>
    <w:rsid w:val="11554924"/>
    <w:rsid w:val="11584D21"/>
    <w:rsid w:val="115858CC"/>
    <w:rsid w:val="11590387"/>
    <w:rsid w:val="1159577D"/>
    <w:rsid w:val="115978F2"/>
    <w:rsid w:val="115B1C24"/>
    <w:rsid w:val="115C36A2"/>
    <w:rsid w:val="115F2ACD"/>
    <w:rsid w:val="115F7F76"/>
    <w:rsid w:val="11665A0D"/>
    <w:rsid w:val="116820A7"/>
    <w:rsid w:val="11683AAE"/>
    <w:rsid w:val="11691059"/>
    <w:rsid w:val="11696FBD"/>
    <w:rsid w:val="116A0647"/>
    <w:rsid w:val="116B17C8"/>
    <w:rsid w:val="116B48D8"/>
    <w:rsid w:val="116C1308"/>
    <w:rsid w:val="116C6DD9"/>
    <w:rsid w:val="116F23E8"/>
    <w:rsid w:val="116F2B2A"/>
    <w:rsid w:val="116F5CF2"/>
    <w:rsid w:val="117046E9"/>
    <w:rsid w:val="1173012A"/>
    <w:rsid w:val="11731ED8"/>
    <w:rsid w:val="117479FE"/>
    <w:rsid w:val="11754CFE"/>
    <w:rsid w:val="1179579B"/>
    <w:rsid w:val="117B09A4"/>
    <w:rsid w:val="117B2B3A"/>
    <w:rsid w:val="117D3A12"/>
    <w:rsid w:val="117D68B3"/>
    <w:rsid w:val="117E4F07"/>
    <w:rsid w:val="117F087D"/>
    <w:rsid w:val="117F21AD"/>
    <w:rsid w:val="117F5254"/>
    <w:rsid w:val="11811267"/>
    <w:rsid w:val="1182211B"/>
    <w:rsid w:val="118253BD"/>
    <w:rsid w:val="11837FA6"/>
    <w:rsid w:val="1184061B"/>
    <w:rsid w:val="11850FF5"/>
    <w:rsid w:val="11866A0B"/>
    <w:rsid w:val="11876972"/>
    <w:rsid w:val="11893031"/>
    <w:rsid w:val="118A0FD0"/>
    <w:rsid w:val="118B7221"/>
    <w:rsid w:val="118C1040"/>
    <w:rsid w:val="118E1F9D"/>
    <w:rsid w:val="118F0496"/>
    <w:rsid w:val="119043FC"/>
    <w:rsid w:val="119360D6"/>
    <w:rsid w:val="11965BC6"/>
    <w:rsid w:val="119875D6"/>
    <w:rsid w:val="119921B4"/>
    <w:rsid w:val="119A3979"/>
    <w:rsid w:val="119D51A7"/>
    <w:rsid w:val="11A37BF8"/>
    <w:rsid w:val="11A42091"/>
    <w:rsid w:val="11A55E09"/>
    <w:rsid w:val="11A77DD3"/>
    <w:rsid w:val="11A976A8"/>
    <w:rsid w:val="11AA3420"/>
    <w:rsid w:val="11AB6A8E"/>
    <w:rsid w:val="11AC53EA"/>
    <w:rsid w:val="11AC7198"/>
    <w:rsid w:val="11AD363C"/>
    <w:rsid w:val="11AE2F10"/>
    <w:rsid w:val="11B00C21"/>
    <w:rsid w:val="11B04EDA"/>
    <w:rsid w:val="11B06C88"/>
    <w:rsid w:val="11B102A4"/>
    <w:rsid w:val="11B623A6"/>
    <w:rsid w:val="11B84D73"/>
    <w:rsid w:val="11B86BB3"/>
    <w:rsid w:val="11B9277A"/>
    <w:rsid w:val="11BC387F"/>
    <w:rsid w:val="11C259B0"/>
    <w:rsid w:val="11C26472"/>
    <w:rsid w:val="11C3320D"/>
    <w:rsid w:val="11C50B37"/>
    <w:rsid w:val="11C72ECF"/>
    <w:rsid w:val="11C921BB"/>
    <w:rsid w:val="11CB34A5"/>
    <w:rsid w:val="11CB3AC2"/>
    <w:rsid w:val="11CC783A"/>
    <w:rsid w:val="11CD10A4"/>
    <w:rsid w:val="11D01DAF"/>
    <w:rsid w:val="11D0732A"/>
    <w:rsid w:val="11D13A86"/>
    <w:rsid w:val="11D30BC8"/>
    <w:rsid w:val="11D34725"/>
    <w:rsid w:val="11D6781A"/>
    <w:rsid w:val="11D706B9"/>
    <w:rsid w:val="11D81D3B"/>
    <w:rsid w:val="11D861DF"/>
    <w:rsid w:val="11DA4B02"/>
    <w:rsid w:val="11DE3923"/>
    <w:rsid w:val="11DF131B"/>
    <w:rsid w:val="11DF3D93"/>
    <w:rsid w:val="11E105A8"/>
    <w:rsid w:val="11E22BBA"/>
    <w:rsid w:val="11E80EC5"/>
    <w:rsid w:val="11E905CC"/>
    <w:rsid w:val="11E92AA7"/>
    <w:rsid w:val="11E93504"/>
    <w:rsid w:val="11E959DE"/>
    <w:rsid w:val="11EB462D"/>
    <w:rsid w:val="11EB5F12"/>
    <w:rsid w:val="11EC46CE"/>
    <w:rsid w:val="11ED440A"/>
    <w:rsid w:val="11EE5A02"/>
    <w:rsid w:val="11EE68A3"/>
    <w:rsid w:val="11EE77B0"/>
    <w:rsid w:val="11EF0C93"/>
    <w:rsid w:val="11F04D89"/>
    <w:rsid w:val="11F2192F"/>
    <w:rsid w:val="11F36B75"/>
    <w:rsid w:val="11F42AB7"/>
    <w:rsid w:val="11F528ED"/>
    <w:rsid w:val="11F8062F"/>
    <w:rsid w:val="11F87E50"/>
    <w:rsid w:val="11FA3CA4"/>
    <w:rsid w:val="11FC0DFE"/>
    <w:rsid w:val="11FC1ECD"/>
    <w:rsid w:val="11FD4E7C"/>
    <w:rsid w:val="11FE25FC"/>
    <w:rsid w:val="11FE5F87"/>
    <w:rsid w:val="11FF25F0"/>
    <w:rsid w:val="11FF376C"/>
    <w:rsid w:val="120045B9"/>
    <w:rsid w:val="120359C4"/>
    <w:rsid w:val="120445BB"/>
    <w:rsid w:val="12071097"/>
    <w:rsid w:val="12073247"/>
    <w:rsid w:val="12084DCB"/>
    <w:rsid w:val="12086AC4"/>
    <w:rsid w:val="120901C8"/>
    <w:rsid w:val="12094801"/>
    <w:rsid w:val="12096398"/>
    <w:rsid w:val="120B3EBE"/>
    <w:rsid w:val="120C48EC"/>
    <w:rsid w:val="120C5118"/>
    <w:rsid w:val="120D18C3"/>
    <w:rsid w:val="120D4FB9"/>
    <w:rsid w:val="120F6523"/>
    <w:rsid w:val="12106795"/>
    <w:rsid w:val="12114F0A"/>
    <w:rsid w:val="12117DB8"/>
    <w:rsid w:val="12140944"/>
    <w:rsid w:val="12150342"/>
    <w:rsid w:val="12165B7C"/>
    <w:rsid w:val="12173E38"/>
    <w:rsid w:val="12174F59"/>
    <w:rsid w:val="121B0DF1"/>
    <w:rsid w:val="121C3A86"/>
    <w:rsid w:val="121C7959"/>
    <w:rsid w:val="121D5F1E"/>
    <w:rsid w:val="121F1CA1"/>
    <w:rsid w:val="12211CB2"/>
    <w:rsid w:val="12227E74"/>
    <w:rsid w:val="122469F0"/>
    <w:rsid w:val="12247EBB"/>
    <w:rsid w:val="1225307D"/>
    <w:rsid w:val="122A10DC"/>
    <w:rsid w:val="122D43E0"/>
    <w:rsid w:val="122F5A80"/>
    <w:rsid w:val="122F5C9E"/>
    <w:rsid w:val="12305DC1"/>
    <w:rsid w:val="12307DC9"/>
    <w:rsid w:val="12310ACC"/>
    <w:rsid w:val="12331667"/>
    <w:rsid w:val="123509AA"/>
    <w:rsid w:val="12354002"/>
    <w:rsid w:val="12354DC5"/>
    <w:rsid w:val="12374CB3"/>
    <w:rsid w:val="123821AF"/>
    <w:rsid w:val="123E6644"/>
    <w:rsid w:val="124039AB"/>
    <w:rsid w:val="124113DA"/>
    <w:rsid w:val="12413CE6"/>
    <w:rsid w:val="12415356"/>
    <w:rsid w:val="12421AD2"/>
    <w:rsid w:val="12434776"/>
    <w:rsid w:val="12435D4E"/>
    <w:rsid w:val="1246139A"/>
    <w:rsid w:val="12487DEA"/>
    <w:rsid w:val="12490E8B"/>
    <w:rsid w:val="12493E7B"/>
    <w:rsid w:val="124A70DD"/>
    <w:rsid w:val="124D44D7"/>
    <w:rsid w:val="124D46AA"/>
    <w:rsid w:val="124D485B"/>
    <w:rsid w:val="124F46F3"/>
    <w:rsid w:val="12505D75"/>
    <w:rsid w:val="12510688"/>
    <w:rsid w:val="125352C6"/>
    <w:rsid w:val="125515DD"/>
    <w:rsid w:val="125B2945"/>
    <w:rsid w:val="125C04F9"/>
    <w:rsid w:val="125C2646"/>
    <w:rsid w:val="125C296C"/>
    <w:rsid w:val="125C6E10"/>
    <w:rsid w:val="125D34BF"/>
    <w:rsid w:val="125D7E81"/>
    <w:rsid w:val="125E66E4"/>
    <w:rsid w:val="125E728B"/>
    <w:rsid w:val="125F4915"/>
    <w:rsid w:val="125F6E0B"/>
    <w:rsid w:val="126006AE"/>
    <w:rsid w:val="12612E3B"/>
    <w:rsid w:val="126239DA"/>
    <w:rsid w:val="1262695E"/>
    <w:rsid w:val="12633CFA"/>
    <w:rsid w:val="1263406F"/>
    <w:rsid w:val="12641821"/>
    <w:rsid w:val="12641C51"/>
    <w:rsid w:val="12670304"/>
    <w:rsid w:val="12681311"/>
    <w:rsid w:val="126A21C6"/>
    <w:rsid w:val="126B2BAF"/>
    <w:rsid w:val="126B77EA"/>
    <w:rsid w:val="126B7946"/>
    <w:rsid w:val="126C57AE"/>
    <w:rsid w:val="126D2DCB"/>
    <w:rsid w:val="1270428C"/>
    <w:rsid w:val="12706417"/>
    <w:rsid w:val="12715F93"/>
    <w:rsid w:val="1272218F"/>
    <w:rsid w:val="12723F3D"/>
    <w:rsid w:val="12746C43"/>
    <w:rsid w:val="12750005"/>
    <w:rsid w:val="12773533"/>
    <w:rsid w:val="127736F8"/>
    <w:rsid w:val="1278774A"/>
    <w:rsid w:val="127A580F"/>
    <w:rsid w:val="127A7296"/>
    <w:rsid w:val="127C6BF9"/>
    <w:rsid w:val="127E6D86"/>
    <w:rsid w:val="1283439D"/>
    <w:rsid w:val="128418B0"/>
    <w:rsid w:val="12856363"/>
    <w:rsid w:val="1286046F"/>
    <w:rsid w:val="12866C26"/>
    <w:rsid w:val="128679E9"/>
    <w:rsid w:val="12874320"/>
    <w:rsid w:val="12877275"/>
    <w:rsid w:val="128819B3"/>
    <w:rsid w:val="1289059B"/>
    <w:rsid w:val="128D1685"/>
    <w:rsid w:val="128D4E55"/>
    <w:rsid w:val="128D521B"/>
    <w:rsid w:val="128F15C7"/>
    <w:rsid w:val="128F2D41"/>
    <w:rsid w:val="12923C07"/>
    <w:rsid w:val="129465AA"/>
    <w:rsid w:val="12970D0C"/>
    <w:rsid w:val="129810EB"/>
    <w:rsid w:val="129917CE"/>
    <w:rsid w:val="12993BC0"/>
    <w:rsid w:val="1299771C"/>
    <w:rsid w:val="129C6D40"/>
    <w:rsid w:val="129C720C"/>
    <w:rsid w:val="129D174E"/>
    <w:rsid w:val="129D3338"/>
    <w:rsid w:val="129E11D6"/>
    <w:rsid w:val="129E12BF"/>
    <w:rsid w:val="129E2710"/>
    <w:rsid w:val="129F0B27"/>
    <w:rsid w:val="12A008D9"/>
    <w:rsid w:val="12A00B8E"/>
    <w:rsid w:val="12A06592"/>
    <w:rsid w:val="12A10762"/>
    <w:rsid w:val="12A123D0"/>
    <w:rsid w:val="12A2100D"/>
    <w:rsid w:val="12A46BBF"/>
    <w:rsid w:val="12A65AFE"/>
    <w:rsid w:val="12A731F1"/>
    <w:rsid w:val="12A762DD"/>
    <w:rsid w:val="12AA36D7"/>
    <w:rsid w:val="12AA751F"/>
    <w:rsid w:val="12AB56A1"/>
    <w:rsid w:val="12AC00B3"/>
    <w:rsid w:val="12B02AA2"/>
    <w:rsid w:val="12B13117"/>
    <w:rsid w:val="12B21DF1"/>
    <w:rsid w:val="12B24CF1"/>
    <w:rsid w:val="12B6302C"/>
    <w:rsid w:val="12B66927"/>
    <w:rsid w:val="12B75DF4"/>
    <w:rsid w:val="12BA7F95"/>
    <w:rsid w:val="12BC78AF"/>
    <w:rsid w:val="12C119AD"/>
    <w:rsid w:val="12C2254C"/>
    <w:rsid w:val="12C27362"/>
    <w:rsid w:val="12C30C3D"/>
    <w:rsid w:val="12C56763"/>
    <w:rsid w:val="12C7072D"/>
    <w:rsid w:val="12C81CDA"/>
    <w:rsid w:val="12C87C43"/>
    <w:rsid w:val="12CA3D79"/>
    <w:rsid w:val="12D152D7"/>
    <w:rsid w:val="12D1661F"/>
    <w:rsid w:val="12D40754"/>
    <w:rsid w:val="12D4518B"/>
    <w:rsid w:val="12D673A1"/>
    <w:rsid w:val="12D76496"/>
    <w:rsid w:val="12DB3F70"/>
    <w:rsid w:val="12DB7D35"/>
    <w:rsid w:val="12DC5736"/>
    <w:rsid w:val="12DD25BE"/>
    <w:rsid w:val="12E03024"/>
    <w:rsid w:val="12E12E71"/>
    <w:rsid w:val="12E15BF5"/>
    <w:rsid w:val="12E16E1E"/>
    <w:rsid w:val="12E25944"/>
    <w:rsid w:val="12E31121"/>
    <w:rsid w:val="12E438B8"/>
    <w:rsid w:val="12E51E04"/>
    <w:rsid w:val="12E62E17"/>
    <w:rsid w:val="12E84200"/>
    <w:rsid w:val="12EC0194"/>
    <w:rsid w:val="12EF3A78"/>
    <w:rsid w:val="12F17558"/>
    <w:rsid w:val="12F25370"/>
    <w:rsid w:val="12F4756B"/>
    <w:rsid w:val="12F901BB"/>
    <w:rsid w:val="12FA4174"/>
    <w:rsid w:val="12FF1F53"/>
    <w:rsid w:val="130306AC"/>
    <w:rsid w:val="13030C10"/>
    <w:rsid w:val="13031039"/>
    <w:rsid w:val="13053004"/>
    <w:rsid w:val="13062DF3"/>
    <w:rsid w:val="13070B2A"/>
    <w:rsid w:val="13074FAD"/>
    <w:rsid w:val="13092230"/>
    <w:rsid w:val="130A686C"/>
    <w:rsid w:val="130B7EEE"/>
    <w:rsid w:val="130C0BB1"/>
    <w:rsid w:val="130C5702"/>
    <w:rsid w:val="130D35FE"/>
    <w:rsid w:val="13100C86"/>
    <w:rsid w:val="13113756"/>
    <w:rsid w:val="13143B13"/>
    <w:rsid w:val="13166FBF"/>
    <w:rsid w:val="13180F89"/>
    <w:rsid w:val="13187EEF"/>
    <w:rsid w:val="131B4080"/>
    <w:rsid w:val="131B6C24"/>
    <w:rsid w:val="131E2317"/>
    <w:rsid w:val="132150AB"/>
    <w:rsid w:val="13222DD7"/>
    <w:rsid w:val="132304F1"/>
    <w:rsid w:val="13250FB0"/>
    <w:rsid w:val="132536A6"/>
    <w:rsid w:val="13254ACC"/>
    <w:rsid w:val="13257E3E"/>
    <w:rsid w:val="13272F7A"/>
    <w:rsid w:val="132A46C9"/>
    <w:rsid w:val="132A4818"/>
    <w:rsid w:val="132B2306"/>
    <w:rsid w:val="132C0590"/>
    <w:rsid w:val="132F62D2"/>
    <w:rsid w:val="13310ECA"/>
    <w:rsid w:val="1334601B"/>
    <w:rsid w:val="13346AFF"/>
    <w:rsid w:val="1335392F"/>
    <w:rsid w:val="13370CE3"/>
    <w:rsid w:val="133819D7"/>
    <w:rsid w:val="13386F35"/>
    <w:rsid w:val="13394454"/>
    <w:rsid w:val="13394A5B"/>
    <w:rsid w:val="134078C5"/>
    <w:rsid w:val="13421B62"/>
    <w:rsid w:val="13472909"/>
    <w:rsid w:val="134978E1"/>
    <w:rsid w:val="134A0A16"/>
    <w:rsid w:val="134A3724"/>
    <w:rsid w:val="134B6D73"/>
    <w:rsid w:val="134D0507"/>
    <w:rsid w:val="135112BC"/>
    <w:rsid w:val="135252F0"/>
    <w:rsid w:val="13540978"/>
    <w:rsid w:val="13581C4E"/>
    <w:rsid w:val="135875D7"/>
    <w:rsid w:val="135A1DCA"/>
    <w:rsid w:val="135A6D83"/>
    <w:rsid w:val="135A76B3"/>
    <w:rsid w:val="135B28FA"/>
    <w:rsid w:val="135B70C7"/>
    <w:rsid w:val="135E0614"/>
    <w:rsid w:val="135E0B7B"/>
    <w:rsid w:val="135F33AF"/>
    <w:rsid w:val="135F6D12"/>
    <w:rsid w:val="136033A5"/>
    <w:rsid w:val="136216A5"/>
    <w:rsid w:val="1362610F"/>
    <w:rsid w:val="1363163E"/>
    <w:rsid w:val="136339C5"/>
    <w:rsid w:val="13641B1C"/>
    <w:rsid w:val="1364201A"/>
    <w:rsid w:val="13662F80"/>
    <w:rsid w:val="136917E4"/>
    <w:rsid w:val="136944F3"/>
    <w:rsid w:val="136A10B9"/>
    <w:rsid w:val="136B6FEA"/>
    <w:rsid w:val="136C4E31"/>
    <w:rsid w:val="136E4165"/>
    <w:rsid w:val="136F13DE"/>
    <w:rsid w:val="136F1AA4"/>
    <w:rsid w:val="13720B07"/>
    <w:rsid w:val="1372252E"/>
    <w:rsid w:val="1372792E"/>
    <w:rsid w:val="13727D5F"/>
    <w:rsid w:val="137379E5"/>
    <w:rsid w:val="13741CAE"/>
    <w:rsid w:val="1376180B"/>
    <w:rsid w:val="13763F01"/>
    <w:rsid w:val="13773C1D"/>
    <w:rsid w:val="13794181"/>
    <w:rsid w:val="137A4EB8"/>
    <w:rsid w:val="137C59C3"/>
    <w:rsid w:val="137C69C5"/>
    <w:rsid w:val="137D2B9A"/>
    <w:rsid w:val="137E6912"/>
    <w:rsid w:val="137F057F"/>
    <w:rsid w:val="1382348A"/>
    <w:rsid w:val="13824654"/>
    <w:rsid w:val="13826B52"/>
    <w:rsid w:val="13852BA3"/>
    <w:rsid w:val="13855EF2"/>
    <w:rsid w:val="138F0B1F"/>
    <w:rsid w:val="138F56AA"/>
    <w:rsid w:val="13904FC3"/>
    <w:rsid w:val="13907C7B"/>
    <w:rsid w:val="139158EF"/>
    <w:rsid w:val="139273EA"/>
    <w:rsid w:val="13941C69"/>
    <w:rsid w:val="139634F5"/>
    <w:rsid w:val="13963FB4"/>
    <w:rsid w:val="139879D4"/>
    <w:rsid w:val="139A2960"/>
    <w:rsid w:val="139B20B6"/>
    <w:rsid w:val="139B5716"/>
    <w:rsid w:val="139B6A1A"/>
    <w:rsid w:val="139D1FD3"/>
    <w:rsid w:val="139D2F6D"/>
    <w:rsid w:val="139F52BA"/>
    <w:rsid w:val="13A02A34"/>
    <w:rsid w:val="13A02D2C"/>
    <w:rsid w:val="13A02FC9"/>
    <w:rsid w:val="13A229E5"/>
    <w:rsid w:val="13A237E3"/>
    <w:rsid w:val="13A445CA"/>
    <w:rsid w:val="13A46379"/>
    <w:rsid w:val="13A548EC"/>
    <w:rsid w:val="13A62096"/>
    <w:rsid w:val="13A75E69"/>
    <w:rsid w:val="13A86900"/>
    <w:rsid w:val="13AB1B19"/>
    <w:rsid w:val="13AB3BAB"/>
    <w:rsid w:val="13AC72E2"/>
    <w:rsid w:val="13AD12D3"/>
    <w:rsid w:val="13AE5449"/>
    <w:rsid w:val="13B01BAF"/>
    <w:rsid w:val="13B219F1"/>
    <w:rsid w:val="13B25C29"/>
    <w:rsid w:val="13B57024"/>
    <w:rsid w:val="13B80076"/>
    <w:rsid w:val="13B87923"/>
    <w:rsid w:val="13B91121"/>
    <w:rsid w:val="13BA3DEE"/>
    <w:rsid w:val="13BA642C"/>
    <w:rsid w:val="13BB4E27"/>
    <w:rsid w:val="13BC129B"/>
    <w:rsid w:val="13BC69D1"/>
    <w:rsid w:val="13BC6B86"/>
    <w:rsid w:val="13BE4ED6"/>
    <w:rsid w:val="13BE6327"/>
    <w:rsid w:val="13C31A90"/>
    <w:rsid w:val="13C457DA"/>
    <w:rsid w:val="13C50D8E"/>
    <w:rsid w:val="13C91EAD"/>
    <w:rsid w:val="13C94031"/>
    <w:rsid w:val="13CA50FE"/>
    <w:rsid w:val="13CA5182"/>
    <w:rsid w:val="13CC58CF"/>
    <w:rsid w:val="13CE1DAC"/>
    <w:rsid w:val="13CF3182"/>
    <w:rsid w:val="13D05BAA"/>
    <w:rsid w:val="13D33692"/>
    <w:rsid w:val="13D44784"/>
    <w:rsid w:val="13D5058C"/>
    <w:rsid w:val="13D5558E"/>
    <w:rsid w:val="13D64215"/>
    <w:rsid w:val="13D9109B"/>
    <w:rsid w:val="13DA3C79"/>
    <w:rsid w:val="13DA7FEC"/>
    <w:rsid w:val="13DB3D64"/>
    <w:rsid w:val="13DC045F"/>
    <w:rsid w:val="13DC7CBE"/>
    <w:rsid w:val="13DD5297"/>
    <w:rsid w:val="13DE01AE"/>
    <w:rsid w:val="13DF3855"/>
    <w:rsid w:val="13E1581F"/>
    <w:rsid w:val="13E360E3"/>
    <w:rsid w:val="13E42C19"/>
    <w:rsid w:val="13E453EC"/>
    <w:rsid w:val="13E55C7E"/>
    <w:rsid w:val="13E72648"/>
    <w:rsid w:val="13E744B7"/>
    <w:rsid w:val="13E90A6D"/>
    <w:rsid w:val="13EA2A63"/>
    <w:rsid w:val="13EE3A98"/>
    <w:rsid w:val="13F033FE"/>
    <w:rsid w:val="13F161B0"/>
    <w:rsid w:val="13F31366"/>
    <w:rsid w:val="13F33B15"/>
    <w:rsid w:val="13F52407"/>
    <w:rsid w:val="13F8024E"/>
    <w:rsid w:val="13F84916"/>
    <w:rsid w:val="13FA1706"/>
    <w:rsid w:val="13FC61B5"/>
    <w:rsid w:val="13FD017F"/>
    <w:rsid w:val="13FD7798"/>
    <w:rsid w:val="13FE2B7B"/>
    <w:rsid w:val="13FF1D23"/>
    <w:rsid w:val="14015BF6"/>
    <w:rsid w:val="140557CC"/>
    <w:rsid w:val="14090816"/>
    <w:rsid w:val="140A1203"/>
    <w:rsid w:val="140D0F89"/>
    <w:rsid w:val="140D5923"/>
    <w:rsid w:val="140D6614"/>
    <w:rsid w:val="140F1BAC"/>
    <w:rsid w:val="14113D6E"/>
    <w:rsid w:val="141258FF"/>
    <w:rsid w:val="141677C0"/>
    <w:rsid w:val="14170C09"/>
    <w:rsid w:val="14172F0F"/>
    <w:rsid w:val="1418676F"/>
    <w:rsid w:val="141D05A9"/>
    <w:rsid w:val="141D25CF"/>
    <w:rsid w:val="141D3A32"/>
    <w:rsid w:val="141E4167"/>
    <w:rsid w:val="1424570B"/>
    <w:rsid w:val="14253DD2"/>
    <w:rsid w:val="14261483"/>
    <w:rsid w:val="1427103E"/>
    <w:rsid w:val="14297055"/>
    <w:rsid w:val="142E1DE4"/>
    <w:rsid w:val="14302FFD"/>
    <w:rsid w:val="14303CF6"/>
    <w:rsid w:val="14303ED1"/>
    <w:rsid w:val="1431336E"/>
    <w:rsid w:val="143533EF"/>
    <w:rsid w:val="143568CC"/>
    <w:rsid w:val="14357918"/>
    <w:rsid w:val="14363F8E"/>
    <w:rsid w:val="14373691"/>
    <w:rsid w:val="14376624"/>
    <w:rsid w:val="14382F65"/>
    <w:rsid w:val="143D2049"/>
    <w:rsid w:val="14407B8F"/>
    <w:rsid w:val="14411525"/>
    <w:rsid w:val="14474028"/>
    <w:rsid w:val="144906F3"/>
    <w:rsid w:val="14494C31"/>
    <w:rsid w:val="144C07BE"/>
    <w:rsid w:val="144D6A10"/>
    <w:rsid w:val="144D6AC7"/>
    <w:rsid w:val="14503E8B"/>
    <w:rsid w:val="14504752"/>
    <w:rsid w:val="14514CBA"/>
    <w:rsid w:val="14544153"/>
    <w:rsid w:val="14544B04"/>
    <w:rsid w:val="14551D69"/>
    <w:rsid w:val="1455356B"/>
    <w:rsid w:val="1457163D"/>
    <w:rsid w:val="14574514"/>
    <w:rsid w:val="14585A0B"/>
    <w:rsid w:val="14593065"/>
    <w:rsid w:val="145A2EDB"/>
    <w:rsid w:val="145A5405"/>
    <w:rsid w:val="145C06AD"/>
    <w:rsid w:val="145C6C53"/>
    <w:rsid w:val="145D78E2"/>
    <w:rsid w:val="145E01B4"/>
    <w:rsid w:val="1460499A"/>
    <w:rsid w:val="14636234"/>
    <w:rsid w:val="146401FE"/>
    <w:rsid w:val="1467633E"/>
    <w:rsid w:val="14684F04"/>
    <w:rsid w:val="146B7D9A"/>
    <w:rsid w:val="146D2C0E"/>
    <w:rsid w:val="147025DB"/>
    <w:rsid w:val="147026FF"/>
    <w:rsid w:val="14703E00"/>
    <w:rsid w:val="14740441"/>
    <w:rsid w:val="14750A45"/>
    <w:rsid w:val="14755F67"/>
    <w:rsid w:val="14761AB0"/>
    <w:rsid w:val="14770888"/>
    <w:rsid w:val="147771C0"/>
    <w:rsid w:val="14777F31"/>
    <w:rsid w:val="1478581C"/>
    <w:rsid w:val="147A532B"/>
    <w:rsid w:val="147C53FA"/>
    <w:rsid w:val="147D0C2D"/>
    <w:rsid w:val="147E354D"/>
    <w:rsid w:val="148220D1"/>
    <w:rsid w:val="148264B3"/>
    <w:rsid w:val="14830684"/>
    <w:rsid w:val="14847F58"/>
    <w:rsid w:val="14854B65"/>
    <w:rsid w:val="148604FB"/>
    <w:rsid w:val="14861CDF"/>
    <w:rsid w:val="14861F22"/>
    <w:rsid w:val="14863C78"/>
    <w:rsid w:val="1487316F"/>
    <w:rsid w:val="14885D40"/>
    <w:rsid w:val="148C5F1B"/>
    <w:rsid w:val="148E0DD7"/>
    <w:rsid w:val="148E17B3"/>
    <w:rsid w:val="14916941"/>
    <w:rsid w:val="149208C7"/>
    <w:rsid w:val="14924A28"/>
    <w:rsid w:val="1493417A"/>
    <w:rsid w:val="14946EB4"/>
    <w:rsid w:val="14993680"/>
    <w:rsid w:val="149B1E11"/>
    <w:rsid w:val="149C1D25"/>
    <w:rsid w:val="149C34F4"/>
    <w:rsid w:val="149C36AB"/>
    <w:rsid w:val="149E7F66"/>
    <w:rsid w:val="149F4D92"/>
    <w:rsid w:val="14A00BD6"/>
    <w:rsid w:val="14A14FAE"/>
    <w:rsid w:val="14A16D5C"/>
    <w:rsid w:val="14A25FF6"/>
    <w:rsid w:val="14A30D26"/>
    <w:rsid w:val="14A34882"/>
    <w:rsid w:val="14A53E9C"/>
    <w:rsid w:val="14A66FC8"/>
    <w:rsid w:val="14A73E19"/>
    <w:rsid w:val="14A90F1B"/>
    <w:rsid w:val="14AA5A8B"/>
    <w:rsid w:val="14AA7865"/>
    <w:rsid w:val="14AB1C41"/>
    <w:rsid w:val="14AB3737"/>
    <w:rsid w:val="14AD4E8A"/>
    <w:rsid w:val="14AD5701"/>
    <w:rsid w:val="14AE3227"/>
    <w:rsid w:val="14B20F69"/>
    <w:rsid w:val="14B35405"/>
    <w:rsid w:val="14B44CE1"/>
    <w:rsid w:val="14B46A8F"/>
    <w:rsid w:val="14B6767D"/>
    <w:rsid w:val="14B76A37"/>
    <w:rsid w:val="14BA1BCC"/>
    <w:rsid w:val="14BB5F83"/>
    <w:rsid w:val="14BB6070"/>
    <w:rsid w:val="14BC34EF"/>
    <w:rsid w:val="14BC5944"/>
    <w:rsid w:val="14BC7AEF"/>
    <w:rsid w:val="14BD72BC"/>
    <w:rsid w:val="14BE12A4"/>
    <w:rsid w:val="14C01B9E"/>
    <w:rsid w:val="14C04112"/>
    <w:rsid w:val="14C111AC"/>
    <w:rsid w:val="14C132A0"/>
    <w:rsid w:val="14C24725"/>
    <w:rsid w:val="14C31059"/>
    <w:rsid w:val="14C34F24"/>
    <w:rsid w:val="14C52A4A"/>
    <w:rsid w:val="14C554E8"/>
    <w:rsid w:val="14C667C2"/>
    <w:rsid w:val="14C76F80"/>
    <w:rsid w:val="14C77641"/>
    <w:rsid w:val="14C842E9"/>
    <w:rsid w:val="14CB202B"/>
    <w:rsid w:val="14CC4545"/>
    <w:rsid w:val="14CD2064"/>
    <w:rsid w:val="14CE0DC2"/>
    <w:rsid w:val="14CF5102"/>
    <w:rsid w:val="14D22CD0"/>
    <w:rsid w:val="14D25167"/>
    <w:rsid w:val="14D302E6"/>
    <w:rsid w:val="14D441CB"/>
    <w:rsid w:val="14D709D0"/>
    <w:rsid w:val="14D7452C"/>
    <w:rsid w:val="14D86C89"/>
    <w:rsid w:val="14DB1649"/>
    <w:rsid w:val="14DB27FF"/>
    <w:rsid w:val="14DF154F"/>
    <w:rsid w:val="14DF1632"/>
    <w:rsid w:val="14DF3FA4"/>
    <w:rsid w:val="14E15962"/>
    <w:rsid w:val="14E32ED1"/>
    <w:rsid w:val="14E43490"/>
    <w:rsid w:val="14E56E5D"/>
    <w:rsid w:val="14E86F37"/>
    <w:rsid w:val="14EA71B5"/>
    <w:rsid w:val="14EC25CE"/>
    <w:rsid w:val="14F00091"/>
    <w:rsid w:val="14F05A03"/>
    <w:rsid w:val="14F101A5"/>
    <w:rsid w:val="14F148C9"/>
    <w:rsid w:val="14F20433"/>
    <w:rsid w:val="14F21366"/>
    <w:rsid w:val="14F41582"/>
    <w:rsid w:val="14F44FF7"/>
    <w:rsid w:val="14F47D6F"/>
    <w:rsid w:val="14F6686F"/>
    <w:rsid w:val="14F74BCE"/>
    <w:rsid w:val="14FA57F5"/>
    <w:rsid w:val="14FC3E68"/>
    <w:rsid w:val="14FD6764"/>
    <w:rsid w:val="14FE31FA"/>
    <w:rsid w:val="14FE637E"/>
    <w:rsid w:val="14FF5901"/>
    <w:rsid w:val="15000AB2"/>
    <w:rsid w:val="150177FB"/>
    <w:rsid w:val="15040B10"/>
    <w:rsid w:val="150572EB"/>
    <w:rsid w:val="15086DDB"/>
    <w:rsid w:val="150B5600"/>
    <w:rsid w:val="150D43F1"/>
    <w:rsid w:val="150E2DA0"/>
    <w:rsid w:val="15114EE9"/>
    <w:rsid w:val="15146592"/>
    <w:rsid w:val="1514752E"/>
    <w:rsid w:val="15147E02"/>
    <w:rsid w:val="151544BD"/>
    <w:rsid w:val="1516690C"/>
    <w:rsid w:val="15173980"/>
    <w:rsid w:val="1518015B"/>
    <w:rsid w:val="15181B40"/>
    <w:rsid w:val="15187BCF"/>
    <w:rsid w:val="15192D96"/>
    <w:rsid w:val="15194B44"/>
    <w:rsid w:val="151A3F0B"/>
    <w:rsid w:val="151A7A3F"/>
    <w:rsid w:val="151E03AD"/>
    <w:rsid w:val="151F3448"/>
    <w:rsid w:val="151F53ED"/>
    <w:rsid w:val="15200185"/>
    <w:rsid w:val="15205ED3"/>
    <w:rsid w:val="15214D82"/>
    <w:rsid w:val="15232C77"/>
    <w:rsid w:val="152440BA"/>
    <w:rsid w:val="15252ECA"/>
    <w:rsid w:val="1526468A"/>
    <w:rsid w:val="15264F53"/>
    <w:rsid w:val="15270420"/>
    <w:rsid w:val="152710DE"/>
    <w:rsid w:val="152717B5"/>
    <w:rsid w:val="152754B3"/>
    <w:rsid w:val="15280A08"/>
    <w:rsid w:val="152B389A"/>
    <w:rsid w:val="152E1728"/>
    <w:rsid w:val="152E4A94"/>
    <w:rsid w:val="15321257"/>
    <w:rsid w:val="153224C3"/>
    <w:rsid w:val="153712EA"/>
    <w:rsid w:val="153876C0"/>
    <w:rsid w:val="153951E6"/>
    <w:rsid w:val="15397494"/>
    <w:rsid w:val="153C564B"/>
    <w:rsid w:val="153E7B26"/>
    <w:rsid w:val="15436DFC"/>
    <w:rsid w:val="1545703E"/>
    <w:rsid w:val="1546436C"/>
    <w:rsid w:val="154812D6"/>
    <w:rsid w:val="154A11A2"/>
    <w:rsid w:val="154C0D20"/>
    <w:rsid w:val="154C316C"/>
    <w:rsid w:val="154D055B"/>
    <w:rsid w:val="154D1B14"/>
    <w:rsid w:val="15502A51"/>
    <w:rsid w:val="15507259"/>
    <w:rsid w:val="1552003B"/>
    <w:rsid w:val="15525771"/>
    <w:rsid w:val="15527D29"/>
    <w:rsid w:val="155344FA"/>
    <w:rsid w:val="1553731D"/>
    <w:rsid w:val="15542020"/>
    <w:rsid w:val="15545B7C"/>
    <w:rsid w:val="15550E88"/>
    <w:rsid w:val="15554FFD"/>
    <w:rsid w:val="1556325C"/>
    <w:rsid w:val="155713D3"/>
    <w:rsid w:val="155A22B1"/>
    <w:rsid w:val="155B515D"/>
    <w:rsid w:val="155D0467"/>
    <w:rsid w:val="155D40D0"/>
    <w:rsid w:val="155E5FDC"/>
    <w:rsid w:val="155F3D15"/>
    <w:rsid w:val="156009C5"/>
    <w:rsid w:val="15602773"/>
    <w:rsid w:val="156048FD"/>
    <w:rsid w:val="15632263"/>
    <w:rsid w:val="15641C3A"/>
    <w:rsid w:val="156758B0"/>
    <w:rsid w:val="15682C87"/>
    <w:rsid w:val="15695999"/>
    <w:rsid w:val="15695C1E"/>
    <w:rsid w:val="156A62C2"/>
    <w:rsid w:val="156C736A"/>
    <w:rsid w:val="156D39D9"/>
    <w:rsid w:val="156D7B05"/>
    <w:rsid w:val="156E54F0"/>
    <w:rsid w:val="1570027A"/>
    <w:rsid w:val="15704A83"/>
    <w:rsid w:val="15727AA1"/>
    <w:rsid w:val="1573694A"/>
    <w:rsid w:val="15764F10"/>
    <w:rsid w:val="157A0988"/>
    <w:rsid w:val="157B1387"/>
    <w:rsid w:val="157B696D"/>
    <w:rsid w:val="157C1490"/>
    <w:rsid w:val="157D6AC5"/>
    <w:rsid w:val="157E72E3"/>
    <w:rsid w:val="15804BC3"/>
    <w:rsid w:val="1584502B"/>
    <w:rsid w:val="15862040"/>
    <w:rsid w:val="15862255"/>
    <w:rsid w:val="1587020D"/>
    <w:rsid w:val="158858A3"/>
    <w:rsid w:val="158B01CB"/>
    <w:rsid w:val="158C247F"/>
    <w:rsid w:val="158C5316"/>
    <w:rsid w:val="158D0C08"/>
    <w:rsid w:val="158E5532"/>
    <w:rsid w:val="158F12AA"/>
    <w:rsid w:val="158F5EB7"/>
    <w:rsid w:val="159132E8"/>
    <w:rsid w:val="15970B68"/>
    <w:rsid w:val="15976E40"/>
    <w:rsid w:val="15995A08"/>
    <w:rsid w:val="159A3ED7"/>
    <w:rsid w:val="159B19FD"/>
    <w:rsid w:val="159C764F"/>
    <w:rsid w:val="15A216E8"/>
    <w:rsid w:val="15A26B88"/>
    <w:rsid w:val="15A3389D"/>
    <w:rsid w:val="15A37B93"/>
    <w:rsid w:val="15A465EE"/>
    <w:rsid w:val="15A61E76"/>
    <w:rsid w:val="15A62EDD"/>
    <w:rsid w:val="15A738B8"/>
    <w:rsid w:val="15A73BB3"/>
    <w:rsid w:val="15A83D50"/>
    <w:rsid w:val="15AA1077"/>
    <w:rsid w:val="15AA1C40"/>
    <w:rsid w:val="15AA7A6B"/>
    <w:rsid w:val="15AC2239"/>
    <w:rsid w:val="15AE7982"/>
    <w:rsid w:val="15B14D7D"/>
    <w:rsid w:val="15B3129F"/>
    <w:rsid w:val="15B35F47"/>
    <w:rsid w:val="15B517FA"/>
    <w:rsid w:val="15B51BEE"/>
    <w:rsid w:val="15B52D1C"/>
    <w:rsid w:val="15B66837"/>
    <w:rsid w:val="15B90272"/>
    <w:rsid w:val="15B93563"/>
    <w:rsid w:val="15BC38F3"/>
    <w:rsid w:val="15BE02B0"/>
    <w:rsid w:val="15BE305A"/>
    <w:rsid w:val="15BE6635"/>
    <w:rsid w:val="15BE749A"/>
    <w:rsid w:val="15BF18BB"/>
    <w:rsid w:val="15BF393E"/>
    <w:rsid w:val="15C131C6"/>
    <w:rsid w:val="15C26F8A"/>
    <w:rsid w:val="15C5035C"/>
    <w:rsid w:val="15C63646"/>
    <w:rsid w:val="15C9585D"/>
    <w:rsid w:val="15C964D7"/>
    <w:rsid w:val="15CC1192"/>
    <w:rsid w:val="15CC4850"/>
    <w:rsid w:val="15CD7EBA"/>
    <w:rsid w:val="15CE1DD3"/>
    <w:rsid w:val="15CF4882"/>
    <w:rsid w:val="15D078F9"/>
    <w:rsid w:val="15D12640"/>
    <w:rsid w:val="15D145A9"/>
    <w:rsid w:val="15D26894"/>
    <w:rsid w:val="15D32F45"/>
    <w:rsid w:val="15D46F3B"/>
    <w:rsid w:val="15D55FD9"/>
    <w:rsid w:val="15D60C87"/>
    <w:rsid w:val="15D77522"/>
    <w:rsid w:val="15DB119D"/>
    <w:rsid w:val="15DC724A"/>
    <w:rsid w:val="15DD3DC4"/>
    <w:rsid w:val="15DE2644"/>
    <w:rsid w:val="15E158B9"/>
    <w:rsid w:val="15E17C25"/>
    <w:rsid w:val="15E213DA"/>
    <w:rsid w:val="15E2762C"/>
    <w:rsid w:val="15E45152"/>
    <w:rsid w:val="15E52C78"/>
    <w:rsid w:val="15E6711C"/>
    <w:rsid w:val="15E769F0"/>
    <w:rsid w:val="15E83887"/>
    <w:rsid w:val="15E96C25"/>
    <w:rsid w:val="15EA0776"/>
    <w:rsid w:val="15EA18AC"/>
    <w:rsid w:val="15EB0440"/>
    <w:rsid w:val="15EC2259"/>
    <w:rsid w:val="15EC4007"/>
    <w:rsid w:val="15EC5F5D"/>
    <w:rsid w:val="15EE4223"/>
    <w:rsid w:val="15EE7A56"/>
    <w:rsid w:val="15F1786F"/>
    <w:rsid w:val="15F5110D"/>
    <w:rsid w:val="15F51685"/>
    <w:rsid w:val="15F5735F"/>
    <w:rsid w:val="15F65C3E"/>
    <w:rsid w:val="15F66C34"/>
    <w:rsid w:val="15F83AFA"/>
    <w:rsid w:val="15F96CEE"/>
    <w:rsid w:val="15FA06DC"/>
    <w:rsid w:val="15FA2BC8"/>
    <w:rsid w:val="15FB06EE"/>
    <w:rsid w:val="15FB181A"/>
    <w:rsid w:val="15FB4C34"/>
    <w:rsid w:val="15FB52FC"/>
    <w:rsid w:val="15FB575E"/>
    <w:rsid w:val="15FC6940"/>
    <w:rsid w:val="15FD705D"/>
    <w:rsid w:val="15FE6638"/>
    <w:rsid w:val="15FF01DE"/>
    <w:rsid w:val="16007AB2"/>
    <w:rsid w:val="160141E5"/>
    <w:rsid w:val="1601480E"/>
    <w:rsid w:val="16016036"/>
    <w:rsid w:val="1602382A"/>
    <w:rsid w:val="16027CCE"/>
    <w:rsid w:val="16053813"/>
    <w:rsid w:val="160752E5"/>
    <w:rsid w:val="1608268E"/>
    <w:rsid w:val="16087DF0"/>
    <w:rsid w:val="16091C34"/>
    <w:rsid w:val="160C28FB"/>
    <w:rsid w:val="160C37C2"/>
    <w:rsid w:val="16101C02"/>
    <w:rsid w:val="16105F47"/>
    <w:rsid w:val="16113A6D"/>
    <w:rsid w:val="16122888"/>
    <w:rsid w:val="161329C4"/>
    <w:rsid w:val="16134180"/>
    <w:rsid w:val="16141C14"/>
    <w:rsid w:val="16167586"/>
    <w:rsid w:val="16181094"/>
    <w:rsid w:val="161964B9"/>
    <w:rsid w:val="161A5018"/>
    <w:rsid w:val="161A71A5"/>
    <w:rsid w:val="161D2412"/>
    <w:rsid w:val="161E6396"/>
    <w:rsid w:val="161F0733"/>
    <w:rsid w:val="161F0F67"/>
    <w:rsid w:val="16243949"/>
    <w:rsid w:val="16253AC2"/>
    <w:rsid w:val="16261A41"/>
    <w:rsid w:val="162639BD"/>
    <w:rsid w:val="162722CA"/>
    <w:rsid w:val="16273291"/>
    <w:rsid w:val="1629525B"/>
    <w:rsid w:val="162B4B9C"/>
    <w:rsid w:val="162F02D3"/>
    <w:rsid w:val="163065E9"/>
    <w:rsid w:val="16321ADC"/>
    <w:rsid w:val="16321CA0"/>
    <w:rsid w:val="16350E1D"/>
    <w:rsid w:val="16351A71"/>
    <w:rsid w:val="163559AE"/>
    <w:rsid w:val="16361726"/>
    <w:rsid w:val="16370C3B"/>
    <w:rsid w:val="163836F0"/>
    <w:rsid w:val="1638573A"/>
    <w:rsid w:val="163C1124"/>
    <w:rsid w:val="163C2A3C"/>
    <w:rsid w:val="163C5519"/>
    <w:rsid w:val="16415E64"/>
    <w:rsid w:val="164200CB"/>
    <w:rsid w:val="16431774"/>
    <w:rsid w:val="16442095"/>
    <w:rsid w:val="16443613"/>
    <w:rsid w:val="1645269A"/>
    <w:rsid w:val="164756E1"/>
    <w:rsid w:val="16493E28"/>
    <w:rsid w:val="164A3F23"/>
    <w:rsid w:val="164D0F49"/>
    <w:rsid w:val="164D33AB"/>
    <w:rsid w:val="164E02F9"/>
    <w:rsid w:val="164E3D34"/>
    <w:rsid w:val="164F3E57"/>
    <w:rsid w:val="16500A3A"/>
    <w:rsid w:val="16516EE3"/>
    <w:rsid w:val="165247B2"/>
    <w:rsid w:val="1653052A"/>
    <w:rsid w:val="1653246C"/>
    <w:rsid w:val="16534086"/>
    <w:rsid w:val="1653761D"/>
    <w:rsid w:val="165628A2"/>
    <w:rsid w:val="16567157"/>
    <w:rsid w:val="16567608"/>
    <w:rsid w:val="165775FB"/>
    <w:rsid w:val="16582CD5"/>
    <w:rsid w:val="165878EE"/>
    <w:rsid w:val="1659407E"/>
    <w:rsid w:val="165B2F3A"/>
    <w:rsid w:val="165B7DDA"/>
    <w:rsid w:val="165B7F9E"/>
    <w:rsid w:val="165C2F30"/>
    <w:rsid w:val="16645B4A"/>
    <w:rsid w:val="16656AFC"/>
    <w:rsid w:val="1666025D"/>
    <w:rsid w:val="16673E9F"/>
    <w:rsid w:val="16674055"/>
    <w:rsid w:val="1667601C"/>
    <w:rsid w:val="16693194"/>
    <w:rsid w:val="166A3AC7"/>
    <w:rsid w:val="166C69FB"/>
    <w:rsid w:val="166D15EC"/>
    <w:rsid w:val="166F67F7"/>
    <w:rsid w:val="16704907"/>
    <w:rsid w:val="16704C38"/>
    <w:rsid w:val="1670737F"/>
    <w:rsid w:val="1671080F"/>
    <w:rsid w:val="16734728"/>
    <w:rsid w:val="167504A0"/>
    <w:rsid w:val="16760486"/>
    <w:rsid w:val="1679289C"/>
    <w:rsid w:val="16795661"/>
    <w:rsid w:val="167969DD"/>
    <w:rsid w:val="167A3002"/>
    <w:rsid w:val="167A41C5"/>
    <w:rsid w:val="167B188F"/>
    <w:rsid w:val="167F32C8"/>
    <w:rsid w:val="16826719"/>
    <w:rsid w:val="168353E2"/>
    <w:rsid w:val="16835E00"/>
    <w:rsid w:val="168406E3"/>
    <w:rsid w:val="168626AD"/>
    <w:rsid w:val="16875174"/>
    <w:rsid w:val="168B1BB6"/>
    <w:rsid w:val="16901BB2"/>
    <w:rsid w:val="169026D3"/>
    <w:rsid w:val="169052DA"/>
    <w:rsid w:val="16912592"/>
    <w:rsid w:val="169437C9"/>
    <w:rsid w:val="169528F0"/>
    <w:rsid w:val="1695469E"/>
    <w:rsid w:val="1695644C"/>
    <w:rsid w:val="16970417"/>
    <w:rsid w:val="16974F35"/>
    <w:rsid w:val="16975AA4"/>
    <w:rsid w:val="169923E1"/>
    <w:rsid w:val="16992D04"/>
    <w:rsid w:val="169C0A1F"/>
    <w:rsid w:val="169C34E2"/>
    <w:rsid w:val="169D3553"/>
    <w:rsid w:val="169E0CBC"/>
    <w:rsid w:val="169E53F2"/>
    <w:rsid w:val="169F1079"/>
    <w:rsid w:val="169F2025"/>
    <w:rsid w:val="16A31B12"/>
    <w:rsid w:val="16A67B30"/>
    <w:rsid w:val="16AB5474"/>
    <w:rsid w:val="16AF07A6"/>
    <w:rsid w:val="16AF2B4C"/>
    <w:rsid w:val="16AF3382"/>
    <w:rsid w:val="16B0772A"/>
    <w:rsid w:val="16B217CE"/>
    <w:rsid w:val="16B234A2"/>
    <w:rsid w:val="16B31A52"/>
    <w:rsid w:val="16B34B25"/>
    <w:rsid w:val="16B54D41"/>
    <w:rsid w:val="16B72867"/>
    <w:rsid w:val="16B84434"/>
    <w:rsid w:val="16B849F9"/>
    <w:rsid w:val="16BA2357"/>
    <w:rsid w:val="16BB01E4"/>
    <w:rsid w:val="16BC0B32"/>
    <w:rsid w:val="16BC60CF"/>
    <w:rsid w:val="16BE59A3"/>
    <w:rsid w:val="16BF796D"/>
    <w:rsid w:val="16C04307"/>
    <w:rsid w:val="16C22F79"/>
    <w:rsid w:val="16C3120C"/>
    <w:rsid w:val="16CA07EC"/>
    <w:rsid w:val="16CA259A"/>
    <w:rsid w:val="16CA2FAB"/>
    <w:rsid w:val="16CB7F70"/>
    <w:rsid w:val="16CD49B3"/>
    <w:rsid w:val="16CE2494"/>
    <w:rsid w:val="16D12B5B"/>
    <w:rsid w:val="16D1321A"/>
    <w:rsid w:val="16D31016"/>
    <w:rsid w:val="16D3646B"/>
    <w:rsid w:val="16D36859"/>
    <w:rsid w:val="16D43419"/>
    <w:rsid w:val="16D451C7"/>
    <w:rsid w:val="16D46968"/>
    <w:rsid w:val="16D50F3F"/>
    <w:rsid w:val="16D734AA"/>
    <w:rsid w:val="16D90A2F"/>
    <w:rsid w:val="16DA6555"/>
    <w:rsid w:val="16DB4B63"/>
    <w:rsid w:val="16DB5D61"/>
    <w:rsid w:val="16DE0A1B"/>
    <w:rsid w:val="16DE6045"/>
    <w:rsid w:val="16DE7DF3"/>
    <w:rsid w:val="16DF75DF"/>
    <w:rsid w:val="16E557E9"/>
    <w:rsid w:val="16E64252"/>
    <w:rsid w:val="16E81DD2"/>
    <w:rsid w:val="16E912AD"/>
    <w:rsid w:val="16EA2306"/>
    <w:rsid w:val="16EA46F2"/>
    <w:rsid w:val="16ED163A"/>
    <w:rsid w:val="16ED4BAD"/>
    <w:rsid w:val="16EE5F33"/>
    <w:rsid w:val="16EF78AD"/>
    <w:rsid w:val="16F0324C"/>
    <w:rsid w:val="16F071FF"/>
    <w:rsid w:val="16F24EF2"/>
    <w:rsid w:val="16F37B9A"/>
    <w:rsid w:val="16F412D7"/>
    <w:rsid w:val="16F44397"/>
    <w:rsid w:val="16F47617"/>
    <w:rsid w:val="16F70EB5"/>
    <w:rsid w:val="16F750AD"/>
    <w:rsid w:val="16F75866"/>
    <w:rsid w:val="16F75C1E"/>
    <w:rsid w:val="16F94C2D"/>
    <w:rsid w:val="16FA5038"/>
    <w:rsid w:val="16FA5342"/>
    <w:rsid w:val="16FB1BF9"/>
    <w:rsid w:val="16FC296F"/>
    <w:rsid w:val="16FD38E6"/>
    <w:rsid w:val="16FD4389"/>
    <w:rsid w:val="16FF2645"/>
    <w:rsid w:val="17001571"/>
    <w:rsid w:val="17015CD7"/>
    <w:rsid w:val="17017F86"/>
    <w:rsid w:val="17030D88"/>
    <w:rsid w:val="17032D1F"/>
    <w:rsid w:val="1703638D"/>
    <w:rsid w:val="17054EA4"/>
    <w:rsid w:val="170627D4"/>
    <w:rsid w:val="17071882"/>
    <w:rsid w:val="1707535A"/>
    <w:rsid w:val="170813BB"/>
    <w:rsid w:val="170A0735"/>
    <w:rsid w:val="170A6E3A"/>
    <w:rsid w:val="170B2BB3"/>
    <w:rsid w:val="170D2A25"/>
    <w:rsid w:val="170D502C"/>
    <w:rsid w:val="170D692B"/>
    <w:rsid w:val="170E59C9"/>
    <w:rsid w:val="170F37A6"/>
    <w:rsid w:val="171061BB"/>
    <w:rsid w:val="171105B3"/>
    <w:rsid w:val="17167C82"/>
    <w:rsid w:val="171B154F"/>
    <w:rsid w:val="171C5C7C"/>
    <w:rsid w:val="171D2EE0"/>
    <w:rsid w:val="172123D6"/>
    <w:rsid w:val="1723614E"/>
    <w:rsid w:val="17253C74"/>
    <w:rsid w:val="17274A02"/>
    <w:rsid w:val="17276DE8"/>
    <w:rsid w:val="172779EC"/>
    <w:rsid w:val="17295089"/>
    <w:rsid w:val="172A71A5"/>
    <w:rsid w:val="172B20D9"/>
    <w:rsid w:val="172C0D41"/>
    <w:rsid w:val="172D7075"/>
    <w:rsid w:val="172F215D"/>
    <w:rsid w:val="17300C86"/>
    <w:rsid w:val="173043C7"/>
    <w:rsid w:val="173105C7"/>
    <w:rsid w:val="1732004F"/>
    <w:rsid w:val="1732022B"/>
    <w:rsid w:val="17324B4A"/>
    <w:rsid w:val="17325833"/>
    <w:rsid w:val="1732614F"/>
    <w:rsid w:val="17355774"/>
    <w:rsid w:val="1735777E"/>
    <w:rsid w:val="173739A8"/>
    <w:rsid w:val="1737535B"/>
    <w:rsid w:val="173914CE"/>
    <w:rsid w:val="1739327C"/>
    <w:rsid w:val="173A1B89"/>
    <w:rsid w:val="173E684C"/>
    <w:rsid w:val="173F7B00"/>
    <w:rsid w:val="174000D5"/>
    <w:rsid w:val="1740291A"/>
    <w:rsid w:val="17413E9A"/>
    <w:rsid w:val="174337FD"/>
    <w:rsid w:val="174340FA"/>
    <w:rsid w:val="1743632B"/>
    <w:rsid w:val="17463BEB"/>
    <w:rsid w:val="1746582E"/>
    <w:rsid w:val="174671AE"/>
    <w:rsid w:val="17471E3D"/>
    <w:rsid w:val="174A36DB"/>
    <w:rsid w:val="174A659D"/>
    <w:rsid w:val="174C7ED3"/>
    <w:rsid w:val="174E26C0"/>
    <w:rsid w:val="174F3A55"/>
    <w:rsid w:val="17504C09"/>
    <w:rsid w:val="17504FE0"/>
    <w:rsid w:val="17524189"/>
    <w:rsid w:val="17544559"/>
    <w:rsid w:val="175473B5"/>
    <w:rsid w:val="17555BDC"/>
    <w:rsid w:val="17577BA6"/>
    <w:rsid w:val="175812AF"/>
    <w:rsid w:val="1758293B"/>
    <w:rsid w:val="175956CC"/>
    <w:rsid w:val="175A5AAF"/>
    <w:rsid w:val="175C5171"/>
    <w:rsid w:val="175C51BC"/>
    <w:rsid w:val="175E6E30"/>
    <w:rsid w:val="175E7186"/>
    <w:rsid w:val="176003B4"/>
    <w:rsid w:val="176233E5"/>
    <w:rsid w:val="17664CEC"/>
    <w:rsid w:val="1767603B"/>
    <w:rsid w:val="176B037C"/>
    <w:rsid w:val="176B4C9A"/>
    <w:rsid w:val="176E58C9"/>
    <w:rsid w:val="176F4EEF"/>
    <w:rsid w:val="176F6C9D"/>
    <w:rsid w:val="17725544"/>
    <w:rsid w:val="17744153"/>
    <w:rsid w:val="177469AA"/>
    <w:rsid w:val="1776002C"/>
    <w:rsid w:val="17764F54"/>
    <w:rsid w:val="177679C0"/>
    <w:rsid w:val="17771379"/>
    <w:rsid w:val="17771FF6"/>
    <w:rsid w:val="1779334B"/>
    <w:rsid w:val="17797B1C"/>
    <w:rsid w:val="177B042B"/>
    <w:rsid w:val="177B098D"/>
    <w:rsid w:val="177F74FC"/>
    <w:rsid w:val="178169D1"/>
    <w:rsid w:val="17822E75"/>
    <w:rsid w:val="178269DF"/>
    <w:rsid w:val="17853C1F"/>
    <w:rsid w:val="17864800"/>
    <w:rsid w:val="17880A22"/>
    <w:rsid w:val="178A6FE6"/>
    <w:rsid w:val="178A7656"/>
    <w:rsid w:val="178B0713"/>
    <w:rsid w:val="178C589D"/>
    <w:rsid w:val="178D024F"/>
    <w:rsid w:val="17914E66"/>
    <w:rsid w:val="17925102"/>
    <w:rsid w:val="179326F1"/>
    <w:rsid w:val="17944956"/>
    <w:rsid w:val="17972B46"/>
    <w:rsid w:val="179B17C4"/>
    <w:rsid w:val="179B3E23"/>
    <w:rsid w:val="179B3F36"/>
    <w:rsid w:val="179E3A27"/>
    <w:rsid w:val="17A113EA"/>
    <w:rsid w:val="17A15BBE"/>
    <w:rsid w:val="17A27073"/>
    <w:rsid w:val="17A3178F"/>
    <w:rsid w:val="17A50911"/>
    <w:rsid w:val="17A5319A"/>
    <w:rsid w:val="17A56B63"/>
    <w:rsid w:val="17A70B2D"/>
    <w:rsid w:val="17A728DB"/>
    <w:rsid w:val="17A74689"/>
    <w:rsid w:val="17A75B29"/>
    <w:rsid w:val="17A80401"/>
    <w:rsid w:val="17A85C27"/>
    <w:rsid w:val="17A91BA6"/>
    <w:rsid w:val="17A97C85"/>
    <w:rsid w:val="17AA5F28"/>
    <w:rsid w:val="17AB270B"/>
    <w:rsid w:val="17AC050B"/>
    <w:rsid w:val="17AC1E3F"/>
    <w:rsid w:val="17AC6144"/>
    <w:rsid w:val="17B141C1"/>
    <w:rsid w:val="17B33C4A"/>
    <w:rsid w:val="17B360C4"/>
    <w:rsid w:val="17B56841"/>
    <w:rsid w:val="17B80644"/>
    <w:rsid w:val="17B9167F"/>
    <w:rsid w:val="17B939A8"/>
    <w:rsid w:val="17BA0323"/>
    <w:rsid w:val="17BB1EE3"/>
    <w:rsid w:val="17BB4C06"/>
    <w:rsid w:val="17BD3EAD"/>
    <w:rsid w:val="17BD5C5B"/>
    <w:rsid w:val="17BE19D3"/>
    <w:rsid w:val="17C1746A"/>
    <w:rsid w:val="17C265F3"/>
    <w:rsid w:val="17C33BC1"/>
    <w:rsid w:val="17C36FE9"/>
    <w:rsid w:val="17C62542"/>
    <w:rsid w:val="17C76AD9"/>
    <w:rsid w:val="17C90AA4"/>
    <w:rsid w:val="17C92852"/>
    <w:rsid w:val="17CC40F0"/>
    <w:rsid w:val="17CD4792"/>
    <w:rsid w:val="17CD5330"/>
    <w:rsid w:val="17CF1E32"/>
    <w:rsid w:val="17D16426"/>
    <w:rsid w:val="17D17958"/>
    <w:rsid w:val="17D24929"/>
    <w:rsid w:val="17D4404E"/>
    <w:rsid w:val="17D631C0"/>
    <w:rsid w:val="17D66D1D"/>
    <w:rsid w:val="17D90DA4"/>
    <w:rsid w:val="17D94A63"/>
    <w:rsid w:val="17DA2BE0"/>
    <w:rsid w:val="17DB2585"/>
    <w:rsid w:val="17DD3781"/>
    <w:rsid w:val="17DD4930"/>
    <w:rsid w:val="17DE1250"/>
    <w:rsid w:val="17E049CF"/>
    <w:rsid w:val="17E07B9B"/>
    <w:rsid w:val="17E26979"/>
    <w:rsid w:val="17E54C2E"/>
    <w:rsid w:val="17E73651"/>
    <w:rsid w:val="17E7717C"/>
    <w:rsid w:val="17E958DC"/>
    <w:rsid w:val="17EE050A"/>
    <w:rsid w:val="17F04282"/>
    <w:rsid w:val="17F13B56"/>
    <w:rsid w:val="17F35B20"/>
    <w:rsid w:val="17F67569"/>
    <w:rsid w:val="17F90C5D"/>
    <w:rsid w:val="17F96894"/>
    <w:rsid w:val="17FA6EAF"/>
    <w:rsid w:val="17FB69B5"/>
    <w:rsid w:val="17FB7EC7"/>
    <w:rsid w:val="17FD074D"/>
    <w:rsid w:val="17FD4D99"/>
    <w:rsid w:val="17FE5302"/>
    <w:rsid w:val="18041ADC"/>
    <w:rsid w:val="180513B0"/>
    <w:rsid w:val="18070047"/>
    <w:rsid w:val="1807337A"/>
    <w:rsid w:val="18075128"/>
    <w:rsid w:val="18096901"/>
    <w:rsid w:val="180A0B93"/>
    <w:rsid w:val="180A6D55"/>
    <w:rsid w:val="180C06D7"/>
    <w:rsid w:val="180D41B3"/>
    <w:rsid w:val="180D7253"/>
    <w:rsid w:val="180D7409"/>
    <w:rsid w:val="180E45A9"/>
    <w:rsid w:val="1811244B"/>
    <w:rsid w:val="18117D55"/>
    <w:rsid w:val="1812110F"/>
    <w:rsid w:val="18176A80"/>
    <w:rsid w:val="181A010C"/>
    <w:rsid w:val="181B0BD3"/>
    <w:rsid w:val="181B22BC"/>
    <w:rsid w:val="181B6DAA"/>
    <w:rsid w:val="181D1777"/>
    <w:rsid w:val="181E79E3"/>
    <w:rsid w:val="18215ED2"/>
    <w:rsid w:val="18216B7B"/>
    <w:rsid w:val="18251A52"/>
    <w:rsid w:val="18253800"/>
    <w:rsid w:val="182757CA"/>
    <w:rsid w:val="18280895"/>
    <w:rsid w:val="18284982"/>
    <w:rsid w:val="18297A22"/>
    <w:rsid w:val="182C501E"/>
    <w:rsid w:val="182D42C1"/>
    <w:rsid w:val="182E0907"/>
    <w:rsid w:val="182E3CE3"/>
    <w:rsid w:val="182E6B48"/>
    <w:rsid w:val="183121A5"/>
    <w:rsid w:val="183140D2"/>
    <w:rsid w:val="18331EBF"/>
    <w:rsid w:val="18340ADF"/>
    <w:rsid w:val="18363C5F"/>
    <w:rsid w:val="183701D9"/>
    <w:rsid w:val="1837499D"/>
    <w:rsid w:val="18381785"/>
    <w:rsid w:val="18397E91"/>
    <w:rsid w:val="183A7A89"/>
    <w:rsid w:val="183C58B4"/>
    <w:rsid w:val="183D7A94"/>
    <w:rsid w:val="1840688C"/>
    <w:rsid w:val="1842196E"/>
    <w:rsid w:val="1844012A"/>
    <w:rsid w:val="184536BA"/>
    <w:rsid w:val="184554B5"/>
    <w:rsid w:val="1846064A"/>
    <w:rsid w:val="1846612A"/>
    <w:rsid w:val="18491BE4"/>
    <w:rsid w:val="184B2762"/>
    <w:rsid w:val="184C184A"/>
    <w:rsid w:val="184C42CD"/>
    <w:rsid w:val="184C6FDF"/>
    <w:rsid w:val="185145F5"/>
    <w:rsid w:val="185179D2"/>
    <w:rsid w:val="18552337"/>
    <w:rsid w:val="18553FC8"/>
    <w:rsid w:val="1855641B"/>
    <w:rsid w:val="18566C24"/>
    <w:rsid w:val="18574301"/>
    <w:rsid w:val="185A552F"/>
    <w:rsid w:val="185B536B"/>
    <w:rsid w:val="185D6922"/>
    <w:rsid w:val="185D743E"/>
    <w:rsid w:val="185E46CE"/>
    <w:rsid w:val="185F5297"/>
    <w:rsid w:val="1860325A"/>
    <w:rsid w:val="18624A54"/>
    <w:rsid w:val="18626802"/>
    <w:rsid w:val="18641B32"/>
    <w:rsid w:val="18644328"/>
    <w:rsid w:val="18652B72"/>
    <w:rsid w:val="18691561"/>
    <w:rsid w:val="186B01CC"/>
    <w:rsid w:val="186C7681"/>
    <w:rsid w:val="186E4D58"/>
    <w:rsid w:val="186F6708"/>
    <w:rsid w:val="18702CCD"/>
    <w:rsid w:val="18733059"/>
    <w:rsid w:val="18742E70"/>
    <w:rsid w:val="1876405C"/>
    <w:rsid w:val="18797AB2"/>
    <w:rsid w:val="187D003A"/>
    <w:rsid w:val="187F73B4"/>
    <w:rsid w:val="18801C85"/>
    <w:rsid w:val="18803FAF"/>
    <w:rsid w:val="1881137E"/>
    <w:rsid w:val="18816488"/>
    <w:rsid w:val="18826EA4"/>
    <w:rsid w:val="18835E30"/>
    <w:rsid w:val="188624F1"/>
    <w:rsid w:val="18876269"/>
    <w:rsid w:val="1887694C"/>
    <w:rsid w:val="18884777"/>
    <w:rsid w:val="18890233"/>
    <w:rsid w:val="18891FE1"/>
    <w:rsid w:val="188C686E"/>
    <w:rsid w:val="188D7D23"/>
    <w:rsid w:val="188E21CD"/>
    <w:rsid w:val="188E7B1E"/>
    <w:rsid w:val="18903A4D"/>
    <w:rsid w:val="18935F2F"/>
    <w:rsid w:val="189479DB"/>
    <w:rsid w:val="18954E2A"/>
    <w:rsid w:val="18975082"/>
    <w:rsid w:val="18977CDC"/>
    <w:rsid w:val="1899069A"/>
    <w:rsid w:val="189C7F66"/>
    <w:rsid w:val="189E1BC5"/>
    <w:rsid w:val="189F7A42"/>
    <w:rsid w:val="189F7A56"/>
    <w:rsid w:val="18A11B47"/>
    <w:rsid w:val="18A159F8"/>
    <w:rsid w:val="18A17538"/>
    <w:rsid w:val="18A256A4"/>
    <w:rsid w:val="18A848F2"/>
    <w:rsid w:val="18A92683"/>
    <w:rsid w:val="18AA6D5C"/>
    <w:rsid w:val="18AB01A9"/>
    <w:rsid w:val="18AB1F57"/>
    <w:rsid w:val="18AB39C5"/>
    <w:rsid w:val="18AD6BE6"/>
    <w:rsid w:val="18AE2BFE"/>
    <w:rsid w:val="18AE37F5"/>
    <w:rsid w:val="18AE6B3F"/>
    <w:rsid w:val="18AE7C99"/>
    <w:rsid w:val="18B057C0"/>
    <w:rsid w:val="18B136E0"/>
    <w:rsid w:val="18B463E2"/>
    <w:rsid w:val="18B83CF9"/>
    <w:rsid w:val="18BC4164"/>
    <w:rsid w:val="18BD544A"/>
    <w:rsid w:val="18BE1F8F"/>
    <w:rsid w:val="18BF1EA7"/>
    <w:rsid w:val="18BF3C55"/>
    <w:rsid w:val="18C13529"/>
    <w:rsid w:val="18C179CD"/>
    <w:rsid w:val="18C202FC"/>
    <w:rsid w:val="18C2334E"/>
    <w:rsid w:val="18C33745"/>
    <w:rsid w:val="18C37286"/>
    <w:rsid w:val="18C748B7"/>
    <w:rsid w:val="18C84B94"/>
    <w:rsid w:val="18C91E74"/>
    <w:rsid w:val="18C96C41"/>
    <w:rsid w:val="18CB25F9"/>
    <w:rsid w:val="18CD063B"/>
    <w:rsid w:val="18CE5C46"/>
    <w:rsid w:val="18CF62D0"/>
    <w:rsid w:val="18D07D4F"/>
    <w:rsid w:val="18D2049A"/>
    <w:rsid w:val="18D53478"/>
    <w:rsid w:val="18D70F9E"/>
    <w:rsid w:val="18D712CB"/>
    <w:rsid w:val="18D86AC4"/>
    <w:rsid w:val="18D93A6F"/>
    <w:rsid w:val="18DA0A8E"/>
    <w:rsid w:val="18DA44C2"/>
    <w:rsid w:val="18DD19B3"/>
    <w:rsid w:val="18DD40DB"/>
    <w:rsid w:val="18DE380C"/>
    <w:rsid w:val="18DF1F83"/>
    <w:rsid w:val="18E006AC"/>
    <w:rsid w:val="18E11E1D"/>
    <w:rsid w:val="18E22F09"/>
    <w:rsid w:val="18E54337"/>
    <w:rsid w:val="18E739DB"/>
    <w:rsid w:val="18E91C8E"/>
    <w:rsid w:val="18EA5EDE"/>
    <w:rsid w:val="18F070EC"/>
    <w:rsid w:val="18F367AA"/>
    <w:rsid w:val="18F554CB"/>
    <w:rsid w:val="18F55BF5"/>
    <w:rsid w:val="18F74FD6"/>
    <w:rsid w:val="18FC77C6"/>
    <w:rsid w:val="18FC7A94"/>
    <w:rsid w:val="18FE509D"/>
    <w:rsid w:val="18FE5E22"/>
    <w:rsid w:val="18FF04F5"/>
    <w:rsid w:val="18FF22A3"/>
    <w:rsid w:val="19002AD9"/>
    <w:rsid w:val="19003710"/>
    <w:rsid w:val="19021250"/>
    <w:rsid w:val="19023E8D"/>
    <w:rsid w:val="19026976"/>
    <w:rsid w:val="19035340"/>
    <w:rsid w:val="19037FE5"/>
    <w:rsid w:val="19045B0B"/>
    <w:rsid w:val="19084A78"/>
    <w:rsid w:val="19090205"/>
    <w:rsid w:val="190E0109"/>
    <w:rsid w:val="190F1F0F"/>
    <w:rsid w:val="190F49FC"/>
    <w:rsid w:val="191014DB"/>
    <w:rsid w:val="191123A0"/>
    <w:rsid w:val="191129A6"/>
    <w:rsid w:val="19121F65"/>
    <w:rsid w:val="1914213E"/>
    <w:rsid w:val="19145D4E"/>
    <w:rsid w:val="19151AC7"/>
    <w:rsid w:val="19170418"/>
    <w:rsid w:val="1917583F"/>
    <w:rsid w:val="191A6932"/>
    <w:rsid w:val="191B56A1"/>
    <w:rsid w:val="191E4DAD"/>
    <w:rsid w:val="192004D5"/>
    <w:rsid w:val="192042D9"/>
    <w:rsid w:val="19204E18"/>
    <w:rsid w:val="19213B4A"/>
    <w:rsid w:val="1921406B"/>
    <w:rsid w:val="19250257"/>
    <w:rsid w:val="19267830"/>
    <w:rsid w:val="19280238"/>
    <w:rsid w:val="192A37C4"/>
    <w:rsid w:val="192D03A2"/>
    <w:rsid w:val="192D6E10"/>
    <w:rsid w:val="192E13A8"/>
    <w:rsid w:val="192F70D4"/>
    <w:rsid w:val="1932711D"/>
    <w:rsid w:val="193463F1"/>
    <w:rsid w:val="19357983"/>
    <w:rsid w:val="19365028"/>
    <w:rsid w:val="193A17DB"/>
    <w:rsid w:val="193B188B"/>
    <w:rsid w:val="193C3339"/>
    <w:rsid w:val="193D2FF1"/>
    <w:rsid w:val="193F00C3"/>
    <w:rsid w:val="193F6E91"/>
    <w:rsid w:val="19403060"/>
    <w:rsid w:val="19436634"/>
    <w:rsid w:val="19443165"/>
    <w:rsid w:val="19445F08"/>
    <w:rsid w:val="19455FA0"/>
    <w:rsid w:val="19460C23"/>
    <w:rsid w:val="19483077"/>
    <w:rsid w:val="19490AE7"/>
    <w:rsid w:val="194A596B"/>
    <w:rsid w:val="194B1768"/>
    <w:rsid w:val="194B373A"/>
    <w:rsid w:val="194B7296"/>
    <w:rsid w:val="194C39B8"/>
    <w:rsid w:val="194D300E"/>
    <w:rsid w:val="194F0FA0"/>
    <w:rsid w:val="194F5DE6"/>
    <w:rsid w:val="19526877"/>
    <w:rsid w:val="19542872"/>
    <w:rsid w:val="19563358"/>
    <w:rsid w:val="19573038"/>
    <w:rsid w:val="19582CDE"/>
    <w:rsid w:val="19595E51"/>
    <w:rsid w:val="195A00D0"/>
    <w:rsid w:val="195B1BCF"/>
    <w:rsid w:val="195D6EAA"/>
    <w:rsid w:val="195E16BF"/>
    <w:rsid w:val="195F2D42"/>
    <w:rsid w:val="19622356"/>
    <w:rsid w:val="19624E13"/>
    <w:rsid w:val="1962667C"/>
    <w:rsid w:val="19626CBB"/>
    <w:rsid w:val="19670574"/>
    <w:rsid w:val="196A68DD"/>
    <w:rsid w:val="196A7184"/>
    <w:rsid w:val="196B0C11"/>
    <w:rsid w:val="196B559B"/>
    <w:rsid w:val="196D749B"/>
    <w:rsid w:val="196D7BB4"/>
    <w:rsid w:val="196E1243"/>
    <w:rsid w:val="196F1E19"/>
    <w:rsid w:val="196F567B"/>
    <w:rsid w:val="196F7F17"/>
    <w:rsid w:val="19715B13"/>
    <w:rsid w:val="19726F19"/>
    <w:rsid w:val="19736EC8"/>
    <w:rsid w:val="197454D1"/>
    <w:rsid w:val="197467ED"/>
    <w:rsid w:val="19764CF2"/>
    <w:rsid w:val="19783FF3"/>
    <w:rsid w:val="197B53D3"/>
    <w:rsid w:val="197C0228"/>
    <w:rsid w:val="197C38F4"/>
    <w:rsid w:val="197D4B0B"/>
    <w:rsid w:val="197D6BE5"/>
    <w:rsid w:val="19835D08"/>
    <w:rsid w:val="19836A30"/>
    <w:rsid w:val="19851547"/>
    <w:rsid w:val="19864ACE"/>
    <w:rsid w:val="1987413E"/>
    <w:rsid w:val="19887B32"/>
    <w:rsid w:val="198A5A5A"/>
    <w:rsid w:val="198B3B37"/>
    <w:rsid w:val="198C47C6"/>
    <w:rsid w:val="198F447A"/>
    <w:rsid w:val="198F7ACB"/>
    <w:rsid w:val="199264E9"/>
    <w:rsid w:val="19942DDC"/>
    <w:rsid w:val="19946E8F"/>
    <w:rsid w:val="19952FDA"/>
    <w:rsid w:val="19972971"/>
    <w:rsid w:val="199B6E4C"/>
    <w:rsid w:val="199C6B01"/>
    <w:rsid w:val="199E7FC6"/>
    <w:rsid w:val="19A00409"/>
    <w:rsid w:val="19A03529"/>
    <w:rsid w:val="19A05834"/>
    <w:rsid w:val="19A13BB6"/>
    <w:rsid w:val="19A4350C"/>
    <w:rsid w:val="19A52E4A"/>
    <w:rsid w:val="19A54BF8"/>
    <w:rsid w:val="19A72149"/>
    <w:rsid w:val="19A9061B"/>
    <w:rsid w:val="19AA46A8"/>
    <w:rsid w:val="19AB36AC"/>
    <w:rsid w:val="19AB7AFD"/>
    <w:rsid w:val="19AC5F87"/>
    <w:rsid w:val="19AD1CFF"/>
    <w:rsid w:val="19B0318D"/>
    <w:rsid w:val="19B06A01"/>
    <w:rsid w:val="19B112F0"/>
    <w:rsid w:val="19B65058"/>
    <w:rsid w:val="19B73661"/>
    <w:rsid w:val="19B91523"/>
    <w:rsid w:val="19BA55B6"/>
    <w:rsid w:val="19BB69B9"/>
    <w:rsid w:val="19BD16CC"/>
    <w:rsid w:val="19BD6881"/>
    <w:rsid w:val="19C15918"/>
    <w:rsid w:val="19C21C4E"/>
    <w:rsid w:val="19C32801"/>
    <w:rsid w:val="19C54AF4"/>
    <w:rsid w:val="19C5529B"/>
    <w:rsid w:val="19C67738"/>
    <w:rsid w:val="19C857A0"/>
    <w:rsid w:val="19C86B39"/>
    <w:rsid w:val="19C92FDD"/>
    <w:rsid w:val="19CE05F3"/>
    <w:rsid w:val="19CE0933"/>
    <w:rsid w:val="19D03922"/>
    <w:rsid w:val="19D07AE4"/>
    <w:rsid w:val="19D144C1"/>
    <w:rsid w:val="19D1711D"/>
    <w:rsid w:val="19D33AE5"/>
    <w:rsid w:val="19D41982"/>
    <w:rsid w:val="19D63004"/>
    <w:rsid w:val="19D744CE"/>
    <w:rsid w:val="19DB4ABE"/>
    <w:rsid w:val="19E72882"/>
    <w:rsid w:val="19E75211"/>
    <w:rsid w:val="19E80F89"/>
    <w:rsid w:val="19EA6AAF"/>
    <w:rsid w:val="19EA7092"/>
    <w:rsid w:val="19EC4A9D"/>
    <w:rsid w:val="19ED4B11"/>
    <w:rsid w:val="19EE1986"/>
    <w:rsid w:val="19F17E3E"/>
    <w:rsid w:val="19F32613"/>
    <w:rsid w:val="19F45B80"/>
    <w:rsid w:val="19F60B34"/>
    <w:rsid w:val="19F70438"/>
    <w:rsid w:val="19F70C35"/>
    <w:rsid w:val="19F846FC"/>
    <w:rsid w:val="19F85670"/>
    <w:rsid w:val="19F90C1E"/>
    <w:rsid w:val="19F94F44"/>
    <w:rsid w:val="19F97489"/>
    <w:rsid w:val="19FE2D4C"/>
    <w:rsid w:val="1A020324"/>
    <w:rsid w:val="1A042476"/>
    <w:rsid w:val="1A05395A"/>
    <w:rsid w:val="1A057D8D"/>
    <w:rsid w:val="1A070E5E"/>
    <w:rsid w:val="1A081BBA"/>
    <w:rsid w:val="1A0824D1"/>
    <w:rsid w:val="1A09478B"/>
    <w:rsid w:val="1A0A0EFF"/>
    <w:rsid w:val="1A0A1B7B"/>
    <w:rsid w:val="1A0A53A3"/>
    <w:rsid w:val="1A0B053B"/>
    <w:rsid w:val="1A0C3B4D"/>
    <w:rsid w:val="1A102F1D"/>
    <w:rsid w:val="1A133D8B"/>
    <w:rsid w:val="1A180CC7"/>
    <w:rsid w:val="1A18186E"/>
    <w:rsid w:val="1A184DA0"/>
    <w:rsid w:val="1A1A7931"/>
    <w:rsid w:val="1A1B12D9"/>
    <w:rsid w:val="1A1B310D"/>
    <w:rsid w:val="1A1B5DEF"/>
    <w:rsid w:val="1A1C2C01"/>
    <w:rsid w:val="1A1E3FFB"/>
    <w:rsid w:val="1A2069A5"/>
    <w:rsid w:val="1A2152A5"/>
    <w:rsid w:val="1A215A99"/>
    <w:rsid w:val="1A226249"/>
    <w:rsid w:val="1A241393"/>
    <w:rsid w:val="1A2474CD"/>
    <w:rsid w:val="1A271AB1"/>
    <w:rsid w:val="1A28427B"/>
    <w:rsid w:val="1A2A3350"/>
    <w:rsid w:val="1A2D037C"/>
    <w:rsid w:val="1A2E5A87"/>
    <w:rsid w:val="1A2F0966"/>
    <w:rsid w:val="1A32371B"/>
    <w:rsid w:val="1A3379F8"/>
    <w:rsid w:val="1A345F7C"/>
    <w:rsid w:val="1A366A04"/>
    <w:rsid w:val="1A381F10"/>
    <w:rsid w:val="1A3A395D"/>
    <w:rsid w:val="1A3C2B07"/>
    <w:rsid w:val="1A3D12D5"/>
    <w:rsid w:val="1A3E50EB"/>
    <w:rsid w:val="1A3E78C3"/>
    <w:rsid w:val="1A404F4F"/>
    <w:rsid w:val="1A4062D0"/>
    <w:rsid w:val="1A4068C7"/>
    <w:rsid w:val="1A424B3D"/>
    <w:rsid w:val="1A461891"/>
    <w:rsid w:val="1A46472D"/>
    <w:rsid w:val="1A472154"/>
    <w:rsid w:val="1A481333"/>
    <w:rsid w:val="1A490F86"/>
    <w:rsid w:val="1A491A28"/>
    <w:rsid w:val="1A4A6513"/>
    <w:rsid w:val="1A4E703E"/>
    <w:rsid w:val="1A4F2DB6"/>
    <w:rsid w:val="1A512FD2"/>
    <w:rsid w:val="1A527B6B"/>
    <w:rsid w:val="1A534654"/>
    <w:rsid w:val="1A545102"/>
    <w:rsid w:val="1A562313"/>
    <w:rsid w:val="1A584B10"/>
    <w:rsid w:val="1A5B5200"/>
    <w:rsid w:val="1A5D60B0"/>
    <w:rsid w:val="1A5E1D50"/>
    <w:rsid w:val="1A5E7B3A"/>
    <w:rsid w:val="1A65095C"/>
    <w:rsid w:val="1A6527F6"/>
    <w:rsid w:val="1A652FB1"/>
    <w:rsid w:val="1A670100"/>
    <w:rsid w:val="1A68166C"/>
    <w:rsid w:val="1A691DD1"/>
    <w:rsid w:val="1A6C1BBA"/>
    <w:rsid w:val="1A6C2303"/>
    <w:rsid w:val="1A6D1F86"/>
    <w:rsid w:val="1A6E23F3"/>
    <w:rsid w:val="1A6E7488"/>
    <w:rsid w:val="1A710F7F"/>
    <w:rsid w:val="1A7348E4"/>
    <w:rsid w:val="1A75598D"/>
    <w:rsid w:val="1A7604C0"/>
    <w:rsid w:val="1A794857"/>
    <w:rsid w:val="1A7A6085"/>
    <w:rsid w:val="1A7B1DFD"/>
    <w:rsid w:val="1A7C2724"/>
    <w:rsid w:val="1A7C5AF5"/>
    <w:rsid w:val="1A7D59B3"/>
    <w:rsid w:val="1A7D73CD"/>
    <w:rsid w:val="1A7F48CC"/>
    <w:rsid w:val="1A7F5A3D"/>
    <w:rsid w:val="1A8121C7"/>
    <w:rsid w:val="1A81780F"/>
    <w:rsid w:val="1A82018D"/>
    <w:rsid w:val="1A8279C4"/>
    <w:rsid w:val="1A840CB2"/>
    <w:rsid w:val="1A855B5F"/>
    <w:rsid w:val="1A8707A2"/>
    <w:rsid w:val="1A872892"/>
    <w:rsid w:val="1A87529C"/>
    <w:rsid w:val="1A8C400A"/>
    <w:rsid w:val="1A8C65C3"/>
    <w:rsid w:val="1A8D576D"/>
    <w:rsid w:val="1A8D5B82"/>
    <w:rsid w:val="1A8E38DF"/>
    <w:rsid w:val="1A8F28CF"/>
    <w:rsid w:val="1A915494"/>
    <w:rsid w:val="1A93162D"/>
    <w:rsid w:val="1A933FFE"/>
    <w:rsid w:val="1A941802"/>
    <w:rsid w:val="1A950225"/>
    <w:rsid w:val="1A9515A4"/>
    <w:rsid w:val="1A953D27"/>
    <w:rsid w:val="1A960F3D"/>
    <w:rsid w:val="1A9616B5"/>
    <w:rsid w:val="1A962296"/>
    <w:rsid w:val="1A990ED7"/>
    <w:rsid w:val="1A992EF2"/>
    <w:rsid w:val="1A996FC3"/>
    <w:rsid w:val="1A9B675D"/>
    <w:rsid w:val="1A9D3217"/>
    <w:rsid w:val="1A9D69B7"/>
    <w:rsid w:val="1A9E7E47"/>
    <w:rsid w:val="1A9F789A"/>
    <w:rsid w:val="1AA30A57"/>
    <w:rsid w:val="1AA44EB0"/>
    <w:rsid w:val="1AA50A9B"/>
    <w:rsid w:val="1AA557B0"/>
    <w:rsid w:val="1AA56EFB"/>
    <w:rsid w:val="1AA665D9"/>
    <w:rsid w:val="1AA80E44"/>
    <w:rsid w:val="1AAB623F"/>
    <w:rsid w:val="1AAC38DB"/>
    <w:rsid w:val="1AAC56D0"/>
    <w:rsid w:val="1AAD1E42"/>
    <w:rsid w:val="1AAF1AE0"/>
    <w:rsid w:val="1AB01AA7"/>
    <w:rsid w:val="1AB04D6D"/>
    <w:rsid w:val="1AB10777"/>
    <w:rsid w:val="1AB64BE3"/>
    <w:rsid w:val="1AB6755E"/>
    <w:rsid w:val="1ABA0B77"/>
    <w:rsid w:val="1ABC07FF"/>
    <w:rsid w:val="1ABD1C31"/>
    <w:rsid w:val="1ABE2B63"/>
    <w:rsid w:val="1ABE2C9B"/>
    <w:rsid w:val="1AC10E71"/>
    <w:rsid w:val="1AC24D56"/>
    <w:rsid w:val="1AC25B01"/>
    <w:rsid w:val="1AC35C7E"/>
    <w:rsid w:val="1AC45552"/>
    <w:rsid w:val="1AC54D97"/>
    <w:rsid w:val="1AC61E09"/>
    <w:rsid w:val="1AC6751C"/>
    <w:rsid w:val="1AC73D34"/>
    <w:rsid w:val="1AC84F2A"/>
    <w:rsid w:val="1ACD087B"/>
    <w:rsid w:val="1ACE4623"/>
    <w:rsid w:val="1ACE755A"/>
    <w:rsid w:val="1AD02149"/>
    <w:rsid w:val="1AD11A1D"/>
    <w:rsid w:val="1AD17E98"/>
    <w:rsid w:val="1AD25EC1"/>
    <w:rsid w:val="1AD4308C"/>
    <w:rsid w:val="1AD67034"/>
    <w:rsid w:val="1AD80FFE"/>
    <w:rsid w:val="1ADA48AC"/>
    <w:rsid w:val="1ADC6D40"/>
    <w:rsid w:val="1ADD6614"/>
    <w:rsid w:val="1ADE3303"/>
    <w:rsid w:val="1ADF05DE"/>
    <w:rsid w:val="1AE070FF"/>
    <w:rsid w:val="1AE17406"/>
    <w:rsid w:val="1AE259D8"/>
    <w:rsid w:val="1AE300CE"/>
    <w:rsid w:val="1AE34E1B"/>
    <w:rsid w:val="1AE47A0B"/>
    <w:rsid w:val="1AE6371B"/>
    <w:rsid w:val="1AEC7CC5"/>
    <w:rsid w:val="1AED4AA9"/>
    <w:rsid w:val="1AEF6A73"/>
    <w:rsid w:val="1AF05221"/>
    <w:rsid w:val="1AF35FC0"/>
    <w:rsid w:val="1AF42138"/>
    <w:rsid w:val="1AF43848"/>
    <w:rsid w:val="1AF50AA1"/>
    <w:rsid w:val="1AF53044"/>
    <w:rsid w:val="1AF55731"/>
    <w:rsid w:val="1AF71484"/>
    <w:rsid w:val="1AF745BC"/>
    <w:rsid w:val="1AF82066"/>
    <w:rsid w:val="1AF8344E"/>
    <w:rsid w:val="1AF837C8"/>
    <w:rsid w:val="1AF92C0F"/>
    <w:rsid w:val="1AFA5418"/>
    <w:rsid w:val="1AFB6A66"/>
    <w:rsid w:val="1AFC2F3E"/>
    <w:rsid w:val="1AFD3F76"/>
    <w:rsid w:val="1AFE48C4"/>
    <w:rsid w:val="1B001B8B"/>
    <w:rsid w:val="1B0032DD"/>
    <w:rsid w:val="1B0047E9"/>
    <w:rsid w:val="1B026344"/>
    <w:rsid w:val="1B03607B"/>
    <w:rsid w:val="1B070C4A"/>
    <w:rsid w:val="1B082845"/>
    <w:rsid w:val="1B09181A"/>
    <w:rsid w:val="1B0E46B7"/>
    <w:rsid w:val="1B1262BE"/>
    <w:rsid w:val="1B1307F5"/>
    <w:rsid w:val="1B154000"/>
    <w:rsid w:val="1B162551"/>
    <w:rsid w:val="1B171B26"/>
    <w:rsid w:val="1B172F53"/>
    <w:rsid w:val="1B1A33C4"/>
    <w:rsid w:val="1B1C6DF9"/>
    <w:rsid w:val="1B1D054C"/>
    <w:rsid w:val="1B1E2EB4"/>
    <w:rsid w:val="1B1F16D0"/>
    <w:rsid w:val="1B1F3BFD"/>
    <w:rsid w:val="1B2129A5"/>
    <w:rsid w:val="1B2132E0"/>
    <w:rsid w:val="1B22677B"/>
    <w:rsid w:val="1B2461AD"/>
    <w:rsid w:val="1B25304E"/>
    <w:rsid w:val="1B26620D"/>
    <w:rsid w:val="1B280C01"/>
    <w:rsid w:val="1B285AE1"/>
    <w:rsid w:val="1B2A0D10"/>
    <w:rsid w:val="1B2B07C0"/>
    <w:rsid w:val="1B2B0DD5"/>
    <w:rsid w:val="1B2B104C"/>
    <w:rsid w:val="1B2C6005"/>
    <w:rsid w:val="1B306F48"/>
    <w:rsid w:val="1B356450"/>
    <w:rsid w:val="1B375D24"/>
    <w:rsid w:val="1B375D9A"/>
    <w:rsid w:val="1B395F40"/>
    <w:rsid w:val="1B3A12C9"/>
    <w:rsid w:val="1B3A1CC5"/>
    <w:rsid w:val="1B3A2DE8"/>
    <w:rsid w:val="1B3A75C2"/>
    <w:rsid w:val="1B3C5CF6"/>
    <w:rsid w:val="1B3C77DE"/>
    <w:rsid w:val="1B3D7186"/>
    <w:rsid w:val="1B3F2E2B"/>
    <w:rsid w:val="1B414DF5"/>
    <w:rsid w:val="1B444488"/>
    <w:rsid w:val="1B45155F"/>
    <w:rsid w:val="1B4A403C"/>
    <w:rsid w:val="1B4B249D"/>
    <w:rsid w:val="1B4E306E"/>
    <w:rsid w:val="1B4E54C5"/>
    <w:rsid w:val="1B516A8C"/>
    <w:rsid w:val="1B5327CB"/>
    <w:rsid w:val="1B537158"/>
    <w:rsid w:val="1B54283C"/>
    <w:rsid w:val="1B542D7A"/>
    <w:rsid w:val="1B5508A0"/>
    <w:rsid w:val="1B5865B3"/>
    <w:rsid w:val="1B593EEC"/>
    <w:rsid w:val="1B5A5081"/>
    <w:rsid w:val="1B5D1079"/>
    <w:rsid w:val="1B5D2549"/>
    <w:rsid w:val="1B5D385B"/>
    <w:rsid w:val="1B5E1503"/>
    <w:rsid w:val="1B5E6CCE"/>
    <w:rsid w:val="1B5E7755"/>
    <w:rsid w:val="1B6066F9"/>
    <w:rsid w:val="1B610FF3"/>
    <w:rsid w:val="1B61791B"/>
    <w:rsid w:val="1B636B19"/>
    <w:rsid w:val="1B6603B7"/>
    <w:rsid w:val="1B6B2203"/>
    <w:rsid w:val="1B6D7998"/>
    <w:rsid w:val="1B6E5FB3"/>
    <w:rsid w:val="1B6E7987"/>
    <w:rsid w:val="1B6F1962"/>
    <w:rsid w:val="1B6F4D38"/>
    <w:rsid w:val="1B6F5FBB"/>
    <w:rsid w:val="1B701236"/>
    <w:rsid w:val="1B705779"/>
    <w:rsid w:val="1B7156DA"/>
    <w:rsid w:val="1B74431A"/>
    <w:rsid w:val="1B754FA0"/>
    <w:rsid w:val="1B76302D"/>
    <w:rsid w:val="1B776A68"/>
    <w:rsid w:val="1B7900EB"/>
    <w:rsid w:val="1B7915ED"/>
    <w:rsid w:val="1B792056"/>
    <w:rsid w:val="1B7A6E69"/>
    <w:rsid w:val="1B7A763B"/>
    <w:rsid w:val="1B7B2FBF"/>
    <w:rsid w:val="1B7B503D"/>
    <w:rsid w:val="1B7C7BDB"/>
    <w:rsid w:val="1B7D583C"/>
    <w:rsid w:val="1B80221C"/>
    <w:rsid w:val="1B804BC9"/>
    <w:rsid w:val="1B8076CB"/>
    <w:rsid w:val="1B813443"/>
    <w:rsid w:val="1B823581"/>
    <w:rsid w:val="1B83548B"/>
    <w:rsid w:val="1B84191A"/>
    <w:rsid w:val="1B8446DB"/>
    <w:rsid w:val="1B86423A"/>
    <w:rsid w:val="1B8B6070"/>
    <w:rsid w:val="1B8E24A7"/>
    <w:rsid w:val="1B8F285A"/>
    <w:rsid w:val="1B8F7069"/>
    <w:rsid w:val="1B8F790E"/>
    <w:rsid w:val="1B912E98"/>
    <w:rsid w:val="1B9227DD"/>
    <w:rsid w:val="1B9238A2"/>
    <w:rsid w:val="1B9617EB"/>
    <w:rsid w:val="1B984CB8"/>
    <w:rsid w:val="1B990555"/>
    <w:rsid w:val="1B9F6838"/>
    <w:rsid w:val="1BA15893"/>
    <w:rsid w:val="1BA24F9D"/>
    <w:rsid w:val="1BA37ABD"/>
    <w:rsid w:val="1BA4725B"/>
    <w:rsid w:val="1BA50EE0"/>
    <w:rsid w:val="1BA57132"/>
    <w:rsid w:val="1BA848CE"/>
    <w:rsid w:val="1BA84EC6"/>
    <w:rsid w:val="1BA86C22"/>
    <w:rsid w:val="1BA86DE8"/>
    <w:rsid w:val="1BA97566"/>
    <w:rsid w:val="1BAA62E3"/>
    <w:rsid w:val="1BAD248A"/>
    <w:rsid w:val="1BB06B7B"/>
    <w:rsid w:val="1BB26287"/>
    <w:rsid w:val="1BB35E28"/>
    <w:rsid w:val="1BB366AF"/>
    <w:rsid w:val="1BB50748"/>
    <w:rsid w:val="1BB644AA"/>
    <w:rsid w:val="1BB83309"/>
    <w:rsid w:val="1BB934AE"/>
    <w:rsid w:val="1BBE0BEC"/>
    <w:rsid w:val="1BBF488C"/>
    <w:rsid w:val="1BBF7FDA"/>
    <w:rsid w:val="1BC20649"/>
    <w:rsid w:val="1BC22212"/>
    <w:rsid w:val="1BC3580A"/>
    <w:rsid w:val="1BC577D4"/>
    <w:rsid w:val="1BC60522"/>
    <w:rsid w:val="1BC6130A"/>
    <w:rsid w:val="1BC66F95"/>
    <w:rsid w:val="1BC83471"/>
    <w:rsid w:val="1BC84A2D"/>
    <w:rsid w:val="1BC85F8B"/>
    <w:rsid w:val="1BCA2C1F"/>
    <w:rsid w:val="1BCA303C"/>
    <w:rsid w:val="1BCB296E"/>
    <w:rsid w:val="1BCD6794"/>
    <w:rsid w:val="1BCE2360"/>
    <w:rsid w:val="1BCE7C72"/>
    <w:rsid w:val="1BCE7E5F"/>
    <w:rsid w:val="1BD02C49"/>
    <w:rsid w:val="1BD23C9F"/>
    <w:rsid w:val="1BD364E4"/>
    <w:rsid w:val="1BD367B0"/>
    <w:rsid w:val="1BD6553D"/>
    <w:rsid w:val="1BD73063"/>
    <w:rsid w:val="1BD75D5A"/>
    <w:rsid w:val="1BD86FDA"/>
    <w:rsid w:val="1BD94FE4"/>
    <w:rsid w:val="1BDA07CF"/>
    <w:rsid w:val="1BDC5D91"/>
    <w:rsid w:val="1BDC7A5D"/>
    <w:rsid w:val="1BE12348"/>
    <w:rsid w:val="1BE1528D"/>
    <w:rsid w:val="1BE22134"/>
    <w:rsid w:val="1BE31FE6"/>
    <w:rsid w:val="1BE44E0C"/>
    <w:rsid w:val="1BE45B3F"/>
    <w:rsid w:val="1BE60CB7"/>
    <w:rsid w:val="1BE614F8"/>
    <w:rsid w:val="1BE85270"/>
    <w:rsid w:val="1BE95EF7"/>
    <w:rsid w:val="1BE97F3E"/>
    <w:rsid w:val="1BF0522D"/>
    <w:rsid w:val="1BF52D89"/>
    <w:rsid w:val="1BF57933"/>
    <w:rsid w:val="1BF63E31"/>
    <w:rsid w:val="1BF65BDF"/>
    <w:rsid w:val="1BF65CA0"/>
    <w:rsid w:val="1BF704FB"/>
    <w:rsid w:val="1BF73705"/>
    <w:rsid w:val="1BF84678"/>
    <w:rsid w:val="1BF87169"/>
    <w:rsid w:val="1BFA27C7"/>
    <w:rsid w:val="1BFC712C"/>
    <w:rsid w:val="1BFD0D1C"/>
    <w:rsid w:val="1BFE6D62"/>
    <w:rsid w:val="1C045F84"/>
    <w:rsid w:val="1C057BD0"/>
    <w:rsid w:val="1C087A1E"/>
    <w:rsid w:val="1C094D92"/>
    <w:rsid w:val="1C0B5BF2"/>
    <w:rsid w:val="1C0B7E01"/>
    <w:rsid w:val="1C0E2F29"/>
    <w:rsid w:val="1C0F0A4F"/>
    <w:rsid w:val="1C0F493A"/>
    <w:rsid w:val="1C0F4EF3"/>
    <w:rsid w:val="1C0F6782"/>
    <w:rsid w:val="1C0F7089"/>
    <w:rsid w:val="1C111D0E"/>
    <w:rsid w:val="1C113C73"/>
    <w:rsid w:val="1C1222ED"/>
    <w:rsid w:val="1C135D82"/>
    <w:rsid w:val="1C155249"/>
    <w:rsid w:val="1C16002F"/>
    <w:rsid w:val="1C163702"/>
    <w:rsid w:val="1C171C7E"/>
    <w:rsid w:val="1C182755"/>
    <w:rsid w:val="1C1B73F4"/>
    <w:rsid w:val="1C1C324D"/>
    <w:rsid w:val="1C1E672A"/>
    <w:rsid w:val="1C1F2F3D"/>
    <w:rsid w:val="1C2002B7"/>
    <w:rsid w:val="1C201166"/>
    <w:rsid w:val="1C202C5C"/>
    <w:rsid w:val="1C204A0A"/>
    <w:rsid w:val="1C206CED"/>
    <w:rsid w:val="1C215282"/>
    <w:rsid w:val="1C221D82"/>
    <w:rsid w:val="1C24274C"/>
    <w:rsid w:val="1C252021"/>
    <w:rsid w:val="1C255351"/>
    <w:rsid w:val="1C295FB5"/>
    <w:rsid w:val="1C2C33AF"/>
    <w:rsid w:val="1C2E5379"/>
    <w:rsid w:val="1C2F2E9F"/>
    <w:rsid w:val="1C30275C"/>
    <w:rsid w:val="1C303166"/>
    <w:rsid w:val="1C30687E"/>
    <w:rsid w:val="1C31256F"/>
    <w:rsid w:val="1C322A57"/>
    <w:rsid w:val="1C325F97"/>
    <w:rsid w:val="1C33298F"/>
    <w:rsid w:val="1C34389B"/>
    <w:rsid w:val="1C365FDC"/>
    <w:rsid w:val="1C376C95"/>
    <w:rsid w:val="1C380FDF"/>
    <w:rsid w:val="1C3819EF"/>
    <w:rsid w:val="1C395ACC"/>
    <w:rsid w:val="1C3A3EBF"/>
    <w:rsid w:val="1C3B1844"/>
    <w:rsid w:val="1C3C6EBF"/>
    <w:rsid w:val="1C3D3E7F"/>
    <w:rsid w:val="1C4032FE"/>
    <w:rsid w:val="1C403C42"/>
    <w:rsid w:val="1C4076FB"/>
    <w:rsid w:val="1C4416D3"/>
    <w:rsid w:val="1C4435F6"/>
    <w:rsid w:val="1C44694B"/>
    <w:rsid w:val="1C493F61"/>
    <w:rsid w:val="1C4A1A87"/>
    <w:rsid w:val="1C4A1ECF"/>
    <w:rsid w:val="1C4B609E"/>
    <w:rsid w:val="1C4C1CA3"/>
    <w:rsid w:val="1C4C3A51"/>
    <w:rsid w:val="1C4D015E"/>
    <w:rsid w:val="1C4D31A4"/>
    <w:rsid w:val="1C4E0CFD"/>
    <w:rsid w:val="1C4E77C9"/>
    <w:rsid w:val="1C4E7F9D"/>
    <w:rsid w:val="1C4F02F8"/>
    <w:rsid w:val="1C4F643C"/>
    <w:rsid w:val="1C4F67E6"/>
    <w:rsid w:val="1C507C76"/>
    <w:rsid w:val="1C5178F7"/>
    <w:rsid w:val="1C522367"/>
    <w:rsid w:val="1C550706"/>
    <w:rsid w:val="1C56667E"/>
    <w:rsid w:val="1C5744B5"/>
    <w:rsid w:val="1C574F78"/>
    <w:rsid w:val="1C5823F6"/>
    <w:rsid w:val="1C586408"/>
    <w:rsid w:val="1C5A1E28"/>
    <w:rsid w:val="1C5A616E"/>
    <w:rsid w:val="1C5D06D2"/>
    <w:rsid w:val="1C5D6BD4"/>
    <w:rsid w:val="1C5E7C2F"/>
    <w:rsid w:val="1C6012AB"/>
    <w:rsid w:val="1C60602A"/>
    <w:rsid w:val="1C61646F"/>
    <w:rsid w:val="1C626DD1"/>
    <w:rsid w:val="1C640D9B"/>
    <w:rsid w:val="1C680E35"/>
    <w:rsid w:val="1C681E1A"/>
    <w:rsid w:val="1C6963B1"/>
    <w:rsid w:val="1C6A3ED7"/>
    <w:rsid w:val="1C6A49F1"/>
    <w:rsid w:val="1C6A6689"/>
    <w:rsid w:val="1C6C04EA"/>
    <w:rsid w:val="1C6C362D"/>
    <w:rsid w:val="1C6C5EA1"/>
    <w:rsid w:val="1C6D7577"/>
    <w:rsid w:val="1C6F336E"/>
    <w:rsid w:val="1C6F6B5E"/>
    <w:rsid w:val="1C6F7740"/>
    <w:rsid w:val="1C744D1F"/>
    <w:rsid w:val="1C770915"/>
    <w:rsid w:val="1C7903AF"/>
    <w:rsid w:val="1C7A5BF0"/>
    <w:rsid w:val="1C7A76AF"/>
    <w:rsid w:val="1C7B04F7"/>
    <w:rsid w:val="1C7B48DB"/>
    <w:rsid w:val="1C7D3C04"/>
    <w:rsid w:val="1C7F3E27"/>
    <w:rsid w:val="1C80194D"/>
    <w:rsid w:val="1C8054A9"/>
    <w:rsid w:val="1C805614"/>
    <w:rsid w:val="1C84143D"/>
    <w:rsid w:val="1C845550"/>
    <w:rsid w:val="1C850D11"/>
    <w:rsid w:val="1C88053B"/>
    <w:rsid w:val="1C890E0E"/>
    <w:rsid w:val="1C89612E"/>
    <w:rsid w:val="1C8978F1"/>
    <w:rsid w:val="1C8979E1"/>
    <w:rsid w:val="1C897E07"/>
    <w:rsid w:val="1C8B31D1"/>
    <w:rsid w:val="1C8B58EF"/>
    <w:rsid w:val="1C8C20A0"/>
    <w:rsid w:val="1C8D55CF"/>
    <w:rsid w:val="1C9039C8"/>
    <w:rsid w:val="1C905109"/>
    <w:rsid w:val="1C940F54"/>
    <w:rsid w:val="1C964CCC"/>
    <w:rsid w:val="1C966414"/>
    <w:rsid w:val="1C98152A"/>
    <w:rsid w:val="1C984EE8"/>
    <w:rsid w:val="1C986C96"/>
    <w:rsid w:val="1C99656B"/>
    <w:rsid w:val="1C9A0C60"/>
    <w:rsid w:val="1C9E70AE"/>
    <w:rsid w:val="1C9E770D"/>
    <w:rsid w:val="1C9F0025"/>
    <w:rsid w:val="1CA04BFE"/>
    <w:rsid w:val="1CA07368"/>
    <w:rsid w:val="1CA12143"/>
    <w:rsid w:val="1CA13876"/>
    <w:rsid w:val="1CA53161"/>
    <w:rsid w:val="1CA61F02"/>
    <w:rsid w:val="1CA64593"/>
    <w:rsid w:val="1CA701B4"/>
    <w:rsid w:val="1CA70C88"/>
    <w:rsid w:val="1CA7407E"/>
    <w:rsid w:val="1CAC3784"/>
    <w:rsid w:val="1CAE2EC4"/>
    <w:rsid w:val="1CAE7E25"/>
    <w:rsid w:val="1CAF3599"/>
    <w:rsid w:val="1CB06FF1"/>
    <w:rsid w:val="1CB231CF"/>
    <w:rsid w:val="1CB23861"/>
    <w:rsid w:val="1CB25FAA"/>
    <w:rsid w:val="1CB35734"/>
    <w:rsid w:val="1CB41933"/>
    <w:rsid w:val="1CB57A86"/>
    <w:rsid w:val="1CB60703"/>
    <w:rsid w:val="1CB66E24"/>
    <w:rsid w:val="1CB76212"/>
    <w:rsid w:val="1CBA013C"/>
    <w:rsid w:val="1CBA04E3"/>
    <w:rsid w:val="1CBB1081"/>
    <w:rsid w:val="1CBB2985"/>
    <w:rsid w:val="1CBE4D59"/>
    <w:rsid w:val="1CC04712"/>
    <w:rsid w:val="1CC06D9D"/>
    <w:rsid w:val="1CC07398"/>
    <w:rsid w:val="1CC25AC1"/>
    <w:rsid w:val="1CC35FF3"/>
    <w:rsid w:val="1CC61A56"/>
    <w:rsid w:val="1CCC06EE"/>
    <w:rsid w:val="1CCE0733"/>
    <w:rsid w:val="1CCE6AC3"/>
    <w:rsid w:val="1CD12F9C"/>
    <w:rsid w:val="1CD13D2A"/>
    <w:rsid w:val="1CD221A8"/>
    <w:rsid w:val="1CD31BAE"/>
    <w:rsid w:val="1CD542E7"/>
    <w:rsid w:val="1CDC43CA"/>
    <w:rsid w:val="1CDC77FE"/>
    <w:rsid w:val="1CDF3D40"/>
    <w:rsid w:val="1CE04199"/>
    <w:rsid w:val="1CE335B0"/>
    <w:rsid w:val="1CE35E40"/>
    <w:rsid w:val="1CE43C8A"/>
    <w:rsid w:val="1CE57D5A"/>
    <w:rsid w:val="1CE67A02"/>
    <w:rsid w:val="1CE7377A"/>
    <w:rsid w:val="1CE93C09"/>
    <w:rsid w:val="1CF06AD2"/>
    <w:rsid w:val="1CF245F9"/>
    <w:rsid w:val="1CF322CF"/>
    <w:rsid w:val="1CF529EB"/>
    <w:rsid w:val="1CF53A0D"/>
    <w:rsid w:val="1CF87588"/>
    <w:rsid w:val="1CF93FFD"/>
    <w:rsid w:val="1CFA1018"/>
    <w:rsid w:val="1CFA72E1"/>
    <w:rsid w:val="1CFB7831"/>
    <w:rsid w:val="1CFB7FEB"/>
    <w:rsid w:val="1CFF09BD"/>
    <w:rsid w:val="1D014845"/>
    <w:rsid w:val="1D026372"/>
    <w:rsid w:val="1D05373D"/>
    <w:rsid w:val="1D0608B0"/>
    <w:rsid w:val="1D0808AE"/>
    <w:rsid w:val="1D0824D9"/>
    <w:rsid w:val="1D091942"/>
    <w:rsid w:val="1D0A048B"/>
    <w:rsid w:val="1D0A2953"/>
    <w:rsid w:val="1D0F39CD"/>
    <w:rsid w:val="1D110215"/>
    <w:rsid w:val="1D1341EA"/>
    <w:rsid w:val="1D134DB7"/>
    <w:rsid w:val="1D137BBF"/>
    <w:rsid w:val="1D1506AA"/>
    <w:rsid w:val="1D152095"/>
    <w:rsid w:val="1D156539"/>
    <w:rsid w:val="1D17405F"/>
    <w:rsid w:val="1D194ABA"/>
    <w:rsid w:val="1D1A76AB"/>
    <w:rsid w:val="1D1B6577"/>
    <w:rsid w:val="1D1C4A8E"/>
    <w:rsid w:val="1D1D719C"/>
    <w:rsid w:val="1D1E3640"/>
    <w:rsid w:val="1D207523"/>
    <w:rsid w:val="1D210A3A"/>
    <w:rsid w:val="1D2247B2"/>
    <w:rsid w:val="1D224F0A"/>
    <w:rsid w:val="1D243200"/>
    <w:rsid w:val="1D2624F4"/>
    <w:rsid w:val="1D277E4F"/>
    <w:rsid w:val="1D295B40"/>
    <w:rsid w:val="1D2A375F"/>
    <w:rsid w:val="1D2B0317"/>
    <w:rsid w:val="1D2B351D"/>
    <w:rsid w:val="1D2D5631"/>
    <w:rsid w:val="1D2F4447"/>
    <w:rsid w:val="1D302CBB"/>
    <w:rsid w:val="1D30340C"/>
    <w:rsid w:val="1D310BD7"/>
    <w:rsid w:val="1D320E99"/>
    <w:rsid w:val="1D33076D"/>
    <w:rsid w:val="1D3650A3"/>
    <w:rsid w:val="1D366B78"/>
    <w:rsid w:val="1D37200B"/>
    <w:rsid w:val="1D3739B0"/>
    <w:rsid w:val="1D382CE5"/>
    <w:rsid w:val="1D3A41E1"/>
    <w:rsid w:val="1D3A5FA0"/>
    <w:rsid w:val="1D3C5874"/>
    <w:rsid w:val="1D3E71D4"/>
    <w:rsid w:val="1D3E783E"/>
    <w:rsid w:val="1D41019F"/>
    <w:rsid w:val="1D4151A2"/>
    <w:rsid w:val="1D4171CC"/>
    <w:rsid w:val="1D424591"/>
    <w:rsid w:val="1D43518E"/>
    <w:rsid w:val="1D444728"/>
    <w:rsid w:val="1D46123E"/>
    <w:rsid w:val="1D4622ED"/>
    <w:rsid w:val="1D46666D"/>
    <w:rsid w:val="1D494FEE"/>
    <w:rsid w:val="1D4A104F"/>
    <w:rsid w:val="1D4D67EE"/>
    <w:rsid w:val="1D4E5AB1"/>
    <w:rsid w:val="1D5232E9"/>
    <w:rsid w:val="1D533C1F"/>
    <w:rsid w:val="1D56371B"/>
    <w:rsid w:val="1D595A4A"/>
    <w:rsid w:val="1D596426"/>
    <w:rsid w:val="1D5A03F0"/>
    <w:rsid w:val="1D5A219E"/>
    <w:rsid w:val="1D5B3170"/>
    <w:rsid w:val="1D5C0BDF"/>
    <w:rsid w:val="1D5C1FAA"/>
    <w:rsid w:val="1D5D0998"/>
    <w:rsid w:val="1D5D4381"/>
    <w:rsid w:val="1D5D57EA"/>
    <w:rsid w:val="1D5E1C8E"/>
    <w:rsid w:val="1D5E74C5"/>
    <w:rsid w:val="1D5F7214"/>
    <w:rsid w:val="1D604259"/>
    <w:rsid w:val="1D61177E"/>
    <w:rsid w:val="1D632632"/>
    <w:rsid w:val="1D6333DE"/>
    <w:rsid w:val="1D635B8E"/>
    <w:rsid w:val="1D645145"/>
    <w:rsid w:val="1D651063"/>
    <w:rsid w:val="1D6B659B"/>
    <w:rsid w:val="1D6C3651"/>
    <w:rsid w:val="1D6F55A4"/>
    <w:rsid w:val="1D7019C1"/>
    <w:rsid w:val="1D70376F"/>
    <w:rsid w:val="1D714EA2"/>
    <w:rsid w:val="1D725739"/>
    <w:rsid w:val="1D73025B"/>
    <w:rsid w:val="1D730C34"/>
    <w:rsid w:val="1D730DF9"/>
    <w:rsid w:val="1D733EAC"/>
    <w:rsid w:val="1D766B22"/>
    <w:rsid w:val="1D7842C5"/>
    <w:rsid w:val="1D7A1A96"/>
    <w:rsid w:val="1D7B5C3F"/>
    <w:rsid w:val="1D7E0C83"/>
    <w:rsid w:val="1D80259F"/>
    <w:rsid w:val="1D802C27"/>
    <w:rsid w:val="1D807436"/>
    <w:rsid w:val="1D81772B"/>
    <w:rsid w:val="1D835ABE"/>
    <w:rsid w:val="1D841230"/>
    <w:rsid w:val="1D85546D"/>
    <w:rsid w:val="1D8611E5"/>
    <w:rsid w:val="1D86683A"/>
    <w:rsid w:val="1D8702AF"/>
    <w:rsid w:val="1D873D7A"/>
    <w:rsid w:val="1D8913C6"/>
    <w:rsid w:val="1D8A4831"/>
    <w:rsid w:val="1D8B0431"/>
    <w:rsid w:val="1D8B05A9"/>
    <w:rsid w:val="1D8B2357"/>
    <w:rsid w:val="1D8D2573"/>
    <w:rsid w:val="1D8D60CF"/>
    <w:rsid w:val="1D8E3FE2"/>
    <w:rsid w:val="1D8F0099"/>
    <w:rsid w:val="1D8F2B9E"/>
    <w:rsid w:val="1D935A4C"/>
    <w:rsid w:val="1D9456B0"/>
    <w:rsid w:val="1D9476AD"/>
    <w:rsid w:val="1D954F84"/>
    <w:rsid w:val="1D955E6C"/>
    <w:rsid w:val="1D9672F6"/>
    <w:rsid w:val="1D9751A0"/>
    <w:rsid w:val="1D976F4E"/>
    <w:rsid w:val="1D990F18"/>
    <w:rsid w:val="1D993E82"/>
    <w:rsid w:val="1D9A07EC"/>
    <w:rsid w:val="1D9B243C"/>
    <w:rsid w:val="1D9D3D15"/>
    <w:rsid w:val="1D9D3ED0"/>
    <w:rsid w:val="1D9D4911"/>
    <w:rsid w:val="1D9E065A"/>
    <w:rsid w:val="1D9E65CA"/>
    <w:rsid w:val="1D9E73FE"/>
    <w:rsid w:val="1DA43419"/>
    <w:rsid w:val="1DA5166B"/>
    <w:rsid w:val="1DA54D2A"/>
    <w:rsid w:val="1DA72649"/>
    <w:rsid w:val="1DA74931"/>
    <w:rsid w:val="1DA767F2"/>
    <w:rsid w:val="1DA82F09"/>
    <w:rsid w:val="1DA862E9"/>
    <w:rsid w:val="1DA97D6B"/>
    <w:rsid w:val="1DA97F2F"/>
    <w:rsid w:val="1DAA4ED3"/>
    <w:rsid w:val="1DAB2047"/>
    <w:rsid w:val="1DAC3015"/>
    <w:rsid w:val="1DAD574A"/>
    <w:rsid w:val="1DAF6732"/>
    <w:rsid w:val="1DB624A5"/>
    <w:rsid w:val="1DB63878"/>
    <w:rsid w:val="1DB95116"/>
    <w:rsid w:val="1DB95831"/>
    <w:rsid w:val="1DBA103F"/>
    <w:rsid w:val="1DBA7D1E"/>
    <w:rsid w:val="1DBB5310"/>
    <w:rsid w:val="1DBC17D6"/>
    <w:rsid w:val="1DBE2801"/>
    <w:rsid w:val="1DC064A5"/>
    <w:rsid w:val="1DC10AB3"/>
    <w:rsid w:val="1DC13FCB"/>
    <w:rsid w:val="1DC33AA2"/>
    <w:rsid w:val="1DC54856"/>
    <w:rsid w:val="1DC55230"/>
    <w:rsid w:val="1DC55394"/>
    <w:rsid w:val="1DC6338F"/>
    <w:rsid w:val="1DC67833"/>
    <w:rsid w:val="1DCC309C"/>
    <w:rsid w:val="1DD12B31"/>
    <w:rsid w:val="1DD22E3C"/>
    <w:rsid w:val="1DD41F50"/>
    <w:rsid w:val="1DD44A27"/>
    <w:rsid w:val="1DD45AAC"/>
    <w:rsid w:val="1DD561B4"/>
    <w:rsid w:val="1DD76A8D"/>
    <w:rsid w:val="1DD957B9"/>
    <w:rsid w:val="1DD959F6"/>
    <w:rsid w:val="1DDC0E05"/>
    <w:rsid w:val="1DDC4086"/>
    <w:rsid w:val="1DDC5DF3"/>
    <w:rsid w:val="1DDE37AE"/>
    <w:rsid w:val="1DDE692B"/>
    <w:rsid w:val="1DDF7DB5"/>
    <w:rsid w:val="1DE008F5"/>
    <w:rsid w:val="1DE0470B"/>
    <w:rsid w:val="1DE201DA"/>
    <w:rsid w:val="1DE26713"/>
    <w:rsid w:val="1DE50B42"/>
    <w:rsid w:val="1DE72618"/>
    <w:rsid w:val="1DE90653"/>
    <w:rsid w:val="1DEA1774"/>
    <w:rsid w:val="1DEB7BDC"/>
    <w:rsid w:val="1DEC0875"/>
    <w:rsid w:val="1DEC3422"/>
    <w:rsid w:val="1DEC729A"/>
    <w:rsid w:val="1DED6B6E"/>
    <w:rsid w:val="1DEF0B38"/>
    <w:rsid w:val="1DF054D4"/>
    <w:rsid w:val="1DF82414"/>
    <w:rsid w:val="1DFA6837"/>
    <w:rsid w:val="1DFA6EC3"/>
    <w:rsid w:val="1DFB128B"/>
    <w:rsid w:val="1DFB2460"/>
    <w:rsid w:val="1DFB4D49"/>
    <w:rsid w:val="1DFC1989"/>
    <w:rsid w:val="1DFC3255"/>
    <w:rsid w:val="1DFD47C5"/>
    <w:rsid w:val="1DFE646B"/>
    <w:rsid w:val="1E0000E6"/>
    <w:rsid w:val="1E007351"/>
    <w:rsid w:val="1E031111"/>
    <w:rsid w:val="1E0345E3"/>
    <w:rsid w:val="1E05210A"/>
    <w:rsid w:val="1E054F96"/>
    <w:rsid w:val="1E0565AE"/>
    <w:rsid w:val="1E083917"/>
    <w:rsid w:val="1E0B5E87"/>
    <w:rsid w:val="1E0C13CE"/>
    <w:rsid w:val="1E0E61D6"/>
    <w:rsid w:val="1E124827"/>
    <w:rsid w:val="1E1249C9"/>
    <w:rsid w:val="1E1467F1"/>
    <w:rsid w:val="1E147042"/>
    <w:rsid w:val="1E15334A"/>
    <w:rsid w:val="1E1719D0"/>
    <w:rsid w:val="1E193E07"/>
    <w:rsid w:val="1E1D38F7"/>
    <w:rsid w:val="1E1E31CB"/>
    <w:rsid w:val="1E1F1AF5"/>
    <w:rsid w:val="1E217C8F"/>
    <w:rsid w:val="1E222CBC"/>
    <w:rsid w:val="1E250DE6"/>
    <w:rsid w:val="1E284E14"/>
    <w:rsid w:val="1E29229C"/>
    <w:rsid w:val="1E297813"/>
    <w:rsid w:val="1E2C5CFE"/>
    <w:rsid w:val="1E2C7696"/>
    <w:rsid w:val="1E2D340E"/>
    <w:rsid w:val="1E2E3FC6"/>
    <w:rsid w:val="1E2F6AC2"/>
    <w:rsid w:val="1E31403C"/>
    <w:rsid w:val="1E327856"/>
    <w:rsid w:val="1E387C04"/>
    <w:rsid w:val="1E3C6438"/>
    <w:rsid w:val="1E3D2556"/>
    <w:rsid w:val="1E3D59F6"/>
    <w:rsid w:val="1E3D5D47"/>
    <w:rsid w:val="1E3D7AF5"/>
    <w:rsid w:val="1E3E1D60"/>
    <w:rsid w:val="1E3E5127"/>
    <w:rsid w:val="1E3E73CA"/>
    <w:rsid w:val="1E4076DD"/>
    <w:rsid w:val="1E407A47"/>
    <w:rsid w:val="1E4210A3"/>
    <w:rsid w:val="1E42335E"/>
    <w:rsid w:val="1E44457D"/>
    <w:rsid w:val="1E446058"/>
    <w:rsid w:val="1E450758"/>
    <w:rsid w:val="1E45214C"/>
    <w:rsid w:val="1E4569AA"/>
    <w:rsid w:val="1E4612FA"/>
    <w:rsid w:val="1E465629"/>
    <w:rsid w:val="1E4A0B1B"/>
    <w:rsid w:val="1E4B143C"/>
    <w:rsid w:val="1E4B3A49"/>
    <w:rsid w:val="1E4B73EA"/>
    <w:rsid w:val="1E4F5A7B"/>
    <w:rsid w:val="1E501303"/>
    <w:rsid w:val="1E543091"/>
    <w:rsid w:val="1E560BB7"/>
    <w:rsid w:val="1E570EAD"/>
    <w:rsid w:val="1E577A63"/>
    <w:rsid w:val="1E585B93"/>
    <w:rsid w:val="1E594664"/>
    <w:rsid w:val="1E5B464E"/>
    <w:rsid w:val="1E5D3CF4"/>
    <w:rsid w:val="1E6104C0"/>
    <w:rsid w:val="1E62755C"/>
    <w:rsid w:val="1E641526"/>
    <w:rsid w:val="1E65295C"/>
    <w:rsid w:val="1E66429D"/>
    <w:rsid w:val="1E675D84"/>
    <w:rsid w:val="1E6908EA"/>
    <w:rsid w:val="1E696B3C"/>
    <w:rsid w:val="1E6C7F40"/>
    <w:rsid w:val="1E6E75BF"/>
    <w:rsid w:val="1E6F31D5"/>
    <w:rsid w:val="1E71418C"/>
    <w:rsid w:val="1E734B49"/>
    <w:rsid w:val="1E74103D"/>
    <w:rsid w:val="1E7456E8"/>
    <w:rsid w:val="1E74728F"/>
    <w:rsid w:val="1E7770DE"/>
    <w:rsid w:val="1E7815F7"/>
    <w:rsid w:val="1E7948A6"/>
    <w:rsid w:val="1E7B3054"/>
    <w:rsid w:val="1E7B4163"/>
    <w:rsid w:val="1E7D6144"/>
    <w:rsid w:val="1E7E5A26"/>
    <w:rsid w:val="1E7E5F31"/>
    <w:rsid w:val="1E804B34"/>
    <w:rsid w:val="1E806520"/>
    <w:rsid w:val="1E8170BF"/>
    <w:rsid w:val="1E854FF8"/>
    <w:rsid w:val="1E861550"/>
    <w:rsid w:val="1E875D5B"/>
    <w:rsid w:val="1E8E65A3"/>
    <w:rsid w:val="1E8F353E"/>
    <w:rsid w:val="1E90231B"/>
    <w:rsid w:val="1E910415"/>
    <w:rsid w:val="1E911BEF"/>
    <w:rsid w:val="1E9162F8"/>
    <w:rsid w:val="1E924C49"/>
    <w:rsid w:val="1E93220F"/>
    <w:rsid w:val="1E934E45"/>
    <w:rsid w:val="1E9440D9"/>
    <w:rsid w:val="1E9621D4"/>
    <w:rsid w:val="1E967206"/>
    <w:rsid w:val="1E9B0CC0"/>
    <w:rsid w:val="1E9E78C6"/>
    <w:rsid w:val="1EA07D33"/>
    <w:rsid w:val="1EA10F7E"/>
    <w:rsid w:val="1EA12F24"/>
    <w:rsid w:val="1EA22F52"/>
    <w:rsid w:val="1EA23DFC"/>
    <w:rsid w:val="1EA272C9"/>
    <w:rsid w:val="1EA27958"/>
    <w:rsid w:val="1EA336D1"/>
    <w:rsid w:val="1EA44AC3"/>
    <w:rsid w:val="1EA638ED"/>
    <w:rsid w:val="1EA66BF4"/>
    <w:rsid w:val="1EA731C1"/>
    <w:rsid w:val="1EA929A4"/>
    <w:rsid w:val="1EAB2AFC"/>
    <w:rsid w:val="1EAC272A"/>
    <w:rsid w:val="1EAC6854"/>
    <w:rsid w:val="1EAD03A6"/>
    <w:rsid w:val="1EAD1FE0"/>
    <w:rsid w:val="1EAD3D56"/>
    <w:rsid w:val="1EAF740C"/>
    <w:rsid w:val="1EB0258C"/>
    <w:rsid w:val="1EB06971"/>
    <w:rsid w:val="1EB15DEE"/>
    <w:rsid w:val="1EB15F68"/>
    <w:rsid w:val="1EB268D8"/>
    <w:rsid w:val="1EB37DB8"/>
    <w:rsid w:val="1EB4768C"/>
    <w:rsid w:val="1EB600BC"/>
    <w:rsid w:val="1EBA5319"/>
    <w:rsid w:val="1EBC0E1A"/>
    <w:rsid w:val="1EBD6EF2"/>
    <w:rsid w:val="1EBF49AE"/>
    <w:rsid w:val="1EBF675C"/>
    <w:rsid w:val="1EC1007E"/>
    <w:rsid w:val="1EC117B6"/>
    <w:rsid w:val="1EC137FC"/>
    <w:rsid w:val="1EC31840"/>
    <w:rsid w:val="1EC415FD"/>
    <w:rsid w:val="1EC4699D"/>
    <w:rsid w:val="1EC53DE0"/>
    <w:rsid w:val="1EC64DA3"/>
    <w:rsid w:val="1EC65D3D"/>
    <w:rsid w:val="1EC65ED4"/>
    <w:rsid w:val="1EC75611"/>
    <w:rsid w:val="1EC90198"/>
    <w:rsid w:val="1ECB2E77"/>
    <w:rsid w:val="1ECB7D96"/>
    <w:rsid w:val="1ECC56B6"/>
    <w:rsid w:val="1ECC70CB"/>
    <w:rsid w:val="1ECE0DC8"/>
    <w:rsid w:val="1ECF7290"/>
    <w:rsid w:val="1ED158B9"/>
    <w:rsid w:val="1ED20F1D"/>
    <w:rsid w:val="1ED24356"/>
    <w:rsid w:val="1ED64D78"/>
    <w:rsid w:val="1ED73417"/>
    <w:rsid w:val="1ED86FC5"/>
    <w:rsid w:val="1ED8781E"/>
    <w:rsid w:val="1EDA5988"/>
    <w:rsid w:val="1EDB2E6A"/>
    <w:rsid w:val="1EDC2748"/>
    <w:rsid w:val="1EDC5B8B"/>
    <w:rsid w:val="1EDD4E34"/>
    <w:rsid w:val="1EDE780B"/>
    <w:rsid w:val="1EDF09C8"/>
    <w:rsid w:val="1EE14925"/>
    <w:rsid w:val="1EE371AA"/>
    <w:rsid w:val="1EE44415"/>
    <w:rsid w:val="1EE461C3"/>
    <w:rsid w:val="1EE46CA1"/>
    <w:rsid w:val="1EE561D1"/>
    <w:rsid w:val="1EE75CB3"/>
    <w:rsid w:val="1EE77A61"/>
    <w:rsid w:val="1EE77B62"/>
    <w:rsid w:val="1EE820C8"/>
    <w:rsid w:val="1EE96989"/>
    <w:rsid w:val="1EEB57A3"/>
    <w:rsid w:val="1EEC631C"/>
    <w:rsid w:val="1EEC67B8"/>
    <w:rsid w:val="1EF02CEE"/>
    <w:rsid w:val="1EF02D51"/>
    <w:rsid w:val="1EF13B9E"/>
    <w:rsid w:val="1EF26B32"/>
    <w:rsid w:val="1EF503D0"/>
    <w:rsid w:val="1EF5217E"/>
    <w:rsid w:val="1EF8106D"/>
    <w:rsid w:val="1EF83A1C"/>
    <w:rsid w:val="1EF921F1"/>
    <w:rsid w:val="1EF95283"/>
    <w:rsid w:val="1EFA3D39"/>
    <w:rsid w:val="1EFB3D29"/>
    <w:rsid w:val="1EFB4E1D"/>
    <w:rsid w:val="1EFD3C33"/>
    <w:rsid w:val="1EFF2539"/>
    <w:rsid w:val="1F010B23"/>
    <w:rsid w:val="1F01196E"/>
    <w:rsid w:val="1F011E8E"/>
    <w:rsid w:val="1F047D00"/>
    <w:rsid w:val="1F0547FB"/>
    <w:rsid w:val="1F070103"/>
    <w:rsid w:val="1F086CB4"/>
    <w:rsid w:val="1F087540"/>
    <w:rsid w:val="1F0A1722"/>
    <w:rsid w:val="1F0A6E39"/>
    <w:rsid w:val="1F0C52E3"/>
    <w:rsid w:val="1F0C7999"/>
    <w:rsid w:val="1F0D6046"/>
    <w:rsid w:val="1F0E0B57"/>
    <w:rsid w:val="1F0E3240"/>
    <w:rsid w:val="1F0F2E35"/>
    <w:rsid w:val="1F0F51F1"/>
    <w:rsid w:val="1F1545CE"/>
    <w:rsid w:val="1F17052E"/>
    <w:rsid w:val="1F182311"/>
    <w:rsid w:val="1F196E7F"/>
    <w:rsid w:val="1F1A1BE5"/>
    <w:rsid w:val="1F1A7E37"/>
    <w:rsid w:val="1F1D3483"/>
    <w:rsid w:val="1F1F544D"/>
    <w:rsid w:val="1F2028F9"/>
    <w:rsid w:val="1F204572"/>
    <w:rsid w:val="1F2208FE"/>
    <w:rsid w:val="1F226CEB"/>
    <w:rsid w:val="1F264902"/>
    <w:rsid w:val="1F264A2D"/>
    <w:rsid w:val="1F275615"/>
    <w:rsid w:val="1F2962CC"/>
    <w:rsid w:val="1F29753E"/>
    <w:rsid w:val="1F2B2044"/>
    <w:rsid w:val="1F2D5E39"/>
    <w:rsid w:val="1F2E720B"/>
    <w:rsid w:val="1F300638"/>
    <w:rsid w:val="1F302AAF"/>
    <w:rsid w:val="1F302D4A"/>
    <w:rsid w:val="1F30765A"/>
    <w:rsid w:val="1F3134DE"/>
    <w:rsid w:val="1F31466F"/>
    <w:rsid w:val="1F3233CF"/>
    <w:rsid w:val="1F324C3C"/>
    <w:rsid w:val="1F325180"/>
    <w:rsid w:val="1F3531AD"/>
    <w:rsid w:val="1F35421B"/>
    <w:rsid w:val="1F363EB0"/>
    <w:rsid w:val="1F3A4035"/>
    <w:rsid w:val="1F3D624F"/>
    <w:rsid w:val="1F3D7747"/>
    <w:rsid w:val="1F3E2097"/>
    <w:rsid w:val="1F3F33F9"/>
    <w:rsid w:val="1F3F5AEF"/>
    <w:rsid w:val="1F42195B"/>
    <w:rsid w:val="1F431B9D"/>
    <w:rsid w:val="1F437F4A"/>
    <w:rsid w:val="1F443106"/>
    <w:rsid w:val="1F443FFF"/>
    <w:rsid w:val="1F444AA3"/>
    <w:rsid w:val="1F446C62"/>
    <w:rsid w:val="1F470500"/>
    <w:rsid w:val="1F4C3617"/>
    <w:rsid w:val="1F4D1FBA"/>
    <w:rsid w:val="1F4D3D68"/>
    <w:rsid w:val="1F4E3244"/>
    <w:rsid w:val="1F4E5FA7"/>
    <w:rsid w:val="1F503046"/>
    <w:rsid w:val="1F505606"/>
    <w:rsid w:val="1F52137F"/>
    <w:rsid w:val="1F5270A7"/>
    <w:rsid w:val="1F553EA5"/>
    <w:rsid w:val="1F566EB8"/>
    <w:rsid w:val="1F570348"/>
    <w:rsid w:val="1F575A19"/>
    <w:rsid w:val="1F5C2306"/>
    <w:rsid w:val="1F5C3FAB"/>
    <w:rsid w:val="1F5E2F55"/>
    <w:rsid w:val="1F5F3A9B"/>
    <w:rsid w:val="1F5F4784"/>
    <w:rsid w:val="1F6139F7"/>
    <w:rsid w:val="1F6400AC"/>
    <w:rsid w:val="1F672DAF"/>
    <w:rsid w:val="1F6939EE"/>
    <w:rsid w:val="1F6A3E3B"/>
    <w:rsid w:val="1F6B2440"/>
    <w:rsid w:val="1F6D07C1"/>
    <w:rsid w:val="1F6E1F30"/>
    <w:rsid w:val="1F7053E3"/>
    <w:rsid w:val="1F706B55"/>
    <w:rsid w:val="1F706B96"/>
    <w:rsid w:val="1F73620B"/>
    <w:rsid w:val="1F742441"/>
    <w:rsid w:val="1F766C00"/>
    <w:rsid w:val="1F77248C"/>
    <w:rsid w:val="1F780F64"/>
    <w:rsid w:val="1F7A106F"/>
    <w:rsid w:val="1F7A6012"/>
    <w:rsid w:val="1F7A6B27"/>
    <w:rsid w:val="1F7C04E2"/>
    <w:rsid w:val="1F7C10FB"/>
    <w:rsid w:val="1F7C289F"/>
    <w:rsid w:val="1F7E4991"/>
    <w:rsid w:val="1F7E4C34"/>
    <w:rsid w:val="1F8009E4"/>
    <w:rsid w:val="1F813A12"/>
    <w:rsid w:val="1F813B73"/>
    <w:rsid w:val="1F824F13"/>
    <w:rsid w:val="1F8451F6"/>
    <w:rsid w:val="1F8460B4"/>
    <w:rsid w:val="1F8612C8"/>
    <w:rsid w:val="1F8654CC"/>
    <w:rsid w:val="1F867DD7"/>
    <w:rsid w:val="1F8766E7"/>
    <w:rsid w:val="1F890B18"/>
    <w:rsid w:val="1F896D6A"/>
    <w:rsid w:val="1F8B663F"/>
    <w:rsid w:val="1F8D49F3"/>
    <w:rsid w:val="1F8D685B"/>
    <w:rsid w:val="1F9028A2"/>
    <w:rsid w:val="1F920C16"/>
    <w:rsid w:val="1F9361DA"/>
    <w:rsid w:val="1F972A6A"/>
    <w:rsid w:val="1F9A6E78"/>
    <w:rsid w:val="1F9B615C"/>
    <w:rsid w:val="1F9C084C"/>
    <w:rsid w:val="1F9C5282"/>
    <w:rsid w:val="1F9D59EC"/>
    <w:rsid w:val="1F9E2816"/>
    <w:rsid w:val="1F9F50D7"/>
    <w:rsid w:val="1FA1016D"/>
    <w:rsid w:val="1FA12306"/>
    <w:rsid w:val="1FA140B4"/>
    <w:rsid w:val="1FA47700"/>
    <w:rsid w:val="1FA507E8"/>
    <w:rsid w:val="1FA75F79"/>
    <w:rsid w:val="1FAA1E71"/>
    <w:rsid w:val="1FAB50E1"/>
    <w:rsid w:val="1FAC3B55"/>
    <w:rsid w:val="1FAD2A59"/>
    <w:rsid w:val="1FAD3F88"/>
    <w:rsid w:val="1FAD742D"/>
    <w:rsid w:val="1FAE2773"/>
    <w:rsid w:val="1FB00BE2"/>
    <w:rsid w:val="1FB04EF2"/>
    <w:rsid w:val="1FB42039"/>
    <w:rsid w:val="1FB44357"/>
    <w:rsid w:val="1FB73684"/>
    <w:rsid w:val="1FB84454"/>
    <w:rsid w:val="1FB84665"/>
    <w:rsid w:val="1FB913FE"/>
    <w:rsid w:val="1FB95F1C"/>
    <w:rsid w:val="1FBB1B01"/>
    <w:rsid w:val="1FBC4A4A"/>
    <w:rsid w:val="1FBF0E2C"/>
    <w:rsid w:val="1FBF79D3"/>
    <w:rsid w:val="1FC16A5D"/>
    <w:rsid w:val="1FC23CA6"/>
    <w:rsid w:val="1FC34680"/>
    <w:rsid w:val="1FC35DD8"/>
    <w:rsid w:val="1FC35F39"/>
    <w:rsid w:val="1FC61443"/>
    <w:rsid w:val="1FC87893"/>
    <w:rsid w:val="1FCD4EA9"/>
    <w:rsid w:val="1FCE3F40"/>
    <w:rsid w:val="1FCE5613"/>
    <w:rsid w:val="1FCE7E9C"/>
    <w:rsid w:val="1FCF0C21"/>
    <w:rsid w:val="1FCF0E04"/>
    <w:rsid w:val="1FD0596B"/>
    <w:rsid w:val="1FD44489"/>
    <w:rsid w:val="1FD5766E"/>
    <w:rsid w:val="1FD96771"/>
    <w:rsid w:val="1FDA3E25"/>
    <w:rsid w:val="1FDC7BDF"/>
    <w:rsid w:val="1FDD7A2F"/>
    <w:rsid w:val="1FDE1C21"/>
    <w:rsid w:val="1FDE786A"/>
    <w:rsid w:val="1FE04BCF"/>
    <w:rsid w:val="1FE3006F"/>
    <w:rsid w:val="1FE553C2"/>
    <w:rsid w:val="1FE60172"/>
    <w:rsid w:val="1FE66230"/>
    <w:rsid w:val="1FE71E4B"/>
    <w:rsid w:val="1FE741BD"/>
    <w:rsid w:val="1FE744F3"/>
    <w:rsid w:val="1FE7623B"/>
    <w:rsid w:val="1FEA5A5B"/>
    <w:rsid w:val="1FEC17D3"/>
    <w:rsid w:val="1FEC25C4"/>
    <w:rsid w:val="1FED4E93"/>
    <w:rsid w:val="1FED554B"/>
    <w:rsid w:val="1FEF3071"/>
    <w:rsid w:val="1FEF4E1F"/>
    <w:rsid w:val="1FF00B97"/>
    <w:rsid w:val="1FFC60C1"/>
    <w:rsid w:val="20015EDA"/>
    <w:rsid w:val="200308CB"/>
    <w:rsid w:val="20036B1D"/>
    <w:rsid w:val="200603BB"/>
    <w:rsid w:val="20062169"/>
    <w:rsid w:val="20086288"/>
    <w:rsid w:val="20093A2E"/>
    <w:rsid w:val="200A1C59"/>
    <w:rsid w:val="200A3A07"/>
    <w:rsid w:val="200C041C"/>
    <w:rsid w:val="200C2FED"/>
    <w:rsid w:val="200D1749"/>
    <w:rsid w:val="20107F24"/>
    <w:rsid w:val="2011123A"/>
    <w:rsid w:val="20111959"/>
    <w:rsid w:val="20112FE8"/>
    <w:rsid w:val="20120B0E"/>
    <w:rsid w:val="20124FB2"/>
    <w:rsid w:val="20130094"/>
    <w:rsid w:val="20141EC7"/>
    <w:rsid w:val="2014371F"/>
    <w:rsid w:val="20146634"/>
    <w:rsid w:val="20166850"/>
    <w:rsid w:val="20174376"/>
    <w:rsid w:val="20176124"/>
    <w:rsid w:val="201B0C75"/>
    <w:rsid w:val="201B6BB8"/>
    <w:rsid w:val="201C2430"/>
    <w:rsid w:val="201C5A4A"/>
    <w:rsid w:val="201F7B62"/>
    <w:rsid w:val="20235CE4"/>
    <w:rsid w:val="2025043D"/>
    <w:rsid w:val="20250841"/>
    <w:rsid w:val="20253BE5"/>
    <w:rsid w:val="202549B6"/>
    <w:rsid w:val="2026550C"/>
    <w:rsid w:val="20286583"/>
    <w:rsid w:val="20286883"/>
    <w:rsid w:val="202A0DCA"/>
    <w:rsid w:val="202B07D6"/>
    <w:rsid w:val="202B5A1D"/>
    <w:rsid w:val="202C14A1"/>
    <w:rsid w:val="202F24B7"/>
    <w:rsid w:val="202F348C"/>
    <w:rsid w:val="202F3999"/>
    <w:rsid w:val="203062AB"/>
    <w:rsid w:val="203171E6"/>
    <w:rsid w:val="203327BF"/>
    <w:rsid w:val="20362A4E"/>
    <w:rsid w:val="203776EA"/>
    <w:rsid w:val="20387FBD"/>
    <w:rsid w:val="20391415"/>
    <w:rsid w:val="2039790D"/>
    <w:rsid w:val="203B391C"/>
    <w:rsid w:val="203C638C"/>
    <w:rsid w:val="203D6BC1"/>
    <w:rsid w:val="203F072E"/>
    <w:rsid w:val="20400535"/>
    <w:rsid w:val="204213F3"/>
    <w:rsid w:val="20432809"/>
    <w:rsid w:val="20442E68"/>
    <w:rsid w:val="20444C98"/>
    <w:rsid w:val="204470B3"/>
    <w:rsid w:val="20452C91"/>
    <w:rsid w:val="204535DA"/>
    <w:rsid w:val="20462D25"/>
    <w:rsid w:val="20474C5B"/>
    <w:rsid w:val="20481B25"/>
    <w:rsid w:val="204A64FA"/>
    <w:rsid w:val="204C4D4B"/>
    <w:rsid w:val="204C78C3"/>
    <w:rsid w:val="204F1D62"/>
    <w:rsid w:val="204F6A1E"/>
    <w:rsid w:val="205253AE"/>
    <w:rsid w:val="20535F35"/>
    <w:rsid w:val="20542ED4"/>
    <w:rsid w:val="205645BD"/>
    <w:rsid w:val="20566C4C"/>
    <w:rsid w:val="20580931"/>
    <w:rsid w:val="205920E7"/>
    <w:rsid w:val="2059419C"/>
    <w:rsid w:val="205E01F7"/>
    <w:rsid w:val="205E1FA5"/>
    <w:rsid w:val="205E3D53"/>
    <w:rsid w:val="205E52B6"/>
    <w:rsid w:val="205E6393"/>
    <w:rsid w:val="205E6666"/>
    <w:rsid w:val="20601879"/>
    <w:rsid w:val="206122BB"/>
    <w:rsid w:val="206173E6"/>
    <w:rsid w:val="2062104A"/>
    <w:rsid w:val="20635322"/>
    <w:rsid w:val="2063580D"/>
    <w:rsid w:val="206433F0"/>
    <w:rsid w:val="20656FA0"/>
    <w:rsid w:val="206A6B9C"/>
    <w:rsid w:val="206D274F"/>
    <w:rsid w:val="206D29DF"/>
    <w:rsid w:val="206E043A"/>
    <w:rsid w:val="207128B9"/>
    <w:rsid w:val="20713A86"/>
    <w:rsid w:val="20713C45"/>
    <w:rsid w:val="207257A9"/>
    <w:rsid w:val="207277FE"/>
    <w:rsid w:val="2076109D"/>
    <w:rsid w:val="207812B9"/>
    <w:rsid w:val="2079293B"/>
    <w:rsid w:val="20794EEE"/>
    <w:rsid w:val="207D067D"/>
    <w:rsid w:val="207D4F74"/>
    <w:rsid w:val="20831A0C"/>
    <w:rsid w:val="208337BA"/>
    <w:rsid w:val="20847881"/>
    <w:rsid w:val="20850611"/>
    <w:rsid w:val="208539D6"/>
    <w:rsid w:val="208732AA"/>
    <w:rsid w:val="208852B0"/>
    <w:rsid w:val="20895274"/>
    <w:rsid w:val="20896DC2"/>
    <w:rsid w:val="208E288A"/>
    <w:rsid w:val="20914128"/>
    <w:rsid w:val="20932C15"/>
    <w:rsid w:val="20935F0E"/>
    <w:rsid w:val="209377B8"/>
    <w:rsid w:val="20967991"/>
    <w:rsid w:val="20981A12"/>
    <w:rsid w:val="20987265"/>
    <w:rsid w:val="2099253B"/>
    <w:rsid w:val="20992E7B"/>
    <w:rsid w:val="209B0B03"/>
    <w:rsid w:val="209B4FA7"/>
    <w:rsid w:val="209D07C3"/>
    <w:rsid w:val="20A011F8"/>
    <w:rsid w:val="20A24ABD"/>
    <w:rsid w:val="20A27B39"/>
    <w:rsid w:val="20A350FE"/>
    <w:rsid w:val="20A420AE"/>
    <w:rsid w:val="20A57839"/>
    <w:rsid w:val="20A7394C"/>
    <w:rsid w:val="20A756FA"/>
    <w:rsid w:val="20A8243A"/>
    <w:rsid w:val="20A94E3B"/>
    <w:rsid w:val="20AA6F98"/>
    <w:rsid w:val="20AD0837"/>
    <w:rsid w:val="20AD5E53"/>
    <w:rsid w:val="20AE6A88"/>
    <w:rsid w:val="20AF1856"/>
    <w:rsid w:val="20B135CD"/>
    <w:rsid w:val="20B230EF"/>
    <w:rsid w:val="20B41BC5"/>
    <w:rsid w:val="20B772A1"/>
    <w:rsid w:val="20B81EB6"/>
    <w:rsid w:val="20B82D8A"/>
    <w:rsid w:val="20B93445"/>
    <w:rsid w:val="20BB2F53"/>
    <w:rsid w:val="20BC2891"/>
    <w:rsid w:val="20BD38E3"/>
    <w:rsid w:val="20BF540A"/>
    <w:rsid w:val="20C04A0E"/>
    <w:rsid w:val="20C05A8A"/>
    <w:rsid w:val="20C22EE1"/>
    <w:rsid w:val="20C43AB7"/>
    <w:rsid w:val="20C444FE"/>
    <w:rsid w:val="20C462AC"/>
    <w:rsid w:val="20C73087"/>
    <w:rsid w:val="20C73BD5"/>
    <w:rsid w:val="20C9133D"/>
    <w:rsid w:val="20C94CAC"/>
    <w:rsid w:val="20CB71D8"/>
    <w:rsid w:val="20CC267C"/>
    <w:rsid w:val="20CC747B"/>
    <w:rsid w:val="20CF13CE"/>
    <w:rsid w:val="20D004CB"/>
    <w:rsid w:val="20D02EA3"/>
    <w:rsid w:val="20D14525"/>
    <w:rsid w:val="20D234E6"/>
    <w:rsid w:val="20D235FB"/>
    <w:rsid w:val="20D30A7A"/>
    <w:rsid w:val="20D504B9"/>
    <w:rsid w:val="20D52267"/>
    <w:rsid w:val="20D56D75"/>
    <w:rsid w:val="20D63E58"/>
    <w:rsid w:val="20D67D8D"/>
    <w:rsid w:val="20DB53A4"/>
    <w:rsid w:val="20DC3167"/>
    <w:rsid w:val="20DD111C"/>
    <w:rsid w:val="20DE1AB6"/>
    <w:rsid w:val="20DF30E6"/>
    <w:rsid w:val="20E12709"/>
    <w:rsid w:val="20E22BD6"/>
    <w:rsid w:val="20E24984"/>
    <w:rsid w:val="20E32092"/>
    <w:rsid w:val="20E52DD6"/>
    <w:rsid w:val="20E80304"/>
    <w:rsid w:val="20E80E3E"/>
    <w:rsid w:val="20E83906"/>
    <w:rsid w:val="20E83C71"/>
    <w:rsid w:val="20E85BCD"/>
    <w:rsid w:val="20E90D96"/>
    <w:rsid w:val="20EA329F"/>
    <w:rsid w:val="20EC66D3"/>
    <w:rsid w:val="20ED726E"/>
    <w:rsid w:val="20EE3329"/>
    <w:rsid w:val="20EE50D7"/>
    <w:rsid w:val="20EF22C2"/>
    <w:rsid w:val="20F036ED"/>
    <w:rsid w:val="20F37850"/>
    <w:rsid w:val="20F4534A"/>
    <w:rsid w:val="20F46465"/>
    <w:rsid w:val="20FA1CCE"/>
    <w:rsid w:val="20FA2328"/>
    <w:rsid w:val="20FA7F20"/>
    <w:rsid w:val="20FC1C12"/>
    <w:rsid w:val="20FC3C98"/>
    <w:rsid w:val="20FD6333"/>
    <w:rsid w:val="20FE30EA"/>
    <w:rsid w:val="21022930"/>
    <w:rsid w:val="21040AD4"/>
    <w:rsid w:val="21042253"/>
    <w:rsid w:val="210448FA"/>
    <w:rsid w:val="21067460"/>
    <w:rsid w:val="21090163"/>
    <w:rsid w:val="21093593"/>
    <w:rsid w:val="21093CBF"/>
    <w:rsid w:val="21095F9B"/>
    <w:rsid w:val="210A59EF"/>
    <w:rsid w:val="210B5C89"/>
    <w:rsid w:val="210C6F7A"/>
    <w:rsid w:val="210E5779"/>
    <w:rsid w:val="210E6420"/>
    <w:rsid w:val="21111EDC"/>
    <w:rsid w:val="2112296A"/>
    <w:rsid w:val="2113325A"/>
    <w:rsid w:val="211519AF"/>
    <w:rsid w:val="21154D5A"/>
    <w:rsid w:val="21156B08"/>
    <w:rsid w:val="211A3DCF"/>
    <w:rsid w:val="211A7A85"/>
    <w:rsid w:val="211B39F2"/>
    <w:rsid w:val="211D3C0E"/>
    <w:rsid w:val="21203DF4"/>
    <w:rsid w:val="21221225"/>
    <w:rsid w:val="212276B8"/>
    <w:rsid w:val="2124331B"/>
    <w:rsid w:val="212573D7"/>
    <w:rsid w:val="21260D15"/>
    <w:rsid w:val="21262AC3"/>
    <w:rsid w:val="2127683B"/>
    <w:rsid w:val="212866DE"/>
    <w:rsid w:val="21294361"/>
    <w:rsid w:val="212958F6"/>
    <w:rsid w:val="21303941"/>
    <w:rsid w:val="213056EF"/>
    <w:rsid w:val="21311468"/>
    <w:rsid w:val="21313216"/>
    <w:rsid w:val="21330251"/>
    <w:rsid w:val="21342829"/>
    <w:rsid w:val="21360B4E"/>
    <w:rsid w:val="21366A7E"/>
    <w:rsid w:val="21371D65"/>
    <w:rsid w:val="21376595"/>
    <w:rsid w:val="21394AF2"/>
    <w:rsid w:val="213F3B84"/>
    <w:rsid w:val="214142A7"/>
    <w:rsid w:val="2141730D"/>
    <w:rsid w:val="21432BFC"/>
    <w:rsid w:val="21433CAE"/>
    <w:rsid w:val="21454A08"/>
    <w:rsid w:val="21461012"/>
    <w:rsid w:val="21487E82"/>
    <w:rsid w:val="2149055F"/>
    <w:rsid w:val="214A26AF"/>
    <w:rsid w:val="214C1877"/>
    <w:rsid w:val="214C62A1"/>
    <w:rsid w:val="214F3078"/>
    <w:rsid w:val="214F7D28"/>
    <w:rsid w:val="21511AA0"/>
    <w:rsid w:val="21513D9B"/>
    <w:rsid w:val="215313DE"/>
    <w:rsid w:val="215333D3"/>
    <w:rsid w:val="215515DB"/>
    <w:rsid w:val="2156503C"/>
    <w:rsid w:val="21577120"/>
    <w:rsid w:val="21585832"/>
    <w:rsid w:val="215869F4"/>
    <w:rsid w:val="215A09BE"/>
    <w:rsid w:val="215B52C8"/>
    <w:rsid w:val="215C4736"/>
    <w:rsid w:val="215C64E4"/>
    <w:rsid w:val="215D225D"/>
    <w:rsid w:val="215D2B5A"/>
    <w:rsid w:val="215D400B"/>
    <w:rsid w:val="215E7518"/>
    <w:rsid w:val="215F7E37"/>
    <w:rsid w:val="2160111D"/>
    <w:rsid w:val="216154D0"/>
    <w:rsid w:val="21621361"/>
    <w:rsid w:val="216300F7"/>
    <w:rsid w:val="21661111"/>
    <w:rsid w:val="21681D2D"/>
    <w:rsid w:val="216A34B2"/>
    <w:rsid w:val="216A444C"/>
    <w:rsid w:val="216D06F2"/>
    <w:rsid w:val="216E3233"/>
    <w:rsid w:val="216E446A"/>
    <w:rsid w:val="21701EF5"/>
    <w:rsid w:val="21707EAF"/>
    <w:rsid w:val="2174533C"/>
    <w:rsid w:val="217503F9"/>
    <w:rsid w:val="21760073"/>
    <w:rsid w:val="21784B27"/>
    <w:rsid w:val="217915F9"/>
    <w:rsid w:val="217B58C7"/>
    <w:rsid w:val="217E1F03"/>
    <w:rsid w:val="2181490E"/>
    <w:rsid w:val="21817CF9"/>
    <w:rsid w:val="21837F15"/>
    <w:rsid w:val="21845A3B"/>
    <w:rsid w:val="21863561"/>
    <w:rsid w:val="21871088"/>
    <w:rsid w:val="21885798"/>
    <w:rsid w:val="21893C3E"/>
    <w:rsid w:val="218B0B78"/>
    <w:rsid w:val="218C669E"/>
    <w:rsid w:val="218D2B42"/>
    <w:rsid w:val="218D48F0"/>
    <w:rsid w:val="219038FC"/>
    <w:rsid w:val="2192444B"/>
    <w:rsid w:val="21933ED0"/>
    <w:rsid w:val="2194459D"/>
    <w:rsid w:val="21957C48"/>
    <w:rsid w:val="21971A5F"/>
    <w:rsid w:val="21977FF2"/>
    <w:rsid w:val="21983D12"/>
    <w:rsid w:val="219D137A"/>
    <w:rsid w:val="21A1039B"/>
    <w:rsid w:val="21A165ED"/>
    <w:rsid w:val="21A25EC1"/>
    <w:rsid w:val="21A3289D"/>
    <w:rsid w:val="21A34113"/>
    <w:rsid w:val="21A954A2"/>
    <w:rsid w:val="21AB4EDC"/>
    <w:rsid w:val="21AB746C"/>
    <w:rsid w:val="21AE5C8C"/>
    <w:rsid w:val="21B04A82"/>
    <w:rsid w:val="21B2012A"/>
    <w:rsid w:val="21B34182"/>
    <w:rsid w:val="21B44F4C"/>
    <w:rsid w:val="21B7196D"/>
    <w:rsid w:val="21B805CD"/>
    <w:rsid w:val="21B97996"/>
    <w:rsid w:val="21BB6D03"/>
    <w:rsid w:val="21BC6F83"/>
    <w:rsid w:val="21BE3ED6"/>
    <w:rsid w:val="21BF647C"/>
    <w:rsid w:val="21C21333"/>
    <w:rsid w:val="21C26CEA"/>
    <w:rsid w:val="21C42F7A"/>
    <w:rsid w:val="21C615AE"/>
    <w:rsid w:val="21C65182"/>
    <w:rsid w:val="21C67E02"/>
    <w:rsid w:val="21C80FDC"/>
    <w:rsid w:val="21C81DCC"/>
    <w:rsid w:val="21C916A0"/>
    <w:rsid w:val="21CA3B32"/>
    <w:rsid w:val="21CB1A9C"/>
    <w:rsid w:val="21CF6BB6"/>
    <w:rsid w:val="21D00DD1"/>
    <w:rsid w:val="21D05231"/>
    <w:rsid w:val="21D40771"/>
    <w:rsid w:val="21D474D2"/>
    <w:rsid w:val="21D84004"/>
    <w:rsid w:val="21D94574"/>
    <w:rsid w:val="21DE5008"/>
    <w:rsid w:val="21DF2C72"/>
    <w:rsid w:val="21E07116"/>
    <w:rsid w:val="21E111C9"/>
    <w:rsid w:val="21E20261"/>
    <w:rsid w:val="21E32424"/>
    <w:rsid w:val="21E33E1B"/>
    <w:rsid w:val="21E40D7C"/>
    <w:rsid w:val="21E55BA0"/>
    <w:rsid w:val="21E675B9"/>
    <w:rsid w:val="21E90CBF"/>
    <w:rsid w:val="21EA1E81"/>
    <w:rsid w:val="21EC6D8D"/>
    <w:rsid w:val="21ED35E0"/>
    <w:rsid w:val="21ED538F"/>
    <w:rsid w:val="21EE54AF"/>
    <w:rsid w:val="21F030D1"/>
    <w:rsid w:val="21F0363B"/>
    <w:rsid w:val="21F1456A"/>
    <w:rsid w:val="21F229A5"/>
    <w:rsid w:val="21F809B9"/>
    <w:rsid w:val="21FD15AA"/>
    <w:rsid w:val="21FE5C62"/>
    <w:rsid w:val="21FF0D89"/>
    <w:rsid w:val="21FF51E1"/>
    <w:rsid w:val="21FF5741"/>
    <w:rsid w:val="21FF7EA3"/>
    <w:rsid w:val="22001B30"/>
    <w:rsid w:val="2205092A"/>
    <w:rsid w:val="22053DC1"/>
    <w:rsid w:val="220D028A"/>
    <w:rsid w:val="220D3C83"/>
    <w:rsid w:val="220F79FB"/>
    <w:rsid w:val="22105521"/>
    <w:rsid w:val="22110B9B"/>
    <w:rsid w:val="22133198"/>
    <w:rsid w:val="221548E5"/>
    <w:rsid w:val="221722F1"/>
    <w:rsid w:val="2217303E"/>
    <w:rsid w:val="221849F1"/>
    <w:rsid w:val="22194776"/>
    <w:rsid w:val="221B3A31"/>
    <w:rsid w:val="221C3EC6"/>
    <w:rsid w:val="221D20F7"/>
    <w:rsid w:val="222114DC"/>
    <w:rsid w:val="2222301D"/>
    <w:rsid w:val="22274D44"/>
    <w:rsid w:val="2228286B"/>
    <w:rsid w:val="222A326B"/>
    <w:rsid w:val="222B5EB7"/>
    <w:rsid w:val="222B61E7"/>
    <w:rsid w:val="222F6497"/>
    <w:rsid w:val="22324B89"/>
    <w:rsid w:val="22325497"/>
    <w:rsid w:val="2234120F"/>
    <w:rsid w:val="22346561"/>
    <w:rsid w:val="22347EC0"/>
    <w:rsid w:val="22356D36"/>
    <w:rsid w:val="223613C5"/>
    <w:rsid w:val="22386CFF"/>
    <w:rsid w:val="22396826"/>
    <w:rsid w:val="223B0879"/>
    <w:rsid w:val="223C00C4"/>
    <w:rsid w:val="223E208E"/>
    <w:rsid w:val="223E3E3C"/>
    <w:rsid w:val="22401962"/>
    <w:rsid w:val="224029E0"/>
    <w:rsid w:val="224376A4"/>
    <w:rsid w:val="22475203"/>
    <w:rsid w:val="22482F0D"/>
    <w:rsid w:val="224A0A33"/>
    <w:rsid w:val="224B0307"/>
    <w:rsid w:val="224D26CF"/>
    <w:rsid w:val="224F7E4E"/>
    <w:rsid w:val="22500122"/>
    <w:rsid w:val="22511DC1"/>
    <w:rsid w:val="225205CE"/>
    <w:rsid w:val="22522A02"/>
    <w:rsid w:val="22526E6B"/>
    <w:rsid w:val="2256088E"/>
    <w:rsid w:val="22573150"/>
    <w:rsid w:val="225936CC"/>
    <w:rsid w:val="22595992"/>
    <w:rsid w:val="225C42C2"/>
    <w:rsid w:val="225C6E46"/>
    <w:rsid w:val="225D2972"/>
    <w:rsid w:val="225F644E"/>
    <w:rsid w:val="22610DF3"/>
    <w:rsid w:val="22627DAF"/>
    <w:rsid w:val="22652325"/>
    <w:rsid w:val="2265761B"/>
    <w:rsid w:val="22680AB6"/>
    <w:rsid w:val="22684EE4"/>
    <w:rsid w:val="22697ED0"/>
    <w:rsid w:val="226A1C8A"/>
    <w:rsid w:val="226B0733"/>
    <w:rsid w:val="226B2757"/>
    <w:rsid w:val="226C09A9"/>
    <w:rsid w:val="226C6A9A"/>
    <w:rsid w:val="226D5B28"/>
    <w:rsid w:val="226F1B0F"/>
    <w:rsid w:val="226F2247"/>
    <w:rsid w:val="22711D00"/>
    <w:rsid w:val="2274785E"/>
    <w:rsid w:val="2275603E"/>
    <w:rsid w:val="22761D98"/>
    <w:rsid w:val="22766CA1"/>
    <w:rsid w:val="2277156C"/>
    <w:rsid w:val="227C1FD8"/>
    <w:rsid w:val="227D2B04"/>
    <w:rsid w:val="22806203"/>
    <w:rsid w:val="2281188C"/>
    <w:rsid w:val="22832D73"/>
    <w:rsid w:val="22837AA1"/>
    <w:rsid w:val="2284006D"/>
    <w:rsid w:val="22877C26"/>
    <w:rsid w:val="2288184D"/>
    <w:rsid w:val="22882A9D"/>
    <w:rsid w:val="22883098"/>
    <w:rsid w:val="228850B7"/>
    <w:rsid w:val="228D287C"/>
    <w:rsid w:val="22924D39"/>
    <w:rsid w:val="2294396B"/>
    <w:rsid w:val="22956ED5"/>
    <w:rsid w:val="22992C61"/>
    <w:rsid w:val="229972C4"/>
    <w:rsid w:val="229B20FD"/>
    <w:rsid w:val="229B303C"/>
    <w:rsid w:val="229B41DA"/>
    <w:rsid w:val="229F46EC"/>
    <w:rsid w:val="22A04AF7"/>
    <w:rsid w:val="22A06FFB"/>
    <w:rsid w:val="22A2261D"/>
    <w:rsid w:val="22A34CB2"/>
    <w:rsid w:val="22A34EAB"/>
    <w:rsid w:val="22A4003B"/>
    <w:rsid w:val="22A42E37"/>
    <w:rsid w:val="22A5535A"/>
    <w:rsid w:val="22A636FF"/>
    <w:rsid w:val="22A719E1"/>
    <w:rsid w:val="22A7378F"/>
    <w:rsid w:val="22A87507"/>
    <w:rsid w:val="22AA26B3"/>
    <w:rsid w:val="22AC3082"/>
    <w:rsid w:val="22AF4D3A"/>
    <w:rsid w:val="22B21DED"/>
    <w:rsid w:val="22B30384"/>
    <w:rsid w:val="22B365D8"/>
    <w:rsid w:val="22B420B4"/>
    <w:rsid w:val="22B440FE"/>
    <w:rsid w:val="22B51E92"/>
    <w:rsid w:val="22B73A65"/>
    <w:rsid w:val="22B76184"/>
    <w:rsid w:val="22B83E1E"/>
    <w:rsid w:val="22B83E6B"/>
    <w:rsid w:val="22B91B86"/>
    <w:rsid w:val="22B949E3"/>
    <w:rsid w:val="22B97967"/>
    <w:rsid w:val="22BA0C7C"/>
    <w:rsid w:val="22BA5686"/>
    <w:rsid w:val="22BC478B"/>
    <w:rsid w:val="22BD1205"/>
    <w:rsid w:val="22BE48C6"/>
    <w:rsid w:val="22BE5497"/>
    <w:rsid w:val="22C02529"/>
    <w:rsid w:val="22C205C9"/>
    <w:rsid w:val="22C22CF7"/>
    <w:rsid w:val="22C335E1"/>
    <w:rsid w:val="22C5455D"/>
    <w:rsid w:val="22C56A5E"/>
    <w:rsid w:val="22C76FE6"/>
    <w:rsid w:val="22C8518E"/>
    <w:rsid w:val="22CA56D0"/>
    <w:rsid w:val="22CB79AC"/>
    <w:rsid w:val="22CC036B"/>
    <w:rsid w:val="22CC1448"/>
    <w:rsid w:val="22CC4667"/>
    <w:rsid w:val="22CD0B6A"/>
    <w:rsid w:val="22CF718A"/>
    <w:rsid w:val="22D13107"/>
    <w:rsid w:val="22D17130"/>
    <w:rsid w:val="22D36C7A"/>
    <w:rsid w:val="22D67741"/>
    <w:rsid w:val="22D92AC2"/>
    <w:rsid w:val="22DB168B"/>
    <w:rsid w:val="22DC59D3"/>
    <w:rsid w:val="22DD6D24"/>
    <w:rsid w:val="22DF7CAA"/>
    <w:rsid w:val="22E05707"/>
    <w:rsid w:val="22E219EE"/>
    <w:rsid w:val="22E36146"/>
    <w:rsid w:val="22E446B2"/>
    <w:rsid w:val="22E646A2"/>
    <w:rsid w:val="22E845A7"/>
    <w:rsid w:val="22E9024C"/>
    <w:rsid w:val="22EB3FC4"/>
    <w:rsid w:val="22EC0600"/>
    <w:rsid w:val="22EC1AEA"/>
    <w:rsid w:val="22ED0B5D"/>
    <w:rsid w:val="22ED527D"/>
    <w:rsid w:val="22ED6D05"/>
    <w:rsid w:val="22EE51D2"/>
    <w:rsid w:val="22EF1C2D"/>
    <w:rsid w:val="22F17100"/>
    <w:rsid w:val="22F34C27"/>
    <w:rsid w:val="22F615C6"/>
    <w:rsid w:val="22F64197"/>
    <w:rsid w:val="22F72A56"/>
    <w:rsid w:val="22F7738D"/>
    <w:rsid w:val="22F945AD"/>
    <w:rsid w:val="22FA2B18"/>
    <w:rsid w:val="22FB062D"/>
    <w:rsid w:val="22FB1D2D"/>
    <w:rsid w:val="22FB7F7F"/>
    <w:rsid w:val="22FE4DA9"/>
    <w:rsid w:val="22FF12A9"/>
    <w:rsid w:val="22FF583D"/>
    <w:rsid w:val="230024FC"/>
    <w:rsid w:val="23040BE2"/>
    <w:rsid w:val="230629D3"/>
    <w:rsid w:val="23075FD1"/>
    <w:rsid w:val="230863A4"/>
    <w:rsid w:val="230B03BE"/>
    <w:rsid w:val="230C5CE8"/>
    <w:rsid w:val="230C7A96"/>
    <w:rsid w:val="230E078D"/>
    <w:rsid w:val="230E3D2B"/>
    <w:rsid w:val="230F7587"/>
    <w:rsid w:val="23130E25"/>
    <w:rsid w:val="23144B9D"/>
    <w:rsid w:val="23160915"/>
    <w:rsid w:val="23164F2B"/>
    <w:rsid w:val="23166B67"/>
    <w:rsid w:val="231A4415"/>
    <w:rsid w:val="231C770D"/>
    <w:rsid w:val="231D4366"/>
    <w:rsid w:val="231D6AF7"/>
    <w:rsid w:val="231E0C58"/>
    <w:rsid w:val="231F2AD6"/>
    <w:rsid w:val="231F36C8"/>
    <w:rsid w:val="231F3C6E"/>
    <w:rsid w:val="231F5A1C"/>
    <w:rsid w:val="23201794"/>
    <w:rsid w:val="232059B9"/>
    <w:rsid w:val="23221D24"/>
    <w:rsid w:val="232272BA"/>
    <w:rsid w:val="23253833"/>
    <w:rsid w:val="23253CFB"/>
    <w:rsid w:val="23264FFC"/>
    <w:rsid w:val="23272B22"/>
    <w:rsid w:val="23274052"/>
    <w:rsid w:val="232745F7"/>
    <w:rsid w:val="23290CB5"/>
    <w:rsid w:val="2329689A"/>
    <w:rsid w:val="232A1687"/>
    <w:rsid w:val="232A616E"/>
    <w:rsid w:val="232C67F1"/>
    <w:rsid w:val="232E71B0"/>
    <w:rsid w:val="232F18EE"/>
    <w:rsid w:val="232F5B09"/>
    <w:rsid w:val="233063FB"/>
    <w:rsid w:val="23311EDA"/>
    <w:rsid w:val="2331574F"/>
    <w:rsid w:val="233157B8"/>
    <w:rsid w:val="23322043"/>
    <w:rsid w:val="23323CFF"/>
    <w:rsid w:val="23334578"/>
    <w:rsid w:val="23397C49"/>
    <w:rsid w:val="233A6C5C"/>
    <w:rsid w:val="233B65CE"/>
    <w:rsid w:val="233C481F"/>
    <w:rsid w:val="233D40F4"/>
    <w:rsid w:val="233F4C01"/>
    <w:rsid w:val="234219F8"/>
    <w:rsid w:val="23445482"/>
    <w:rsid w:val="23451001"/>
    <w:rsid w:val="234845F1"/>
    <w:rsid w:val="234A3521"/>
    <w:rsid w:val="234B4A63"/>
    <w:rsid w:val="234B5AD3"/>
    <w:rsid w:val="234C4162"/>
    <w:rsid w:val="234C624A"/>
    <w:rsid w:val="234E00AF"/>
    <w:rsid w:val="235002CB"/>
    <w:rsid w:val="23513661"/>
    <w:rsid w:val="235267B0"/>
    <w:rsid w:val="23544085"/>
    <w:rsid w:val="2355143D"/>
    <w:rsid w:val="235558E1"/>
    <w:rsid w:val="23562DCC"/>
    <w:rsid w:val="23571659"/>
    <w:rsid w:val="23575EA4"/>
    <w:rsid w:val="23583017"/>
    <w:rsid w:val="23584B68"/>
    <w:rsid w:val="235C1ABD"/>
    <w:rsid w:val="235D4796"/>
    <w:rsid w:val="235D6544"/>
    <w:rsid w:val="235E5FD7"/>
    <w:rsid w:val="235F050E"/>
    <w:rsid w:val="235F3952"/>
    <w:rsid w:val="23601687"/>
    <w:rsid w:val="23603983"/>
    <w:rsid w:val="23614286"/>
    <w:rsid w:val="23615928"/>
    <w:rsid w:val="236478D2"/>
    <w:rsid w:val="2366189C"/>
    <w:rsid w:val="23671171"/>
    <w:rsid w:val="236A4208"/>
    <w:rsid w:val="236B51E7"/>
    <w:rsid w:val="236B6309"/>
    <w:rsid w:val="236E24FF"/>
    <w:rsid w:val="236E6FF2"/>
    <w:rsid w:val="236F53C6"/>
    <w:rsid w:val="237006B3"/>
    <w:rsid w:val="237306AC"/>
    <w:rsid w:val="23747E8B"/>
    <w:rsid w:val="23757D31"/>
    <w:rsid w:val="237625F3"/>
    <w:rsid w:val="23763D46"/>
    <w:rsid w:val="237813DD"/>
    <w:rsid w:val="2378337E"/>
    <w:rsid w:val="23787599"/>
    <w:rsid w:val="23790749"/>
    <w:rsid w:val="237A477A"/>
    <w:rsid w:val="237F64BA"/>
    <w:rsid w:val="23815BE5"/>
    <w:rsid w:val="23825FAA"/>
    <w:rsid w:val="238330DB"/>
    <w:rsid w:val="23851DF6"/>
    <w:rsid w:val="23874C53"/>
    <w:rsid w:val="238A022C"/>
    <w:rsid w:val="238A7618"/>
    <w:rsid w:val="238B1A3B"/>
    <w:rsid w:val="238B3147"/>
    <w:rsid w:val="238B4E5F"/>
    <w:rsid w:val="238C0BD7"/>
    <w:rsid w:val="238C4E96"/>
    <w:rsid w:val="238C687B"/>
    <w:rsid w:val="238C6E29"/>
    <w:rsid w:val="238E408D"/>
    <w:rsid w:val="238E53EC"/>
    <w:rsid w:val="2390568A"/>
    <w:rsid w:val="23916DF4"/>
    <w:rsid w:val="23924208"/>
    <w:rsid w:val="23926790"/>
    <w:rsid w:val="2393044B"/>
    <w:rsid w:val="239314AB"/>
    <w:rsid w:val="239408B4"/>
    <w:rsid w:val="23953F30"/>
    <w:rsid w:val="23964A5E"/>
    <w:rsid w:val="23984321"/>
    <w:rsid w:val="2399494A"/>
    <w:rsid w:val="239B0E1A"/>
    <w:rsid w:val="239D1036"/>
    <w:rsid w:val="239D39F0"/>
    <w:rsid w:val="239F4DAE"/>
    <w:rsid w:val="23A06B04"/>
    <w:rsid w:val="23A128D5"/>
    <w:rsid w:val="23A202CD"/>
    <w:rsid w:val="23A221A9"/>
    <w:rsid w:val="23A235B1"/>
    <w:rsid w:val="23A61714"/>
    <w:rsid w:val="23A760C3"/>
    <w:rsid w:val="23A819F9"/>
    <w:rsid w:val="23A81EB5"/>
    <w:rsid w:val="23A83C63"/>
    <w:rsid w:val="23A841AA"/>
    <w:rsid w:val="23A91789"/>
    <w:rsid w:val="23A92664"/>
    <w:rsid w:val="23AB72AF"/>
    <w:rsid w:val="23AE0B4E"/>
    <w:rsid w:val="23AE4FF1"/>
    <w:rsid w:val="23B00D6A"/>
    <w:rsid w:val="23B02B18"/>
    <w:rsid w:val="23B239A9"/>
    <w:rsid w:val="23B3750B"/>
    <w:rsid w:val="23B56F9B"/>
    <w:rsid w:val="23B62B06"/>
    <w:rsid w:val="23B7280F"/>
    <w:rsid w:val="23B820EF"/>
    <w:rsid w:val="23BA3996"/>
    <w:rsid w:val="23BA5744"/>
    <w:rsid w:val="23BC770E"/>
    <w:rsid w:val="23BE37E6"/>
    <w:rsid w:val="23BF2D5B"/>
    <w:rsid w:val="23C070E9"/>
    <w:rsid w:val="23C13999"/>
    <w:rsid w:val="23C1633C"/>
    <w:rsid w:val="23C40EBE"/>
    <w:rsid w:val="23C6058D"/>
    <w:rsid w:val="23C6233B"/>
    <w:rsid w:val="23C65E4C"/>
    <w:rsid w:val="23C70504"/>
    <w:rsid w:val="23C7613E"/>
    <w:rsid w:val="23C84E5A"/>
    <w:rsid w:val="23C97859"/>
    <w:rsid w:val="23CC1E28"/>
    <w:rsid w:val="23CD18DA"/>
    <w:rsid w:val="23CD1D77"/>
    <w:rsid w:val="23CE1F9C"/>
    <w:rsid w:val="23D033B6"/>
    <w:rsid w:val="23D04F68"/>
    <w:rsid w:val="23D305B4"/>
    <w:rsid w:val="23D42CAA"/>
    <w:rsid w:val="23D507D0"/>
    <w:rsid w:val="23D52F74"/>
    <w:rsid w:val="23D71DF9"/>
    <w:rsid w:val="23D749CD"/>
    <w:rsid w:val="23DA1548"/>
    <w:rsid w:val="23DA1EA6"/>
    <w:rsid w:val="23DD1433"/>
    <w:rsid w:val="23DE179B"/>
    <w:rsid w:val="23DE7685"/>
    <w:rsid w:val="23DF164F"/>
    <w:rsid w:val="23DF33FD"/>
    <w:rsid w:val="23DF6B20"/>
    <w:rsid w:val="23E0194B"/>
    <w:rsid w:val="23E10F23"/>
    <w:rsid w:val="23E12CD1"/>
    <w:rsid w:val="23E34C9B"/>
    <w:rsid w:val="23E40A13"/>
    <w:rsid w:val="23E6780B"/>
    <w:rsid w:val="23EB1DA2"/>
    <w:rsid w:val="23EB7FF4"/>
    <w:rsid w:val="23EE0E98"/>
    <w:rsid w:val="23EE3640"/>
    <w:rsid w:val="23EE5289"/>
    <w:rsid w:val="23EF1892"/>
    <w:rsid w:val="23F077EE"/>
    <w:rsid w:val="23F30C56"/>
    <w:rsid w:val="23F81132"/>
    <w:rsid w:val="23F944BF"/>
    <w:rsid w:val="23FB7503"/>
    <w:rsid w:val="23FC2E04"/>
    <w:rsid w:val="23FC5148"/>
    <w:rsid w:val="23FD7DBD"/>
    <w:rsid w:val="23FD7F5C"/>
    <w:rsid w:val="23FE3FEE"/>
    <w:rsid w:val="23FE4FA4"/>
    <w:rsid w:val="23FF78C4"/>
    <w:rsid w:val="240115C5"/>
    <w:rsid w:val="24015121"/>
    <w:rsid w:val="24023FC6"/>
    <w:rsid w:val="24034615"/>
    <w:rsid w:val="2403533D"/>
    <w:rsid w:val="240510B5"/>
    <w:rsid w:val="24083177"/>
    <w:rsid w:val="24092228"/>
    <w:rsid w:val="240B258B"/>
    <w:rsid w:val="240C7E6B"/>
    <w:rsid w:val="240D02FC"/>
    <w:rsid w:val="240D1D18"/>
    <w:rsid w:val="240D3AC6"/>
    <w:rsid w:val="240D7F6A"/>
    <w:rsid w:val="24117CF6"/>
    <w:rsid w:val="24134E54"/>
    <w:rsid w:val="24146249"/>
    <w:rsid w:val="24152B0D"/>
    <w:rsid w:val="241568D6"/>
    <w:rsid w:val="24156E1F"/>
    <w:rsid w:val="2416546A"/>
    <w:rsid w:val="241906BD"/>
    <w:rsid w:val="241C63FF"/>
    <w:rsid w:val="241E2177"/>
    <w:rsid w:val="241F7259"/>
    <w:rsid w:val="2420443E"/>
    <w:rsid w:val="24222166"/>
    <w:rsid w:val="24262DDA"/>
    <w:rsid w:val="242664D7"/>
    <w:rsid w:val="2429118E"/>
    <w:rsid w:val="24296AD7"/>
    <w:rsid w:val="242A1C9E"/>
    <w:rsid w:val="242A7E8E"/>
    <w:rsid w:val="242B4894"/>
    <w:rsid w:val="242C34E7"/>
    <w:rsid w:val="242D292A"/>
    <w:rsid w:val="24327467"/>
    <w:rsid w:val="243279D1"/>
    <w:rsid w:val="2435110C"/>
    <w:rsid w:val="24353BA9"/>
    <w:rsid w:val="24357A30"/>
    <w:rsid w:val="243674C1"/>
    <w:rsid w:val="24375135"/>
    <w:rsid w:val="24394621"/>
    <w:rsid w:val="243948BB"/>
    <w:rsid w:val="24396F67"/>
    <w:rsid w:val="243A0633"/>
    <w:rsid w:val="244036C9"/>
    <w:rsid w:val="244062B1"/>
    <w:rsid w:val="244119C2"/>
    <w:rsid w:val="24411BAA"/>
    <w:rsid w:val="24424F22"/>
    <w:rsid w:val="24431FFE"/>
    <w:rsid w:val="24444F4D"/>
    <w:rsid w:val="244849F1"/>
    <w:rsid w:val="24485723"/>
    <w:rsid w:val="244C67F8"/>
    <w:rsid w:val="244D0366"/>
    <w:rsid w:val="244D325D"/>
    <w:rsid w:val="244D4AC2"/>
    <w:rsid w:val="244F30A6"/>
    <w:rsid w:val="24500B24"/>
    <w:rsid w:val="24507E57"/>
    <w:rsid w:val="24516399"/>
    <w:rsid w:val="245254CF"/>
    <w:rsid w:val="24545B99"/>
    <w:rsid w:val="24546D6C"/>
    <w:rsid w:val="2457471E"/>
    <w:rsid w:val="24577437"/>
    <w:rsid w:val="245834F6"/>
    <w:rsid w:val="2458446D"/>
    <w:rsid w:val="245B0CD5"/>
    <w:rsid w:val="245C2C9F"/>
    <w:rsid w:val="245C3F50"/>
    <w:rsid w:val="245C5FE8"/>
    <w:rsid w:val="245C67FB"/>
    <w:rsid w:val="245D63CA"/>
    <w:rsid w:val="245E4322"/>
    <w:rsid w:val="245F0100"/>
    <w:rsid w:val="246160DA"/>
    <w:rsid w:val="24644151"/>
    <w:rsid w:val="24654EC4"/>
    <w:rsid w:val="24654ECD"/>
    <w:rsid w:val="24661016"/>
    <w:rsid w:val="24663FEE"/>
    <w:rsid w:val="24680AC7"/>
    <w:rsid w:val="246A53BC"/>
    <w:rsid w:val="246D0A09"/>
    <w:rsid w:val="246D4D96"/>
    <w:rsid w:val="247022A7"/>
    <w:rsid w:val="24705C8C"/>
    <w:rsid w:val="24705EF7"/>
    <w:rsid w:val="24706C42"/>
    <w:rsid w:val="2474184A"/>
    <w:rsid w:val="2479115B"/>
    <w:rsid w:val="247A570E"/>
    <w:rsid w:val="247A6377"/>
    <w:rsid w:val="247B4ED4"/>
    <w:rsid w:val="247B5BFB"/>
    <w:rsid w:val="247C0C4C"/>
    <w:rsid w:val="247C29C0"/>
    <w:rsid w:val="247C5BC9"/>
    <w:rsid w:val="247C6E9E"/>
    <w:rsid w:val="247D6D03"/>
    <w:rsid w:val="247E49C4"/>
    <w:rsid w:val="247F64B1"/>
    <w:rsid w:val="24800582"/>
    <w:rsid w:val="248008D4"/>
    <w:rsid w:val="24800C56"/>
    <w:rsid w:val="248155AF"/>
    <w:rsid w:val="24822706"/>
    <w:rsid w:val="24835399"/>
    <w:rsid w:val="2484390C"/>
    <w:rsid w:val="24897B3B"/>
    <w:rsid w:val="248A3369"/>
    <w:rsid w:val="248C335D"/>
    <w:rsid w:val="248D10AB"/>
    <w:rsid w:val="248D4C07"/>
    <w:rsid w:val="248D632C"/>
    <w:rsid w:val="248F6BD1"/>
    <w:rsid w:val="24925CBD"/>
    <w:rsid w:val="249266C1"/>
    <w:rsid w:val="249473FB"/>
    <w:rsid w:val="24967E64"/>
    <w:rsid w:val="24973CD7"/>
    <w:rsid w:val="24976FCE"/>
    <w:rsid w:val="24977834"/>
    <w:rsid w:val="24981900"/>
    <w:rsid w:val="249D06F2"/>
    <w:rsid w:val="249D2C6E"/>
    <w:rsid w:val="249D7540"/>
    <w:rsid w:val="249E6E14"/>
    <w:rsid w:val="24A0493A"/>
    <w:rsid w:val="24A14BA5"/>
    <w:rsid w:val="24A46477"/>
    <w:rsid w:val="24A85EE5"/>
    <w:rsid w:val="24A916C6"/>
    <w:rsid w:val="24AB616F"/>
    <w:rsid w:val="24AC07EB"/>
    <w:rsid w:val="24AE5267"/>
    <w:rsid w:val="24AE5BA0"/>
    <w:rsid w:val="24AE6269"/>
    <w:rsid w:val="24AF39E0"/>
    <w:rsid w:val="24B16B47"/>
    <w:rsid w:val="24B220F9"/>
    <w:rsid w:val="24B511A1"/>
    <w:rsid w:val="24B52D39"/>
    <w:rsid w:val="24B8273F"/>
    <w:rsid w:val="24BA2895"/>
    <w:rsid w:val="24BC3ACA"/>
    <w:rsid w:val="24BF6C72"/>
    <w:rsid w:val="24C04FDC"/>
    <w:rsid w:val="24C3687B"/>
    <w:rsid w:val="24C50845"/>
    <w:rsid w:val="24C543A1"/>
    <w:rsid w:val="24C555E0"/>
    <w:rsid w:val="24C70B66"/>
    <w:rsid w:val="24C820E3"/>
    <w:rsid w:val="24C96344"/>
    <w:rsid w:val="24CA3462"/>
    <w:rsid w:val="24CA5E5B"/>
    <w:rsid w:val="24CD11E7"/>
    <w:rsid w:val="24D10F97"/>
    <w:rsid w:val="24D34B24"/>
    <w:rsid w:val="24D40A88"/>
    <w:rsid w:val="24D60797"/>
    <w:rsid w:val="24D70AE1"/>
    <w:rsid w:val="24DA3F2F"/>
    <w:rsid w:val="24DC6BA4"/>
    <w:rsid w:val="24DE0E13"/>
    <w:rsid w:val="24DE36B4"/>
    <w:rsid w:val="24DF4095"/>
    <w:rsid w:val="24E011DB"/>
    <w:rsid w:val="24E22A16"/>
    <w:rsid w:val="24E4247E"/>
    <w:rsid w:val="24E567F1"/>
    <w:rsid w:val="24E639F7"/>
    <w:rsid w:val="24E70088"/>
    <w:rsid w:val="24E76A0D"/>
    <w:rsid w:val="24EA02AB"/>
    <w:rsid w:val="24EA2059"/>
    <w:rsid w:val="24EB5E30"/>
    <w:rsid w:val="24ED5A68"/>
    <w:rsid w:val="24EE26FA"/>
    <w:rsid w:val="24F1081D"/>
    <w:rsid w:val="24F66C50"/>
    <w:rsid w:val="24F708DC"/>
    <w:rsid w:val="24F737AC"/>
    <w:rsid w:val="24F86174"/>
    <w:rsid w:val="24FB0F5B"/>
    <w:rsid w:val="24FB7DC2"/>
    <w:rsid w:val="24FC6017"/>
    <w:rsid w:val="2500187D"/>
    <w:rsid w:val="25001B3E"/>
    <w:rsid w:val="25034036"/>
    <w:rsid w:val="2504136D"/>
    <w:rsid w:val="25050795"/>
    <w:rsid w:val="250619AE"/>
    <w:rsid w:val="25071A96"/>
    <w:rsid w:val="25084DDF"/>
    <w:rsid w:val="25084F27"/>
    <w:rsid w:val="250A00EB"/>
    <w:rsid w:val="250C2A4C"/>
    <w:rsid w:val="250D7AF6"/>
    <w:rsid w:val="250E0AED"/>
    <w:rsid w:val="250F3DFA"/>
    <w:rsid w:val="251072F4"/>
    <w:rsid w:val="251351C1"/>
    <w:rsid w:val="25154E54"/>
    <w:rsid w:val="25184226"/>
    <w:rsid w:val="2519649B"/>
    <w:rsid w:val="251B0465"/>
    <w:rsid w:val="251E0098"/>
    <w:rsid w:val="251E5552"/>
    <w:rsid w:val="251E582B"/>
    <w:rsid w:val="25210113"/>
    <w:rsid w:val="2524556B"/>
    <w:rsid w:val="252512E3"/>
    <w:rsid w:val="25253091"/>
    <w:rsid w:val="2526682A"/>
    <w:rsid w:val="25270BB7"/>
    <w:rsid w:val="25291BE0"/>
    <w:rsid w:val="252A7204"/>
    <w:rsid w:val="252B4B4C"/>
    <w:rsid w:val="25304149"/>
    <w:rsid w:val="253673BC"/>
    <w:rsid w:val="25382DC5"/>
    <w:rsid w:val="253908EB"/>
    <w:rsid w:val="25396B3D"/>
    <w:rsid w:val="253A5E5C"/>
    <w:rsid w:val="253B2191"/>
    <w:rsid w:val="253D03DB"/>
    <w:rsid w:val="253E6273"/>
    <w:rsid w:val="253E78EC"/>
    <w:rsid w:val="253F50D2"/>
    <w:rsid w:val="253F55D6"/>
    <w:rsid w:val="253F66D1"/>
    <w:rsid w:val="25401C79"/>
    <w:rsid w:val="2540611D"/>
    <w:rsid w:val="2541012F"/>
    <w:rsid w:val="25411CEB"/>
    <w:rsid w:val="25416D88"/>
    <w:rsid w:val="25443880"/>
    <w:rsid w:val="25447D58"/>
    <w:rsid w:val="25450B6F"/>
    <w:rsid w:val="25453243"/>
    <w:rsid w:val="25466AEF"/>
    <w:rsid w:val="254727FE"/>
    <w:rsid w:val="2548391D"/>
    <w:rsid w:val="254865FB"/>
    <w:rsid w:val="25493224"/>
    <w:rsid w:val="25494FD2"/>
    <w:rsid w:val="254A66D8"/>
    <w:rsid w:val="254C22DC"/>
    <w:rsid w:val="254E1747"/>
    <w:rsid w:val="255020C6"/>
    <w:rsid w:val="25506360"/>
    <w:rsid w:val="25517BDA"/>
    <w:rsid w:val="25575658"/>
    <w:rsid w:val="25580ACE"/>
    <w:rsid w:val="255875E9"/>
    <w:rsid w:val="25592D3B"/>
    <w:rsid w:val="255A0F8D"/>
    <w:rsid w:val="255A2720"/>
    <w:rsid w:val="255A6303"/>
    <w:rsid w:val="255C14CA"/>
    <w:rsid w:val="255D6CCF"/>
    <w:rsid w:val="255F2A47"/>
    <w:rsid w:val="25600EA1"/>
    <w:rsid w:val="25606AD2"/>
    <w:rsid w:val="2561056D"/>
    <w:rsid w:val="25610A8D"/>
    <w:rsid w:val="25626569"/>
    <w:rsid w:val="25627E42"/>
    <w:rsid w:val="2564005E"/>
    <w:rsid w:val="256673D1"/>
    <w:rsid w:val="25684362"/>
    <w:rsid w:val="256E78ED"/>
    <w:rsid w:val="257007B0"/>
    <w:rsid w:val="25707940"/>
    <w:rsid w:val="25710085"/>
    <w:rsid w:val="257526FE"/>
    <w:rsid w:val="25760EB3"/>
    <w:rsid w:val="25770A0C"/>
    <w:rsid w:val="25780FFC"/>
    <w:rsid w:val="25792133"/>
    <w:rsid w:val="257A33DD"/>
    <w:rsid w:val="257C0AB4"/>
    <w:rsid w:val="257C53A7"/>
    <w:rsid w:val="257D4C7B"/>
    <w:rsid w:val="257E6E06"/>
    <w:rsid w:val="257F016A"/>
    <w:rsid w:val="258006EE"/>
    <w:rsid w:val="2580651A"/>
    <w:rsid w:val="2583375A"/>
    <w:rsid w:val="25873D4C"/>
    <w:rsid w:val="258878E0"/>
    <w:rsid w:val="25890A5E"/>
    <w:rsid w:val="25893620"/>
    <w:rsid w:val="258A0DDF"/>
    <w:rsid w:val="258A442B"/>
    <w:rsid w:val="258E046C"/>
    <w:rsid w:val="258E7ACA"/>
    <w:rsid w:val="259124D5"/>
    <w:rsid w:val="259326F1"/>
    <w:rsid w:val="25946D3B"/>
    <w:rsid w:val="25956469"/>
    <w:rsid w:val="259920B1"/>
    <w:rsid w:val="259A39B1"/>
    <w:rsid w:val="259B3353"/>
    <w:rsid w:val="259C00A8"/>
    <w:rsid w:val="259C15A5"/>
    <w:rsid w:val="259C15B6"/>
    <w:rsid w:val="259C3D11"/>
    <w:rsid w:val="259D0E7A"/>
    <w:rsid w:val="259D4D16"/>
    <w:rsid w:val="259E4C3A"/>
    <w:rsid w:val="259E5F95"/>
    <w:rsid w:val="259F0234"/>
    <w:rsid w:val="259F4BF2"/>
    <w:rsid w:val="25A03D3B"/>
    <w:rsid w:val="25A14675"/>
    <w:rsid w:val="25A14E0E"/>
    <w:rsid w:val="25A154A2"/>
    <w:rsid w:val="25A22934"/>
    <w:rsid w:val="25A373C6"/>
    <w:rsid w:val="25A44C87"/>
    <w:rsid w:val="25A46830"/>
    <w:rsid w:val="25A60D52"/>
    <w:rsid w:val="25A74B38"/>
    <w:rsid w:val="25A80A81"/>
    <w:rsid w:val="25A90A74"/>
    <w:rsid w:val="25AA3B22"/>
    <w:rsid w:val="25AB17E9"/>
    <w:rsid w:val="25B23D9D"/>
    <w:rsid w:val="25B30EC6"/>
    <w:rsid w:val="25B36038"/>
    <w:rsid w:val="25B51097"/>
    <w:rsid w:val="25B74631"/>
    <w:rsid w:val="25B82157"/>
    <w:rsid w:val="25BB0B4F"/>
    <w:rsid w:val="25BC57A4"/>
    <w:rsid w:val="25C06A25"/>
    <w:rsid w:val="25C15D57"/>
    <w:rsid w:val="25C428AA"/>
    <w:rsid w:val="25C64874"/>
    <w:rsid w:val="25C74149"/>
    <w:rsid w:val="25C86759"/>
    <w:rsid w:val="25C94365"/>
    <w:rsid w:val="25CB4C74"/>
    <w:rsid w:val="25CD0B0A"/>
    <w:rsid w:val="25D30563"/>
    <w:rsid w:val="25D30703"/>
    <w:rsid w:val="25D315FC"/>
    <w:rsid w:val="25D33BA8"/>
    <w:rsid w:val="25D42A8C"/>
    <w:rsid w:val="25D55497"/>
    <w:rsid w:val="25D60939"/>
    <w:rsid w:val="25D70607"/>
    <w:rsid w:val="25D7082F"/>
    <w:rsid w:val="25D93B83"/>
    <w:rsid w:val="25D97EEC"/>
    <w:rsid w:val="25DA3E7C"/>
    <w:rsid w:val="25DC0A27"/>
    <w:rsid w:val="25DC2065"/>
    <w:rsid w:val="25DD739B"/>
    <w:rsid w:val="25DE1BBE"/>
    <w:rsid w:val="25E11171"/>
    <w:rsid w:val="25E20F82"/>
    <w:rsid w:val="25E234EE"/>
    <w:rsid w:val="25E40568"/>
    <w:rsid w:val="25E41E2F"/>
    <w:rsid w:val="25E46335"/>
    <w:rsid w:val="25E728A4"/>
    <w:rsid w:val="25E80121"/>
    <w:rsid w:val="25E81A23"/>
    <w:rsid w:val="25E90563"/>
    <w:rsid w:val="25E92D58"/>
    <w:rsid w:val="25EA76A2"/>
    <w:rsid w:val="25EB19B4"/>
    <w:rsid w:val="25EC3B10"/>
    <w:rsid w:val="25ED6E07"/>
    <w:rsid w:val="25EE5B79"/>
    <w:rsid w:val="25F0369F"/>
    <w:rsid w:val="25F16507"/>
    <w:rsid w:val="25F17E07"/>
    <w:rsid w:val="25F206D0"/>
    <w:rsid w:val="25F27417"/>
    <w:rsid w:val="25F63DD5"/>
    <w:rsid w:val="25F7237D"/>
    <w:rsid w:val="25F93317"/>
    <w:rsid w:val="25F969F8"/>
    <w:rsid w:val="25FA3506"/>
    <w:rsid w:val="25FA78FF"/>
    <w:rsid w:val="25FB2BB1"/>
    <w:rsid w:val="25FC33D9"/>
    <w:rsid w:val="260041BF"/>
    <w:rsid w:val="26026F1A"/>
    <w:rsid w:val="26040378"/>
    <w:rsid w:val="26062EC3"/>
    <w:rsid w:val="26073220"/>
    <w:rsid w:val="26076B23"/>
    <w:rsid w:val="26082FEA"/>
    <w:rsid w:val="260B1E41"/>
    <w:rsid w:val="260B2287"/>
    <w:rsid w:val="260C30AB"/>
    <w:rsid w:val="2611515D"/>
    <w:rsid w:val="261310D6"/>
    <w:rsid w:val="2613738E"/>
    <w:rsid w:val="261513AF"/>
    <w:rsid w:val="26176E7E"/>
    <w:rsid w:val="26181471"/>
    <w:rsid w:val="26183DAA"/>
    <w:rsid w:val="261868A0"/>
    <w:rsid w:val="261C6242"/>
    <w:rsid w:val="261C66B1"/>
    <w:rsid w:val="261D3E53"/>
    <w:rsid w:val="261F3EF8"/>
    <w:rsid w:val="26220F6B"/>
    <w:rsid w:val="26233212"/>
    <w:rsid w:val="2624159B"/>
    <w:rsid w:val="262477ED"/>
    <w:rsid w:val="26270419"/>
    <w:rsid w:val="262A2531"/>
    <w:rsid w:val="262D7AE8"/>
    <w:rsid w:val="262F4B27"/>
    <w:rsid w:val="262F6C4E"/>
    <w:rsid w:val="26301CEE"/>
    <w:rsid w:val="26307245"/>
    <w:rsid w:val="26323CB8"/>
    <w:rsid w:val="26336079"/>
    <w:rsid w:val="26345C82"/>
    <w:rsid w:val="26352D9D"/>
    <w:rsid w:val="2635548D"/>
    <w:rsid w:val="263712CE"/>
    <w:rsid w:val="263739D8"/>
    <w:rsid w:val="263A64F8"/>
    <w:rsid w:val="263B587C"/>
    <w:rsid w:val="263C48DA"/>
    <w:rsid w:val="263E475E"/>
    <w:rsid w:val="26421B0D"/>
    <w:rsid w:val="26431A21"/>
    <w:rsid w:val="26445799"/>
    <w:rsid w:val="264744EF"/>
    <w:rsid w:val="26486485"/>
    <w:rsid w:val="26492DAF"/>
    <w:rsid w:val="264B0FC7"/>
    <w:rsid w:val="264C3870"/>
    <w:rsid w:val="264F486A"/>
    <w:rsid w:val="264F766E"/>
    <w:rsid w:val="26500B11"/>
    <w:rsid w:val="2650393C"/>
    <w:rsid w:val="265231DC"/>
    <w:rsid w:val="26527E5F"/>
    <w:rsid w:val="26554BAF"/>
    <w:rsid w:val="26571758"/>
    <w:rsid w:val="265726EA"/>
    <w:rsid w:val="26591971"/>
    <w:rsid w:val="265D0C6A"/>
    <w:rsid w:val="265D7770"/>
    <w:rsid w:val="265E5B35"/>
    <w:rsid w:val="26606A77"/>
    <w:rsid w:val="26654694"/>
    <w:rsid w:val="26656E0B"/>
    <w:rsid w:val="266B541C"/>
    <w:rsid w:val="266F36FB"/>
    <w:rsid w:val="26722306"/>
    <w:rsid w:val="267459F0"/>
    <w:rsid w:val="26751DF6"/>
    <w:rsid w:val="26753152"/>
    <w:rsid w:val="267918E7"/>
    <w:rsid w:val="26794A16"/>
    <w:rsid w:val="267E0F55"/>
    <w:rsid w:val="267E6EFD"/>
    <w:rsid w:val="267F212E"/>
    <w:rsid w:val="267F6325"/>
    <w:rsid w:val="267F67D1"/>
    <w:rsid w:val="26823C3C"/>
    <w:rsid w:val="26836DB8"/>
    <w:rsid w:val="26861CA2"/>
    <w:rsid w:val="26866228"/>
    <w:rsid w:val="26875517"/>
    <w:rsid w:val="26881B2A"/>
    <w:rsid w:val="268A3AF4"/>
    <w:rsid w:val="268D0EEE"/>
    <w:rsid w:val="268E0B0C"/>
    <w:rsid w:val="269153FD"/>
    <w:rsid w:val="26935FAA"/>
    <w:rsid w:val="26937DC4"/>
    <w:rsid w:val="2694227D"/>
    <w:rsid w:val="26946721"/>
    <w:rsid w:val="2695133D"/>
    <w:rsid w:val="26955FF5"/>
    <w:rsid w:val="26964B07"/>
    <w:rsid w:val="26971D6D"/>
    <w:rsid w:val="26993FF3"/>
    <w:rsid w:val="269A360B"/>
    <w:rsid w:val="269A40AE"/>
    <w:rsid w:val="269B7AAF"/>
    <w:rsid w:val="269C55D5"/>
    <w:rsid w:val="269D17AB"/>
    <w:rsid w:val="269D2717"/>
    <w:rsid w:val="269E30FB"/>
    <w:rsid w:val="269E748F"/>
    <w:rsid w:val="269F0C21"/>
    <w:rsid w:val="26A13B59"/>
    <w:rsid w:val="26A54F0B"/>
    <w:rsid w:val="26A56238"/>
    <w:rsid w:val="26AA4776"/>
    <w:rsid w:val="26AB3F05"/>
    <w:rsid w:val="26AC0ACC"/>
    <w:rsid w:val="26AC3B1E"/>
    <w:rsid w:val="26AD333E"/>
    <w:rsid w:val="26AD77C5"/>
    <w:rsid w:val="26B00AD9"/>
    <w:rsid w:val="26B050C5"/>
    <w:rsid w:val="26B2113E"/>
    <w:rsid w:val="26B6250E"/>
    <w:rsid w:val="26B62A2B"/>
    <w:rsid w:val="26B648E9"/>
    <w:rsid w:val="26B65DDE"/>
    <w:rsid w:val="26B81454"/>
    <w:rsid w:val="26B86EE4"/>
    <w:rsid w:val="26B91C40"/>
    <w:rsid w:val="26B96187"/>
    <w:rsid w:val="26BA7AA5"/>
    <w:rsid w:val="26BB54C6"/>
    <w:rsid w:val="26BC71FD"/>
    <w:rsid w:val="26BD7860"/>
    <w:rsid w:val="26BE7DB6"/>
    <w:rsid w:val="26C15FC6"/>
    <w:rsid w:val="26C2328E"/>
    <w:rsid w:val="26C37659"/>
    <w:rsid w:val="26C41C94"/>
    <w:rsid w:val="26C54B2C"/>
    <w:rsid w:val="26C62652"/>
    <w:rsid w:val="26C7042A"/>
    <w:rsid w:val="26C77A9E"/>
    <w:rsid w:val="26C91E5C"/>
    <w:rsid w:val="26C97FF4"/>
    <w:rsid w:val="26CC2F6D"/>
    <w:rsid w:val="26CF3E66"/>
    <w:rsid w:val="26D010E3"/>
    <w:rsid w:val="26D47194"/>
    <w:rsid w:val="26D6070D"/>
    <w:rsid w:val="26D806D4"/>
    <w:rsid w:val="26D829E9"/>
    <w:rsid w:val="26DB434F"/>
    <w:rsid w:val="26DD3BA2"/>
    <w:rsid w:val="26DE444E"/>
    <w:rsid w:val="26E01966"/>
    <w:rsid w:val="26E17522"/>
    <w:rsid w:val="26E31456"/>
    <w:rsid w:val="26E3633D"/>
    <w:rsid w:val="26E40823"/>
    <w:rsid w:val="26E52AD8"/>
    <w:rsid w:val="26E57798"/>
    <w:rsid w:val="26E8081A"/>
    <w:rsid w:val="26EA0897"/>
    <w:rsid w:val="26EA27E4"/>
    <w:rsid w:val="26EA476A"/>
    <w:rsid w:val="26EB3E67"/>
    <w:rsid w:val="26EC20B9"/>
    <w:rsid w:val="26EE4083"/>
    <w:rsid w:val="26EF668E"/>
    <w:rsid w:val="26F21F06"/>
    <w:rsid w:val="26F23447"/>
    <w:rsid w:val="26F35BD2"/>
    <w:rsid w:val="26F62F37"/>
    <w:rsid w:val="26F67D37"/>
    <w:rsid w:val="26F747B3"/>
    <w:rsid w:val="26F81E01"/>
    <w:rsid w:val="26F92A28"/>
    <w:rsid w:val="26FB22FC"/>
    <w:rsid w:val="26FB2D38"/>
    <w:rsid w:val="26FB2E83"/>
    <w:rsid w:val="26FB67A0"/>
    <w:rsid w:val="26FC7E22"/>
    <w:rsid w:val="26FD2518"/>
    <w:rsid w:val="26FD3074"/>
    <w:rsid w:val="26FF4AE5"/>
    <w:rsid w:val="270218DC"/>
    <w:rsid w:val="27054F28"/>
    <w:rsid w:val="2708726C"/>
    <w:rsid w:val="270976ED"/>
    <w:rsid w:val="270B2978"/>
    <w:rsid w:val="270B40A6"/>
    <w:rsid w:val="270E38A9"/>
    <w:rsid w:val="270F7B55"/>
    <w:rsid w:val="27102ED4"/>
    <w:rsid w:val="27111B1F"/>
    <w:rsid w:val="271123A4"/>
    <w:rsid w:val="27117D71"/>
    <w:rsid w:val="27134EBC"/>
    <w:rsid w:val="27145343"/>
    <w:rsid w:val="27160EE4"/>
    <w:rsid w:val="27191ABD"/>
    <w:rsid w:val="27194E78"/>
    <w:rsid w:val="271D04C4"/>
    <w:rsid w:val="271D48AB"/>
    <w:rsid w:val="271D517B"/>
    <w:rsid w:val="271D74C3"/>
    <w:rsid w:val="27214B9E"/>
    <w:rsid w:val="272162DF"/>
    <w:rsid w:val="27220408"/>
    <w:rsid w:val="27224667"/>
    <w:rsid w:val="27244C60"/>
    <w:rsid w:val="272613A4"/>
    <w:rsid w:val="27273DAD"/>
    <w:rsid w:val="27277595"/>
    <w:rsid w:val="27284F7F"/>
    <w:rsid w:val="27294F8F"/>
    <w:rsid w:val="272A2EE3"/>
    <w:rsid w:val="272D57DE"/>
    <w:rsid w:val="272F1FA5"/>
    <w:rsid w:val="27304FCB"/>
    <w:rsid w:val="27312F70"/>
    <w:rsid w:val="27313F6F"/>
    <w:rsid w:val="27321A64"/>
    <w:rsid w:val="27384086"/>
    <w:rsid w:val="27391076"/>
    <w:rsid w:val="273A7B11"/>
    <w:rsid w:val="273B0859"/>
    <w:rsid w:val="273F48DE"/>
    <w:rsid w:val="274176DD"/>
    <w:rsid w:val="27421CD9"/>
    <w:rsid w:val="27422847"/>
    <w:rsid w:val="2742617D"/>
    <w:rsid w:val="27452D6D"/>
    <w:rsid w:val="27483067"/>
    <w:rsid w:val="274837EC"/>
    <w:rsid w:val="274912B9"/>
    <w:rsid w:val="274C7450"/>
    <w:rsid w:val="274E5E58"/>
    <w:rsid w:val="27530B66"/>
    <w:rsid w:val="275411F6"/>
    <w:rsid w:val="27554F6C"/>
    <w:rsid w:val="27561C28"/>
    <w:rsid w:val="27563906"/>
    <w:rsid w:val="2758050B"/>
    <w:rsid w:val="275C4BED"/>
    <w:rsid w:val="275D3960"/>
    <w:rsid w:val="275E5FF0"/>
    <w:rsid w:val="275F47D6"/>
    <w:rsid w:val="27616AF6"/>
    <w:rsid w:val="27617694"/>
    <w:rsid w:val="276237A8"/>
    <w:rsid w:val="2766623F"/>
    <w:rsid w:val="27694594"/>
    <w:rsid w:val="27696BE2"/>
    <w:rsid w:val="276A1007"/>
    <w:rsid w:val="276A122F"/>
    <w:rsid w:val="276C144B"/>
    <w:rsid w:val="276C6D3F"/>
    <w:rsid w:val="276E0D20"/>
    <w:rsid w:val="276E1A78"/>
    <w:rsid w:val="276E6F72"/>
    <w:rsid w:val="276F4634"/>
    <w:rsid w:val="276F6846"/>
    <w:rsid w:val="27740F46"/>
    <w:rsid w:val="27742773"/>
    <w:rsid w:val="27765E26"/>
    <w:rsid w:val="277976C4"/>
    <w:rsid w:val="277A28DC"/>
    <w:rsid w:val="277C2A42"/>
    <w:rsid w:val="277F2F2D"/>
    <w:rsid w:val="27800101"/>
    <w:rsid w:val="27822A1D"/>
    <w:rsid w:val="27822AAA"/>
    <w:rsid w:val="278307A4"/>
    <w:rsid w:val="2784665D"/>
    <w:rsid w:val="27846795"/>
    <w:rsid w:val="278512A4"/>
    <w:rsid w:val="27852B6C"/>
    <w:rsid w:val="27854130"/>
    <w:rsid w:val="27856069"/>
    <w:rsid w:val="2786250D"/>
    <w:rsid w:val="278B2E92"/>
    <w:rsid w:val="278C564A"/>
    <w:rsid w:val="278D3841"/>
    <w:rsid w:val="279170EB"/>
    <w:rsid w:val="27923736"/>
    <w:rsid w:val="27934EBB"/>
    <w:rsid w:val="27944906"/>
    <w:rsid w:val="279462AC"/>
    <w:rsid w:val="27955C5C"/>
    <w:rsid w:val="27962024"/>
    <w:rsid w:val="2797115A"/>
    <w:rsid w:val="279969B0"/>
    <w:rsid w:val="279A1B15"/>
    <w:rsid w:val="279C14FA"/>
    <w:rsid w:val="279D50BB"/>
    <w:rsid w:val="27A06E5A"/>
    <w:rsid w:val="27A110F5"/>
    <w:rsid w:val="27A37E42"/>
    <w:rsid w:val="27A55D05"/>
    <w:rsid w:val="27A60200"/>
    <w:rsid w:val="27A85BF1"/>
    <w:rsid w:val="27A913C2"/>
    <w:rsid w:val="27A97724"/>
    <w:rsid w:val="27A97FAA"/>
    <w:rsid w:val="27AD635F"/>
    <w:rsid w:val="27AF6D3A"/>
    <w:rsid w:val="27AF7382"/>
    <w:rsid w:val="27B16E5E"/>
    <w:rsid w:val="27B16FB8"/>
    <w:rsid w:val="27B24A4E"/>
    <w:rsid w:val="27B32BD6"/>
    <w:rsid w:val="27B631D8"/>
    <w:rsid w:val="27B70919"/>
    <w:rsid w:val="27B77B3C"/>
    <w:rsid w:val="27B842BA"/>
    <w:rsid w:val="27BA189D"/>
    <w:rsid w:val="27BD5803"/>
    <w:rsid w:val="27BF5A1F"/>
    <w:rsid w:val="27C0736D"/>
    <w:rsid w:val="27C272BD"/>
    <w:rsid w:val="27C40104"/>
    <w:rsid w:val="27C61896"/>
    <w:rsid w:val="27C7291F"/>
    <w:rsid w:val="27C72BEB"/>
    <w:rsid w:val="27C8417C"/>
    <w:rsid w:val="27C8760C"/>
    <w:rsid w:val="27C9064C"/>
    <w:rsid w:val="27CA1502"/>
    <w:rsid w:val="27CA298E"/>
    <w:rsid w:val="27CA29F2"/>
    <w:rsid w:val="27CA3C0A"/>
    <w:rsid w:val="27CC0DAB"/>
    <w:rsid w:val="27CC5A46"/>
    <w:rsid w:val="27CE0E12"/>
    <w:rsid w:val="27CE5820"/>
    <w:rsid w:val="27CE7A10"/>
    <w:rsid w:val="27D27BF6"/>
    <w:rsid w:val="27D46819"/>
    <w:rsid w:val="27D72D69"/>
    <w:rsid w:val="27D758AC"/>
    <w:rsid w:val="27D8394B"/>
    <w:rsid w:val="27D868FE"/>
    <w:rsid w:val="27D94A95"/>
    <w:rsid w:val="27DB41EF"/>
    <w:rsid w:val="27DC037F"/>
    <w:rsid w:val="27DC0AE4"/>
    <w:rsid w:val="27DC14D4"/>
    <w:rsid w:val="27DC7499"/>
    <w:rsid w:val="27DF1C1D"/>
    <w:rsid w:val="27DF1C6C"/>
    <w:rsid w:val="27DF5779"/>
    <w:rsid w:val="27E13134"/>
    <w:rsid w:val="27E2170E"/>
    <w:rsid w:val="27E234BC"/>
    <w:rsid w:val="27E37B1B"/>
    <w:rsid w:val="27E569F4"/>
    <w:rsid w:val="27E66976"/>
    <w:rsid w:val="27E70AD2"/>
    <w:rsid w:val="27E75F0C"/>
    <w:rsid w:val="27E84EA0"/>
    <w:rsid w:val="27E97E58"/>
    <w:rsid w:val="27EB03AD"/>
    <w:rsid w:val="27EB411E"/>
    <w:rsid w:val="27EC59B3"/>
    <w:rsid w:val="27EF069B"/>
    <w:rsid w:val="27EF381C"/>
    <w:rsid w:val="27F51F70"/>
    <w:rsid w:val="27F571E1"/>
    <w:rsid w:val="27F647BB"/>
    <w:rsid w:val="27F65DCE"/>
    <w:rsid w:val="27F702BD"/>
    <w:rsid w:val="27F70C6D"/>
    <w:rsid w:val="27F725A4"/>
    <w:rsid w:val="27FC156C"/>
    <w:rsid w:val="27FE2203"/>
    <w:rsid w:val="27FF5E1C"/>
    <w:rsid w:val="28011B94"/>
    <w:rsid w:val="2802526D"/>
    <w:rsid w:val="280276BA"/>
    <w:rsid w:val="280451E0"/>
    <w:rsid w:val="280477E3"/>
    <w:rsid w:val="28060AE7"/>
    <w:rsid w:val="28074CD0"/>
    <w:rsid w:val="280953F7"/>
    <w:rsid w:val="280B2A12"/>
    <w:rsid w:val="280C15CB"/>
    <w:rsid w:val="280C22E7"/>
    <w:rsid w:val="281008F3"/>
    <w:rsid w:val="281025A5"/>
    <w:rsid w:val="28117B21"/>
    <w:rsid w:val="28117CD7"/>
    <w:rsid w:val="281318C7"/>
    <w:rsid w:val="28136333"/>
    <w:rsid w:val="28136355"/>
    <w:rsid w:val="28136FCA"/>
    <w:rsid w:val="28142622"/>
    <w:rsid w:val="281477E5"/>
    <w:rsid w:val="2818512F"/>
    <w:rsid w:val="28185CCC"/>
    <w:rsid w:val="281909F7"/>
    <w:rsid w:val="281A4340"/>
    <w:rsid w:val="281C69CE"/>
    <w:rsid w:val="281E2746"/>
    <w:rsid w:val="281E70D9"/>
    <w:rsid w:val="28211C5E"/>
    <w:rsid w:val="28212236"/>
    <w:rsid w:val="282173B7"/>
    <w:rsid w:val="28226D25"/>
    <w:rsid w:val="28231246"/>
    <w:rsid w:val="28235FAE"/>
    <w:rsid w:val="28237D5C"/>
    <w:rsid w:val="28246CCB"/>
    <w:rsid w:val="282510AF"/>
    <w:rsid w:val="2825746B"/>
    <w:rsid w:val="28261ADE"/>
    <w:rsid w:val="28267748"/>
    <w:rsid w:val="282835C4"/>
    <w:rsid w:val="2828362E"/>
    <w:rsid w:val="282910EA"/>
    <w:rsid w:val="282A1F07"/>
    <w:rsid w:val="282A3F94"/>
    <w:rsid w:val="282A48B7"/>
    <w:rsid w:val="282D1BD1"/>
    <w:rsid w:val="282D5B01"/>
    <w:rsid w:val="282E6A15"/>
    <w:rsid w:val="282E6D09"/>
    <w:rsid w:val="282F43ED"/>
    <w:rsid w:val="283012E5"/>
    <w:rsid w:val="28313884"/>
    <w:rsid w:val="28321AAF"/>
    <w:rsid w:val="283304C6"/>
    <w:rsid w:val="28341F69"/>
    <w:rsid w:val="28353194"/>
    <w:rsid w:val="28377363"/>
    <w:rsid w:val="283830DC"/>
    <w:rsid w:val="28385246"/>
    <w:rsid w:val="283A09CA"/>
    <w:rsid w:val="283A0B00"/>
    <w:rsid w:val="283B2219"/>
    <w:rsid w:val="283C2E35"/>
    <w:rsid w:val="283F1579"/>
    <w:rsid w:val="283F26BC"/>
    <w:rsid w:val="283F753C"/>
    <w:rsid w:val="28414B67"/>
    <w:rsid w:val="28416802"/>
    <w:rsid w:val="2843184F"/>
    <w:rsid w:val="28431B9D"/>
    <w:rsid w:val="28464068"/>
    <w:rsid w:val="284657F9"/>
    <w:rsid w:val="2849353B"/>
    <w:rsid w:val="284952E9"/>
    <w:rsid w:val="284A28C9"/>
    <w:rsid w:val="284D4606"/>
    <w:rsid w:val="284E2547"/>
    <w:rsid w:val="284E65C9"/>
    <w:rsid w:val="284F640D"/>
    <w:rsid w:val="28502F16"/>
    <w:rsid w:val="28506677"/>
    <w:rsid w:val="28547626"/>
    <w:rsid w:val="2858390B"/>
    <w:rsid w:val="285939E6"/>
    <w:rsid w:val="28594C54"/>
    <w:rsid w:val="285D35C1"/>
    <w:rsid w:val="285D5FF9"/>
    <w:rsid w:val="285E192A"/>
    <w:rsid w:val="285F4B0C"/>
    <w:rsid w:val="28603999"/>
    <w:rsid w:val="28620159"/>
    <w:rsid w:val="286454FC"/>
    <w:rsid w:val="286730EE"/>
    <w:rsid w:val="286839C1"/>
    <w:rsid w:val="28685841"/>
    <w:rsid w:val="28690BE6"/>
    <w:rsid w:val="286950AB"/>
    <w:rsid w:val="286A598B"/>
    <w:rsid w:val="286E174C"/>
    <w:rsid w:val="286F11F3"/>
    <w:rsid w:val="286F310B"/>
    <w:rsid w:val="286F7BCF"/>
    <w:rsid w:val="286F7FFA"/>
    <w:rsid w:val="28724840"/>
    <w:rsid w:val="287629C1"/>
    <w:rsid w:val="28771E56"/>
    <w:rsid w:val="28784073"/>
    <w:rsid w:val="287A6469"/>
    <w:rsid w:val="287B5204"/>
    <w:rsid w:val="287B7B98"/>
    <w:rsid w:val="287C56BE"/>
    <w:rsid w:val="287D0F6A"/>
    <w:rsid w:val="287E10DB"/>
    <w:rsid w:val="28812CD5"/>
    <w:rsid w:val="28827350"/>
    <w:rsid w:val="28852983"/>
    <w:rsid w:val="2886166A"/>
    <w:rsid w:val="28877B07"/>
    <w:rsid w:val="28885E11"/>
    <w:rsid w:val="28887BBF"/>
    <w:rsid w:val="288A3D6E"/>
    <w:rsid w:val="288C3F59"/>
    <w:rsid w:val="288D1C22"/>
    <w:rsid w:val="288D2D1D"/>
    <w:rsid w:val="289004EE"/>
    <w:rsid w:val="28926C90"/>
    <w:rsid w:val="28934F19"/>
    <w:rsid w:val="28935A44"/>
    <w:rsid w:val="289607B9"/>
    <w:rsid w:val="2896616C"/>
    <w:rsid w:val="289742A6"/>
    <w:rsid w:val="289C035C"/>
    <w:rsid w:val="289C11A6"/>
    <w:rsid w:val="289C7B0E"/>
    <w:rsid w:val="289E73E3"/>
    <w:rsid w:val="28A078B9"/>
    <w:rsid w:val="28A40771"/>
    <w:rsid w:val="28A502AF"/>
    <w:rsid w:val="28A8200F"/>
    <w:rsid w:val="28A86FC6"/>
    <w:rsid w:val="28AB1AFF"/>
    <w:rsid w:val="28AB23FE"/>
    <w:rsid w:val="28AF15F0"/>
    <w:rsid w:val="28AF5B78"/>
    <w:rsid w:val="28B430AA"/>
    <w:rsid w:val="28B52B84"/>
    <w:rsid w:val="28BA1D43"/>
    <w:rsid w:val="28BC1F5F"/>
    <w:rsid w:val="28C0322D"/>
    <w:rsid w:val="28C055AB"/>
    <w:rsid w:val="28C32DF1"/>
    <w:rsid w:val="28C35CCE"/>
    <w:rsid w:val="28C36E49"/>
    <w:rsid w:val="28C52BC1"/>
    <w:rsid w:val="28C54A49"/>
    <w:rsid w:val="28C57065"/>
    <w:rsid w:val="28C71C74"/>
    <w:rsid w:val="28C77ED9"/>
    <w:rsid w:val="28C80ED0"/>
    <w:rsid w:val="28CC3600"/>
    <w:rsid w:val="28CF57EE"/>
    <w:rsid w:val="28D45A63"/>
    <w:rsid w:val="28D5272A"/>
    <w:rsid w:val="28D64DCE"/>
    <w:rsid w:val="28D728F5"/>
    <w:rsid w:val="28D90BBB"/>
    <w:rsid w:val="28DA160F"/>
    <w:rsid w:val="28DB23E5"/>
    <w:rsid w:val="28DB700E"/>
    <w:rsid w:val="28DD7E7C"/>
    <w:rsid w:val="28DF75B5"/>
    <w:rsid w:val="28E50A08"/>
    <w:rsid w:val="28E50F74"/>
    <w:rsid w:val="28E53263"/>
    <w:rsid w:val="28E619B2"/>
    <w:rsid w:val="28E72B5B"/>
    <w:rsid w:val="28E819D7"/>
    <w:rsid w:val="28EA2628"/>
    <w:rsid w:val="28EC1CA8"/>
    <w:rsid w:val="28EC5995"/>
    <w:rsid w:val="28ED3EC6"/>
    <w:rsid w:val="28EF0462"/>
    <w:rsid w:val="28F00706"/>
    <w:rsid w:val="28F2659B"/>
    <w:rsid w:val="28F27E24"/>
    <w:rsid w:val="28F33370"/>
    <w:rsid w:val="28F33FB6"/>
    <w:rsid w:val="28F67359"/>
    <w:rsid w:val="28F74D45"/>
    <w:rsid w:val="28F8653E"/>
    <w:rsid w:val="28F93369"/>
    <w:rsid w:val="28FA3D43"/>
    <w:rsid w:val="28FA4ACB"/>
    <w:rsid w:val="28FB03BD"/>
    <w:rsid w:val="28FB2A87"/>
    <w:rsid w:val="28FD19C7"/>
    <w:rsid w:val="28FF1668"/>
    <w:rsid w:val="28FF2559"/>
    <w:rsid w:val="28FF6EC8"/>
    <w:rsid w:val="290114EB"/>
    <w:rsid w:val="290309EC"/>
    <w:rsid w:val="29033E35"/>
    <w:rsid w:val="290368A1"/>
    <w:rsid w:val="290370AF"/>
    <w:rsid w:val="290577F8"/>
    <w:rsid w:val="290A0F1C"/>
    <w:rsid w:val="290B259E"/>
    <w:rsid w:val="290B724E"/>
    <w:rsid w:val="290C07F0"/>
    <w:rsid w:val="290D4533"/>
    <w:rsid w:val="290F2DF1"/>
    <w:rsid w:val="29114FDA"/>
    <w:rsid w:val="29125B79"/>
    <w:rsid w:val="29127DD1"/>
    <w:rsid w:val="2913057A"/>
    <w:rsid w:val="29133D20"/>
    <w:rsid w:val="291341CB"/>
    <w:rsid w:val="29142DC3"/>
    <w:rsid w:val="2915137C"/>
    <w:rsid w:val="29157C90"/>
    <w:rsid w:val="29173BBA"/>
    <w:rsid w:val="291819B2"/>
    <w:rsid w:val="291B4ED7"/>
    <w:rsid w:val="291C38EA"/>
    <w:rsid w:val="291C47AB"/>
    <w:rsid w:val="291E23BB"/>
    <w:rsid w:val="291F683F"/>
    <w:rsid w:val="29207857"/>
    <w:rsid w:val="292131FD"/>
    <w:rsid w:val="29232042"/>
    <w:rsid w:val="29236F39"/>
    <w:rsid w:val="2926366B"/>
    <w:rsid w:val="29272553"/>
    <w:rsid w:val="29283150"/>
    <w:rsid w:val="292875F4"/>
    <w:rsid w:val="292974E4"/>
    <w:rsid w:val="292A72A0"/>
    <w:rsid w:val="292C2C40"/>
    <w:rsid w:val="292D0D37"/>
    <w:rsid w:val="292E4830"/>
    <w:rsid w:val="292E4C0A"/>
    <w:rsid w:val="29310257"/>
    <w:rsid w:val="29332221"/>
    <w:rsid w:val="293333A5"/>
    <w:rsid w:val="29346369"/>
    <w:rsid w:val="2936586D"/>
    <w:rsid w:val="29394E8B"/>
    <w:rsid w:val="29396D98"/>
    <w:rsid w:val="293E750C"/>
    <w:rsid w:val="293F0351"/>
    <w:rsid w:val="294039D0"/>
    <w:rsid w:val="29406961"/>
    <w:rsid w:val="29422464"/>
    <w:rsid w:val="29442B98"/>
    <w:rsid w:val="29451F54"/>
    <w:rsid w:val="294601F2"/>
    <w:rsid w:val="29471828"/>
    <w:rsid w:val="29472745"/>
    <w:rsid w:val="29483668"/>
    <w:rsid w:val="294847D6"/>
    <w:rsid w:val="294A1318"/>
    <w:rsid w:val="294F2FF6"/>
    <w:rsid w:val="29500513"/>
    <w:rsid w:val="295039D0"/>
    <w:rsid w:val="295108F9"/>
    <w:rsid w:val="29511E01"/>
    <w:rsid w:val="295647E3"/>
    <w:rsid w:val="29565F0F"/>
    <w:rsid w:val="29567A3B"/>
    <w:rsid w:val="29581C87"/>
    <w:rsid w:val="29583A35"/>
    <w:rsid w:val="295A7A52"/>
    <w:rsid w:val="295C2AF8"/>
    <w:rsid w:val="295C45ED"/>
    <w:rsid w:val="295C5B49"/>
    <w:rsid w:val="295D1AE5"/>
    <w:rsid w:val="295D49CD"/>
    <w:rsid w:val="295F5CB6"/>
    <w:rsid w:val="29606D8E"/>
    <w:rsid w:val="29621F83"/>
    <w:rsid w:val="296378D5"/>
    <w:rsid w:val="296A5517"/>
    <w:rsid w:val="296B6D7E"/>
    <w:rsid w:val="296D7F72"/>
    <w:rsid w:val="296E3326"/>
    <w:rsid w:val="296F0D7F"/>
    <w:rsid w:val="296F50DF"/>
    <w:rsid w:val="297059A6"/>
    <w:rsid w:val="29711DBF"/>
    <w:rsid w:val="2973086F"/>
    <w:rsid w:val="2973261D"/>
    <w:rsid w:val="297560F5"/>
    <w:rsid w:val="297563DE"/>
    <w:rsid w:val="297654D9"/>
    <w:rsid w:val="29787C34"/>
    <w:rsid w:val="29791BFE"/>
    <w:rsid w:val="297939AC"/>
    <w:rsid w:val="297A6B9B"/>
    <w:rsid w:val="297B3BC8"/>
    <w:rsid w:val="297C1EC3"/>
    <w:rsid w:val="297C6564"/>
    <w:rsid w:val="297E0FC2"/>
    <w:rsid w:val="297E51A0"/>
    <w:rsid w:val="297F5EFD"/>
    <w:rsid w:val="29802F8C"/>
    <w:rsid w:val="29813D53"/>
    <w:rsid w:val="29820AB2"/>
    <w:rsid w:val="298244EE"/>
    <w:rsid w:val="29862965"/>
    <w:rsid w:val="2987256D"/>
    <w:rsid w:val="2987431B"/>
    <w:rsid w:val="29876B5F"/>
    <w:rsid w:val="298A310F"/>
    <w:rsid w:val="298A3E0B"/>
    <w:rsid w:val="298A4E85"/>
    <w:rsid w:val="298B14AB"/>
    <w:rsid w:val="298D00B4"/>
    <w:rsid w:val="298E497F"/>
    <w:rsid w:val="298F1421"/>
    <w:rsid w:val="298F4EE5"/>
    <w:rsid w:val="298F7715"/>
    <w:rsid w:val="29915195"/>
    <w:rsid w:val="29954C89"/>
    <w:rsid w:val="299627B0"/>
    <w:rsid w:val="29982084"/>
    <w:rsid w:val="299A1E4A"/>
    <w:rsid w:val="299A404E"/>
    <w:rsid w:val="299E1DE1"/>
    <w:rsid w:val="299F78B6"/>
    <w:rsid w:val="29A16581"/>
    <w:rsid w:val="29A2204F"/>
    <w:rsid w:val="29A547A1"/>
    <w:rsid w:val="29A7676B"/>
    <w:rsid w:val="29A9551B"/>
    <w:rsid w:val="29AD36AA"/>
    <w:rsid w:val="29AE5D4B"/>
    <w:rsid w:val="29B13F60"/>
    <w:rsid w:val="29B35110"/>
    <w:rsid w:val="29B64C00"/>
    <w:rsid w:val="29B669AE"/>
    <w:rsid w:val="29B840F2"/>
    <w:rsid w:val="29BB0DD0"/>
    <w:rsid w:val="29BB3A49"/>
    <w:rsid w:val="29BC0923"/>
    <w:rsid w:val="29BD1AEA"/>
    <w:rsid w:val="29C125C6"/>
    <w:rsid w:val="29C2065F"/>
    <w:rsid w:val="29C5203A"/>
    <w:rsid w:val="29C52AD3"/>
    <w:rsid w:val="29C56BF1"/>
    <w:rsid w:val="29C92E9C"/>
    <w:rsid w:val="29C94933"/>
    <w:rsid w:val="29CA2459"/>
    <w:rsid w:val="29CA5F95"/>
    <w:rsid w:val="29CA7FEE"/>
    <w:rsid w:val="29CC7747"/>
    <w:rsid w:val="29CE019B"/>
    <w:rsid w:val="29D47E69"/>
    <w:rsid w:val="29D95868"/>
    <w:rsid w:val="29DD03DE"/>
    <w:rsid w:val="29DF0EE7"/>
    <w:rsid w:val="29DF65F4"/>
    <w:rsid w:val="29E26E3A"/>
    <w:rsid w:val="29E300F8"/>
    <w:rsid w:val="29E42907"/>
    <w:rsid w:val="29E51041"/>
    <w:rsid w:val="29E55F16"/>
    <w:rsid w:val="29E746B5"/>
    <w:rsid w:val="29E928DF"/>
    <w:rsid w:val="29E940EF"/>
    <w:rsid w:val="29EA0CB9"/>
    <w:rsid w:val="29EE42BE"/>
    <w:rsid w:val="29F00112"/>
    <w:rsid w:val="29F01EC0"/>
    <w:rsid w:val="29F04E4A"/>
    <w:rsid w:val="29F14408"/>
    <w:rsid w:val="29F23E8A"/>
    <w:rsid w:val="29F32108"/>
    <w:rsid w:val="29F5662C"/>
    <w:rsid w:val="29F702A5"/>
    <w:rsid w:val="29F77B83"/>
    <w:rsid w:val="29F825B0"/>
    <w:rsid w:val="29F86FC6"/>
    <w:rsid w:val="29F95C3F"/>
    <w:rsid w:val="29FA5D05"/>
    <w:rsid w:val="29FD0DE7"/>
    <w:rsid w:val="29FD282F"/>
    <w:rsid w:val="29FD45DD"/>
    <w:rsid w:val="29FE7992"/>
    <w:rsid w:val="29FF77DC"/>
    <w:rsid w:val="2A005ACD"/>
    <w:rsid w:val="2A0074CB"/>
    <w:rsid w:val="2A021070"/>
    <w:rsid w:val="2A021088"/>
    <w:rsid w:val="2A0311EB"/>
    <w:rsid w:val="2A054317"/>
    <w:rsid w:val="2A08240C"/>
    <w:rsid w:val="2A092F82"/>
    <w:rsid w:val="2A096762"/>
    <w:rsid w:val="2A0A5759"/>
    <w:rsid w:val="2A0C4820"/>
    <w:rsid w:val="2A0D1DA9"/>
    <w:rsid w:val="2A102562"/>
    <w:rsid w:val="2A104310"/>
    <w:rsid w:val="2A111E36"/>
    <w:rsid w:val="2A117A16"/>
    <w:rsid w:val="2A151926"/>
    <w:rsid w:val="2A1A2F1D"/>
    <w:rsid w:val="2A1C3D86"/>
    <w:rsid w:val="2A1D07DB"/>
    <w:rsid w:val="2A1D6A2D"/>
    <w:rsid w:val="2A1F7078"/>
    <w:rsid w:val="2A2010AA"/>
    <w:rsid w:val="2A21524A"/>
    <w:rsid w:val="2A2234FF"/>
    <w:rsid w:val="2A2347EA"/>
    <w:rsid w:val="2A24593D"/>
    <w:rsid w:val="2A261D85"/>
    <w:rsid w:val="2A2735EF"/>
    <w:rsid w:val="2A2878AC"/>
    <w:rsid w:val="2A29112A"/>
    <w:rsid w:val="2A3177D9"/>
    <w:rsid w:val="2A320FCE"/>
    <w:rsid w:val="2A327D15"/>
    <w:rsid w:val="2A331152"/>
    <w:rsid w:val="2A387627"/>
    <w:rsid w:val="2A390EEA"/>
    <w:rsid w:val="2A391AB9"/>
    <w:rsid w:val="2A392506"/>
    <w:rsid w:val="2A3A04B3"/>
    <w:rsid w:val="2A3A138D"/>
    <w:rsid w:val="2A3B0766"/>
    <w:rsid w:val="2A3C3357"/>
    <w:rsid w:val="2A3D1CDF"/>
    <w:rsid w:val="2A3D2C2B"/>
    <w:rsid w:val="2A3F4557"/>
    <w:rsid w:val="2A3F67DE"/>
    <w:rsid w:val="2A40723A"/>
    <w:rsid w:val="2A407CFB"/>
    <w:rsid w:val="2A411374"/>
    <w:rsid w:val="2A41271B"/>
    <w:rsid w:val="2A413371"/>
    <w:rsid w:val="2A434DF5"/>
    <w:rsid w:val="2A44045E"/>
    <w:rsid w:val="2A4508C5"/>
    <w:rsid w:val="2A473AAA"/>
    <w:rsid w:val="2A487D4C"/>
    <w:rsid w:val="2A4B17EC"/>
    <w:rsid w:val="2A4B1F10"/>
    <w:rsid w:val="2A4C4F69"/>
    <w:rsid w:val="2A4C68E4"/>
    <w:rsid w:val="2A505BBC"/>
    <w:rsid w:val="2A506E02"/>
    <w:rsid w:val="2A55059E"/>
    <w:rsid w:val="2A5613B4"/>
    <w:rsid w:val="2A571F3F"/>
    <w:rsid w:val="2A582EA2"/>
    <w:rsid w:val="2A5A1A2F"/>
    <w:rsid w:val="2A5D335C"/>
    <w:rsid w:val="2A5F40BB"/>
    <w:rsid w:val="2A614B6C"/>
    <w:rsid w:val="2A6308E4"/>
    <w:rsid w:val="2A6428AE"/>
    <w:rsid w:val="2A663F30"/>
    <w:rsid w:val="2A664AFF"/>
    <w:rsid w:val="2A691C72"/>
    <w:rsid w:val="2A696EB1"/>
    <w:rsid w:val="2A6A2CDE"/>
    <w:rsid w:val="2A6D1762"/>
    <w:rsid w:val="2A6D3510"/>
    <w:rsid w:val="2A6D4BE6"/>
    <w:rsid w:val="2A6E57F5"/>
    <w:rsid w:val="2A6E7289"/>
    <w:rsid w:val="2A702F2C"/>
    <w:rsid w:val="2A703001"/>
    <w:rsid w:val="2A740F74"/>
    <w:rsid w:val="2A7523C5"/>
    <w:rsid w:val="2A757469"/>
    <w:rsid w:val="2A77438F"/>
    <w:rsid w:val="2A790107"/>
    <w:rsid w:val="2A7A65BD"/>
    <w:rsid w:val="2A7D74CC"/>
    <w:rsid w:val="2A7E571E"/>
    <w:rsid w:val="2A7E6D29"/>
    <w:rsid w:val="2A7F1496"/>
    <w:rsid w:val="2A7F3244"/>
    <w:rsid w:val="2A80338B"/>
    <w:rsid w:val="2A80749C"/>
    <w:rsid w:val="2A810D6A"/>
    <w:rsid w:val="2A816FBC"/>
    <w:rsid w:val="2A83359C"/>
    <w:rsid w:val="2A856A1C"/>
    <w:rsid w:val="2A8904FD"/>
    <w:rsid w:val="2A8940C2"/>
    <w:rsid w:val="2A895E70"/>
    <w:rsid w:val="2A8A20AC"/>
    <w:rsid w:val="2A8A2314"/>
    <w:rsid w:val="2A8A5AF9"/>
    <w:rsid w:val="2A8C0BEE"/>
    <w:rsid w:val="2A8D3BB3"/>
    <w:rsid w:val="2A8F468B"/>
    <w:rsid w:val="2A8F792B"/>
    <w:rsid w:val="2A90220D"/>
    <w:rsid w:val="2A9036E6"/>
    <w:rsid w:val="2A9134EC"/>
    <w:rsid w:val="2A937209"/>
    <w:rsid w:val="2A94774E"/>
    <w:rsid w:val="2A9F0D82"/>
    <w:rsid w:val="2AA1282F"/>
    <w:rsid w:val="2AA301FF"/>
    <w:rsid w:val="2AA368F4"/>
    <w:rsid w:val="2AA414C5"/>
    <w:rsid w:val="2AA82768"/>
    <w:rsid w:val="2AA84549"/>
    <w:rsid w:val="2AAB228B"/>
    <w:rsid w:val="2AAB29A7"/>
    <w:rsid w:val="2AAB5DE7"/>
    <w:rsid w:val="2AAD76D5"/>
    <w:rsid w:val="2AAE4EDE"/>
    <w:rsid w:val="2AAF3B29"/>
    <w:rsid w:val="2AB06457"/>
    <w:rsid w:val="2AB14DFE"/>
    <w:rsid w:val="2AB15B4F"/>
    <w:rsid w:val="2AB31393"/>
    <w:rsid w:val="2AB4113F"/>
    <w:rsid w:val="2AB534AC"/>
    <w:rsid w:val="2AB91683"/>
    <w:rsid w:val="2ABA54D3"/>
    <w:rsid w:val="2ABC5818"/>
    <w:rsid w:val="2ABC6246"/>
    <w:rsid w:val="2ABC728F"/>
    <w:rsid w:val="2ABC7FF4"/>
    <w:rsid w:val="2ABD4084"/>
    <w:rsid w:val="2ABD6FE5"/>
    <w:rsid w:val="2ABE3B6C"/>
    <w:rsid w:val="2ABE3D6C"/>
    <w:rsid w:val="2AC05FDB"/>
    <w:rsid w:val="2AC12111"/>
    <w:rsid w:val="2AC33130"/>
    <w:rsid w:val="2AC51F3F"/>
    <w:rsid w:val="2AC670C5"/>
    <w:rsid w:val="2AC85EFF"/>
    <w:rsid w:val="2AC86999"/>
    <w:rsid w:val="2AC91672"/>
    <w:rsid w:val="2AC939FA"/>
    <w:rsid w:val="2ACA1EA3"/>
    <w:rsid w:val="2ACA68A4"/>
    <w:rsid w:val="2ACB0F4E"/>
    <w:rsid w:val="2ACD2201"/>
    <w:rsid w:val="2ACF5F79"/>
    <w:rsid w:val="2AD104E2"/>
    <w:rsid w:val="2AD215C5"/>
    <w:rsid w:val="2AD36C9B"/>
    <w:rsid w:val="2AD37AF9"/>
    <w:rsid w:val="2AD43590"/>
    <w:rsid w:val="2AD43905"/>
    <w:rsid w:val="2AD6712D"/>
    <w:rsid w:val="2AD840A3"/>
    <w:rsid w:val="2AD94591"/>
    <w:rsid w:val="2ADC0696"/>
    <w:rsid w:val="2ADC6D2B"/>
    <w:rsid w:val="2ADD4051"/>
    <w:rsid w:val="2ADE7F6A"/>
    <w:rsid w:val="2ADF3AD5"/>
    <w:rsid w:val="2AE16B1C"/>
    <w:rsid w:val="2AE34118"/>
    <w:rsid w:val="2AE74CA7"/>
    <w:rsid w:val="2AE8308F"/>
    <w:rsid w:val="2AE84266"/>
    <w:rsid w:val="2AEB08D9"/>
    <w:rsid w:val="2AEB77AD"/>
    <w:rsid w:val="2AEC2197"/>
    <w:rsid w:val="2AEC50EA"/>
    <w:rsid w:val="2AED5527"/>
    <w:rsid w:val="2AEE06B1"/>
    <w:rsid w:val="2AEF03C9"/>
    <w:rsid w:val="2AF12D17"/>
    <w:rsid w:val="2AF27EBA"/>
    <w:rsid w:val="2AF4778E"/>
    <w:rsid w:val="2AF6278D"/>
    <w:rsid w:val="2AF629A8"/>
    <w:rsid w:val="2AF6762C"/>
    <w:rsid w:val="2AF71C48"/>
    <w:rsid w:val="2AF7727E"/>
    <w:rsid w:val="2AF93233"/>
    <w:rsid w:val="2AF97B80"/>
    <w:rsid w:val="2AFA2584"/>
    <w:rsid w:val="2AFB5879"/>
    <w:rsid w:val="2AFB5C85"/>
    <w:rsid w:val="2AFB6D6E"/>
    <w:rsid w:val="2AFC2AE6"/>
    <w:rsid w:val="2AFC349E"/>
    <w:rsid w:val="2AFD2B37"/>
    <w:rsid w:val="2AFD3ECE"/>
    <w:rsid w:val="2AFD71FE"/>
    <w:rsid w:val="2AFF79F0"/>
    <w:rsid w:val="2B006133"/>
    <w:rsid w:val="2B00686E"/>
    <w:rsid w:val="2B025609"/>
    <w:rsid w:val="2B033371"/>
    <w:rsid w:val="2B054B6B"/>
    <w:rsid w:val="2B065545"/>
    <w:rsid w:val="2B065598"/>
    <w:rsid w:val="2B065713"/>
    <w:rsid w:val="2B07458A"/>
    <w:rsid w:val="2B097498"/>
    <w:rsid w:val="2B0A5203"/>
    <w:rsid w:val="2B0E292E"/>
    <w:rsid w:val="2B102DA4"/>
    <w:rsid w:val="2B1344E2"/>
    <w:rsid w:val="2B141D5F"/>
    <w:rsid w:val="2B1442F6"/>
    <w:rsid w:val="2B177920"/>
    <w:rsid w:val="2B181536"/>
    <w:rsid w:val="2B183C6F"/>
    <w:rsid w:val="2B195597"/>
    <w:rsid w:val="2B1A6A27"/>
    <w:rsid w:val="2B1B15F8"/>
    <w:rsid w:val="2B1B20A5"/>
    <w:rsid w:val="2B1B3241"/>
    <w:rsid w:val="2B1C3740"/>
    <w:rsid w:val="2B2116B0"/>
    <w:rsid w:val="2B211B25"/>
    <w:rsid w:val="2B2142FB"/>
    <w:rsid w:val="2B2160A9"/>
    <w:rsid w:val="2B2250C2"/>
    <w:rsid w:val="2B234D22"/>
    <w:rsid w:val="2B2426AA"/>
    <w:rsid w:val="2B254913"/>
    <w:rsid w:val="2B262712"/>
    <w:rsid w:val="2B266949"/>
    <w:rsid w:val="2B2A2749"/>
    <w:rsid w:val="2B2B3A5C"/>
    <w:rsid w:val="2B2B4740"/>
    <w:rsid w:val="2B2B6F28"/>
    <w:rsid w:val="2B2D4A4E"/>
    <w:rsid w:val="2B2E2B84"/>
    <w:rsid w:val="2B2F6926"/>
    <w:rsid w:val="2B30453E"/>
    <w:rsid w:val="2B3328C2"/>
    <w:rsid w:val="2B361B54"/>
    <w:rsid w:val="2B365367"/>
    <w:rsid w:val="2B396801"/>
    <w:rsid w:val="2B3C601B"/>
    <w:rsid w:val="2B3D1646"/>
    <w:rsid w:val="2B3F2B94"/>
    <w:rsid w:val="2B4065F2"/>
    <w:rsid w:val="2B406E77"/>
    <w:rsid w:val="2B420611"/>
    <w:rsid w:val="2B42137F"/>
    <w:rsid w:val="2B425AC7"/>
    <w:rsid w:val="2B4470C3"/>
    <w:rsid w:val="2B4534A8"/>
    <w:rsid w:val="2B460090"/>
    <w:rsid w:val="2B465B0F"/>
    <w:rsid w:val="2B47078E"/>
    <w:rsid w:val="2B4938E9"/>
    <w:rsid w:val="2B4A0F68"/>
    <w:rsid w:val="2B4A44C1"/>
    <w:rsid w:val="2B4B4B48"/>
    <w:rsid w:val="2B4B5034"/>
    <w:rsid w:val="2B4B6800"/>
    <w:rsid w:val="2B4C1378"/>
    <w:rsid w:val="2B4D3342"/>
    <w:rsid w:val="2B4D4859"/>
    <w:rsid w:val="2B4D6E9E"/>
    <w:rsid w:val="2B4E31AB"/>
    <w:rsid w:val="2B4F6F07"/>
    <w:rsid w:val="2B501D74"/>
    <w:rsid w:val="2B520958"/>
    <w:rsid w:val="2B546E8B"/>
    <w:rsid w:val="2B550C2B"/>
    <w:rsid w:val="2B5559AB"/>
    <w:rsid w:val="2B5621F6"/>
    <w:rsid w:val="2B563DEE"/>
    <w:rsid w:val="2B567F03"/>
    <w:rsid w:val="2B57190D"/>
    <w:rsid w:val="2B581127"/>
    <w:rsid w:val="2B590518"/>
    <w:rsid w:val="2B5979F1"/>
    <w:rsid w:val="2B597F39"/>
    <w:rsid w:val="2B5A30BA"/>
    <w:rsid w:val="2B5B5A5F"/>
    <w:rsid w:val="2B5B7F5A"/>
    <w:rsid w:val="2B5C7036"/>
    <w:rsid w:val="2B5E5728"/>
    <w:rsid w:val="2B5E6D9F"/>
    <w:rsid w:val="2B62009F"/>
    <w:rsid w:val="2B632B65"/>
    <w:rsid w:val="2B6346D1"/>
    <w:rsid w:val="2B634913"/>
    <w:rsid w:val="2B6568DD"/>
    <w:rsid w:val="2B66245D"/>
    <w:rsid w:val="2B67096E"/>
    <w:rsid w:val="2B6732DC"/>
    <w:rsid w:val="2B6969E4"/>
    <w:rsid w:val="2B6B1F67"/>
    <w:rsid w:val="2B6B4BC6"/>
    <w:rsid w:val="2B6D185F"/>
    <w:rsid w:val="2B6F2DD8"/>
    <w:rsid w:val="2B715282"/>
    <w:rsid w:val="2B71730A"/>
    <w:rsid w:val="2B724EEF"/>
    <w:rsid w:val="2B74267D"/>
    <w:rsid w:val="2B7608DD"/>
    <w:rsid w:val="2B7632C5"/>
    <w:rsid w:val="2B776CAC"/>
    <w:rsid w:val="2B7803BF"/>
    <w:rsid w:val="2B785FB3"/>
    <w:rsid w:val="2B7871E6"/>
    <w:rsid w:val="2B787FC9"/>
    <w:rsid w:val="2B797C93"/>
    <w:rsid w:val="2B7A243C"/>
    <w:rsid w:val="2B7A34A4"/>
    <w:rsid w:val="2B7B509D"/>
    <w:rsid w:val="2B7E68AD"/>
    <w:rsid w:val="2B8054C5"/>
    <w:rsid w:val="2B807316"/>
    <w:rsid w:val="2B810A88"/>
    <w:rsid w:val="2B8169CF"/>
    <w:rsid w:val="2B836D64"/>
    <w:rsid w:val="2B845E1E"/>
    <w:rsid w:val="2B874C0D"/>
    <w:rsid w:val="2B877DF1"/>
    <w:rsid w:val="2B881EE0"/>
    <w:rsid w:val="2B8B3979"/>
    <w:rsid w:val="2B8C18B2"/>
    <w:rsid w:val="2B8C3E6A"/>
    <w:rsid w:val="2B8C6026"/>
    <w:rsid w:val="2B90137A"/>
    <w:rsid w:val="2B944ACD"/>
    <w:rsid w:val="2B9643D1"/>
    <w:rsid w:val="2B976F30"/>
    <w:rsid w:val="2B9B40AD"/>
    <w:rsid w:val="2B9B4AAE"/>
    <w:rsid w:val="2B9B4B36"/>
    <w:rsid w:val="2B9D7F83"/>
    <w:rsid w:val="2BA15E1D"/>
    <w:rsid w:val="2BA2368E"/>
    <w:rsid w:val="2BA41FC6"/>
    <w:rsid w:val="2BA50A88"/>
    <w:rsid w:val="2BA529DB"/>
    <w:rsid w:val="2BA70440"/>
    <w:rsid w:val="2BA73E61"/>
    <w:rsid w:val="2BA74800"/>
    <w:rsid w:val="2BA75794"/>
    <w:rsid w:val="2BA94DB0"/>
    <w:rsid w:val="2BAA609E"/>
    <w:rsid w:val="2BAD5119"/>
    <w:rsid w:val="2BAE1FD0"/>
    <w:rsid w:val="2BAF13B9"/>
    <w:rsid w:val="2BAF1907"/>
    <w:rsid w:val="2BB1567F"/>
    <w:rsid w:val="2BB242BF"/>
    <w:rsid w:val="2BB37649"/>
    <w:rsid w:val="2BB533C1"/>
    <w:rsid w:val="2BB57BB7"/>
    <w:rsid w:val="2BB62414"/>
    <w:rsid w:val="2BB62D59"/>
    <w:rsid w:val="2BB774C0"/>
    <w:rsid w:val="2BB84A52"/>
    <w:rsid w:val="2BB86B0B"/>
    <w:rsid w:val="2BBB2FE0"/>
    <w:rsid w:val="2BBD04C8"/>
    <w:rsid w:val="2BC3007D"/>
    <w:rsid w:val="2BC32DAF"/>
    <w:rsid w:val="2BC43604"/>
    <w:rsid w:val="2BC5112A"/>
    <w:rsid w:val="2BC562B6"/>
    <w:rsid w:val="2BC5709C"/>
    <w:rsid w:val="2BC6445A"/>
    <w:rsid w:val="2BC74EA2"/>
    <w:rsid w:val="2BCA4992"/>
    <w:rsid w:val="2BCA6741"/>
    <w:rsid w:val="2BCC4267"/>
    <w:rsid w:val="2BD10C18"/>
    <w:rsid w:val="2BD11C89"/>
    <w:rsid w:val="2BD1598E"/>
    <w:rsid w:val="2BD15D21"/>
    <w:rsid w:val="2BD31A99"/>
    <w:rsid w:val="2BD47945"/>
    <w:rsid w:val="2BD62C82"/>
    <w:rsid w:val="2BD6638E"/>
    <w:rsid w:val="2BD76078"/>
    <w:rsid w:val="2BD81B2B"/>
    <w:rsid w:val="2BD96984"/>
    <w:rsid w:val="2BDB13B0"/>
    <w:rsid w:val="2BDD6474"/>
    <w:rsid w:val="2BDE3F9A"/>
    <w:rsid w:val="2BDE7BDD"/>
    <w:rsid w:val="2BDE7D31"/>
    <w:rsid w:val="2BE07D12"/>
    <w:rsid w:val="2BE21CDC"/>
    <w:rsid w:val="2BE22EE5"/>
    <w:rsid w:val="2BE23A8A"/>
    <w:rsid w:val="2BE3204D"/>
    <w:rsid w:val="2BE42462"/>
    <w:rsid w:val="2BE53078"/>
    <w:rsid w:val="2BE64D82"/>
    <w:rsid w:val="2BE87FF9"/>
    <w:rsid w:val="2BE912BD"/>
    <w:rsid w:val="2BEA0B91"/>
    <w:rsid w:val="2BEA5C00"/>
    <w:rsid w:val="2BEB4B93"/>
    <w:rsid w:val="2BEC2B5B"/>
    <w:rsid w:val="2BEC46AF"/>
    <w:rsid w:val="2BEE480D"/>
    <w:rsid w:val="2BEE4C55"/>
    <w:rsid w:val="2BF256C4"/>
    <w:rsid w:val="2BF36CDD"/>
    <w:rsid w:val="2BF51A0F"/>
    <w:rsid w:val="2BF533E7"/>
    <w:rsid w:val="2BF62D20"/>
    <w:rsid w:val="2BF76EE4"/>
    <w:rsid w:val="2BF77324"/>
    <w:rsid w:val="2BFD7134"/>
    <w:rsid w:val="2BFF73A9"/>
    <w:rsid w:val="2C032E8B"/>
    <w:rsid w:val="2C035304"/>
    <w:rsid w:val="2C047EA4"/>
    <w:rsid w:val="2C0609C8"/>
    <w:rsid w:val="2C075916"/>
    <w:rsid w:val="2C077516"/>
    <w:rsid w:val="2C082F6E"/>
    <w:rsid w:val="2C091017"/>
    <w:rsid w:val="2C097269"/>
    <w:rsid w:val="2C0B560D"/>
    <w:rsid w:val="2C0C12C0"/>
    <w:rsid w:val="2C0C1D68"/>
    <w:rsid w:val="2C0C60AC"/>
    <w:rsid w:val="2C112329"/>
    <w:rsid w:val="2C133908"/>
    <w:rsid w:val="2C1416F6"/>
    <w:rsid w:val="2C152724"/>
    <w:rsid w:val="2C160293"/>
    <w:rsid w:val="2C161986"/>
    <w:rsid w:val="2C162720"/>
    <w:rsid w:val="2C197572"/>
    <w:rsid w:val="2C197A3A"/>
    <w:rsid w:val="2C1A1178"/>
    <w:rsid w:val="2C1A2261"/>
    <w:rsid w:val="2C1A3DB8"/>
    <w:rsid w:val="2C1C3440"/>
    <w:rsid w:val="2C1C6AC5"/>
    <w:rsid w:val="2C216339"/>
    <w:rsid w:val="2C245869"/>
    <w:rsid w:val="2C2570E3"/>
    <w:rsid w:val="2C273B93"/>
    <w:rsid w:val="2C2812AD"/>
    <w:rsid w:val="2C28591A"/>
    <w:rsid w:val="2C2936AC"/>
    <w:rsid w:val="2C2A71DF"/>
    <w:rsid w:val="2C2B3683"/>
    <w:rsid w:val="2C2D606D"/>
    <w:rsid w:val="2C311870"/>
    <w:rsid w:val="2C3171A3"/>
    <w:rsid w:val="2C343242"/>
    <w:rsid w:val="2C380015"/>
    <w:rsid w:val="2C380E88"/>
    <w:rsid w:val="2C385DA0"/>
    <w:rsid w:val="2C3952BB"/>
    <w:rsid w:val="2C397AAF"/>
    <w:rsid w:val="2C3A1D9C"/>
    <w:rsid w:val="2C410AD4"/>
    <w:rsid w:val="2C421FF7"/>
    <w:rsid w:val="2C441266"/>
    <w:rsid w:val="2C444745"/>
    <w:rsid w:val="2C46263D"/>
    <w:rsid w:val="2C462D13"/>
    <w:rsid w:val="2C49393B"/>
    <w:rsid w:val="2C493B09"/>
    <w:rsid w:val="2C4A20DB"/>
    <w:rsid w:val="2C4B2AB1"/>
    <w:rsid w:val="2C4B7881"/>
    <w:rsid w:val="2C4C35F9"/>
    <w:rsid w:val="2C4D2151"/>
    <w:rsid w:val="2C4D5FD2"/>
    <w:rsid w:val="2C4E4421"/>
    <w:rsid w:val="2C522201"/>
    <w:rsid w:val="2C5243EF"/>
    <w:rsid w:val="2C5308A5"/>
    <w:rsid w:val="2C540382"/>
    <w:rsid w:val="2C541A6F"/>
    <w:rsid w:val="2C553BE7"/>
    <w:rsid w:val="2C567289"/>
    <w:rsid w:val="2C572784"/>
    <w:rsid w:val="2C576031"/>
    <w:rsid w:val="2C577F77"/>
    <w:rsid w:val="2C5865F5"/>
    <w:rsid w:val="2C593A8E"/>
    <w:rsid w:val="2C5A1872"/>
    <w:rsid w:val="2C5A3F68"/>
    <w:rsid w:val="2C5B2595"/>
    <w:rsid w:val="2C5D65F6"/>
    <w:rsid w:val="2C602C01"/>
    <w:rsid w:val="2C603BD8"/>
    <w:rsid w:val="2C610E53"/>
    <w:rsid w:val="2C611306"/>
    <w:rsid w:val="2C622E1D"/>
    <w:rsid w:val="2C625EB4"/>
    <w:rsid w:val="2C640943"/>
    <w:rsid w:val="2C6556A5"/>
    <w:rsid w:val="2C66290D"/>
    <w:rsid w:val="2C69061B"/>
    <w:rsid w:val="2C6C5774"/>
    <w:rsid w:val="2C6D60EB"/>
    <w:rsid w:val="2C6E32EB"/>
    <w:rsid w:val="2C6E7E5D"/>
    <w:rsid w:val="2C7072E8"/>
    <w:rsid w:val="2C71213F"/>
    <w:rsid w:val="2C7212B2"/>
    <w:rsid w:val="2C72738C"/>
    <w:rsid w:val="2C73502A"/>
    <w:rsid w:val="2C743E4F"/>
    <w:rsid w:val="2C75082E"/>
    <w:rsid w:val="2C752B50"/>
    <w:rsid w:val="2C76380F"/>
    <w:rsid w:val="2C7A78AF"/>
    <w:rsid w:val="2C7E0BEC"/>
    <w:rsid w:val="2C7E27DB"/>
    <w:rsid w:val="2C8016B6"/>
    <w:rsid w:val="2C82701B"/>
    <w:rsid w:val="2C837C28"/>
    <w:rsid w:val="2C84116D"/>
    <w:rsid w:val="2C862667"/>
    <w:rsid w:val="2C8A6AA3"/>
    <w:rsid w:val="2C8B2374"/>
    <w:rsid w:val="2C8D1BD4"/>
    <w:rsid w:val="2C8D6288"/>
    <w:rsid w:val="2C8E029E"/>
    <w:rsid w:val="2C8E1464"/>
    <w:rsid w:val="2C8E59C0"/>
    <w:rsid w:val="2C931228"/>
    <w:rsid w:val="2C953CF8"/>
    <w:rsid w:val="2C983154"/>
    <w:rsid w:val="2C98683F"/>
    <w:rsid w:val="2C9A3593"/>
    <w:rsid w:val="2C9A6D02"/>
    <w:rsid w:val="2C9B3940"/>
    <w:rsid w:val="2C9C1C42"/>
    <w:rsid w:val="2C9E3305"/>
    <w:rsid w:val="2C9E3E55"/>
    <w:rsid w:val="2CA07E85"/>
    <w:rsid w:val="2CA15416"/>
    <w:rsid w:val="2CA50CFB"/>
    <w:rsid w:val="2CA5739C"/>
    <w:rsid w:val="2CA611AE"/>
    <w:rsid w:val="2CA62D0A"/>
    <w:rsid w:val="2CA77B9B"/>
    <w:rsid w:val="2CA81728"/>
    <w:rsid w:val="2CA84F33"/>
    <w:rsid w:val="2CAA64DB"/>
    <w:rsid w:val="2CAE1A8C"/>
    <w:rsid w:val="2CAE1DFF"/>
    <w:rsid w:val="2CAE32CD"/>
    <w:rsid w:val="2CB17563"/>
    <w:rsid w:val="2CB177FA"/>
    <w:rsid w:val="2CB37840"/>
    <w:rsid w:val="2CB52F4D"/>
    <w:rsid w:val="2CB76CC5"/>
    <w:rsid w:val="2CB90C8F"/>
    <w:rsid w:val="2CBA55C3"/>
    <w:rsid w:val="2CBB79FD"/>
    <w:rsid w:val="2CBD3C8F"/>
    <w:rsid w:val="2CBE1B6A"/>
    <w:rsid w:val="2CBE71D8"/>
    <w:rsid w:val="2CBF3DCB"/>
    <w:rsid w:val="2CBF4252"/>
    <w:rsid w:val="2CC047FA"/>
    <w:rsid w:val="2CC056E2"/>
    <w:rsid w:val="2CC318CE"/>
    <w:rsid w:val="2CC37ECB"/>
    <w:rsid w:val="2CC43190"/>
    <w:rsid w:val="2CC4587F"/>
    <w:rsid w:val="2CC47634"/>
    <w:rsid w:val="2CC66F08"/>
    <w:rsid w:val="2CC77EF2"/>
    <w:rsid w:val="2CCE4B2D"/>
    <w:rsid w:val="2CCF6B82"/>
    <w:rsid w:val="2CD0422B"/>
    <w:rsid w:val="2CD24B05"/>
    <w:rsid w:val="2CD271D2"/>
    <w:rsid w:val="2CD535EF"/>
    <w:rsid w:val="2CD63D6C"/>
    <w:rsid w:val="2CD728E8"/>
    <w:rsid w:val="2CD77367"/>
    <w:rsid w:val="2CD94F5A"/>
    <w:rsid w:val="2CDA60A0"/>
    <w:rsid w:val="2CDC413C"/>
    <w:rsid w:val="2CDD4252"/>
    <w:rsid w:val="2CDE6947"/>
    <w:rsid w:val="2CDF1746"/>
    <w:rsid w:val="2CDF7FCA"/>
    <w:rsid w:val="2CE0690B"/>
    <w:rsid w:val="2CE35D0C"/>
    <w:rsid w:val="2CE42831"/>
    <w:rsid w:val="2CE455E0"/>
    <w:rsid w:val="2CE633A8"/>
    <w:rsid w:val="2CE66931"/>
    <w:rsid w:val="2CE74B9F"/>
    <w:rsid w:val="2CEA0994"/>
    <w:rsid w:val="2CEB5AA8"/>
    <w:rsid w:val="2CEB686A"/>
    <w:rsid w:val="2CEC3168"/>
    <w:rsid w:val="2CEE4C77"/>
    <w:rsid w:val="2CEF2903"/>
    <w:rsid w:val="2CF20AC9"/>
    <w:rsid w:val="2CF32058"/>
    <w:rsid w:val="2CF36F49"/>
    <w:rsid w:val="2CF41CC7"/>
    <w:rsid w:val="2CF52616"/>
    <w:rsid w:val="2CF577ED"/>
    <w:rsid w:val="2CF73998"/>
    <w:rsid w:val="2CF75FA9"/>
    <w:rsid w:val="2CF9108B"/>
    <w:rsid w:val="2CFC4A9F"/>
    <w:rsid w:val="2CFF241A"/>
    <w:rsid w:val="2D003D0C"/>
    <w:rsid w:val="2D006AE6"/>
    <w:rsid w:val="2D016192"/>
    <w:rsid w:val="2D057E10"/>
    <w:rsid w:val="2D0621F1"/>
    <w:rsid w:val="2D077C40"/>
    <w:rsid w:val="2D085772"/>
    <w:rsid w:val="2D0A14EA"/>
    <w:rsid w:val="2D0A7F39"/>
    <w:rsid w:val="2D0B05C5"/>
    <w:rsid w:val="2D0D4B37"/>
    <w:rsid w:val="2D10479D"/>
    <w:rsid w:val="2D1063D5"/>
    <w:rsid w:val="2D1265F1"/>
    <w:rsid w:val="2D1418B0"/>
    <w:rsid w:val="2D1760D1"/>
    <w:rsid w:val="2D1A5B7A"/>
    <w:rsid w:val="2D1E755B"/>
    <w:rsid w:val="2D2010F8"/>
    <w:rsid w:val="2D201D82"/>
    <w:rsid w:val="2D210E48"/>
    <w:rsid w:val="2D23435A"/>
    <w:rsid w:val="2D236108"/>
    <w:rsid w:val="2D265957"/>
    <w:rsid w:val="2D265BF9"/>
    <w:rsid w:val="2D28301E"/>
    <w:rsid w:val="2D2D14BE"/>
    <w:rsid w:val="2D2D342B"/>
    <w:rsid w:val="2D2D5DFD"/>
    <w:rsid w:val="2D2F0F51"/>
    <w:rsid w:val="2D3070C6"/>
    <w:rsid w:val="2D32357A"/>
    <w:rsid w:val="2D3346F3"/>
    <w:rsid w:val="2D34475F"/>
    <w:rsid w:val="2D346567"/>
    <w:rsid w:val="2D3544F7"/>
    <w:rsid w:val="2D364384"/>
    <w:rsid w:val="2D371BB4"/>
    <w:rsid w:val="2D376532"/>
    <w:rsid w:val="2D377FD9"/>
    <w:rsid w:val="2D3B44FE"/>
    <w:rsid w:val="2D3B5DAA"/>
    <w:rsid w:val="2D3B78F6"/>
    <w:rsid w:val="2D3E2F42"/>
    <w:rsid w:val="2D3E56E7"/>
    <w:rsid w:val="2D3E73E6"/>
    <w:rsid w:val="2D3F12C2"/>
    <w:rsid w:val="2D40315E"/>
    <w:rsid w:val="2D406B70"/>
    <w:rsid w:val="2D410C84"/>
    <w:rsid w:val="2D41586D"/>
    <w:rsid w:val="2D421F02"/>
    <w:rsid w:val="2D4253C2"/>
    <w:rsid w:val="2D444BF9"/>
    <w:rsid w:val="2D4B565F"/>
    <w:rsid w:val="2D4C0B51"/>
    <w:rsid w:val="2D4C45A1"/>
    <w:rsid w:val="2D4D7629"/>
    <w:rsid w:val="2D4E17CA"/>
    <w:rsid w:val="2D4E3908"/>
    <w:rsid w:val="2D502C75"/>
    <w:rsid w:val="2D517119"/>
    <w:rsid w:val="2D5269EE"/>
    <w:rsid w:val="2D5409B8"/>
    <w:rsid w:val="2D5452FE"/>
    <w:rsid w:val="2D546112"/>
    <w:rsid w:val="2D55022E"/>
    <w:rsid w:val="2D573875"/>
    <w:rsid w:val="2D5A5A08"/>
    <w:rsid w:val="2D5B3BDD"/>
    <w:rsid w:val="2D5B6892"/>
    <w:rsid w:val="2D5C609F"/>
    <w:rsid w:val="2D5D2A14"/>
    <w:rsid w:val="2D5F4CBB"/>
    <w:rsid w:val="2D601A06"/>
    <w:rsid w:val="2D60735C"/>
    <w:rsid w:val="2D6075F1"/>
    <w:rsid w:val="2D636E4D"/>
    <w:rsid w:val="2D643342"/>
    <w:rsid w:val="2D652D46"/>
    <w:rsid w:val="2D66755D"/>
    <w:rsid w:val="2D6906A3"/>
    <w:rsid w:val="2D6A0964"/>
    <w:rsid w:val="2D6D16A5"/>
    <w:rsid w:val="2D6D1915"/>
    <w:rsid w:val="2D6D6F51"/>
    <w:rsid w:val="2D70078C"/>
    <w:rsid w:val="2D711449"/>
    <w:rsid w:val="2D76092E"/>
    <w:rsid w:val="2D7643E8"/>
    <w:rsid w:val="2D7746A6"/>
    <w:rsid w:val="2D7A7918"/>
    <w:rsid w:val="2D7C4FB3"/>
    <w:rsid w:val="2D7D3301"/>
    <w:rsid w:val="2D825575"/>
    <w:rsid w:val="2D832FCF"/>
    <w:rsid w:val="2D833E1B"/>
    <w:rsid w:val="2D85475D"/>
    <w:rsid w:val="2D8748E9"/>
    <w:rsid w:val="2D8A3C60"/>
    <w:rsid w:val="2D8C4390"/>
    <w:rsid w:val="2D8D306A"/>
    <w:rsid w:val="2D8D3ECA"/>
    <w:rsid w:val="2D8F19F0"/>
    <w:rsid w:val="2D9139BA"/>
    <w:rsid w:val="2D922480"/>
    <w:rsid w:val="2D92328E"/>
    <w:rsid w:val="2D9278AF"/>
    <w:rsid w:val="2D9373D2"/>
    <w:rsid w:val="2D937732"/>
    <w:rsid w:val="2D956230"/>
    <w:rsid w:val="2D990AC0"/>
    <w:rsid w:val="2D997782"/>
    <w:rsid w:val="2D9A1DAD"/>
    <w:rsid w:val="2D9A5C0B"/>
    <w:rsid w:val="2D9B2143"/>
    <w:rsid w:val="2D9E7E85"/>
    <w:rsid w:val="2DA107C0"/>
    <w:rsid w:val="2DA30EA2"/>
    <w:rsid w:val="2DA3549B"/>
    <w:rsid w:val="2DA84CAA"/>
    <w:rsid w:val="2DA93D46"/>
    <w:rsid w:val="2DB0354B"/>
    <w:rsid w:val="2DB057BD"/>
    <w:rsid w:val="2DB155D6"/>
    <w:rsid w:val="2DB24274"/>
    <w:rsid w:val="2DB2500B"/>
    <w:rsid w:val="2DB30329"/>
    <w:rsid w:val="2DB31B82"/>
    <w:rsid w:val="2DB46858"/>
    <w:rsid w:val="2DB651CE"/>
    <w:rsid w:val="2DB7616C"/>
    <w:rsid w:val="2DB87198"/>
    <w:rsid w:val="2DB92FF8"/>
    <w:rsid w:val="2DBB4D01"/>
    <w:rsid w:val="2DBD030B"/>
    <w:rsid w:val="2DBD3FAC"/>
    <w:rsid w:val="2DBF665F"/>
    <w:rsid w:val="2DC0604D"/>
    <w:rsid w:val="2DC24C7F"/>
    <w:rsid w:val="2DC31699"/>
    <w:rsid w:val="2DC35C45"/>
    <w:rsid w:val="2DC53663"/>
    <w:rsid w:val="2DC723A4"/>
    <w:rsid w:val="2DC856AB"/>
    <w:rsid w:val="2DC930E8"/>
    <w:rsid w:val="2DCA68F9"/>
    <w:rsid w:val="2DCB765C"/>
    <w:rsid w:val="2DCE2518"/>
    <w:rsid w:val="2DCF1999"/>
    <w:rsid w:val="2DCF1C81"/>
    <w:rsid w:val="2DD044DC"/>
    <w:rsid w:val="2DD136C7"/>
    <w:rsid w:val="2DD15E94"/>
    <w:rsid w:val="2DD21C38"/>
    <w:rsid w:val="2DD37B2E"/>
    <w:rsid w:val="2DD45655"/>
    <w:rsid w:val="2DD85145"/>
    <w:rsid w:val="2DDA0D64"/>
    <w:rsid w:val="2DDB25FC"/>
    <w:rsid w:val="2DDB4C35"/>
    <w:rsid w:val="2DDB69E3"/>
    <w:rsid w:val="2DDD7FB8"/>
    <w:rsid w:val="2DDF5C3D"/>
    <w:rsid w:val="2DE0224B"/>
    <w:rsid w:val="2DE03FF9"/>
    <w:rsid w:val="2DE16D9D"/>
    <w:rsid w:val="2DE25FC3"/>
    <w:rsid w:val="2DE33AEA"/>
    <w:rsid w:val="2DE37014"/>
    <w:rsid w:val="2DE5153C"/>
    <w:rsid w:val="2DE62DBB"/>
    <w:rsid w:val="2DE7182C"/>
    <w:rsid w:val="2DE72646"/>
    <w:rsid w:val="2DE77219"/>
    <w:rsid w:val="2DE81100"/>
    <w:rsid w:val="2DEA131C"/>
    <w:rsid w:val="2DEA4459"/>
    <w:rsid w:val="2DEA63D1"/>
    <w:rsid w:val="2DEB754B"/>
    <w:rsid w:val="2DED6716"/>
    <w:rsid w:val="2DEE2DDA"/>
    <w:rsid w:val="2DEF06E0"/>
    <w:rsid w:val="2DF47AA5"/>
    <w:rsid w:val="2DF70699"/>
    <w:rsid w:val="2DF80288"/>
    <w:rsid w:val="2DF84C1D"/>
    <w:rsid w:val="2DFA155F"/>
    <w:rsid w:val="2DFB52D7"/>
    <w:rsid w:val="2DFC1F88"/>
    <w:rsid w:val="2DFD2DFD"/>
    <w:rsid w:val="2DFE0923"/>
    <w:rsid w:val="2E023E21"/>
    <w:rsid w:val="2E04418C"/>
    <w:rsid w:val="2E047960"/>
    <w:rsid w:val="2E057F04"/>
    <w:rsid w:val="2E061FD3"/>
    <w:rsid w:val="2E0777D8"/>
    <w:rsid w:val="2E081123"/>
    <w:rsid w:val="2E083E2E"/>
    <w:rsid w:val="2E096859"/>
    <w:rsid w:val="2E0979F4"/>
    <w:rsid w:val="2E0D26D0"/>
    <w:rsid w:val="2E0D75F2"/>
    <w:rsid w:val="2E0E6DB8"/>
    <w:rsid w:val="2E100D83"/>
    <w:rsid w:val="2E11706F"/>
    <w:rsid w:val="2E123369"/>
    <w:rsid w:val="2E1343CF"/>
    <w:rsid w:val="2E17190F"/>
    <w:rsid w:val="2E1B3283"/>
    <w:rsid w:val="2E1C7579"/>
    <w:rsid w:val="2E1D6FFC"/>
    <w:rsid w:val="2E1D72E8"/>
    <w:rsid w:val="2E1E4B22"/>
    <w:rsid w:val="2E1F2D74"/>
    <w:rsid w:val="2E2006AB"/>
    <w:rsid w:val="2E204D3E"/>
    <w:rsid w:val="2E215266"/>
    <w:rsid w:val="2E21674A"/>
    <w:rsid w:val="2E222864"/>
    <w:rsid w:val="2E233A47"/>
    <w:rsid w:val="2E262354"/>
    <w:rsid w:val="2E262979"/>
    <w:rsid w:val="2E2C36E3"/>
    <w:rsid w:val="2E2C5160"/>
    <w:rsid w:val="2E2C723F"/>
    <w:rsid w:val="2E2E2FB7"/>
    <w:rsid w:val="2E2E663C"/>
    <w:rsid w:val="2E2E771A"/>
    <w:rsid w:val="2E2F191C"/>
    <w:rsid w:val="2E2F42CE"/>
    <w:rsid w:val="2E3002C2"/>
    <w:rsid w:val="2E306C6E"/>
    <w:rsid w:val="2E330FC7"/>
    <w:rsid w:val="2E334534"/>
    <w:rsid w:val="2E366F45"/>
    <w:rsid w:val="2E3730C7"/>
    <w:rsid w:val="2E385BE3"/>
    <w:rsid w:val="2E3C1B78"/>
    <w:rsid w:val="2E3F51C4"/>
    <w:rsid w:val="2E400F3C"/>
    <w:rsid w:val="2E402CEA"/>
    <w:rsid w:val="2E425FDA"/>
    <w:rsid w:val="2E46759E"/>
    <w:rsid w:val="2E496BD0"/>
    <w:rsid w:val="2E4A068F"/>
    <w:rsid w:val="2E4A5917"/>
    <w:rsid w:val="2E4A629F"/>
    <w:rsid w:val="2E4B5422"/>
    <w:rsid w:val="2E4B7479"/>
    <w:rsid w:val="2E4B7FD3"/>
    <w:rsid w:val="2E4C739F"/>
    <w:rsid w:val="2E4F055C"/>
    <w:rsid w:val="2E514CFC"/>
    <w:rsid w:val="2E514EF7"/>
    <w:rsid w:val="2E52590E"/>
    <w:rsid w:val="2E525AC4"/>
    <w:rsid w:val="2E530AF8"/>
    <w:rsid w:val="2E536EC1"/>
    <w:rsid w:val="2E5642BC"/>
    <w:rsid w:val="2E580034"/>
    <w:rsid w:val="2E591B0D"/>
    <w:rsid w:val="2E5977D4"/>
    <w:rsid w:val="2E5A09CB"/>
    <w:rsid w:val="2E5A41FA"/>
    <w:rsid w:val="2E5A4452"/>
    <w:rsid w:val="2E5B4D1F"/>
    <w:rsid w:val="2E5B5AA6"/>
    <w:rsid w:val="2E5D1786"/>
    <w:rsid w:val="2E5E248D"/>
    <w:rsid w:val="2E5E2687"/>
    <w:rsid w:val="2E5F18DA"/>
    <w:rsid w:val="2E6115DE"/>
    <w:rsid w:val="2E61338C"/>
    <w:rsid w:val="2E613A63"/>
    <w:rsid w:val="2E624BB4"/>
    <w:rsid w:val="2E644C2A"/>
    <w:rsid w:val="2E6611AB"/>
    <w:rsid w:val="2E66321B"/>
    <w:rsid w:val="2E667F67"/>
    <w:rsid w:val="2E6749DB"/>
    <w:rsid w:val="2E690493"/>
    <w:rsid w:val="2E692241"/>
    <w:rsid w:val="2E6B1968"/>
    <w:rsid w:val="2E6B420B"/>
    <w:rsid w:val="2E6D0391"/>
    <w:rsid w:val="2E6D4943"/>
    <w:rsid w:val="2E6D6953"/>
    <w:rsid w:val="2E6F1BC9"/>
    <w:rsid w:val="2E7671A6"/>
    <w:rsid w:val="2E7763D7"/>
    <w:rsid w:val="2E776852"/>
    <w:rsid w:val="2E7A4998"/>
    <w:rsid w:val="2E7C2DE0"/>
    <w:rsid w:val="2E7D7A9A"/>
    <w:rsid w:val="2E7E26B7"/>
    <w:rsid w:val="2E7E6A6C"/>
    <w:rsid w:val="2E7F6892"/>
    <w:rsid w:val="2E7F6C60"/>
    <w:rsid w:val="2E8121D3"/>
    <w:rsid w:val="2E820A1E"/>
    <w:rsid w:val="2E8250B1"/>
    <w:rsid w:val="2E826747"/>
    <w:rsid w:val="2E84707B"/>
    <w:rsid w:val="2E860788"/>
    <w:rsid w:val="2E872F93"/>
    <w:rsid w:val="2E8A241A"/>
    <w:rsid w:val="2E8C1E2D"/>
    <w:rsid w:val="2E8D23D3"/>
    <w:rsid w:val="2E8E20FB"/>
    <w:rsid w:val="2E8E614B"/>
    <w:rsid w:val="2E8E6400"/>
    <w:rsid w:val="2E8F3097"/>
    <w:rsid w:val="2E901912"/>
    <w:rsid w:val="2E903C71"/>
    <w:rsid w:val="2E9058EA"/>
    <w:rsid w:val="2E907989"/>
    <w:rsid w:val="2E9335DF"/>
    <w:rsid w:val="2E936523"/>
    <w:rsid w:val="2E9372BE"/>
    <w:rsid w:val="2E94175C"/>
    <w:rsid w:val="2E95347B"/>
    <w:rsid w:val="2E9574DA"/>
    <w:rsid w:val="2E9751BB"/>
    <w:rsid w:val="2E976DAE"/>
    <w:rsid w:val="2E977657"/>
    <w:rsid w:val="2E980D78"/>
    <w:rsid w:val="2E981DA9"/>
    <w:rsid w:val="2E9A328C"/>
    <w:rsid w:val="2E9C7364"/>
    <w:rsid w:val="2E9D6E6A"/>
    <w:rsid w:val="2E9E47F4"/>
    <w:rsid w:val="2EA25753"/>
    <w:rsid w:val="2EA43279"/>
    <w:rsid w:val="2EA63495"/>
    <w:rsid w:val="2EA94D33"/>
    <w:rsid w:val="2EAB0AAB"/>
    <w:rsid w:val="2EB061C8"/>
    <w:rsid w:val="2EB21E3A"/>
    <w:rsid w:val="2EB71E9F"/>
    <w:rsid w:val="2EB86815"/>
    <w:rsid w:val="2EB9692B"/>
    <w:rsid w:val="2EBA0CEE"/>
    <w:rsid w:val="2EBA15B9"/>
    <w:rsid w:val="2EC059BA"/>
    <w:rsid w:val="2EC05B23"/>
    <w:rsid w:val="2EC61121"/>
    <w:rsid w:val="2EC6283E"/>
    <w:rsid w:val="2EC70374"/>
    <w:rsid w:val="2EC87483"/>
    <w:rsid w:val="2ECA6A55"/>
    <w:rsid w:val="2ECB4618"/>
    <w:rsid w:val="2ECC3FD3"/>
    <w:rsid w:val="2ECD27D0"/>
    <w:rsid w:val="2ECD78F2"/>
    <w:rsid w:val="2ECE662B"/>
    <w:rsid w:val="2ECF311B"/>
    <w:rsid w:val="2ECF3660"/>
    <w:rsid w:val="2ECF5146"/>
    <w:rsid w:val="2ED008D2"/>
    <w:rsid w:val="2ED1017B"/>
    <w:rsid w:val="2ED260D7"/>
    <w:rsid w:val="2ED303B5"/>
    <w:rsid w:val="2ED34BCB"/>
    <w:rsid w:val="2ED7364E"/>
    <w:rsid w:val="2ED80DDA"/>
    <w:rsid w:val="2ED818F8"/>
    <w:rsid w:val="2ED973C6"/>
    <w:rsid w:val="2ED975A3"/>
    <w:rsid w:val="2EDA313F"/>
    <w:rsid w:val="2EDB303F"/>
    <w:rsid w:val="2EDB46CB"/>
    <w:rsid w:val="2EDC6EB7"/>
    <w:rsid w:val="2EDE14B8"/>
    <w:rsid w:val="2EDE385A"/>
    <w:rsid w:val="2EDE51E3"/>
    <w:rsid w:val="2EDF0755"/>
    <w:rsid w:val="2EDF2503"/>
    <w:rsid w:val="2EDF2FF3"/>
    <w:rsid w:val="2EDF7FDA"/>
    <w:rsid w:val="2EE01BB5"/>
    <w:rsid w:val="2EE10029"/>
    <w:rsid w:val="2EE43FBD"/>
    <w:rsid w:val="2EE50403"/>
    <w:rsid w:val="2EE55832"/>
    <w:rsid w:val="2EE61893"/>
    <w:rsid w:val="2EE61AE3"/>
    <w:rsid w:val="2EE753F6"/>
    <w:rsid w:val="2EE77A92"/>
    <w:rsid w:val="2EE91D37"/>
    <w:rsid w:val="2EE94293"/>
    <w:rsid w:val="2EEA15D4"/>
    <w:rsid w:val="2EEA2556"/>
    <w:rsid w:val="2EEA3E19"/>
    <w:rsid w:val="2EEB3529"/>
    <w:rsid w:val="2EEE196B"/>
    <w:rsid w:val="2EEE2BF6"/>
    <w:rsid w:val="2EEE7427"/>
    <w:rsid w:val="2EEF5152"/>
    <w:rsid w:val="2EF040C8"/>
    <w:rsid w:val="2EF04710"/>
    <w:rsid w:val="2EF266DA"/>
    <w:rsid w:val="2EF30A9F"/>
    <w:rsid w:val="2EF34B84"/>
    <w:rsid w:val="2EF44546"/>
    <w:rsid w:val="2EF509CA"/>
    <w:rsid w:val="2EF637C3"/>
    <w:rsid w:val="2EFF2A80"/>
    <w:rsid w:val="2F0106CB"/>
    <w:rsid w:val="2F0121E9"/>
    <w:rsid w:val="2F025174"/>
    <w:rsid w:val="2F0279DA"/>
    <w:rsid w:val="2F0361F1"/>
    <w:rsid w:val="2F045D38"/>
    <w:rsid w:val="2F0A31C9"/>
    <w:rsid w:val="2F0B60C1"/>
    <w:rsid w:val="2F0B68FA"/>
    <w:rsid w:val="2F0C48B9"/>
    <w:rsid w:val="2F0D7070"/>
    <w:rsid w:val="2F0E550F"/>
    <w:rsid w:val="2F0F2DE8"/>
    <w:rsid w:val="2F0F6197"/>
    <w:rsid w:val="2F10090E"/>
    <w:rsid w:val="2F103DF9"/>
    <w:rsid w:val="2F11484F"/>
    <w:rsid w:val="2F1228D8"/>
    <w:rsid w:val="2F141322"/>
    <w:rsid w:val="2F183292"/>
    <w:rsid w:val="2F1A353B"/>
    <w:rsid w:val="2F2052B1"/>
    <w:rsid w:val="2F210D6D"/>
    <w:rsid w:val="2F212237"/>
    <w:rsid w:val="2F212B1B"/>
    <w:rsid w:val="2F241835"/>
    <w:rsid w:val="2F2443BA"/>
    <w:rsid w:val="2F264155"/>
    <w:rsid w:val="2F264CBE"/>
    <w:rsid w:val="2F266384"/>
    <w:rsid w:val="2F26688E"/>
    <w:rsid w:val="2F2820FC"/>
    <w:rsid w:val="2F283402"/>
    <w:rsid w:val="2F2A29E2"/>
    <w:rsid w:val="2F2A7C22"/>
    <w:rsid w:val="2F2B2197"/>
    <w:rsid w:val="2F2B5748"/>
    <w:rsid w:val="2F2D7712"/>
    <w:rsid w:val="2F2E028B"/>
    <w:rsid w:val="2F2F048D"/>
    <w:rsid w:val="2F3314F6"/>
    <w:rsid w:val="2F3426E9"/>
    <w:rsid w:val="2F3446AB"/>
    <w:rsid w:val="2F3575A9"/>
    <w:rsid w:val="2F362834"/>
    <w:rsid w:val="2F363C4A"/>
    <w:rsid w:val="2F364819"/>
    <w:rsid w:val="2F364FCD"/>
    <w:rsid w:val="2F370591"/>
    <w:rsid w:val="2F3740ED"/>
    <w:rsid w:val="2F387745"/>
    <w:rsid w:val="2F394A87"/>
    <w:rsid w:val="2F394C9E"/>
    <w:rsid w:val="2F3A26BF"/>
    <w:rsid w:val="2F3B2A6E"/>
    <w:rsid w:val="2F3C5824"/>
    <w:rsid w:val="2F3C6DC2"/>
    <w:rsid w:val="2F3C7955"/>
    <w:rsid w:val="2F414F6C"/>
    <w:rsid w:val="2F43624E"/>
    <w:rsid w:val="2F4365E1"/>
    <w:rsid w:val="2F452CAE"/>
    <w:rsid w:val="2F45558E"/>
    <w:rsid w:val="2F494A03"/>
    <w:rsid w:val="2F4B5DEA"/>
    <w:rsid w:val="2F4E112C"/>
    <w:rsid w:val="2F511653"/>
    <w:rsid w:val="2F520713"/>
    <w:rsid w:val="2F520F27"/>
    <w:rsid w:val="2F5226C6"/>
    <w:rsid w:val="2F527179"/>
    <w:rsid w:val="2F53777A"/>
    <w:rsid w:val="2F546A4D"/>
    <w:rsid w:val="2F570B40"/>
    <w:rsid w:val="2F590507"/>
    <w:rsid w:val="2F5B549F"/>
    <w:rsid w:val="2F5C1DA5"/>
    <w:rsid w:val="2F5C3B54"/>
    <w:rsid w:val="2F5C5507"/>
    <w:rsid w:val="2F5C5965"/>
    <w:rsid w:val="2F5C7FF7"/>
    <w:rsid w:val="2F5E63C1"/>
    <w:rsid w:val="2F60503D"/>
    <w:rsid w:val="2F614070"/>
    <w:rsid w:val="2F61560E"/>
    <w:rsid w:val="2F633FA7"/>
    <w:rsid w:val="2F6501FB"/>
    <w:rsid w:val="2F655284"/>
    <w:rsid w:val="2F67061E"/>
    <w:rsid w:val="2F671976"/>
    <w:rsid w:val="2F671CE5"/>
    <w:rsid w:val="2F6A3B3F"/>
    <w:rsid w:val="2F6B4B51"/>
    <w:rsid w:val="2F6C2B59"/>
    <w:rsid w:val="2F6D5D61"/>
    <w:rsid w:val="2F6E69CB"/>
    <w:rsid w:val="2F6F01FC"/>
    <w:rsid w:val="2F6F7D2B"/>
    <w:rsid w:val="2F705E45"/>
    <w:rsid w:val="2F793447"/>
    <w:rsid w:val="2F7B222C"/>
    <w:rsid w:val="2F7B66D0"/>
    <w:rsid w:val="2F7C1421"/>
    <w:rsid w:val="2F7C651B"/>
    <w:rsid w:val="2F807842"/>
    <w:rsid w:val="2F827A5E"/>
    <w:rsid w:val="2F83220D"/>
    <w:rsid w:val="2F8419F8"/>
    <w:rsid w:val="2F846AE9"/>
    <w:rsid w:val="2F850ADD"/>
    <w:rsid w:val="2F862062"/>
    <w:rsid w:val="2F875DDB"/>
    <w:rsid w:val="2F893CAE"/>
    <w:rsid w:val="2F897353"/>
    <w:rsid w:val="2F897553"/>
    <w:rsid w:val="2F8A6464"/>
    <w:rsid w:val="2F8C48FA"/>
    <w:rsid w:val="2F8C7507"/>
    <w:rsid w:val="2F8D29E4"/>
    <w:rsid w:val="2F8F5CD7"/>
    <w:rsid w:val="2F8F6204"/>
    <w:rsid w:val="2F963C02"/>
    <w:rsid w:val="2F984DE7"/>
    <w:rsid w:val="2F996B56"/>
    <w:rsid w:val="2F9A6713"/>
    <w:rsid w:val="2F9E416C"/>
    <w:rsid w:val="2FA01C92"/>
    <w:rsid w:val="2FA07EE4"/>
    <w:rsid w:val="2FA23C5C"/>
    <w:rsid w:val="2FA43801"/>
    <w:rsid w:val="2FA554FB"/>
    <w:rsid w:val="2FA57C88"/>
    <w:rsid w:val="2FA60D19"/>
    <w:rsid w:val="2FA66A7B"/>
    <w:rsid w:val="2FA72ADC"/>
    <w:rsid w:val="2FA7493F"/>
    <w:rsid w:val="2FA85820"/>
    <w:rsid w:val="2FA972FC"/>
    <w:rsid w:val="2FAA0D63"/>
    <w:rsid w:val="2FAA1E44"/>
    <w:rsid w:val="2FAA688C"/>
    <w:rsid w:val="2FAC28ED"/>
    <w:rsid w:val="2FAC6889"/>
    <w:rsid w:val="2FAD0853"/>
    <w:rsid w:val="2FAD3C4C"/>
    <w:rsid w:val="2FAD754E"/>
    <w:rsid w:val="2FAF2599"/>
    <w:rsid w:val="2FAF408F"/>
    <w:rsid w:val="2FAF4B96"/>
    <w:rsid w:val="2FB034F5"/>
    <w:rsid w:val="2FB219C5"/>
    <w:rsid w:val="2FB6079E"/>
    <w:rsid w:val="2FB61497"/>
    <w:rsid w:val="2FB614B6"/>
    <w:rsid w:val="2FB93C3E"/>
    <w:rsid w:val="2FBA2097"/>
    <w:rsid w:val="2FBA2E31"/>
    <w:rsid w:val="2FBA3998"/>
    <w:rsid w:val="2FBB2091"/>
    <w:rsid w:val="2FBC2844"/>
    <w:rsid w:val="2FBC3872"/>
    <w:rsid w:val="2FBD4A1A"/>
    <w:rsid w:val="2FBF30CA"/>
    <w:rsid w:val="2FBF64CE"/>
    <w:rsid w:val="2FC0496B"/>
    <w:rsid w:val="2FC10C66"/>
    <w:rsid w:val="2FC17E5A"/>
    <w:rsid w:val="2FC31E25"/>
    <w:rsid w:val="2FC75471"/>
    <w:rsid w:val="2FCC0CD9"/>
    <w:rsid w:val="2FCD1DB8"/>
    <w:rsid w:val="2FCD6A10"/>
    <w:rsid w:val="2FCE4836"/>
    <w:rsid w:val="2FCF2577"/>
    <w:rsid w:val="2FCF67F2"/>
    <w:rsid w:val="2FD55C7F"/>
    <w:rsid w:val="2FD60EEB"/>
    <w:rsid w:val="2FD667BA"/>
    <w:rsid w:val="2FD71C06"/>
    <w:rsid w:val="2FD91648"/>
    <w:rsid w:val="2FDA31FA"/>
    <w:rsid w:val="2FDB2CCA"/>
    <w:rsid w:val="2FDB7A73"/>
    <w:rsid w:val="2FDD4C94"/>
    <w:rsid w:val="2FDD4EC8"/>
    <w:rsid w:val="2FDE1EA5"/>
    <w:rsid w:val="2FDE2163"/>
    <w:rsid w:val="2FDF668E"/>
    <w:rsid w:val="2FE029D7"/>
    <w:rsid w:val="2FE16210"/>
    <w:rsid w:val="2FE34275"/>
    <w:rsid w:val="2FE53B49"/>
    <w:rsid w:val="2FE57FED"/>
    <w:rsid w:val="2FE60914"/>
    <w:rsid w:val="2FE72A13"/>
    <w:rsid w:val="2FE76BA0"/>
    <w:rsid w:val="2FE87CD4"/>
    <w:rsid w:val="2FEA099D"/>
    <w:rsid w:val="2FEA1011"/>
    <w:rsid w:val="2FEA115F"/>
    <w:rsid w:val="2FEA3D1F"/>
    <w:rsid w:val="2FEA5603"/>
    <w:rsid w:val="2FEB19CF"/>
    <w:rsid w:val="2FEC137B"/>
    <w:rsid w:val="2FF26266"/>
    <w:rsid w:val="2FF31DB3"/>
    <w:rsid w:val="2FF40230"/>
    <w:rsid w:val="2FF629D2"/>
    <w:rsid w:val="2FF62A84"/>
    <w:rsid w:val="2FF7387C"/>
    <w:rsid w:val="2FF92384"/>
    <w:rsid w:val="2FFF61F5"/>
    <w:rsid w:val="30007590"/>
    <w:rsid w:val="30025F37"/>
    <w:rsid w:val="300264A9"/>
    <w:rsid w:val="30036294"/>
    <w:rsid w:val="300541EB"/>
    <w:rsid w:val="30054C8E"/>
    <w:rsid w:val="3006055A"/>
    <w:rsid w:val="30063B76"/>
    <w:rsid w:val="3008511A"/>
    <w:rsid w:val="30102A86"/>
    <w:rsid w:val="301602B3"/>
    <w:rsid w:val="30182718"/>
    <w:rsid w:val="3019196B"/>
    <w:rsid w:val="30195D8F"/>
    <w:rsid w:val="301B7CFD"/>
    <w:rsid w:val="301C47C1"/>
    <w:rsid w:val="301D1345"/>
    <w:rsid w:val="301E14CD"/>
    <w:rsid w:val="301E4594"/>
    <w:rsid w:val="301F52AD"/>
    <w:rsid w:val="302063B0"/>
    <w:rsid w:val="30224D9D"/>
    <w:rsid w:val="30231207"/>
    <w:rsid w:val="30234671"/>
    <w:rsid w:val="302723B3"/>
    <w:rsid w:val="30282D2D"/>
    <w:rsid w:val="30297DFA"/>
    <w:rsid w:val="302A3C52"/>
    <w:rsid w:val="302C03EF"/>
    <w:rsid w:val="302C1778"/>
    <w:rsid w:val="302C73FE"/>
    <w:rsid w:val="302E2470"/>
    <w:rsid w:val="302F17A2"/>
    <w:rsid w:val="30321033"/>
    <w:rsid w:val="30332B06"/>
    <w:rsid w:val="30335B33"/>
    <w:rsid w:val="30340D22"/>
    <w:rsid w:val="30343D19"/>
    <w:rsid w:val="30345725"/>
    <w:rsid w:val="30352539"/>
    <w:rsid w:val="3037780B"/>
    <w:rsid w:val="30385EC4"/>
    <w:rsid w:val="303960D5"/>
    <w:rsid w:val="303A20E7"/>
    <w:rsid w:val="303C4F32"/>
    <w:rsid w:val="303D6C05"/>
    <w:rsid w:val="303F4207"/>
    <w:rsid w:val="30446CA3"/>
    <w:rsid w:val="30450A8C"/>
    <w:rsid w:val="3045283A"/>
    <w:rsid w:val="304545E8"/>
    <w:rsid w:val="30455DB9"/>
    <w:rsid w:val="3046098A"/>
    <w:rsid w:val="3049057C"/>
    <w:rsid w:val="304A6796"/>
    <w:rsid w:val="304A7E50"/>
    <w:rsid w:val="304B42F4"/>
    <w:rsid w:val="304F6181"/>
    <w:rsid w:val="304F76D1"/>
    <w:rsid w:val="3050190A"/>
    <w:rsid w:val="30515682"/>
    <w:rsid w:val="3052452A"/>
    <w:rsid w:val="30531916"/>
    <w:rsid w:val="30542A7D"/>
    <w:rsid w:val="30544CD1"/>
    <w:rsid w:val="305667F5"/>
    <w:rsid w:val="30580361"/>
    <w:rsid w:val="305A0C6C"/>
    <w:rsid w:val="305A2215"/>
    <w:rsid w:val="305A4537"/>
    <w:rsid w:val="305D2063"/>
    <w:rsid w:val="305D2219"/>
    <w:rsid w:val="305D5DD5"/>
    <w:rsid w:val="305F7D9F"/>
    <w:rsid w:val="30620BA0"/>
    <w:rsid w:val="30625A07"/>
    <w:rsid w:val="30637A5C"/>
    <w:rsid w:val="306453B6"/>
    <w:rsid w:val="30676C54"/>
    <w:rsid w:val="30677CAD"/>
    <w:rsid w:val="30694209"/>
    <w:rsid w:val="306A43A2"/>
    <w:rsid w:val="306B04F2"/>
    <w:rsid w:val="306B49F6"/>
    <w:rsid w:val="306C3C49"/>
    <w:rsid w:val="306C426A"/>
    <w:rsid w:val="306D0925"/>
    <w:rsid w:val="306F78B6"/>
    <w:rsid w:val="30711881"/>
    <w:rsid w:val="30711FD2"/>
    <w:rsid w:val="30724DD6"/>
    <w:rsid w:val="3073354B"/>
    <w:rsid w:val="307373A7"/>
    <w:rsid w:val="307419CD"/>
    <w:rsid w:val="30744F03"/>
    <w:rsid w:val="30751371"/>
    <w:rsid w:val="307809F1"/>
    <w:rsid w:val="307849BD"/>
    <w:rsid w:val="307A0735"/>
    <w:rsid w:val="307A2A44"/>
    <w:rsid w:val="307A6987"/>
    <w:rsid w:val="307D6DD7"/>
    <w:rsid w:val="30803872"/>
    <w:rsid w:val="308275EA"/>
    <w:rsid w:val="30837B65"/>
    <w:rsid w:val="30847806"/>
    <w:rsid w:val="30852370"/>
    <w:rsid w:val="308570DA"/>
    <w:rsid w:val="308710A4"/>
    <w:rsid w:val="3087381B"/>
    <w:rsid w:val="30900505"/>
    <w:rsid w:val="30907F59"/>
    <w:rsid w:val="30913CD1"/>
    <w:rsid w:val="309252D4"/>
    <w:rsid w:val="309335A5"/>
    <w:rsid w:val="3095731D"/>
    <w:rsid w:val="3096205C"/>
    <w:rsid w:val="30963095"/>
    <w:rsid w:val="3099554A"/>
    <w:rsid w:val="309A6C6E"/>
    <w:rsid w:val="309C1A81"/>
    <w:rsid w:val="309C4B4F"/>
    <w:rsid w:val="309D2676"/>
    <w:rsid w:val="309F3DF3"/>
    <w:rsid w:val="309F63EE"/>
    <w:rsid w:val="30A01D57"/>
    <w:rsid w:val="30A413A6"/>
    <w:rsid w:val="30A95775"/>
    <w:rsid w:val="30B163EB"/>
    <w:rsid w:val="30B24E3A"/>
    <w:rsid w:val="30B34411"/>
    <w:rsid w:val="30B359F5"/>
    <w:rsid w:val="30B416AE"/>
    <w:rsid w:val="30B57CC4"/>
    <w:rsid w:val="30B8012A"/>
    <w:rsid w:val="30B8300C"/>
    <w:rsid w:val="30B86334"/>
    <w:rsid w:val="30BD0B2D"/>
    <w:rsid w:val="30BD496A"/>
    <w:rsid w:val="30BD4AC6"/>
    <w:rsid w:val="30BF0D58"/>
    <w:rsid w:val="30BF25EC"/>
    <w:rsid w:val="30C10112"/>
    <w:rsid w:val="30C4295E"/>
    <w:rsid w:val="30C61622"/>
    <w:rsid w:val="30C65728"/>
    <w:rsid w:val="30CC4D09"/>
    <w:rsid w:val="30CC6AB7"/>
    <w:rsid w:val="30D009A6"/>
    <w:rsid w:val="30D024C9"/>
    <w:rsid w:val="30D27F5C"/>
    <w:rsid w:val="30D31EF8"/>
    <w:rsid w:val="30D36097"/>
    <w:rsid w:val="30D500E1"/>
    <w:rsid w:val="30D65CF6"/>
    <w:rsid w:val="30DA02F7"/>
    <w:rsid w:val="30DC4F4C"/>
    <w:rsid w:val="30DD3FAE"/>
    <w:rsid w:val="30DD6467"/>
    <w:rsid w:val="30DE1032"/>
    <w:rsid w:val="30DF0053"/>
    <w:rsid w:val="30E06C3C"/>
    <w:rsid w:val="30E20088"/>
    <w:rsid w:val="30E54FE6"/>
    <w:rsid w:val="30E56588"/>
    <w:rsid w:val="30E66A06"/>
    <w:rsid w:val="30E67B79"/>
    <w:rsid w:val="30E738F1"/>
    <w:rsid w:val="30E83FF1"/>
    <w:rsid w:val="30E90E7B"/>
    <w:rsid w:val="30E956CA"/>
    <w:rsid w:val="30E97ADA"/>
    <w:rsid w:val="30EB165E"/>
    <w:rsid w:val="30EB564F"/>
    <w:rsid w:val="30EC7582"/>
    <w:rsid w:val="30ED5299"/>
    <w:rsid w:val="30ED7159"/>
    <w:rsid w:val="30EE1123"/>
    <w:rsid w:val="30F304E8"/>
    <w:rsid w:val="30F46739"/>
    <w:rsid w:val="30F6259A"/>
    <w:rsid w:val="30FA4CED"/>
    <w:rsid w:val="30FB25C8"/>
    <w:rsid w:val="30FD1F65"/>
    <w:rsid w:val="30FE70F0"/>
    <w:rsid w:val="30FE73E0"/>
    <w:rsid w:val="30FF24E8"/>
    <w:rsid w:val="3105077E"/>
    <w:rsid w:val="310944F3"/>
    <w:rsid w:val="310B3A83"/>
    <w:rsid w:val="310C376E"/>
    <w:rsid w:val="310D15A9"/>
    <w:rsid w:val="31107375"/>
    <w:rsid w:val="311521D3"/>
    <w:rsid w:val="31153BD8"/>
    <w:rsid w:val="3115477E"/>
    <w:rsid w:val="31171306"/>
    <w:rsid w:val="31185880"/>
    <w:rsid w:val="311B012D"/>
    <w:rsid w:val="311C160E"/>
    <w:rsid w:val="311F5076"/>
    <w:rsid w:val="311F6719"/>
    <w:rsid w:val="31210D22"/>
    <w:rsid w:val="31216E03"/>
    <w:rsid w:val="312238C0"/>
    <w:rsid w:val="312312C2"/>
    <w:rsid w:val="31270333"/>
    <w:rsid w:val="31280191"/>
    <w:rsid w:val="312811AB"/>
    <w:rsid w:val="312843E6"/>
    <w:rsid w:val="31284A75"/>
    <w:rsid w:val="31286700"/>
    <w:rsid w:val="31293F09"/>
    <w:rsid w:val="312963BF"/>
    <w:rsid w:val="31297D1B"/>
    <w:rsid w:val="312A215B"/>
    <w:rsid w:val="312C3C9C"/>
    <w:rsid w:val="312D57A8"/>
    <w:rsid w:val="312E1520"/>
    <w:rsid w:val="31305298"/>
    <w:rsid w:val="31320090"/>
    <w:rsid w:val="31321010"/>
    <w:rsid w:val="31326337"/>
    <w:rsid w:val="31335454"/>
    <w:rsid w:val="31342FDA"/>
    <w:rsid w:val="313647EB"/>
    <w:rsid w:val="313661D4"/>
    <w:rsid w:val="31372FC8"/>
    <w:rsid w:val="31384310"/>
    <w:rsid w:val="31390D99"/>
    <w:rsid w:val="313A6116"/>
    <w:rsid w:val="313B4368"/>
    <w:rsid w:val="313C4787"/>
    <w:rsid w:val="314049D6"/>
    <w:rsid w:val="31414A8F"/>
    <w:rsid w:val="3143321D"/>
    <w:rsid w:val="31436901"/>
    <w:rsid w:val="31436C0A"/>
    <w:rsid w:val="31440D43"/>
    <w:rsid w:val="31466869"/>
    <w:rsid w:val="31466AED"/>
    <w:rsid w:val="314671C3"/>
    <w:rsid w:val="3146720F"/>
    <w:rsid w:val="31480833"/>
    <w:rsid w:val="314956F5"/>
    <w:rsid w:val="314B20D2"/>
    <w:rsid w:val="314B6E77"/>
    <w:rsid w:val="314D5E4A"/>
    <w:rsid w:val="314E571E"/>
    <w:rsid w:val="314F750B"/>
    <w:rsid w:val="31513338"/>
    <w:rsid w:val="31541D0B"/>
    <w:rsid w:val="31552F50"/>
    <w:rsid w:val="31591BD6"/>
    <w:rsid w:val="31592A40"/>
    <w:rsid w:val="315947EF"/>
    <w:rsid w:val="3159659D"/>
    <w:rsid w:val="315A0567"/>
    <w:rsid w:val="315A2315"/>
    <w:rsid w:val="315D0A78"/>
    <w:rsid w:val="315D675B"/>
    <w:rsid w:val="315F16D9"/>
    <w:rsid w:val="316136A3"/>
    <w:rsid w:val="316157B6"/>
    <w:rsid w:val="31624104"/>
    <w:rsid w:val="316244E8"/>
    <w:rsid w:val="31625430"/>
    <w:rsid w:val="31627E2E"/>
    <w:rsid w:val="3163199F"/>
    <w:rsid w:val="31637C35"/>
    <w:rsid w:val="31655A89"/>
    <w:rsid w:val="31673D67"/>
    <w:rsid w:val="3168639F"/>
    <w:rsid w:val="31692558"/>
    <w:rsid w:val="316A2349"/>
    <w:rsid w:val="316B45F9"/>
    <w:rsid w:val="316E0AD0"/>
    <w:rsid w:val="316F1F57"/>
    <w:rsid w:val="316F36A1"/>
    <w:rsid w:val="3171695A"/>
    <w:rsid w:val="31745184"/>
    <w:rsid w:val="31771119"/>
    <w:rsid w:val="31772101"/>
    <w:rsid w:val="31794E91"/>
    <w:rsid w:val="317A6C19"/>
    <w:rsid w:val="317B5F48"/>
    <w:rsid w:val="317B6D18"/>
    <w:rsid w:val="317C445A"/>
    <w:rsid w:val="317D0713"/>
    <w:rsid w:val="317D1B9C"/>
    <w:rsid w:val="317D7134"/>
    <w:rsid w:val="317E4255"/>
    <w:rsid w:val="317E5C59"/>
    <w:rsid w:val="317F5811"/>
    <w:rsid w:val="31800DCC"/>
    <w:rsid w:val="31807FCD"/>
    <w:rsid w:val="3186310A"/>
    <w:rsid w:val="31864898"/>
    <w:rsid w:val="31866D56"/>
    <w:rsid w:val="318A1042"/>
    <w:rsid w:val="318A7BF2"/>
    <w:rsid w:val="318B26F6"/>
    <w:rsid w:val="318B6C1C"/>
    <w:rsid w:val="318D26EA"/>
    <w:rsid w:val="318D7E61"/>
    <w:rsid w:val="318E2CF5"/>
    <w:rsid w:val="31903F88"/>
    <w:rsid w:val="3190509A"/>
    <w:rsid w:val="31905E79"/>
    <w:rsid w:val="319115AB"/>
    <w:rsid w:val="31922437"/>
    <w:rsid w:val="3192385D"/>
    <w:rsid w:val="319475D5"/>
    <w:rsid w:val="319771AD"/>
    <w:rsid w:val="31993CE5"/>
    <w:rsid w:val="31994BEB"/>
    <w:rsid w:val="319B1821"/>
    <w:rsid w:val="319E2731"/>
    <w:rsid w:val="319E65FF"/>
    <w:rsid w:val="319E78C7"/>
    <w:rsid w:val="319F0454"/>
    <w:rsid w:val="31A12E98"/>
    <w:rsid w:val="31A31F0E"/>
    <w:rsid w:val="31A51BF1"/>
    <w:rsid w:val="31A57F83"/>
    <w:rsid w:val="31A65BBC"/>
    <w:rsid w:val="31A71BB0"/>
    <w:rsid w:val="31A84EB5"/>
    <w:rsid w:val="31A87135"/>
    <w:rsid w:val="31A97555"/>
    <w:rsid w:val="31AA4EB9"/>
    <w:rsid w:val="31AD0696"/>
    <w:rsid w:val="31AD68E8"/>
    <w:rsid w:val="31AE76A3"/>
    <w:rsid w:val="31AF08B2"/>
    <w:rsid w:val="31B55D74"/>
    <w:rsid w:val="31B870CA"/>
    <w:rsid w:val="31B90F57"/>
    <w:rsid w:val="31B93075"/>
    <w:rsid w:val="31B93756"/>
    <w:rsid w:val="31B97C29"/>
    <w:rsid w:val="31BE7228"/>
    <w:rsid w:val="31C12CBD"/>
    <w:rsid w:val="31C13C58"/>
    <w:rsid w:val="31C13F03"/>
    <w:rsid w:val="31C140A1"/>
    <w:rsid w:val="31C224E3"/>
    <w:rsid w:val="31C3610C"/>
    <w:rsid w:val="31C43F6A"/>
    <w:rsid w:val="31C47748"/>
    <w:rsid w:val="31C559E0"/>
    <w:rsid w:val="31C678DA"/>
    <w:rsid w:val="31C75B74"/>
    <w:rsid w:val="31C773BE"/>
    <w:rsid w:val="31C82E1B"/>
    <w:rsid w:val="31C8630E"/>
    <w:rsid w:val="31C92D5A"/>
    <w:rsid w:val="31CA5F34"/>
    <w:rsid w:val="31CB532E"/>
    <w:rsid w:val="31D02A3D"/>
    <w:rsid w:val="31D112FC"/>
    <w:rsid w:val="31D13818"/>
    <w:rsid w:val="31D143D5"/>
    <w:rsid w:val="31D245A1"/>
    <w:rsid w:val="31D4377F"/>
    <w:rsid w:val="31D9592F"/>
    <w:rsid w:val="31DA541C"/>
    <w:rsid w:val="31DD5420"/>
    <w:rsid w:val="31DD6918"/>
    <w:rsid w:val="31E00A6C"/>
    <w:rsid w:val="31E0281A"/>
    <w:rsid w:val="31E06CBE"/>
    <w:rsid w:val="31E10F22"/>
    <w:rsid w:val="31E16592"/>
    <w:rsid w:val="31E22A36"/>
    <w:rsid w:val="31E247E4"/>
    <w:rsid w:val="31E25859"/>
    <w:rsid w:val="31E3055C"/>
    <w:rsid w:val="31E3230A"/>
    <w:rsid w:val="31E4216D"/>
    <w:rsid w:val="31E47910"/>
    <w:rsid w:val="31E54F45"/>
    <w:rsid w:val="31E613F8"/>
    <w:rsid w:val="31E65FBC"/>
    <w:rsid w:val="31E75CF0"/>
    <w:rsid w:val="31EB0437"/>
    <w:rsid w:val="31EC73C3"/>
    <w:rsid w:val="31ED3189"/>
    <w:rsid w:val="31ED7FEA"/>
    <w:rsid w:val="31EE2108"/>
    <w:rsid w:val="31EE6258"/>
    <w:rsid w:val="31EF5153"/>
    <w:rsid w:val="31F247BE"/>
    <w:rsid w:val="31F613E5"/>
    <w:rsid w:val="31F64758"/>
    <w:rsid w:val="31F97D80"/>
    <w:rsid w:val="31FA3BD1"/>
    <w:rsid w:val="31FB7654"/>
    <w:rsid w:val="31FC517A"/>
    <w:rsid w:val="31FE7144"/>
    <w:rsid w:val="320077FC"/>
    <w:rsid w:val="3201186B"/>
    <w:rsid w:val="32015E52"/>
    <w:rsid w:val="320504D2"/>
    <w:rsid w:val="320515F0"/>
    <w:rsid w:val="32054110"/>
    <w:rsid w:val="320660C7"/>
    <w:rsid w:val="32081065"/>
    <w:rsid w:val="32087866"/>
    <w:rsid w:val="32096215"/>
    <w:rsid w:val="320C0D57"/>
    <w:rsid w:val="320D5CE5"/>
    <w:rsid w:val="320E29DF"/>
    <w:rsid w:val="320E7CBC"/>
    <w:rsid w:val="32105521"/>
    <w:rsid w:val="321149C8"/>
    <w:rsid w:val="321150C9"/>
    <w:rsid w:val="32126C92"/>
    <w:rsid w:val="3213317E"/>
    <w:rsid w:val="32172601"/>
    <w:rsid w:val="32192170"/>
    <w:rsid w:val="321921D0"/>
    <w:rsid w:val="32193F7E"/>
    <w:rsid w:val="321D4EFD"/>
    <w:rsid w:val="32202915"/>
    <w:rsid w:val="3220530C"/>
    <w:rsid w:val="322070BA"/>
    <w:rsid w:val="32217D55"/>
    <w:rsid w:val="32230959"/>
    <w:rsid w:val="3224240A"/>
    <w:rsid w:val="32250B75"/>
    <w:rsid w:val="322512EF"/>
    <w:rsid w:val="322546D1"/>
    <w:rsid w:val="322572D0"/>
    <w:rsid w:val="3227669B"/>
    <w:rsid w:val="322841C1"/>
    <w:rsid w:val="322A1CE7"/>
    <w:rsid w:val="322C3397"/>
    <w:rsid w:val="322F554F"/>
    <w:rsid w:val="32313075"/>
    <w:rsid w:val="32326167"/>
    <w:rsid w:val="32326DEE"/>
    <w:rsid w:val="32333124"/>
    <w:rsid w:val="32337D41"/>
    <w:rsid w:val="32340B71"/>
    <w:rsid w:val="32357A85"/>
    <w:rsid w:val="32364B30"/>
    <w:rsid w:val="323808A8"/>
    <w:rsid w:val="32383E2B"/>
    <w:rsid w:val="32384404"/>
    <w:rsid w:val="323B5CA2"/>
    <w:rsid w:val="323E0363"/>
    <w:rsid w:val="323E570F"/>
    <w:rsid w:val="324234D5"/>
    <w:rsid w:val="324419CA"/>
    <w:rsid w:val="3247623F"/>
    <w:rsid w:val="324907BC"/>
    <w:rsid w:val="324A4137"/>
    <w:rsid w:val="324B54F3"/>
    <w:rsid w:val="324C3242"/>
    <w:rsid w:val="324C4A75"/>
    <w:rsid w:val="324C6101"/>
    <w:rsid w:val="324F174E"/>
    <w:rsid w:val="324F3A5A"/>
    <w:rsid w:val="3250281F"/>
    <w:rsid w:val="3253123E"/>
    <w:rsid w:val="32537B48"/>
    <w:rsid w:val="3255145A"/>
    <w:rsid w:val="325517CD"/>
    <w:rsid w:val="32555EB0"/>
    <w:rsid w:val="32565D7D"/>
    <w:rsid w:val="325705E7"/>
    <w:rsid w:val="325823B4"/>
    <w:rsid w:val="32582CF8"/>
    <w:rsid w:val="32585234"/>
    <w:rsid w:val="325B4596"/>
    <w:rsid w:val="325B6344"/>
    <w:rsid w:val="325F1790"/>
    <w:rsid w:val="325F4087"/>
    <w:rsid w:val="3260395B"/>
    <w:rsid w:val="32653528"/>
    <w:rsid w:val="32655415"/>
    <w:rsid w:val="32667222"/>
    <w:rsid w:val="32670332"/>
    <w:rsid w:val="3267118D"/>
    <w:rsid w:val="32682108"/>
    <w:rsid w:val="32696CB3"/>
    <w:rsid w:val="326A2A2B"/>
    <w:rsid w:val="326B3300"/>
    <w:rsid w:val="326B48D2"/>
    <w:rsid w:val="326F1DF0"/>
    <w:rsid w:val="32715B68"/>
    <w:rsid w:val="32737B32"/>
    <w:rsid w:val="3274548D"/>
    <w:rsid w:val="32755658"/>
    <w:rsid w:val="32760578"/>
    <w:rsid w:val="327635CB"/>
    <w:rsid w:val="32777ADD"/>
    <w:rsid w:val="327C2483"/>
    <w:rsid w:val="327F4D4C"/>
    <w:rsid w:val="32801B87"/>
    <w:rsid w:val="32843AED"/>
    <w:rsid w:val="32844C35"/>
    <w:rsid w:val="32876812"/>
    <w:rsid w:val="32892EB1"/>
    <w:rsid w:val="32894C0B"/>
    <w:rsid w:val="328964AC"/>
    <w:rsid w:val="328D3E75"/>
    <w:rsid w:val="328F1215"/>
    <w:rsid w:val="32914955"/>
    <w:rsid w:val="3297522B"/>
    <w:rsid w:val="32990C1B"/>
    <w:rsid w:val="329A6E6D"/>
    <w:rsid w:val="329B0E37"/>
    <w:rsid w:val="329B2BE5"/>
    <w:rsid w:val="329C7A9A"/>
    <w:rsid w:val="329D478A"/>
    <w:rsid w:val="329F4EC8"/>
    <w:rsid w:val="32A1072C"/>
    <w:rsid w:val="32A2017A"/>
    <w:rsid w:val="32A21668"/>
    <w:rsid w:val="32A26CEE"/>
    <w:rsid w:val="32A31CA7"/>
    <w:rsid w:val="32A6798E"/>
    <w:rsid w:val="32A75EAC"/>
    <w:rsid w:val="32A970B0"/>
    <w:rsid w:val="32AA2E28"/>
    <w:rsid w:val="32AB5B3C"/>
    <w:rsid w:val="32AC3044"/>
    <w:rsid w:val="32B42094"/>
    <w:rsid w:val="32B43F0B"/>
    <w:rsid w:val="32B55A55"/>
    <w:rsid w:val="32B67A1F"/>
    <w:rsid w:val="32B80F22"/>
    <w:rsid w:val="32B868C4"/>
    <w:rsid w:val="32B876D8"/>
    <w:rsid w:val="32B922FB"/>
    <w:rsid w:val="32BA607B"/>
    <w:rsid w:val="32BB7FF6"/>
    <w:rsid w:val="32BC3287"/>
    <w:rsid w:val="32BE6144"/>
    <w:rsid w:val="32BF2D77"/>
    <w:rsid w:val="32C24615"/>
    <w:rsid w:val="32C3480F"/>
    <w:rsid w:val="32C6287D"/>
    <w:rsid w:val="32C6335F"/>
    <w:rsid w:val="32C70493"/>
    <w:rsid w:val="32C959A4"/>
    <w:rsid w:val="32CA371F"/>
    <w:rsid w:val="32CA6577"/>
    <w:rsid w:val="32CC5CB8"/>
    <w:rsid w:val="32CC726D"/>
    <w:rsid w:val="32CE2BAF"/>
    <w:rsid w:val="32CE6520"/>
    <w:rsid w:val="32CE6B16"/>
    <w:rsid w:val="32D26767"/>
    <w:rsid w:val="32D3237F"/>
    <w:rsid w:val="32D34076"/>
    <w:rsid w:val="32D35945"/>
    <w:rsid w:val="32D3702F"/>
    <w:rsid w:val="32D41674"/>
    <w:rsid w:val="32D43E3A"/>
    <w:rsid w:val="32D466D2"/>
    <w:rsid w:val="32D549D9"/>
    <w:rsid w:val="32D61E33"/>
    <w:rsid w:val="32D650D5"/>
    <w:rsid w:val="32D75F0F"/>
    <w:rsid w:val="32D8634E"/>
    <w:rsid w:val="32D92DF9"/>
    <w:rsid w:val="32DA195F"/>
    <w:rsid w:val="32DA76CD"/>
    <w:rsid w:val="32DB4B67"/>
    <w:rsid w:val="32DB65E9"/>
    <w:rsid w:val="32DD144F"/>
    <w:rsid w:val="32DE2D20"/>
    <w:rsid w:val="32E16A61"/>
    <w:rsid w:val="32E209B4"/>
    <w:rsid w:val="32E20DCB"/>
    <w:rsid w:val="32E243B4"/>
    <w:rsid w:val="32E4458C"/>
    <w:rsid w:val="32E52BDD"/>
    <w:rsid w:val="32E61B1C"/>
    <w:rsid w:val="32E6604D"/>
    <w:rsid w:val="32E70C39"/>
    <w:rsid w:val="32EF33F5"/>
    <w:rsid w:val="32F02F60"/>
    <w:rsid w:val="32F126BE"/>
    <w:rsid w:val="32F12805"/>
    <w:rsid w:val="32F143F0"/>
    <w:rsid w:val="32F1545A"/>
    <w:rsid w:val="32F31139"/>
    <w:rsid w:val="32F530C5"/>
    <w:rsid w:val="32FE389F"/>
    <w:rsid w:val="32FE5026"/>
    <w:rsid w:val="32FF13C6"/>
    <w:rsid w:val="32FF3876"/>
    <w:rsid w:val="33016EEC"/>
    <w:rsid w:val="33020A39"/>
    <w:rsid w:val="3302155A"/>
    <w:rsid w:val="3302440C"/>
    <w:rsid w:val="33030EB6"/>
    <w:rsid w:val="33036367"/>
    <w:rsid w:val="33037626"/>
    <w:rsid w:val="33044C2E"/>
    <w:rsid w:val="330662B0"/>
    <w:rsid w:val="330758ED"/>
    <w:rsid w:val="33095DA0"/>
    <w:rsid w:val="330A3C2E"/>
    <w:rsid w:val="330D5390"/>
    <w:rsid w:val="330E0AF4"/>
    <w:rsid w:val="330E1609"/>
    <w:rsid w:val="331035D3"/>
    <w:rsid w:val="33143344"/>
    <w:rsid w:val="33150BE9"/>
    <w:rsid w:val="33186C8A"/>
    <w:rsid w:val="331A016C"/>
    <w:rsid w:val="331C0AED"/>
    <w:rsid w:val="331D7A9E"/>
    <w:rsid w:val="332008FE"/>
    <w:rsid w:val="33204516"/>
    <w:rsid w:val="33207DC3"/>
    <w:rsid w:val="3321133C"/>
    <w:rsid w:val="332130EA"/>
    <w:rsid w:val="33226E62"/>
    <w:rsid w:val="332532E0"/>
    <w:rsid w:val="33254A0D"/>
    <w:rsid w:val="3327065F"/>
    <w:rsid w:val="33271537"/>
    <w:rsid w:val="3328369F"/>
    <w:rsid w:val="332B3CDC"/>
    <w:rsid w:val="332B501A"/>
    <w:rsid w:val="332C1A8F"/>
    <w:rsid w:val="332C31B3"/>
    <w:rsid w:val="332E3A59"/>
    <w:rsid w:val="332E5807"/>
    <w:rsid w:val="3330157F"/>
    <w:rsid w:val="33305A23"/>
    <w:rsid w:val="33310A59"/>
    <w:rsid w:val="33324080"/>
    <w:rsid w:val="33356941"/>
    <w:rsid w:val="333B1446"/>
    <w:rsid w:val="333B1851"/>
    <w:rsid w:val="33407EE8"/>
    <w:rsid w:val="334407BD"/>
    <w:rsid w:val="334427CA"/>
    <w:rsid w:val="33460805"/>
    <w:rsid w:val="33462B51"/>
    <w:rsid w:val="33473F32"/>
    <w:rsid w:val="33490893"/>
    <w:rsid w:val="334A100F"/>
    <w:rsid w:val="334B460B"/>
    <w:rsid w:val="334D3EDF"/>
    <w:rsid w:val="334E250D"/>
    <w:rsid w:val="334E5EA9"/>
    <w:rsid w:val="334E7C57"/>
    <w:rsid w:val="334F7FAE"/>
    <w:rsid w:val="33513750"/>
    <w:rsid w:val="33513762"/>
    <w:rsid w:val="3353526D"/>
    <w:rsid w:val="33570661"/>
    <w:rsid w:val="33574751"/>
    <w:rsid w:val="33574D5E"/>
    <w:rsid w:val="335800A3"/>
    <w:rsid w:val="33596D28"/>
    <w:rsid w:val="335C2374"/>
    <w:rsid w:val="335C25DE"/>
    <w:rsid w:val="335E3222"/>
    <w:rsid w:val="335F67CB"/>
    <w:rsid w:val="33604E27"/>
    <w:rsid w:val="33667C7F"/>
    <w:rsid w:val="336757C8"/>
    <w:rsid w:val="336950E1"/>
    <w:rsid w:val="336A2CE3"/>
    <w:rsid w:val="336A7F3B"/>
    <w:rsid w:val="336D4581"/>
    <w:rsid w:val="336F02F9"/>
    <w:rsid w:val="336F6D78"/>
    <w:rsid w:val="337038A2"/>
    <w:rsid w:val="33737662"/>
    <w:rsid w:val="337376BE"/>
    <w:rsid w:val="33741567"/>
    <w:rsid w:val="337B0E24"/>
    <w:rsid w:val="337C5C26"/>
    <w:rsid w:val="337D5EB4"/>
    <w:rsid w:val="337D71C6"/>
    <w:rsid w:val="337E0E7F"/>
    <w:rsid w:val="33813A09"/>
    <w:rsid w:val="33816234"/>
    <w:rsid w:val="3382558B"/>
    <w:rsid w:val="33833553"/>
    <w:rsid w:val="338623F7"/>
    <w:rsid w:val="3387302B"/>
    <w:rsid w:val="33875C46"/>
    <w:rsid w:val="33886947"/>
    <w:rsid w:val="338A5A42"/>
    <w:rsid w:val="338B0EAB"/>
    <w:rsid w:val="338B4A07"/>
    <w:rsid w:val="33925D96"/>
    <w:rsid w:val="339339B0"/>
    <w:rsid w:val="3394364F"/>
    <w:rsid w:val="33976A3B"/>
    <w:rsid w:val="33977850"/>
    <w:rsid w:val="339A0931"/>
    <w:rsid w:val="339C3287"/>
    <w:rsid w:val="339C4E66"/>
    <w:rsid w:val="339D2089"/>
    <w:rsid w:val="339F08FC"/>
    <w:rsid w:val="33A0490A"/>
    <w:rsid w:val="33A1422B"/>
    <w:rsid w:val="33A22B44"/>
    <w:rsid w:val="33A35467"/>
    <w:rsid w:val="33A9069D"/>
    <w:rsid w:val="33AB50A9"/>
    <w:rsid w:val="33AC0309"/>
    <w:rsid w:val="33AC3E6F"/>
    <w:rsid w:val="33AE035C"/>
    <w:rsid w:val="33AE131F"/>
    <w:rsid w:val="33B100D9"/>
    <w:rsid w:val="33B206AE"/>
    <w:rsid w:val="33B20C46"/>
    <w:rsid w:val="33B248B0"/>
    <w:rsid w:val="33B37F5C"/>
    <w:rsid w:val="33B51A84"/>
    <w:rsid w:val="33B57B30"/>
    <w:rsid w:val="33B57CD6"/>
    <w:rsid w:val="33B57D00"/>
    <w:rsid w:val="33B9418C"/>
    <w:rsid w:val="33BC2F6E"/>
    <w:rsid w:val="33BC789C"/>
    <w:rsid w:val="33BD3E8D"/>
    <w:rsid w:val="33BD6A91"/>
    <w:rsid w:val="33BE6D5A"/>
    <w:rsid w:val="33C1667B"/>
    <w:rsid w:val="33C6593C"/>
    <w:rsid w:val="33C70135"/>
    <w:rsid w:val="33C817B8"/>
    <w:rsid w:val="33C85C5B"/>
    <w:rsid w:val="33C977FE"/>
    <w:rsid w:val="33CA19D4"/>
    <w:rsid w:val="33CA3782"/>
    <w:rsid w:val="33CB127F"/>
    <w:rsid w:val="33CB74FA"/>
    <w:rsid w:val="33CD2C95"/>
    <w:rsid w:val="33CD3501"/>
    <w:rsid w:val="33CF2B46"/>
    <w:rsid w:val="33CF5A7C"/>
    <w:rsid w:val="33CF6FEA"/>
    <w:rsid w:val="33D31231"/>
    <w:rsid w:val="33D645A1"/>
    <w:rsid w:val="33D73270"/>
    <w:rsid w:val="33D75439"/>
    <w:rsid w:val="33D94143"/>
    <w:rsid w:val="33D943F9"/>
    <w:rsid w:val="33D94AF6"/>
    <w:rsid w:val="33D95773"/>
    <w:rsid w:val="33D97E69"/>
    <w:rsid w:val="33DC00FA"/>
    <w:rsid w:val="33DE5D97"/>
    <w:rsid w:val="33DF6B01"/>
    <w:rsid w:val="33E11B69"/>
    <w:rsid w:val="33E15139"/>
    <w:rsid w:val="33E22FD7"/>
    <w:rsid w:val="33E24718"/>
    <w:rsid w:val="33E24C8F"/>
    <w:rsid w:val="33E75037"/>
    <w:rsid w:val="33E91512"/>
    <w:rsid w:val="33E964FB"/>
    <w:rsid w:val="33EA461D"/>
    <w:rsid w:val="33ED13F9"/>
    <w:rsid w:val="33ED255F"/>
    <w:rsid w:val="33ED2723"/>
    <w:rsid w:val="33EE1947"/>
    <w:rsid w:val="33EE32C2"/>
    <w:rsid w:val="33F0483B"/>
    <w:rsid w:val="33F2420D"/>
    <w:rsid w:val="33F702EF"/>
    <w:rsid w:val="33F71FAD"/>
    <w:rsid w:val="33F71FE3"/>
    <w:rsid w:val="33F94067"/>
    <w:rsid w:val="33F963C5"/>
    <w:rsid w:val="33FA22CC"/>
    <w:rsid w:val="33FB2AA8"/>
    <w:rsid w:val="33FB393B"/>
    <w:rsid w:val="33FE0891"/>
    <w:rsid w:val="33FE5D09"/>
    <w:rsid w:val="340100A6"/>
    <w:rsid w:val="340135DC"/>
    <w:rsid w:val="34015F0C"/>
    <w:rsid w:val="3402309A"/>
    <w:rsid w:val="34026921"/>
    <w:rsid w:val="34036CA5"/>
    <w:rsid w:val="34054559"/>
    <w:rsid w:val="340547BA"/>
    <w:rsid w:val="34064F33"/>
    <w:rsid w:val="340A7CF4"/>
    <w:rsid w:val="340B78F6"/>
    <w:rsid w:val="340D18C0"/>
    <w:rsid w:val="340D75B5"/>
    <w:rsid w:val="340D7B12"/>
    <w:rsid w:val="340E2CBD"/>
    <w:rsid w:val="340F3E18"/>
    <w:rsid w:val="340F73E6"/>
    <w:rsid w:val="34100830"/>
    <w:rsid w:val="34101B6E"/>
    <w:rsid w:val="34107576"/>
    <w:rsid w:val="34120C85"/>
    <w:rsid w:val="34164C45"/>
    <w:rsid w:val="341669C7"/>
    <w:rsid w:val="341744ED"/>
    <w:rsid w:val="341B3FDD"/>
    <w:rsid w:val="341C4A20"/>
    <w:rsid w:val="341D7BAD"/>
    <w:rsid w:val="34207846"/>
    <w:rsid w:val="34213C80"/>
    <w:rsid w:val="34237336"/>
    <w:rsid w:val="34246193"/>
    <w:rsid w:val="3424709C"/>
    <w:rsid w:val="34270E8D"/>
    <w:rsid w:val="342A06C4"/>
    <w:rsid w:val="342C191C"/>
    <w:rsid w:val="342D4954"/>
    <w:rsid w:val="34313157"/>
    <w:rsid w:val="343252A6"/>
    <w:rsid w:val="3433217D"/>
    <w:rsid w:val="34341AA3"/>
    <w:rsid w:val="34365B5E"/>
    <w:rsid w:val="34377BE5"/>
    <w:rsid w:val="343929DB"/>
    <w:rsid w:val="34394DB5"/>
    <w:rsid w:val="343B4069"/>
    <w:rsid w:val="343C3D07"/>
    <w:rsid w:val="343D4A5C"/>
    <w:rsid w:val="343E1A7A"/>
    <w:rsid w:val="343E2D6C"/>
    <w:rsid w:val="34432928"/>
    <w:rsid w:val="34441C05"/>
    <w:rsid w:val="344A6FB9"/>
    <w:rsid w:val="344B5E53"/>
    <w:rsid w:val="344E43B3"/>
    <w:rsid w:val="344E4961"/>
    <w:rsid w:val="344F280E"/>
    <w:rsid w:val="344F5EC1"/>
    <w:rsid w:val="344F73FB"/>
    <w:rsid w:val="34500E16"/>
    <w:rsid w:val="34513124"/>
    <w:rsid w:val="34525B9F"/>
    <w:rsid w:val="345325EB"/>
    <w:rsid w:val="34533777"/>
    <w:rsid w:val="34572B3B"/>
    <w:rsid w:val="345741CE"/>
    <w:rsid w:val="345825D8"/>
    <w:rsid w:val="34586FDF"/>
    <w:rsid w:val="34592D57"/>
    <w:rsid w:val="345937DD"/>
    <w:rsid w:val="345A08AC"/>
    <w:rsid w:val="345D2124"/>
    <w:rsid w:val="345F3E4B"/>
    <w:rsid w:val="34602FDD"/>
    <w:rsid w:val="34620A02"/>
    <w:rsid w:val="34621C0C"/>
    <w:rsid w:val="34627E5E"/>
    <w:rsid w:val="346516FC"/>
    <w:rsid w:val="34666E4F"/>
    <w:rsid w:val="346911EC"/>
    <w:rsid w:val="346A286F"/>
    <w:rsid w:val="346B303E"/>
    <w:rsid w:val="346B6F71"/>
    <w:rsid w:val="346F4FF6"/>
    <w:rsid w:val="3470333B"/>
    <w:rsid w:val="3474193F"/>
    <w:rsid w:val="34745500"/>
    <w:rsid w:val="34766219"/>
    <w:rsid w:val="347831DE"/>
    <w:rsid w:val="34796F56"/>
    <w:rsid w:val="347A3BC3"/>
    <w:rsid w:val="347B4A7C"/>
    <w:rsid w:val="347C4181"/>
    <w:rsid w:val="347E55D3"/>
    <w:rsid w:val="347F4F7A"/>
    <w:rsid w:val="34856A51"/>
    <w:rsid w:val="34864580"/>
    <w:rsid w:val="34865D22"/>
    <w:rsid w:val="348C4EDB"/>
    <w:rsid w:val="348E2A01"/>
    <w:rsid w:val="348E4BCA"/>
    <w:rsid w:val="348F2D68"/>
    <w:rsid w:val="348F2F0F"/>
    <w:rsid w:val="34904252"/>
    <w:rsid w:val="34913F0F"/>
    <w:rsid w:val="34931DC5"/>
    <w:rsid w:val="3494217B"/>
    <w:rsid w:val="34942256"/>
    <w:rsid w:val="34942968"/>
    <w:rsid w:val="349472FB"/>
    <w:rsid w:val="34956681"/>
    <w:rsid w:val="349618B6"/>
    <w:rsid w:val="34965B38"/>
    <w:rsid w:val="34967B08"/>
    <w:rsid w:val="34975A2E"/>
    <w:rsid w:val="34975EE2"/>
    <w:rsid w:val="349A7F5B"/>
    <w:rsid w:val="349B7D53"/>
    <w:rsid w:val="349E076A"/>
    <w:rsid w:val="34A0062A"/>
    <w:rsid w:val="34A51AF9"/>
    <w:rsid w:val="34A87572"/>
    <w:rsid w:val="34AA2C62"/>
    <w:rsid w:val="34AA4266"/>
    <w:rsid w:val="34AA710F"/>
    <w:rsid w:val="34AA7E9A"/>
    <w:rsid w:val="34AC631F"/>
    <w:rsid w:val="34AE2A73"/>
    <w:rsid w:val="34AE30A3"/>
    <w:rsid w:val="34AE33E9"/>
    <w:rsid w:val="34AE4E51"/>
    <w:rsid w:val="34B01677"/>
    <w:rsid w:val="34B02383"/>
    <w:rsid w:val="34B07AE5"/>
    <w:rsid w:val="34B1049E"/>
    <w:rsid w:val="34B12734"/>
    <w:rsid w:val="34B13D24"/>
    <w:rsid w:val="34B866F6"/>
    <w:rsid w:val="34B9092F"/>
    <w:rsid w:val="34B92C2D"/>
    <w:rsid w:val="34BB5077"/>
    <w:rsid w:val="34BE0DB6"/>
    <w:rsid w:val="34BE6CB9"/>
    <w:rsid w:val="34BF2BBB"/>
    <w:rsid w:val="34BF4CAA"/>
    <w:rsid w:val="34C401D1"/>
    <w:rsid w:val="34C44675"/>
    <w:rsid w:val="34C46423"/>
    <w:rsid w:val="34C518B3"/>
    <w:rsid w:val="34C71782"/>
    <w:rsid w:val="34CA0ED9"/>
    <w:rsid w:val="34CC52D7"/>
    <w:rsid w:val="34CE1050"/>
    <w:rsid w:val="34CE2DFE"/>
    <w:rsid w:val="34CE54B1"/>
    <w:rsid w:val="34CF3F99"/>
    <w:rsid w:val="34CF74EF"/>
    <w:rsid w:val="34D320DF"/>
    <w:rsid w:val="34D33E29"/>
    <w:rsid w:val="34D523DE"/>
    <w:rsid w:val="34D553A2"/>
    <w:rsid w:val="34D55C1E"/>
    <w:rsid w:val="34D66641"/>
    <w:rsid w:val="34D66876"/>
    <w:rsid w:val="34D7691B"/>
    <w:rsid w:val="34D7759A"/>
    <w:rsid w:val="34D86AF2"/>
    <w:rsid w:val="34D94F22"/>
    <w:rsid w:val="34DA0BF7"/>
    <w:rsid w:val="34DB73CF"/>
    <w:rsid w:val="34DB747A"/>
    <w:rsid w:val="34DF3463"/>
    <w:rsid w:val="34DF4C62"/>
    <w:rsid w:val="34E00D83"/>
    <w:rsid w:val="34E171F3"/>
    <w:rsid w:val="34E21003"/>
    <w:rsid w:val="34E42621"/>
    <w:rsid w:val="34E44DB9"/>
    <w:rsid w:val="34E55945"/>
    <w:rsid w:val="34E57BDD"/>
    <w:rsid w:val="34E61E1F"/>
    <w:rsid w:val="34E72111"/>
    <w:rsid w:val="34E7313E"/>
    <w:rsid w:val="34E756D1"/>
    <w:rsid w:val="34E8605E"/>
    <w:rsid w:val="34E86A35"/>
    <w:rsid w:val="34EC31FC"/>
    <w:rsid w:val="34EE2EF0"/>
    <w:rsid w:val="34EE4F05"/>
    <w:rsid w:val="34EE7F06"/>
    <w:rsid w:val="34F11083"/>
    <w:rsid w:val="34F211E2"/>
    <w:rsid w:val="34F41174"/>
    <w:rsid w:val="34F565DC"/>
    <w:rsid w:val="34F628E9"/>
    <w:rsid w:val="34F95164"/>
    <w:rsid w:val="34FA0097"/>
    <w:rsid w:val="34FA62E8"/>
    <w:rsid w:val="34FB1589"/>
    <w:rsid w:val="34FB5395"/>
    <w:rsid w:val="34FD1A0E"/>
    <w:rsid w:val="34FD2B73"/>
    <w:rsid w:val="34FD5F1D"/>
    <w:rsid w:val="34FD60E6"/>
    <w:rsid w:val="350358A4"/>
    <w:rsid w:val="3504212C"/>
    <w:rsid w:val="35044C07"/>
    <w:rsid w:val="350478CF"/>
    <w:rsid w:val="3504793C"/>
    <w:rsid w:val="350506BD"/>
    <w:rsid w:val="35053CB4"/>
    <w:rsid w:val="350607E9"/>
    <w:rsid w:val="35063CE7"/>
    <w:rsid w:val="35066A3B"/>
    <w:rsid w:val="350A469D"/>
    <w:rsid w:val="350C1B78"/>
    <w:rsid w:val="351078BA"/>
    <w:rsid w:val="351153E0"/>
    <w:rsid w:val="35125BC0"/>
    <w:rsid w:val="35147DF0"/>
    <w:rsid w:val="35156C7E"/>
    <w:rsid w:val="351729F7"/>
    <w:rsid w:val="35180D90"/>
    <w:rsid w:val="35190631"/>
    <w:rsid w:val="351A5C73"/>
    <w:rsid w:val="351B1D36"/>
    <w:rsid w:val="351B1DBB"/>
    <w:rsid w:val="351C1B11"/>
    <w:rsid w:val="352018CE"/>
    <w:rsid w:val="35215A60"/>
    <w:rsid w:val="3521623A"/>
    <w:rsid w:val="35242972"/>
    <w:rsid w:val="35244754"/>
    <w:rsid w:val="35244AF8"/>
    <w:rsid w:val="35250956"/>
    <w:rsid w:val="35270760"/>
    <w:rsid w:val="35274568"/>
    <w:rsid w:val="35281527"/>
    <w:rsid w:val="35283494"/>
    <w:rsid w:val="35284C04"/>
    <w:rsid w:val="35294056"/>
    <w:rsid w:val="352A3A26"/>
    <w:rsid w:val="352A4BA6"/>
    <w:rsid w:val="352B64A2"/>
    <w:rsid w:val="352D221A"/>
    <w:rsid w:val="352E7D40"/>
    <w:rsid w:val="35301D0A"/>
    <w:rsid w:val="353167A6"/>
    <w:rsid w:val="3534652F"/>
    <w:rsid w:val="35347E03"/>
    <w:rsid w:val="3535269B"/>
    <w:rsid w:val="35353DEC"/>
    <w:rsid w:val="3536711A"/>
    <w:rsid w:val="353752DC"/>
    <w:rsid w:val="35377484"/>
    <w:rsid w:val="353852C5"/>
    <w:rsid w:val="353C4A37"/>
    <w:rsid w:val="353D7F83"/>
    <w:rsid w:val="353E3FE9"/>
    <w:rsid w:val="353E4427"/>
    <w:rsid w:val="354041AE"/>
    <w:rsid w:val="354220CE"/>
    <w:rsid w:val="35431A3E"/>
    <w:rsid w:val="35435612"/>
    <w:rsid w:val="35446C9F"/>
    <w:rsid w:val="354A743D"/>
    <w:rsid w:val="354B19C6"/>
    <w:rsid w:val="354B3727"/>
    <w:rsid w:val="354B444E"/>
    <w:rsid w:val="354E3097"/>
    <w:rsid w:val="354E440C"/>
    <w:rsid w:val="354E634E"/>
    <w:rsid w:val="35526101"/>
    <w:rsid w:val="355310D8"/>
    <w:rsid w:val="35537780"/>
    <w:rsid w:val="3554291F"/>
    <w:rsid w:val="35571045"/>
    <w:rsid w:val="35572E64"/>
    <w:rsid w:val="3558300F"/>
    <w:rsid w:val="355840B7"/>
    <w:rsid w:val="355A2BFC"/>
    <w:rsid w:val="355C710A"/>
    <w:rsid w:val="355D2DF6"/>
    <w:rsid w:val="355F41C7"/>
    <w:rsid w:val="35614940"/>
    <w:rsid w:val="35642417"/>
    <w:rsid w:val="35690D78"/>
    <w:rsid w:val="35696FCA"/>
    <w:rsid w:val="356A1816"/>
    <w:rsid w:val="356C7F43"/>
    <w:rsid w:val="356D4F06"/>
    <w:rsid w:val="356D67CB"/>
    <w:rsid w:val="356E45E1"/>
    <w:rsid w:val="357229A2"/>
    <w:rsid w:val="357240D1"/>
    <w:rsid w:val="3572479A"/>
    <w:rsid w:val="35731BF7"/>
    <w:rsid w:val="35742266"/>
    <w:rsid w:val="35742745"/>
    <w:rsid w:val="35753641"/>
    <w:rsid w:val="3575568D"/>
    <w:rsid w:val="35763C92"/>
    <w:rsid w:val="35775243"/>
    <w:rsid w:val="35780FBB"/>
    <w:rsid w:val="357908B8"/>
    <w:rsid w:val="357A11D7"/>
    <w:rsid w:val="357B0E48"/>
    <w:rsid w:val="357D027F"/>
    <w:rsid w:val="357E6CE3"/>
    <w:rsid w:val="35825EDC"/>
    <w:rsid w:val="35831DA5"/>
    <w:rsid w:val="35873D90"/>
    <w:rsid w:val="35885FC6"/>
    <w:rsid w:val="358944C3"/>
    <w:rsid w:val="35894ABA"/>
    <w:rsid w:val="35896E09"/>
    <w:rsid w:val="358A2628"/>
    <w:rsid w:val="358B51B1"/>
    <w:rsid w:val="358C3BA0"/>
    <w:rsid w:val="358C7ACB"/>
    <w:rsid w:val="358D490E"/>
    <w:rsid w:val="35912AD9"/>
    <w:rsid w:val="359207AA"/>
    <w:rsid w:val="35922121"/>
    <w:rsid w:val="35926521"/>
    <w:rsid w:val="359330B7"/>
    <w:rsid w:val="359528C1"/>
    <w:rsid w:val="3599046D"/>
    <w:rsid w:val="359A0BDE"/>
    <w:rsid w:val="359C3486"/>
    <w:rsid w:val="359D0A22"/>
    <w:rsid w:val="359E0533"/>
    <w:rsid w:val="359E78BC"/>
    <w:rsid w:val="35A103B9"/>
    <w:rsid w:val="35A324DC"/>
    <w:rsid w:val="35A34F88"/>
    <w:rsid w:val="35A50F43"/>
    <w:rsid w:val="35A53185"/>
    <w:rsid w:val="35A66F4F"/>
    <w:rsid w:val="35A77DEC"/>
    <w:rsid w:val="35A8052A"/>
    <w:rsid w:val="35A818A1"/>
    <w:rsid w:val="35A85D44"/>
    <w:rsid w:val="35A92500"/>
    <w:rsid w:val="35AB313F"/>
    <w:rsid w:val="35AB75E3"/>
    <w:rsid w:val="35AE478E"/>
    <w:rsid w:val="35B53E09"/>
    <w:rsid w:val="35B66A08"/>
    <w:rsid w:val="35B7611D"/>
    <w:rsid w:val="35B8107B"/>
    <w:rsid w:val="35BD20E4"/>
    <w:rsid w:val="35BE10C4"/>
    <w:rsid w:val="35BE2E72"/>
    <w:rsid w:val="35BF159A"/>
    <w:rsid w:val="35BF6BEA"/>
    <w:rsid w:val="35C32557"/>
    <w:rsid w:val="35C35067"/>
    <w:rsid w:val="35C366DA"/>
    <w:rsid w:val="35C8079E"/>
    <w:rsid w:val="35C868EF"/>
    <w:rsid w:val="35CA073E"/>
    <w:rsid w:val="35CA605B"/>
    <w:rsid w:val="35CA7C2E"/>
    <w:rsid w:val="35CC0C1E"/>
    <w:rsid w:val="35CD57AB"/>
    <w:rsid w:val="35CD709A"/>
    <w:rsid w:val="35CE5B68"/>
    <w:rsid w:val="35CF14F4"/>
    <w:rsid w:val="35D24B6F"/>
    <w:rsid w:val="35D37C6C"/>
    <w:rsid w:val="35D62830"/>
    <w:rsid w:val="35D72186"/>
    <w:rsid w:val="35D73F34"/>
    <w:rsid w:val="35D74C6D"/>
    <w:rsid w:val="35D83A64"/>
    <w:rsid w:val="35D92E39"/>
    <w:rsid w:val="35DB559B"/>
    <w:rsid w:val="35DC59EE"/>
    <w:rsid w:val="35DC7F2C"/>
    <w:rsid w:val="35DF3FE2"/>
    <w:rsid w:val="35DF4502"/>
    <w:rsid w:val="35E00EF6"/>
    <w:rsid w:val="35E054DE"/>
    <w:rsid w:val="35E13004"/>
    <w:rsid w:val="35E27B90"/>
    <w:rsid w:val="35E3438F"/>
    <w:rsid w:val="35E3445E"/>
    <w:rsid w:val="35E36D7D"/>
    <w:rsid w:val="35E56A24"/>
    <w:rsid w:val="35E6686D"/>
    <w:rsid w:val="35E67362"/>
    <w:rsid w:val="35E87EEF"/>
    <w:rsid w:val="35EA1C77"/>
    <w:rsid w:val="35EB3E83"/>
    <w:rsid w:val="35ED3646"/>
    <w:rsid w:val="35ED3FC5"/>
    <w:rsid w:val="35F04FF6"/>
    <w:rsid w:val="35F56376"/>
    <w:rsid w:val="35F57BFA"/>
    <w:rsid w:val="35F82D0F"/>
    <w:rsid w:val="35F8709C"/>
    <w:rsid w:val="35F9034E"/>
    <w:rsid w:val="35F94860"/>
    <w:rsid w:val="35FA7C22"/>
    <w:rsid w:val="35FB07A7"/>
    <w:rsid w:val="35FC51A3"/>
    <w:rsid w:val="35FD01EF"/>
    <w:rsid w:val="35FE541E"/>
    <w:rsid w:val="35FE7713"/>
    <w:rsid w:val="35FF20F7"/>
    <w:rsid w:val="3602407A"/>
    <w:rsid w:val="36030FFF"/>
    <w:rsid w:val="360337E4"/>
    <w:rsid w:val="360A0F5F"/>
    <w:rsid w:val="360A60B7"/>
    <w:rsid w:val="360B0081"/>
    <w:rsid w:val="360F1920"/>
    <w:rsid w:val="3611037B"/>
    <w:rsid w:val="36116BC2"/>
    <w:rsid w:val="36147E72"/>
    <w:rsid w:val="3615522F"/>
    <w:rsid w:val="36171DC5"/>
    <w:rsid w:val="36174C78"/>
    <w:rsid w:val="3618333E"/>
    <w:rsid w:val="361D69CE"/>
    <w:rsid w:val="3620283E"/>
    <w:rsid w:val="362058DB"/>
    <w:rsid w:val="36205E0A"/>
    <w:rsid w:val="36213401"/>
    <w:rsid w:val="3626472B"/>
    <w:rsid w:val="36272932"/>
    <w:rsid w:val="36277B2C"/>
    <w:rsid w:val="36297C02"/>
    <w:rsid w:val="362A056A"/>
    <w:rsid w:val="362A49AB"/>
    <w:rsid w:val="362C191E"/>
    <w:rsid w:val="362F3BFA"/>
    <w:rsid w:val="36313A92"/>
    <w:rsid w:val="36327824"/>
    <w:rsid w:val="36352560"/>
    <w:rsid w:val="363548DB"/>
    <w:rsid w:val="36383A88"/>
    <w:rsid w:val="363911FE"/>
    <w:rsid w:val="363A178A"/>
    <w:rsid w:val="363B0967"/>
    <w:rsid w:val="363C540D"/>
    <w:rsid w:val="363D414B"/>
    <w:rsid w:val="36430AE7"/>
    <w:rsid w:val="36432BB5"/>
    <w:rsid w:val="36455F37"/>
    <w:rsid w:val="3646517F"/>
    <w:rsid w:val="36494773"/>
    <w:rsid w:val="364C03A6"/>
    <w:rsid w:val="364E3013"/>
    <w:rsid w:val="364E5036"/>
    <w:rsid w:val="364F5736"/>
    <w:rsid w:val="36500988"/>
    <w:rsid w:val="3651018A"/>
    <w:rsid w:val="36547242"/>
    <w:rsid w:val="365503E4"/>
    <w:rsid w:val="36581519"/>
    <w:rsid w:val="365A53F4"/>
    <w:rsid w:val="365B61FC"/>
    <w:rsid w:val="365B6913"/>
    <w:rsid w:val="365D5F63"/>
    <w:rsid w:val="365F0DC8"/>
    <w:rsid w:val="365F4673"/>
    <w:rsid w:val="366118FB"/>
    <w:rsid w:val="366128C4"/>
    <w:rsid w:val="366130BF"/>
    <w:rsid w:val="36653C36"/>
    <w:rsid w:val="36662276"/>
    <w:rsid w:val="36664317"/>
    <w:rsid w:val="36664FD3"/>
    <w:rsid w:val="36677059"/>
    <w:rsid w:val="366859E7"/>
    <w:rsid w:val="36690D3B"/>
    <w:rsid w:val="36691B2D"/>
    <w:rsid w:val="366B2C8D"/>
    <w:rsid w:val="366D3E67"/>
    <w:rsid w:val="366D4834"/>
    <w:rsid w:val="366E534C"/>
    <w:rsid w:val="366F210B"/>
    <w:rsid w:val="367134E1"/>
    <w:rsid w:val="36716A47"/>
    <w:rsid w:val="36721EAF"/>
    <w:rsid w:val="36743E79"/>
    <w:rsid w:val="36744955"/>
    <w:rsid w:val="36745195"/>
    <w:rsid w:val="36745C27"/>
    <w:rsid w:val="3676374D"/>
    <w:rsid w:val="36763D81"/>
    <w:rsid w:val="3676733D"/>
    <w:rsid w:val="367A11D2"/>
    <w:rsid w:val="367B01ED"/>
    <w:rsid w:val="367C4435"/>
    <w:rsid w:val="367C5D69"/>
    <w:rsid w:val="367D350B"/>
    <w:rsid w:val="367E6394"/>
    <w:rsid w:val="36803631"/>
    <w:rsid w:val="36812553"/>
    <w:rsid w:val="368340BC"/>
    <w:rsid w:val="368659ED"/>
    <w:rsid w:val="36884442"/>
    <w:rsid w:val="368A71F8"/>
    <w:rsid w:val="368C15AB"/>
    <w:rsid w:val="368D3697"/>
    <w:rsid w:val="36935523"/>
    <w:rsid w:val="36963CD6"/>
    <w:rsid w:val="3697304E"/>
    <w:rsid w:val="3699568D"/>
    <w:rsid w:val="369B4F9B"/>
    <w:rsid w:val="369B7657"/>
    <w:rsid w:val="369D6F2B"/>
    <w:rsid w:val="369E2844"/>
    <w:rsid w:val="369E2CA4"/>
    <w:rsid w:val="369F3CD4"/>
    <w:rsid w:val="36A06A1C"/>
    <w:rsid w:val="36A07813"/>
    <w:rsid w:val="36A302BA"/>
    <w:rsid w:val="36A54032"/>
    <w:rsid w:val="36A667E0"/>
    <w:rsid w:val="36A71440"/>
    <w:rsid w:val="36AA529F"/>
    <w:rsid w:val="36AD1CF1"/>
    <w:rsid w:val="36AD2EE7"/>
    <w:rsid w:val="36AF77B1"/>
    <w:rsid w:val="36B01F5D"/>
    <w:rsid w:val="36B07781"/>
    <w:rsid w:val="36B624F0"/>
    <w:rsid w:val="36B83D65"/>
    <w:rsid w:val="36B95704"/>
    <w:rsid w:val="36B96620"/>
    <w:rsid w:val="36BA67AF"/>
    <w:rsid w:val="36BB5A02"/>
    <w:rsid w:val="36BC50FA"/>
    <w:rsid w:val="36BD75CE"/>
    <w:rsid w:val="36BD7B6A"/>
    <w:rsid w:val="36BE50F4"/>
    <w:rsid w:val="36BF23B5"/>
    <w:rsid w:val="36BF3A28"/>
    <w:rsid w:val="36BF64BB"/>
    <w:rsid w:val="36C00FB8"/>
    <w:rsid w:val="36C53F4A"/>
    <w:rsid w:val="36C648F5"/>
    <w:rsid w:val="36C711BC"/>
    <w:rsid w:val="36CA1076"/>
    <w:rsid w:val="36CA2570"/>
    <w:rsid w:val="36CA3A99"/>
    <w:rsid w:val="36CB2CF1"/>
    <w:rsid w:val="36CB4432"/>
    <w:rsid w:val="36CC15BF"/>
    <w:rsid w:val="36D05553"/>
    <w:rsid w:val="36D30B9F"/>
    <w:rsid w:val="36D45294"/>
    <w:rsid w:val="36D53699"/>
    <w:rsid w:val="36D6162D"/>
    <w:rsid w:val="36D82651"/>
    <w:rsid w:val="36D848F4"/>
    <w:rsid w:val="36DA0180"/>
    <w:rsid w:val="36DC53B7"/>
    <w:rsid w:val="36DD37CC"/>
    <w:rsid w:val="36DD6847"/>
    <w:rsid w:val="36DE12F2"/>
    <w:rsid w:val="36E0506A"/>
    <w:rsid w:val="36E16EBE"/>
    <w:rsid w:val="36E200DA"/>
    <w:rsid w:val="36E52680"/>
    <w:rsid w:val="36E55F46"/>
    <w:rsid w:val="36E6103A"/>
    <w:rsid w:val="36E77CA4"/>
    <w:rsid w:val="36E84469"/>
    <w:rsid w:val="36E8556C"/>
    <w:rsid w:val="36E903C3"/>
    <w:rsid w:val="36E979BB"/>
    <w:rsid w:val="36EB7735"/>
    <w:rsid w:val="36EC1C61"/>
    <w:rsid w:val="36EE59D9"/>
    <w:rsid w:val="36EE7787"/>
    <w:rsid w:val="36EF1119"/>
    <w:rsid w:val="36F01751"/>
    <w:rsid w:val="36F028EF"/>
    <w:rsid w:val="36F079A3"/>
    <w:rsid w:val="36F13DD3"/>
    <w:rsid w:val="36F14A0C"/>
    <w:rsid w:val="36F347AA"/>
    <w:rsid w:val="36F40B16"/>
    <w:rsid w:val="36F50A18"/>
    <w:rsid w:val="36F56D67"/>
    <w:rsid w:val="36F87DF0"/>
    <w:rsid w:val="36F9612C"/>
    <w:rsid w:val="36FA0940"/>
    <w:rsid w:val="36FD1122"/>
    <w:rsid w:val="36FD34CA"/>
    <w:rsid w:val="36FE6B26"/>
    <w:rsid w:val="36FF3676"/>
    <w:rsid w:val="36FF3B5F"/>
    <w:rsid w:val="37025FC2"/>
    <w:rsid w:val="370276D6"/>
    <w:rsid w:val="370621EB"/>
    <w:rsid w:val="370624E0"/>
    <w:rsid w:val="37062E2E"/>
    <w:rsid w:val="37076A9B"/>
    <w:rsid w:val="370826D9"/>
    <w:rsid w:val="37096FD0"/>
    <w:rsid w:val="370A5864"/>
    <w:rsid w:val="370C565E"/>
    <w:rsid w:val="370E0093"/>
    <w:rsid w:val="370E2CA9"/>
    <w:rsid w:val="370E360C"/>
    <w:rsid w:val="371067E0"/>
    <w:rsid w:val="37110ED7"/>
    <w:rsid w:val="37117919"/>
    <w:rsid w:val="37120FD8"/>
    <w:rsid w:val="37123024"/>
    <w:rsid w:val="371231E8"/>
    <w:rsid w:val="37164F30"/>
    <w:rsid w:val="37180CA8"/>
    <w:rsid w:val="371816ED"/>
    <w:rsid w:val="37186729"/>
    <w:rsid w:val="371A057C"/>
    <w:rsid w:val="371A4A20"/>
    <w:rsid w:val="371B60A2"/>
    <w:rsid w:val="371D0BF6"/>
    <w:rsid w:val="371D1E1A"/>
    <w:rsid w:val="371F3DE4"/>
    <w:rsid w:val="37233414"/>
    <w:rsid w:val="37240FDC"/>
    <w:rsid w:val="37256F21"/>
    <w:rsid w:val="37273808"/>
    <w:rsid w:val="37276CA5"/>
    <w:rsid w:val="372B5929"/>
    <w:rsid w:val="37313A3E"/>
    <w:rsid w:val="37321D6A"/>
    <w:rsid w:val="373331A0"/>
    <w:rsid w:val="3735484D"/>
    <w:rsid w:val="37361E7F"/>
    <w:rsid w:val="373625B4"/>
    <w:rsid w:val="373652B7"/>
    <w:rsid w:val="373741BF"/>
    <w:rsid w:val="37382934"/>
    <w:rsid w:val="373830F8"/>
    <w:rsid w:val="373A0C1E"/>
    <w:rsid w:val="373A29CC"/>
    <w:rsid w:val="373D289B"/>
    <w:rsid w:val="373F4487"/>
    <w:rsid w:val="37404D66"/>
    <w:rsid w:val="37441933"/>
    <w:rsid w:val="37484DBA"/>
    <w:rsid w:val="3749466E"/>
    <w:rsid w:val="374978B9"/>
    <w:rsid w:val="374B0346"/>
    <w:rsid w:val="374B2DBA"/>
    <w:rsid w:val="374D6E99"/>
    <w:rsid w:val="374D7F37"/>
    <w:rsid w:val="374E3F47"/>
    <w:rsid w:val="374E6F28"/>
    <w:rsid w:val="374F641F"/>
    <w:rsid w:val="37515F68"/>
    <w:rsid w:val="37531398"/>
    <w:rsid w:val="37533DA9"/>
    <w:rsid w:val="375354EA"/>
    <w:rsid w:val="37537F32"/>
    <w:rsid w:val="37546166"/>
    <w:rsid w:val="37553A24"/>
    <w:rsid w:val="3757357E"/>
    <w:rsid w:val="37582FDA"/>
    <w:rsid w:val="37586CF5"/>
    <w:rsid w:val="375872F6"/>
    <w:rsid w:val="375C6DE7"/>
    <w:rsid w:val="375E6C53"/>
    <w:rsid w:val="37613BAA"/>
    <w:rsid w:val="3762108A"/>
    <w:rsid w:val="37621F23"/>
    <w:rsid w:val="37643EED"/>
    <w:rsid w:val="3768454B"/>
    <w:rsid w:val="37684F65"/>
    <w:rsid w:val="376A28C4"/>
    <w:rsid w:val="376B527C"/>
    <w:rsid w:val="376C09C3"/>
    <w:rsid w:val="376C29B8"/>
    <w:rsid w:val="376C68FE"/>
    <w:rsid w:val="376E2676"/>
    <w:rsid w:val="376E70A4"/>
    <w:rsid w:val="37701082"/>
    <w:rsid w:val="37711BEF"/>
    <w:rsid w:val="37732382"/>
    <w:rsid w:val="37732D59"/>
    <w:rsid w:val="377528DC"/>
    <w:rsid w:val="37754915"/>
    <w:rsid w:val="37755D74"/>
    <w:rsid w:val="37773C20"/>
    <w:rsid w:val="37781747"/>
    <w:rsid w:val="3779143F"/>
    <w:rsid w:val="3779149A"/>
    <w:rsid w:val="37791906"/>
    <w:rsid w:val="37797999"/>
    <w:rsid w:val="377A4739"/>
    <w:rsid w:val="377A54BF"/>
    <w:rsid w:val="377C56CA"/>
    <w:rsid w:val="377F3B92"/>
    <w:rsid w:val="378011CC"/>
    <w:rsid w:val="3781407F"/>
    <w:rsid w:val="37816E26"/>
    <w:rsid w:val="37832863"/>
    <w:rsid w:val="37851533"/>
    <w:rsid w:val="37856522"/>
    <w:rsid w:val="3785779C"/>
    <w:rsid w:val="37857C22"/>
    <w:rsid w:val="378620B5"/>
    <w:rsid w:val="37895702"/>
    <w:rsid w:val="378B0211"/>
    <w:rsid w:val="378B76CC"/>
    <w:rsid w:val="378C4F44"/>
    <w:rsid w:val="378D2097"/>
    <w:rsid w:val="378E072C"/>
    <w:rsid w:val="378E0F6A"/>
    <w:rsid w:val="378E12F9"/>
    <w:rsid w:val="378E6859"/>
    <w:rsid w:val="37911BA5"/>
    <w:rsid w:val="379245B6"/>
    <w:rsid w:val="3793576F"/>
    <w:rsid w:val="379412E7"/>
    <w:rsid w:val="37963C65"/>
    <w:rsid w:val="37965C4F"/>
    <w:rsid w:val="379753A2"/>
    <w:rsid w:val="37976071"/>
    <w:rsid w:val="37976B45"/>
    <w:rsid w:val="37984905"/>
    <w:rsid w:val="379851DD"/>
    <w:rsid w:val="379954F3"/>
    <w:rsid w:val="379A7C7E"/>
    <w:rsid w:val="379B79CD"/>
    <w:rsid w:val="379C4FBB"/>
    <w:rsid w:val="379C5435"/>
    <w:rsid w:val="379E634E"/>
    <w:rsid w:val="37A12597"/>
    <w:rsid w:val="37A12A4B"/>
    <w:rsid w:val="37A174EA"/>
    <w:rsid w:val="37A23E2F"/>
    <w:rsid w:val="37A33059"/>
    <w:rsid w:val="37A367C3"/>
    <w:rsid w:val="37A553DC"/>
    <w:rsid w:val="37A61D2C"/>
    <w:rsid w:val="37A81D9F"/>
    <w:rsid w:val="37A84621"/>
    <w:rsid w:val="37A91900"/>
    <w:rsid w:val="37A97174"/>
    <w:rsid w:val="37AE6F16"/>
    <w:rsid w:val="37AF7009"/>
    <w:rsid w:val="37AF7FE3"/>
    <w:rsid w:val="37B0270A"/>
    <w:rsid w:val="37B07132"/>
    <w:rsid w:val="37B13E97"/>
    <w:rsid w:val="37B268E5"/>
    <w:rsid w:val="37B409D1"/>
    <w:rsid w:val="37B728E5"/>
    <w:rsid w:val="37B75CFC"/>
    <w:rsid w:val="37B931D5"/>
    <w:rsid w:val="37C01999"/>
    <w:rsid w:val="37C07B1C"/>
    <w:rsid w:val="37C10D7C"/>
    <w:rsid w:val="37C14E9C"/>
    <w:rsid w:val="37C36E66"/>
    <w:rsid w:val="37C43263"/>
    <w:rsid w:val="37C443DA"/>
    <w:rsid w:val="37C449D1"/>
    <w:rsid w:val="37C468DF"/>
    <w:rsid w:val="37C60442"/>
    <w:rsid w:val="37C80A6E"/>
    <w:rsid w:val="37C8622A"/>
    <w:rsid w:val="37C87031"/>
    <w:rsid w:val="37C97989"/>
    <w:rsid w:val="37CA01F4"/>
    <w:rsid w:val="37CA3C84"/>
    <w:rsid w:val="37CA561C"/>
    <w:rsid w:val="37CB17CA"/>
    <w:rsid w:val="37CB5D1A"/>
    <w:rsid w:val="37CC10E8"/>
    <w:rsid w:val="37CE29CF"/>
    <w:rsid w:val="37CF580A"/>
    <w:rsid w:val="37D00146"/>
    <w:rsid w:val="37D026B9"/>
    <w:rsid w:val="37D0718F"/>
    <w:rsid w:val="37D16B8E"/>
    <w:rsid w:val="37D32B5C"/>
    <w:rsid w:val="37D36C83"/>
    <w:rsid w:val="37D42E21"/>
    <w:rsid w:val="37D50FEE"/>
    <w:rsid w:val="37D5528D"/>
    <w:rsid w:val="37D66532"/>
    <w:rsid w:val="37D72911"/>
    <w:rsid w:val="37D93FC1"/>
    <w:rsid w:val="37DA0F0A"/>
    <w:rsid w:val="37DA555E"/>
    <w:rsid w:val="37DA722C"/>
    <w:rsid w:val="37DB5071"/>
    <w:rsid w:val="37DB6E03"/>
    <w:rsid w:val="37DC7FC7"/>
    <w:rsid w:val="37DE4F22"/>
    <w:rsid w:val="37DF17C6"/>
    <w:rsid w:val="37E1553E"/>
    <w:rsid w:val="37E16DEA"/>
    <w:rsid w:val="37E65AFD"/>
    <w:rsid w:val="37E73864"/>
    <w:rsid w:val="37EB3CC7"/>
    <w:rsid w:val="37EE143E"/>
    <w:rsid w:val="37EF17E7"/>
    <w:rsid w:val="37EF7C5B"/>
    <w:rsid w:val="37F17146"/>
    <w:rsid w:val="37F30965"/>
    <w:rsid w:val="37F520F7"/>
    <w:rsid w:val="37F555DB"/>
    <w:rsid w:val="37F6240E"/>
    <w:rsid w:val="37F62926"/>
    <w:rsid w:val="37F6650C"/>
    <w:rsid w:val="37F8482F"/>
    <w:rsid w:val="37F963E3"/>
    <w:rsid w:val="37FA7E47"/>
    <w:rsid w:val="37FB56A4"/>
    <w:rsid w:val="37FE01FA"/>
    <w:rsid w:val="37FF14F7"/>
    <w:rsid w:val="37FF2F9C"/>
    <w:rsid w:val="38002096"/>
    <w:rsid w:val="380028EC"/>
    <w:rsid w:val="38002AE5"/>
    <w:rsid w:val="3800409C"/>
    <w:rsid w:val="38022A43"/>
    <w:rsid w:val="38033706"/>
    <w:rsid w:val="38064FA4"/>
    <w:rsid w:val="38073014"/>
    <w:rsid w:val="38080D1C"/>
    <w:rsid w:val="38082ACA"/>
    <w:rsid w:val="380B4369"/>
    <w:rsid w:val="380E3DAA"/>
    <w:rsid w:val="38116DCE"/>
    <w:rsid w:val="381274A5"/>
    <w:rsid w:val="38131B4E"/>
    <w:rsid w:val="38135D20"/>
    <w:rsid w:val="381471FC"/>
    <w:rsid w:val="38166F6B"/>
    <w:rsid w:val="38172D0E"/>
    <w:rsid w:val="38180898"/>
    <w:rsid w:val="381A3CAD"/>
    <w:rsid w:val="381A7687"/>
    <w:rsid w:val="381B02AD"/>
    <w:rsid w:val="381D6E01"/>
    <w:rsid w:val="381E5E4A"/>
    <w:rsid w:val="38213B8C"/>
    <w:rsid w:val="38217D66"/>
    <w:rsid w:val="38233396"/>
    <w:rsid w:val="38241748"/>
    <w:rsid w:val="38247AE2"/>
    <w:rsid w:val="38262F51"/>
    <w:rsid w:val="382920B3"/>
    <w:rsid w:val="382B0CDD"/>
    <w:rsid w:val="382B67B9"/>
    <w:rsid w:val="382C3A66"/>
    <w:rsid w:val="383513E6"/>
    <w:rsid w:val="383545A7"/>
    <w:rsid w:val="3837445B"/>
    <w:rsid w:val="3837540F"/>
    <w:rsid w:val="3838181B"/>
    <w:rsid w:val="3839587C"/>
    <w:rsid w:val="383A69FC"/>
    <w:rsid w:val="383B2EA0"/>
    <w:rsid w:val="383C09C6"/>
    <w:rsid w:val="383C4522"/>
    <w:rsid w:val="383C70CD"/>
    <w:rsid w:val="383E029A"/>
    <w:rsid w:val="383F4FB6"/>
    <w:rsid w:val="38402264"/>
    <w:rsid w:val="38410654"/>
    <w:rsid w:val="38415FDC"/>
    <w:rsid w:val="384669F0"/>
    <w:rsid w:val="384864BF"/>
    <w:rsid w:val="384927BA"/>
    <w:rsid w:val="384B29B7"/>
    <w:rsid w:val="384C2104"/>
    <w:rsid w:val="384C64EB"/>
    <w:rsid w:val="384E1216"/>
    <w:rsid w:val="384E39DC"/>
    <w:rsid w:val="38523D46"/>
    <w:rsid w:val="38537267"/>
    <w:rsid w:val="38593621"/>
    <w:rsid w:val="385B2CEB"/>
    <w:rsid w:val="385B52F0"/>
    <w:rsid w:val="385B7756"/>
    <w:rsid w:val="385C05BE"/>
    <w:rsid w:val="385F0CD8"/>
    <w:rsid w:val="38602906"/>
    <w:rsid w:val="38614DC8"/>
    <w:rsid w:val="38635F18"/>
    <w:rsid w:val="38643D8F"/>
    <w:rsid w:val="386677F1"/>
    <w:rsid w:val="38673C95"/>
    <w:rsid w:val="38675A43"/>
    <w:rsid w:val="38675D29"/>
    <w:rsid w:val="386761EB"/>
    <w:rsid w:val="386808FA"/>
    <w:rsid w:val="386A5533"/>
    <w:rsid w:val="386C0121"/>
    <w:rsid w:val="38714D37"/>
    <w:rsid w:val="387255E2"/>
    <w:rsid w:val="38743CBC"/>
    <w:rsid w:val="3876046B"/>
    <w:rsid w:val="3876776F"/>
    <w:rsid w:val="387737AC"/>
    <w:rsid w:val="387B02AE"/>
    <w:rsid w:val="387B504A"/>
    <w:rsid w:val="387C7B59"/>
    <w:rsid w:val="387D67B2"/>
    <w:rsid w:val="387D7F16"/>
    <w:rsid w:val="387E0FDF"/>
    <w:rsid w:val="387E2D8D"/>
    <w:rsid w:val="387E41B6"/>
    <w:rsid w:val="388008B3"/>
    <w:rsid w:val="38806B05"/>
    <w:rsid w:val="3881462B"/>
    <w:rsid w:val="38814BD3"/>
    <w:rsid w:val="38815748"/>
    <w:rsid w:val="38827733"/>
    <w:rsid w:val="38835FCA"/>
    <w:rsid w:val="38845301"/>
    <w:rsid w:val="38856139"/>
    <w:rsid w:val="38887CF3"/>
    <w:rsid w:val="38896B4E"/>
    <w:rsid w:val="38896D41"/>
    <w:rsid w:val="388A7F31"/>
    <w:rsid w:val="388C002A"/>
    <w:rsid w:val="388C54AA"/>
    <w:rsid w:val="388D4D7E"/>
    <w:rsid w:val="388F25E2"/>
    <w:rsid w:val="38911F6C"/>
    <w:rsid w:val="389205E6"/>
    <w:rsid w:val="38926838"/>
    <w:rsid w:val="38964FC3"/>
    <w:rsid w:val="389655B6"/>
    <w:rsid w:val="38967C17"/>
    <w:rsid w:val="389820A0"/>
    <w:rsid w:val="389A0FAF"/>
    <w:rsid w:val="389B393F"/>
    <w:rsid w:val="389B56ED"/>
    <w:rsid w:val="389C3179"/>
    <w:rsid w:val="389E17EE"/>
    <w:rsid w:val="389E2FF7"/>
    <w:rsid w:val="38A238FF"/>
    <w:rsid w:val="38A30A45"/>
    <w:rsid w:val="38A60D97"/>
    <w:rsid w:val="38A663E7"/>
    <w:rsid w:val="38A722E3"/>
    <w:rsid w:val="38AB7897"/>
    <w:rsid w:val="38AC0A11"/>
    <w:rsid w:val="38AD6424"/>
    <w:rsid w:val="38AF2F28"/>
    <w:rsid w:val="38AF3476"/>
    <w:rsid w:val="38B26F8B"/>
    <w:rsid w:val="38B30C88"/>
    <w:rsid w:val="38B4460C"/>
    <w:rsid w:val="38B56F92"/>
    <w:rsid w:val="38B7712F"/>
    <w:rsid w:val="38B93499"/>
    <w:rsid w:val="38BA31C2"/>
    <w:rsid w:val="38BA6BE8"/>
    <w:rsid w:val="38BA743B"/>
    <w:rsid w:val="38BB7B3D"/>
    <w:rsid w:val="38BD5429"/>
    <w:rsid w:val="38BD5663"/>
    <w:rsid w:val="38BE0CDB"/>
    <w:rsid w:val="38BE13DB"/>
    <w:rsid w:val="38BE2D85"/>
    <w:rsid w:val="38C20ECB"/>
    <w:rsid w:val="38C24DB3"/>
    <w:rsid w:val="38C516E9"/>
    <w:rsid w:val="38C56769"/>
    <w:rsid w:val="38C56C0D"/>
    <w:rsid w:val="38C62B7B"/>
    <w:rsid w:val="38C8225A"/>
    <w:rsid w:val="38C904AC"/>
    <w:rsid w:val="38CA2E9D"/>
    <w:rsid w:val="38CA4224"/>
    <w:rsid w:val="38CA5F8E"/>
    <w:rsid w:val="38CC3AF8"/>
    <w:rsid w:val="38D0336D"/>
    <w:rsid w:val="38D10CC3"/>
    <w:rsid w:val="38D155B2"/>
    <w:rsid w:val="38D81DC4"/>
    <w:rsid w:val="38D9778B"/>
    <w:rsid w:val="38DA604A"/>
    <w:rsid w:val="38DC0750"/>
    <w:rsid w:val="38E01351"/>
    <w:rsid w:val="38E3340E"/>
    <w:rsid w:val="38E452E6"/>
    <w:rsid w:val="38E76B84"/>
    <w:rsid w:val="38E87616"/>
    <w:rsid w:val="38ED15BE"/>
    <w:rsid w:val="38ED4791"/>
    <w:rsid w:val="38ED4A23"/>
    <w:rsid w:val="38ED5C53"/>
    <w:rsid w:val="38ED6477"/>
    <w:rsid w:val="38EE4AAE"/>
    <w:rsid w:val="38EF77E6"/>
    <w:rsid w:val="38EF7C2F"/>
    <w:rsid w:val="38F05D77"/>
    <w:rsid w:val="38F117B0"/>
    <w:rsid w:val="38F17772"/>
    <w:rsid w:val="38F17A02"/>
    <w:rsid w:val="38F23661"/>
    <w:rsid w:val="38F429E7"/>
    <w:rsid w:val="38F47B30"/>
    <w:rsid w:val="38F55823"/>
    <w:rsid w:val="38F566EC"/>
    <w:rsid w:val="38F60B75"/>
    <w:rsid w:val="38F65D26"/>
    <w:rsid w:val="38F65D6D"/>
    <w:rsid w:val="38F66549"/>
    <w:rsid w:val="38F80D91"/>
    <w:rsid w:val="38F82B3F"/>
    <w:rsid w:val="38F85146"/>
    <w:rsid w:val="38F9283E"/>
    <w:rsid w:val="38FA6DE4"/>
    <w:rsid w:val="38FC1BB2"/>
    <w:rsid w:val="38FD0155"/>
    <w:rsid w:val="38FD1F03"/>
    <w:rsid w:val="38FD3FB5"/>
    <w:rsid w:val="38FE0016"/>
    <w:rsid w:val="38FE118F"/>
    <w:rsid w:val="39001DF2"/>
    <w:rsid w:val="39016A0B"/>
    <w:rsid w:val="39033292"/>
    <w:rsid w:val="3904061D"/>
    <w:rsid w:val="390414E4"/>
    <w:rsid w:val="39070FD4"/>
    <w:rsid w:val="39072D82"/>
    <w:rsid w:val="390B7A49"/>
    <w:rsid w:val="390D0C4C"/>
    <w:rsid w:val="390D7B86"/>
    <w:rsid w:val="390F7E89"/>
    <w:rsid w:val="391060DB"/>
    <w:rsid w:val="391364A0"/>
    <w:rsid w:val="391536F1"/>
    <w:rsid w:val="391917F2"/>
    <w:rsid w:val="391B6D0F"/>
    <w:rsid w:val="391F477E"/>
    <w:rsid w:val="391F5588"/>
    <w:rsid w:val="39202096"/>
    <w:rsid w:val="3922196A"/>
    <w:rsid w:val="39231DC6"/>
    <w:rsid w:val="39237490"/>
    <w:rsid w:val="39240A54"/>
    <w:rsid w:val="3924107A"/>
    <w:rsid w:val="39241B86"/>
    <w:rsid w:val="3924733A"/>
    <w:rsid w:val="392747CC"/>
    <w:rsid w:val="39292CF8"/>
    <w:rsid w:val="3929719C"/>
    <w:rsid w:val="392A001C"/>
    <w:rsid w:val="392A5548"/>
    <w:rsid w:val="392B4CC2"/>
    <w:rsid w:val="392B54C8"/>
    <w:rsid w:val="392C1B53"/>
    <w:rsid w:val="392C73F4"/>
    <w:rsid w:val="392E33FF"/>
    <w:rsid w:val="3930729B"/>
    <w:rsid w:val="39311BAD"/>
    <w:rsid w:val="39330ED1"/>
    <w:rsid w:val="39335925"/>
    <w:rsid w:val="393450E2"/>
    <w:rsid w:val="39355ABC"/>
    <w:rsid w:val="39357B6D"/>
    <w:rsid w:val="39396CB4"/>
    <w:rsid w:val="393C0BCA"/>
    <w:rsid w:val="393D2C48"/>
    <w:rsid w:val="393D53EF"/>
    <w:rsid w:val="393E28D8"/>
    <w:rsid w:val="39406294"/>
    <w:rsid w:val="39407DC9"/>
    <w:rsid w:val="394175B7"/>
    <w:rsid w:val="39437D0B"/>
    <w:rsid w:val="39445009"/>
    <w:rsid w:val="3947043B"/>
    <w:rsid w:val="3948754F"/>
    <w:rsid w:val="39492910"/>
    <w:rsid w:val="394D416D"/>
    <w:rsid w:val="395444FA"/>
    <w:rsid w:val="39553AED"/>
    <w:rsid w:val="39557F91"/>
    <w:rsid w:val="39570F7B"/>
    <w:rsid w:val="395A5F90"/>
    <w:rsid w:val="395E1EC2"/>
    <w:rsid w:val="395E2828"/>
    <w:rsid w:val="39603161"/>
    <w:rsid w:val="396106F6"/>
    <w:rsid w:val="39611C41"/>
    <w:rsid w:val="3962445C"/>
    <w:rsid w:val="39641F82"/>
    <w:rsid w:val="39643D30"/>
    <w:rsid w:val="39644270"/>
    <w:rsid w:val="39644D95"/>
    <w:rsid w:val="39647FE9"/>
    <w:rsid w:val="396D6D0A"/>
    <w:rsid w:val="396E2D8F"/>
    <w:rsid w:val="396E33EB"/>
    <w:rsid w:val="396F025C"/>
    <w:rsid w:val="39705995"/>
    <w:rsid w:val="39706F89"/>
    <w:rsid w:val="3972687A"/>
    <w:rsid w:val="39736B31"/>
    <w:rsid w:val="397553D2"/>
    <w:rsid w:val="39766971"/>
    <w:rsid w:val="39777AE1"/>
    <w:rsid w:val="39783C80"/>
    <w:rsid w:val="39784750"/>
    <w:rsid w:val="39797D07"/>
    <w:rsid w:val="397A040E"/>
    <w:rsid w:val="397A3745"/>
    <w:rsid w:val="397C1E1E"/>
    <w:rsid w:val="397D460D"/>
    <w:rsid w:val="397F007B"/>
    <w:rsid w:val="398041A1"/>
    <w:rsid w:val="3980722A"/>
    <w:rsid w:val="39833122"/>
    <w:rsid w:val="3983630E"/>
    <w:rsid w:val="39847402"/>
    <w:rsid w:val="39861EF9"/>
    <w:rsid w:val="398647D6"/>
    <w:rsid w:val="39877995"/>
    <w:rsid w:val="39882115"/>
    <w:rsid w:val="398B750F"/>
    <w:rsid w:val="398C683F"/>
    <w:rsid w:val="398D44FC"/>
    <w:rsid w:val="39910DD9"/>
    <w:rsid w:val="39916AF0"/>
    <w:rsid w:val="39930ABA"/>
    <w:rsid w:val="399339B8"/>
    <w:rsid w:val="39934616"/>
    <w:rsid w:val="399830AD"/>
    <w:rsid w:val="399833FA"/>
    <w:rsid w:val="399B34CA"/>
    <w:rsid w:val="399C796E"/>
    <w:rsid w:val="399E53FE"/>
    <w:rsid w:val="399F120C"/>
    <w:rsid w:val="39A078A0"/>
    <w:rsid w:val="39A22AAB"/>
    <w:rsid w:val="39A27109"/>
    <w:rsid w:val="39A27F0D"/>
    <w:rsid w:val="39A836C1"/>
    <w:rsid w:val="39A86313"/>
    <w:rsid w:val="39A9208B"/>
    <w:rsid w:val="39AB2E16"/>
    <w:rsid w:val="39AC56D7"/>
    <w:rsid w:val="39AE6463"/>
    <w:rsid w:val="39AF61D8"/>
    <w:rsid w:val="39B01653"/>
    <w:rsid w:val="39B02262"/>
    <w:rsid w:val="39B02BFA"/>
    <w:rsid w:val="39B26C5B"/>
    <w:rsid w:val="39B324CD"/>
    <w:rsid w:val="39B34182"/>
    <w:rsid w:val="39B4306C"/>
    <w:rsid w:val="39B50A30"/>
    <w:rsid w:val="39B80B16"/>
    <w:rsid w:val="39B95C04"/>
    <w:rsid w:val="39BA1BA2"/>
    <w:rsid w:val="39BC6705"/>
    <w:rsid w:val="39BF3306"/>
    <w:rsid w:val="39C04D99"/>
    <w:rsid w:val="39C2350C"/>
    <w:rsid w:val="39C40C73"/>
    <w:rsid w:val="39C54B7F"/>
    <w:rsid w:val="39C576F9"/>
    <w:rsid w:val="39C65F0A"/>
    <w:rsid w:val="39C834E2"/>
    <w:rsid w:val="39C864C5"/>
    <w:rsid w:val="39CA46E3"/>
    <w:rsid w:val="39CA622A"/>
    <w:rsid w:val="39CB740D"/>
    <w:rsid w:val="39CC73B6"/>
    <w:rsid w:val="39CF1B0C"/>
    <w:rsid w:val="39D569DC"/>
    <w:rsid w:val="39D57E34"/>
    <w:rsid w:val="39D968A0"/>
    <w:rsid w:val="39DA0497"/>
    <w:rsid w:val="39DA282A"/>
    <w:rsid w:val="39DA3FF3"/>
    <w:rsid w:val="39DC6679"/>
    <w:rsid w:val="39DD464B"/>
    <w:rsid w:val="39DD571A"/>
    <w:rsid w:val="39DD5DE7"/>
    <w:rsid w:val="39E05BC6"/>
    <w:rsid w:val="39E1624A"/>
    <w:rsid w:val="39E32C62"/>
    <w:rsid w:val="39E73B05"/>
    <w:rsid w:val="39E934F2"/>
    <w:rsid w:val="39EC027C"/>
    <w:rsid w:val="39ED7CB0"/>
    <w:rsid w:val="39F02795"/>
    <w:rsid w:val="39F27413"/>
    <w:rsid w:val="39F33306"/>
    <w:rsid w:val="39F552D0"/>
    <w:rsid w:val="39FA26AF"/>
    <w:rsid w:val="39FA2880"/>
    <w:rsid w:val="39FD5C90"/>
    <w:rsid w:val="39FE23D7"/>
    <w:rsid w:val="39FF3BFA"/>
    <w:rsid w:val="3A021F67"/>
    <w:rsid w:val="3A024838"/>
    <w:rsid w:val="3A03179B"/>
    <w:rsid w:val="3A0379ED"/>
    <w:rsid w:val="3A042647"/>
    <w:rsid w:val="3A053B9B"/>
    <w:rsid w:val="3A0579C1"/>
    <w:rsid w:val="3A072D06"/>
    <w:rsid w:val="3A0C109C"/>
    <w:rsid w:val="3A0D43C8"/>
    <w:rsid w:val="3A0D75B5"/>
    <w:rsid w:val="3A113462"/>
    <w:rsid w:val="3A12461D"/>
    <w:rsid w:val="3A127C30"/>
    <w:rsid w:val="3A156E7D"/>
    <w:rsid w:val="3A176FF5"/>
    <w:rsid w:val="3A186706"/>
    <w:rsid w:val="3A1C3049"/>
    <w:rsid w:val="3A1C4631"/>
    <w:rsid w:val="3A1F2C73"/>
    <w:rsid w:val="3A202852"/>
    <w:rsid w:val="3A2133F1"/>
    <w:rsid w:val="3A231E3E"/>
    <w:rsid w:val="3A241712"/>
    <w:rsid w:val="3A243B97"/>
    <w:rsid w:val="3A286EDC"/>
    <w:rsid w:val="3A2B7779"/>
    <w:rsid w:val="3A2F2590"/>
    <w:rsid w:val="3A304A1A"/>
    <w:rsid w:val="3A31374A"/>
    <w:rsid w:val="3A3151E5"/>
    <w:rsid w:val="3A3257CF"/>
    <w:rsid w:val="3A340B0B"/>
    <w:rsid w:val="3A351565"/>
    <w:rsid w:val="3A351C27"/>
    <w:rsid w:val="3A3646D2"/>
    <w:rsid w:val="3A383CB2"/>
    <w:rsid w:val="3A3C4CAD"/>
    <w:rsid w:val="3A3E0A25"/>
    <w:rsid w:val="3A4060DF"/>
    <w:rsid w:val="3A426B43"/>
    <w:rsid w:val="3A4447B2"/>
    <w:rsid w:val="3A465B2C"/>
    <w:rsid w:val="3A476B07"/>
    <w:rsid w:val="3A4818A4"/>
    <w:rsid w:val="3A485CA9"/>
    <w:rsid w:val="3A492409"/>
    <w:rsid w:val="3A4A00A8"/>
    <w:rsid w:val="3A4A1178"/>
    <w:rsid w:val="3A4A72A3"/>
    <w:rsid w:val="3A4B4EF0"/>
    <w:rsid w:val="3A4C35B7"/>
    <w:rsid w:val="3A4C6C36"/>
    <w:rsid w:val="3A4D0C68"/>
    <w:rsid w:val="3A4F2C33"/>
    <w:rsid w:val="3A50591E"/>
    <w:rsid w:val="3A506508"/>
    <w:rsid w:val="3A52002D"/>
    <w:rsid w:val="3A532C86"/>
    <w:rsid w:val="3A537A35"/>
    <w:rsid w:val="3A5405D4"/>
    <w:rsid w:val="3A540E29"/>
    <w:rsid w:val="3A5469C8"/>
    <w:rsid w:val="3A564669"/>
    <w:rsid w:val="3A573895"/>
    <w:rsid w:val="3A593149"/>
    <w:rsid w:val="3A59585F"/>
    <w:rsid w:val="3A5D01C8"/>
    <w:rsid w:val="3A5D12B5"/>
    <w:rsid w:val="3A5E472D"/>
    <w:rsid w:val="3A5E7E93"/>
    <w:rsid w:val="3A5F274A"/>
    <w:rsid w:val="3A5F50F7"/>
    <w:rsid w:val="3A60672A"/>
    <w:rsid w:val="3A60703B"/>
    <w:rsid w:val="3A61085A"/>
    <w:rsid w:val="3A61177C"/>
    <w:rsid w:val="3A633EFE"/>
    <w:rsid w:val="3A6366DE"/>
    <w:rsid w:val="3A6369BA"/>
    <w:rsid w:val="3A655FB2"/>
    <w:rsid w:val="3A6701BF"/>
    <w:rsid w:val="3A68373B"/>
    <w:rsid w:val="3A6A7E5F"/>
    <w:rsid w:val="3A6D4031"/>
    <w:rsid w:val="3A6F27BA"/>
    <w:rsid w:val="3A6F6E31"/>
    <w:rsid w:val="3A712BA9"/>
    <w:rsid w:val="3A714924"/>
    <w:rsid w:val="3A726921"/>
    <w:rsid w:val="3A750F66"/>
    <w:rsid w:val="3A751F6D"/>
    <w:rsid w:val="3A766411"/>
    <w:rsid w:val="3A7A70F1"/>
    <w:rsid w:val="3A7A7B33"/>
    <w:rsid w:val="3A7C32FC"/>
    <w:rsid w:val="3A7E7074"/>
    <w:rsid w:val="3A7F6446"/>
    <w:rsid w:val="3A80103E"/>
    <w:rsid w:val="3A804B9A"/>
    <w:rsid w:val="3A810EC2"/>
    <w:rsid w:val="3A824DB6"/>
    <w:rsid w:val="3A83468A"/>
    <w:rsid w:val="3A836438"/>
    <w:rsid w:val="3A86323C"/>
    <w:rsid w:val="3A865F28"/>
    <w:rsid w:val="3A883F3B"/>
    <w:rsid w:val="3A887DC6"/>
    <w:rsid w:val="3A8A2E3E"/>
    <w:rsid w:val="3A8B353F"/>
    <w:rsid w:val="3A8F5EDC"/>
    <w:rsid w:val="3A8F79F9"/>
    <w:rsid w:val="3A914FF9"/>
    <w:rsid w:val="3A922AEF"/>
    <w:rsid w:val="3A940645"/>
    <w:rsid w:val="3A941A91"/>
    <w:rsid w:val="3A944AE9"/>
    <w:rsid w:val="3A946897"/>
    <w:rsid w:val="3A960F1D"/>
    <w:rsid w:val="3A981760"/>
    <w:rsid w:val="3A994B6E"/>
    <w:rsid w:val="3A9B6739"/>
    <w:rsid w:val="3A9B7C26"/>
    <w:rsid w:val="3A9C574C"/>
    <w:rsid w:val="3A9C61D9"/>
    <w:rsid w:val="3A9D19CF"/>
    <w:rsid w:val="3A9D2F2C"/>
    <w:rsid w:val="3A9E782E"/>
    <w:rsid w:val="3AA0348E"/>
    <w:rsid w:val="3AA34D2C"/>
    <w:rsid w:val="3AA43493"/>
    <w:rsid w:val="3AA477F1"/>
    <w:rsid w:val="3AA47D0C"/>
    <w:rsid w:val="3AA50161"/>
    <w:rsid w:val="3AA60466"/>
    <w:rsid w:val="3AA8387C"/>
    <w:rsid w:val="3AA85F95"/>
    <w:rsid w:val="3AAA1C17"/>
    <w:rsid w:val="3AAA7E69"/>
    <w:rsid w:val="3AAB1C5E"/>
    <w:rsid w:val="3AAD6AC6"/>
    <w:rsid w:val="3AAD7C02"/>
    <w:rsid w:val="3AAE50AC"/>
    <w:rsid w:val="3AAE5142"/>
    <w:rsid w:val="3AAF722D"/>
    <w:rsid w:val="3AB17686"/>
    <w:rsid w:val="3AB31C5D"/>
    <w:rsid w:val="3AB31E12"/>
    <w:rsid w:val="3AB343AB"/>
    <w:rsid w:val="3AB46F3A"/>
    <w:rsid w:val="3AB62162"/>
    <w:rsid w:val="3AB7090A"/>
    <w:rsid w:val="3AB900AC"/>
    <w:rsid w:val="3ABC194A"/>
    <w:rsid w:val="3ABD6609"/>
    <w:rsid w:val="3ABD7EF5"/>
    <w:rsid w:val="3ABE56C2"/>
    <w:rsid w:val="3ABF0A07"/>
    <w:rsid w:val="3AC2432A"/>
    <w:rsid w:val="3AC3316C"/>
    <w:rsid w:val="3AC3587C"/>
    <w:rsid w:val="3AC37A6B"/>
    <w:rsid w:val="3AC423BF"/>
    <w:rsid w:val="3AC56A51"/>
    <w:rsid w:val="3AC94DA9"/>
    <w:rsid w:val="3ACE6B2C"/>
    <w:rsid w:val="3ACE7FFB"/>
    <w:rsid w:val="3ACF5FA0"/>
    <w:rsid w:val="3AD006E5"/>
    <w:rsid w:val="3AD07404"/>
    <w:rsid w:val="3AD1189A"/>
    <w:rsid w:val="3AD14283"/>
    <w:rsid w:val="3AD35CDD"/>
    <w:rsid w:val="3AD46C94"/>
    <w:rsid w:val="3AD52BF8"/>
    <w:rsid w:val="3AD71D29"/>
    <w:rsid w:val="3AD74A85"/>
    <w:rsid w:val="3AD841A2"/>
    <w:rsid w:val="3AD849D6"/>
    <w:rsid w:val="3AD85C82"/>
    <w:rsid w:val="3AD9266B"/>
    <w:rsid w:val="3AD9693B"/>
    <w:rsid w:val="3ADA6DC5"/>
    <w:rsid w:val="3ADB0022"/>
    <w:rsid w:val="3ADB4647"/>
    <w:rsid w:val="3ADB6274"/>
    <w:rsid w:val="3ADB6EFD"/>
    <w:rsid w:val="3ADC631C"/>
    <w:rsid w:val="3ADF6838"/>
    <w:rsid w:val="3ADF71D3"/>
    <w:rsid w:val="3AE11656"/>
    <w:rsid w:val="3AE3337B"/>
    <w:rsid w:val="3AE35149"/>
    <w:rsid w:val="3AE42A27"/>
    <w:rsid w:val="3AE66429"/>
    <w:rsid w:val="3AEA295B"/>
    <w:rsid w:val="3AEA64B7"/>
    <w:rsid w:val="3AEC222F"/>
    <w:rsid w:val="3AED5CB9"/>
    <w:rsid w:val="3AEF5E7C"/>
    <w:rsid w:val="3AEF602E"/>
    <w:rsid w:val="3AF15824"/>
    <w:rsid w:val="3AF15A98"/>
    <w:rsid w:val="3AF20837"/>
    <w:rsid w:val="3AF3727C"/>
    <w:rsid w:val="3AFB6916"/>
    <w:rsid w:val="3AFB6C09"/>
    <w:rsid w:val="3AFC62E5"/>
    <w:rsid w:val="3AFE1F63"/>
    <w:rsid w:val="3B020F5F"/>
    <w:rsid w:val="3B033335"/>
    <w:rsid w:val="3B0603D8"/>
    <w:rsid w:val="3B0752BB"/>
    <w:rsid w:val="3B07733A"/>
    <w:rsid w:val="3B084D56"/>
    <w:rsid w:val="3B0B7708"/>
    <w:rsid w:val="3B0C05A2"/>
    <w:rsid w:val="3B0C28D2"/>
    <w:rsid w:val="3B0C5D64"/>
    <w:rsid w:val="3B0F23C2"/>
    <w:rsid w:val="3B0F69DA"/>
    <w:rsid w:val="3B117D1D"/>
    <w:rsid w:val="3B12036F"/>
    <w:rsid w:val="3B125121"/>
    <w:rsid w:val="3B137907"/>
    <w:rsid w:val="3B143CDD"/>
    <w:rsid w:val="3B1477B9"/>
    <w:rsid w:val="3B157003"/>
    <w:rsid w:val="3B181276"/>
    <w:rsid w:val="3B1925BB"/>
    <w:rsid w:val="3B1A4233"/>
    <w:rsid w:val="3B1B3938"/>
    <w:rsid w:val="3B1B59C7"/>
    <w:rsid w:val="3B1C74AC"/>
    <w:rsid w:val="3B1E7ADC"/>
    <w:rsid w:val="3B1F2605"/>
    <w:rsid w:val="3B1F73CB"/>
    <w:rsid w:val="3B216D6A"/>
    <w:rsid w:val="3B2220F5"/>
    <w:rsid w:val="3B225C51"/>
    <w:rsid w:val="3B2319C9"/>
    <w:rsid w:val="3B23389E"/>
    <w:rsid w:val="3B236155"/>
    <w:rsid w:val="3B253993"/>
    <w:rsid w:val="3B255741"/>
    <w:rsid w:val="3B2624B3"/>
    <w:rsid w:val="3B274BA5"/>
    <w:rsid w:val="3B27770B"/>
    <w:rsid w:val="3B286C5A"/>
    <w:rsid w:val="3B2929B3"/>
    <w:rsid w:val="3B293E28"/>
    <w:rsid w:val="3B2A71FC"/>
    <w:rsid w:val="3B2B47D3"/>
    <w:rsid w:val="3B2C0377"/>
    <w:rsid w:val="3B2D7BB0"/>
    <w:rsid w:val="3B2E6E59"/>
    <w:rsid w:val="3B2F3D42"/>
    <w:rsid w:val="3B305927"/>
    <w:rsid w:val="3B307B9A"/>
    <w:rsid w:val="3B312982"/>
    <w:rsid w:val="3B313D2D"/>
    <w:rsid w:val="3B337E5E"/>
    <w:rsid w:val="3B3572F1"/>
    <w:rsid w:val="3B38059C"/>
    <w:rsid w:val="3B385190"/>
    <w:rsid w:val="3B385475"/>
    <w:rsid w:val="3B3A70B3"/>
    <w:rsid w:val="3B3C67A4"/>
    <w:rsid w:val="3B3D5643"/>
    <w:rsid w:val="3B3E0A5D"/>
    <w:rsid w:val="3B415103"/>
    <w:rsid w:val="3B4309FB"/>
    <w:rsid w:val="3B44078E"/>
    <w:rsid w:val="3B467D00"/>
    <w:rsid w:val="3B4958D4"/>
    <w:rsid w:val="3B4C078F"/>
    <w:rsid w:val="3B4D3158"/>
    <w:rsid w:val="3B501C3D"/>
    <w:rsid w:val="3B502344"/>
    <w:rsid w:val="3B516536"/>
    <w:rsid w:val="3B5351C8"/>
    <w:rsid w:val="3B542D8C"/>
    <w:rsid w:val="3B547DD5"/>
    <w:rsid w:val="3B581673"/>
    <w:rsid w:val="3B5833C3"/>
    <w:rsid w:val="3B583D69"/>
    <w:rsid w:val="3B5A363D"/>
    <w:rsid w:val="3B5A3BC9"/>
    <w:rsid w:val="3B5A4B44"/>
    <w:rsid w:val="3B5B1EBF"/>
    <w:rsid w:val="3B5B73B5"/>
    <w:rsid w:val="3B5F6CB1"/>
    <w:rsid w:val="3B605CF3"/>
    <w:rsid w:val="3B6068E0"/>
    <w:rsid w:val="3B630EF4"/>
    <w:rsid w:val="3B6367D9"/>
    <w:rsid w:val="3B641CDE"/>
    <w:rsid w:val="3B643578"/>
    <w:rsid w:val="3B651551"/>
    <w:rsid w:val="3B654B07"/>
    <w:rsid w:val="3B693880"/>
    <w:rsid w:val="3B694F97"/>
    <w:rsid w:val="3B6953A3"/>
    <w:rsid w:val="3B697839"/>
    <w:rsid w:val="3B6C15C2"/>
    <w:rsid w:val="3B6C3370"/>
    <w:rsid w:val="3B6F4C0F"/>
    <w:rsid w:val="3B713B52"/>
    <w:rsid w:val="3B716DF8"/>
    <w:rsid w:val="3B730DDD"/>
    <w:rsid w:val="3B7346FF"/>
    <w:rsid w:val="3B742225"/>
    <w:rsid w:val="3B753CD7"/>
    <w:rsid w:val="3B756C6B"/>
    <w:rsid w:val="3B782EAA"/>
    <w:rsid w:val="3B783AC3"/>
    <w:rsid w:val="3B79050B"/>
    <w:rsid w:val="3B7C1E01"/>
    <w:rsid w:val="3B7E6550"/>
    <w:rsid w:val="3B7E6C11"/>
    <w:rsid w:val="3B7F26E1"/>
    <w:rsid w:val="3B803D9C"/>
    <w:rsid w:val="3B804E7C"/>
    <w:rsid w:val="3B8107CA"/>
    <w:rsid w:val="3B835649"/>
    <w:rsid w:val="3B836A7A"/>
    <w:rsid w:val="3B837FE1"/>
    <w:rsid w:val="3B84690C"/>
    <w:rsid w:val="3B853375"/>
    <w:rsid w:val="3B864FF0"/>
    <w:rsid w:val="3B867253"/>
    <w:rsid w:val="3B872A81"/>
    <w:rsid w:val="3B8840AF"/>
    <w:rsid w:val="3B8C53DF"/>
    <w:rsid w:val="3B8F1F8C"/>
    <w:rsid w:val="3B903503"/>
    <w:rsid w:val="3B914B85"/>
    <w:rsid w:val="3B941857"/>
    <w:rsid w:val="3B954E32"/>
    <w:rsid w:val="3B966389"/>
    <w:rsid w:val="3B974742"/>
    <w:rsid w:val="3B9823B7"/>
    <w:rsid w:val="3B984165"/>
    <w:rsid w:val="3B985F13"/>
    <w:rsid w:val="3B99218B"/>
    <w:rsid w:val="3B9D14C4"/>
    <w:rsid w:val="3B9D5939"/>
    <w:rsid w:val="3B9D79CE"/>
    <w:rsid w:val="3B9E0E08"/>
    <w:rsid w:val="3B9E1685"/>
    <w:rsid w:val="3B9F5FB0"/>
    <w:rsid w:val="3BA05CB3"/>
    <w:rsid w:val="3BA20A6F"/>
    <w:rsid w:val="3BA23236"/>
    <w:rsid w:val="3BA26E3E"/>
    <w:rsid w:val="3BA32073"/>
    <w:rsid w:val="3BA42B0A"/>
    <w:rsid w:val="3BA50630"/>
    <w:rsid w:val="3BA603EA"/>
    <w:rsid w:val="3BA614BF"/>
    <w:rsid w:val="3BA66882"/>
    <w:rsid w:val="3BA90C40"/>
    <w:rsid w:val="3BA9229A"/>
    <w:rsid w:val="3BAA4638"/>
    <w:rsid w:val="3BAB34BA"/>
    <w:rsid w:val="3BAB3E99"/>
    <w:rsid w:val="3BAB4D14"/>
    <w:rsid w:val="3BAC0F6E"/>
    <w:rsid w:val="3BAD75AB"/>
    <w:rsid w:val="3BAE7611"/>
    <w:rsid w:val="3BAF01E0"/>
    <w:rsid w:val="3BB01BF9"/>
    <w:rsid w:val="3BB05953"/>
    <w:rsid w:val="3BB16FD5"/>
    <w:rsid w:val="3BB23479"/>
    <w:rsid w:val="3BB23FD8"/>
    <w:rsid w:val="3BB464FC"/>
    <w:rsid w:val="3BB46AFC"/>
    <w:rsid w:val="3BB52E28"/>
    <w:rsid w:val="3BB52EF8"/>
    <w:rsid w:val="3BB545D4"/>
    <w:rsid w:val="3BB55065"/>
    <w:rsid w:val="3BB6283D"/>
    <w:rsid w:val="3BB64DEA"/>
    <w:rsid w:val="3BB738FF"/>
    <w:rsid w:val="3BB77BFA"/>
    <w:rsid w:val="3BBA0873"/>
    <w:rsid w:val="3BBA232E"/>
    <w:rsid w:val="3BBA3EDB"/>
    <w:rsid w:val="3BBB4275"/>
    <w:rsid w:val="3BBB4756"/>
    <w:rsid w:val="3BBC0A63"/>
    <w:rsid w:val="3BBD3265"/>
    <w:rsid w:val="3BBD3BCC"/>
    <w:rsid w:val="3BBD508A"/>
    <w:rsid w:val="3BBD517E"/>
    <w:rsid w:val="3BBD597A"/>
    <w:rsid w:val="3BBE68B6"/>
    <w:rsid w:val="3BBF16F2"/>
    <w:rsid w:val="3BBF5B96"/>
    <w:rsid w:val="3BC06454"/>
    <w:rsid w:val="3BC1546A"/>
    <w:rsid w:val="3BC33901"/>
    <w:rsid w:val="3BC35F05"/>
    <w:rsid w:val="3BC37254"/>
    <w:rsid w:val="3BC56B64"/>
    <w:rsid w:val="3BC73B35"/>
    <w:rsid w:val="3BC85517"/>
    <w:rsid w:val="3BC907C3"/>
    <w:rsid w:val="3BCB453B"/>
    <w:rsid w:val="3BCF35B7"/>
    <w:rsid w:val="3BCF5A2A"/>
    <w:rsid w:val="3BD0229D"/>
    <w:rsid w:val="3BD42201"/>
    <w:rsid w:val="3BD827B4"/>
    <w:rsid w:val="3BDB727F"/>
    <w:rsid w:val="3BDC22A4"/>
    <w:rsid w:val="3BDC322A"/>
    <w:rsid w:val="3BDC6B40"/>
    <w:rsid w:val="3BDC6E10"/>
    <w:rsid w:val="3BDD601C"/>
    <w:rsid w:val="3BDD7CB5"/>
    <w:rsid w:val="3BDE3F44"/>
    <w:rsid w:val="3BDE6333"/>
    <w:rsid w:val="3BE2277D"/>
    <w:rsid w:val="3BE23822"/>
    <w:rsid w:val="3BE32EA3"/>
    <w:rsid w:val="3BE41159"/>
    <w:rsid w:val="3BE50D59"/>
    <w:rsid w:val="3BE56A31"/>
    <w:rsid w:val="3BE70C49"/>
    <w:rsid w:val="3BE837B4"/>
    <w:rsid w:val="3BE949C1"/>
    <w:rsid w:val="3BEB0739"/>
    <w:rsid w:val="3BED0A07"/>
    <w:rsid w:val="3BED5E65"/>
    <w:rsid w:val="3BF25A29"/>
    <w:rsid w:val="3BF33A92"/>
    <w:rsid w:val="3BF54A74"/>
    <w:rsid w:val="3BF61BAA"/>
    <w:rsid w:val="3BFA4E20"/>
    <w:rsid w:val="3BFC5EF5"/>
    <w:rsid w:val="3BFF1AA8"/>
    <w:rsid w:val="3C007AC4"/>
    <w:rsid w:val="3C0161AE"/>
    <w:rsid w:val="3C027E36"/>
    <w:rsid w:val="3C033CD5"/>
    <w:rsid w:val="3C060031"/>
    <w:rsid w:val="3C0A2B23"/>
    <w:rsid w:val="3C0D6901"/>
    <w:rsid w:val="3C1001A0"/>
    <w:rsid w:val="3C100ED6"/>
    <w:rsid w:val="3C104791"/>
    <w:rsid w:val="3C1057FB"/>
    <w:rsid w:val="3C1067F4"/>
    <w:rsid w:val="3C120CA5"/>
    <w:rsid w:val="3C13747B"/>
    <w:rsid w:val="3C16379A"/>
    <w:rsid w:val="3C17152E"/>
    <w:rsid w:val="3C174363"/>
    <w:rsid w:val="3C177780"/>
    <w:rsid w:val="3C1A6612"/>
    <w:rsid w:val="3C1E0B0E"/>
    <w:rsid w:val="3C1F4887"/>
    <w:rsid w:val="3C1F6635"/>
    <w:rsid w:val="3C2105FF"/>
    <w:rsid w:val="3C2123AD"/>
    <w:rsid w:val="3C225D0A"/>
    <w:rsid w:val="3C241E9D"/>
    <w:rsid w:val="3C243C4B"/>
    <w:rsid w:val="3C2459F9"/>
    <w:rsid w:val="3C254B00"/>
    <w:rsid w:val="3C265FDF"/>
    <w:rsid w:val="3C2B4041"/>
    <w:rsid w:val="3C2B4FD9"/>
    <w:rsid w:val="3C2C71A5"/>
    <w:rsid w:val="3C2C7291"/>
    <w:rsid w:val="3C2D447E"/>
    <w:rsid w:val="3C2E55CC"/>
    <w:rsid w:val="3C317A73"/>
    <w:rsid w:val="3C335C3C"/>
    <w:rsid w:val="3C371BD0"/>
    <w:rsid w:val="3C37397E"/>
    <w:rsid w:val="3C3A060C"/>
    <w:rsid w:val="3C3A6FCB"/>
    <w:rsid w:val="3C3D6F3F"/>
    <w:rsid w:val="3C406CD7"/>
    <w:rsid w:val="3C4270A9"/>
    <w:rsid w:val="3C430575"/>
    <w:rsid w:val="3C4328DD"/>
    <w:rsid w:val="3C441DC2"/>
    <w:rsid w:val="3C4564F9"/>
    <w:rsid w:val="3C461E13"/>
    <w:rsid w:val="3C464312"/>
    <w:rsid w:val="3C46700B"/>
    <w:rsid w:val="3C474D16"/>
    <w:rsid w:val="3C4816E7"/>
    <w:rsid w:val="3C4B1BC8"/>
    <w:rsid w:val="3C4B2A92"/>
    <w:rsid w:val="3C4D13F4"/>
    <w:rsid w:val="3C4D4F50"/>
    <w:rsid w:val="3C4E2F2E"/>
    <w:rsid w:val="3C541BBE"/>
    <w:rsid w:val="3C541E0D"/>
    <w:rsid w:val="3C541F51"/>
    <w:rsid w:val="3C577D2E"/>
    <w:rsid w:val="3C577DD7"/>
    <w:rsid w:val="3C585C08"/>
    <w:rsid w:val="3C5964A8"/>
    <w:rsid w:val="3C5C3FC2"/>
    <w:rsid w:val="3C6329C5"/>
    <w:rsid w:val="3C6330EE"/>
    <w:rsid w:val="3C6378B1"/>
    <w:rsid w:val="3C6504EB"/>
    <w:rsid w:val="3C650B22"/>
    <w:rsid w:val="3C6616BA"/>
    <w:rsid w:val="3C683C77"/>
    <w:rsid w:val="3C686A41"/>
    <w:rsid w:val="3C6A162C"/>
    <w:rsid w:val="3C6A3E25"/>
    <w:rsid w:val="3C6B3338"/>
    <w:rsid w:val="3C6B35D0"/>
    <w:rsid w:val="3C6B3628"/>
    <w:rsid w:val="3C6C2C0E"/>
    <w:rsid w:val="3C6C772B"/>
    <w:rsid w:val="3C6D4580"/>
    <w:rsid w:val="3C6D55F2"/>
    <w:rsid w:val="3C6E4EC6"/>
    <w:rsid w:val="3C6E7D5C"/>
    <w:rsid w:val="3C6F3118"/>
    <w:rsid w:val="3C6F5700"/>
    <w:rsid w:val="3C6F6217"/>
    <w:rsid w:val="3C6F76C0"/>
    <w:rsid w:val="3C720E5A"/>
    <w:rsid w:val="3C7324DC"/>
    <w:rsid w:val="3C740F4F"/>
    <w:rsid w:val="3C7539B7"/>
    <w:rsid w:val="3C756198"/>
    <w:rsid w:val="3C793F97"/>
    <w:rsid w:val="3C7A703A"/>
    <w:rsid w:val="3C7B3158"/>
    <w:rsid w:val="3C7C5835"/>
    <w:rsid w:val="3C7D35DF"/>
    <w:rsid w:val="3C7D6B4A"/>
    <w:rsid w:val="3C7E77FF"/>
    <w:rsid w:val="3C7F0E81"/>
    <w:rsid w:val="3C7F69BA"/>
    <w:rsid w:val="3C801A8B"/>
    <w:rsid w:val="3C805325"/>
    <w:rsid w:val="3C8223B5"/>
    <w:rsid w:val="3C822F4C"/>
    <w:rsid w:val="3C830972"/>
    <w:rsid w:val="3C8367CC"/>
    <w:rsid w:val="3C842140"/>
    <w:rsid w:val="3C842B12"/>
    <w:rsid w:val="3C856409"/>
    <w:rsid w:val="3C862210"/>
    <w:rsid w:val="3C862C4F"/>
    <w:rsid w:val="3C863640"/>
    <w:rsid w:val="3C86517E"/>
    <w:rsid w:val="3C865DF7"/>
    <w:rsid w:val="3C8745AC"/>
    <w:rsid w:val="3C88701C"/>
    <w:rsid w:val="3C8B7826"/>
    <w:rsid w:val="3C8D4FC7"/>
    <w:rsid w:val="3C8E74C0"/>
    <w:rsid w:val="3C916C5D"/>
    <w:rsid w:val="3C9361D9"/>
    <w:rsid w:val="3C955537"/>
    <w:rsid w:val="3C9568F7"/>
    <w:rsid w:val="3C957F32"/>
    <w:rsid w:val="3C97266F"/>
    <w:rsid w:val="3C982CA7"/>
    <w:rsid w:val="3C9A513B"/>
    <w:rsid w:val="3C9C1A33"/>
    <w:rsid w:val="3C9C5234"/>
    <w:rsid w:val="3C9C66B4"/>
    <w:rsid w:val="3C9D14ED"/>
    <w:rsid w:val="3CA14805"/>
    <w:rsid w:val="3CA16D0C"/>
    <w:rsid w:val="3CA202DF"/>
    <w:rsid w:val="3CA36517"/>
    <w:rsid w:val="3CA56B3A"/>
    <w:rsid w:val="3CA60B04"/>
    <w:rsid w:val="3CA62023"/>
    <w:rsid w:val="3CA809E1"/>
    <w:rsid w:val="3CA97838"/>
    <w:rsid w:val="3CAA6595"/>
    <w:rsid w:val="3CAB7EC8"/>
    <w:rsid w:val="3CAD1E92"/>
    <w:rsid w:val="3CAE7391"/>
    <w:rsid w:val="3CB02C72"/>
    <w:rsid w:val="3CB123E6"/>
    <w:rsid w:val="3CB533D6"/>
    <w:rsid w:val="3CB577C0"/>
    <w:rsid w:val="3CB66BC6"/>
    <w:rsid w:val="3CB738D4"/>
    <w:rsid w:val="3CB7686D"/>
    <w:rsid w:val="3CBA0168"/>
    <w:rsid w:val="3CBA255F"/>
    <w:rsid w:val="3CBA3323"/>
    <w:rsid w:val="3CBA4092"/>
    <w:rsid w:val="3CBB2900"/>
    <w:rsid w:val="3CBC3E83"/>
    <w:rsid w:val="3CBC5CAE"/>
    <w:rsid w:val="3CC32FB0"/>
    <w:rsid w:val="3CC33464"/>
    <w:rsid w:val="3CC45B80"/>
    <w:rsid w:val="3CC626D7"/>
    <w:rsid w:val="3CC82828"/>
    <w:rsid w:val="3CCA2A44"/>
    <w:rsid w:val="3CCA428F"/>
    <w:rsid w:val="3CCB2319"/>
    <w:rsid w:val="3CCC7305"/>
    <w:rsid w:val="3CD00846"/>
    <w:rsid w:val="3CD32E13"/>
    <w:rsid w:val="3CD73725"/>
    <w:rsid w:val="3CD94A35"/>
    <w:rsid w:val="3CDB7754"/>
    <w:rsid w:val="3CE10A05"/>
    <w:rsid w:val="3CE60981"/>
    <w:rsid w:val="3CE64C09"/>
    <w:rsid w:val="3CE753A4"/>
    <w:rsid w:val="3CE9090E"/>
    <w:rsid w:val="3CE92B73"/>
    <w:rsid w:val="3CEC1734"/>
    <w:rsid w:val="3CED228F"/>
    <w:rsid w:val="3CEF4B43"/>
    <w:rsid w:val="3CF03B2D"/>
    <w:rsid w:val="3CF2490E"/>
    <w:rsid w:val="3CF33D49"/>
    <w:rsid w:val="3CF4361D"/>
    <w:rsid w:val="3CF545D4"/>
    <w:rsid w:val="3CF73448"/>
    <w:rsid w:val="3CF81D7C"/>
    <w:rsid w:val="3CFD1EC5"/>
    <w:rsid w:val="3CFE0D79"/>
    <w:rsid w:val="3CFF178B"/>
    <w:rsid w:val="3CFF2242"/>
    <w:rsid w:val="3D023F8C"/>
    <w:rsid w:val="3D06469E"/>
    <w:rsid w:val="3D0B6BD5"/>
    <w:rsid w:val="3D0C064B"/>
    <w:rsid w:val="3D0C4E0B"/>
    <w:rsid w:val="3D0F786D"/>
    <w:rsid w:val="3D125759"/>
    <w:rsid w:val="3D1268B1"/>
    <w:rsid w:val="3D127F47"/>
    <w:rsid w:val="3D143AEE"/>
    <w:rsid w:val="3D165115"/>
    <w:rsid w:val="3D165E8C"/>
    <w:rsid w:val="3D1837B0"/>
    <w:rsid w:val="3D18555E"/>
    <w:rsid w:val="3D194358"/>
    <w:rsid w:val="3D1C3055"/>
    <w:rsid w:val="3D1C4922"/>
    <w:rsid w:val="3D1E68EC"/>
    <w:rsid w:val="3D204412"/>
    <w:rsid w:val="3D206791"/>
    <w:rsid w:val="3D22018A"/>
    <w:rsid w:val="3D235CB1"/>
    <w:rsid w:val="3D2415AC"/>
    <w:rsid w:val="3D2739F3"/>
    <w:rsid w:val="3D2757A1"/>
    <w:rsid w:val="3D276890"/>
    <w:rsid w:val="3D2860FD"/>
    <w:rsid w:val="3D2C1009"/>
    <w:rsid w:val="3D2C51FB"/>
    <w:rsid w:val="3D2C5F0E"/>
    <w:rsid w:val="3D2D341C"/>
    <w:rsid w:val="3D2E4D81"/>
    <w:rsid w:val="3D2F0AF9"/>
    <w:rsid w:val="3D2F28A7"/>
    <w:rsid w:val="3D2F7714"/>
    <w:rsid w:val="3D300B58"/>
    <w:rsid w:val="3D324BB7"/>
    <w:rsid w:val="3D332F95"/>
    <w:rsid w:val="3D333619"/>
    <w:rsid w:val="3D37175C"/>
    <w:rsid w:val="3D3777C8"/>
    <w:rsid w:val="3D385C00"/>
    <w:rsid w:val="3D3A5D6D"/>
    <w:rsid w:val="3D3A778A"/>
    <w:rsid w:val="3D3B749E"/>
    <w:rsid w:val="3D3D4A23"/>
    <w:rsid w:val="3D3F7442"/>
    <w:rsid w:val="3D421203"/>
    <w:rsid w:val="3D422253"/>
    <w:rsid w:val="3D451162"/>
    <w:rsid w:val="3D452426"/>
    <w:rsid w:val="3D464256"/>
    <w:rsid w:val="3D4E5DBA"/>
    <w:rsid w:val="3D4E71D1"/>
    <w:rsid w:val="3D532B6D"/>
    <w:rsid w:val="3D540560"/>
    <w:rsid w:val="3D545119"/>
    <w:rsid w:val="3D566086"/>
    <w:rsid w:val="3D567E34"/>
    <w:rsid w:val="3D5A3DC8"/>
    <w:rsid w:val="3D5B369C"/>
    <w:rsid w:val="3D5C3A0F"/>
    <w:rsid w:val="3D5D52E5"/>
    <w:rsid w:val="3D5D5666"/>
    <w:rsid w:val="3D606F05"/>
    <w:rsid w:val="3D6407A3"/>
    <w:rsid w:val="3D6469F5"/>
    <w:rsid w:val="3D6476A8"/>
    <w:rsid w:val="3D6632CE"/>
    <w:rsid w:val="3D6937CD"/>
    <w:rsid w:val="3D69646F"/>
    <w:rsid w:val="3D6A38DF"/>
    <w:rsid w:val="3D6D3F9C"/>
    <w:rsid w:val="3D6F7148"/>
    <w:rsid w:val="3D714C6E"/>
    <w:rsid w:val="3D72217D"/>
    <w:rsid w:val="3D7310BF"/>
    <w:rsid w:val="3D734E8A"/>
    <w:rsid w:val="3D766728"/>
    <w:rsid w:val="3D79028A"/>
    <w:rsid w:val="3D791D75"/>
    <w:rsid w:val="3D7977B7"/>
    <w:rsid w:val="3D7A6218"/>
    <w:rsid w:val="3D7C34EE"/>
    <w:rsid w:val="3D7F382F"/>
    <w:rsid w:val="3D801355"/>
    <w:rsid w:val="3D802027"/>
    <w:rsid w:val="3D816779"/>
    <w:rsid w:val="3D85757B"/>
    <w:rsid w:val="3D873749"/>
    <w:rsid w:val="3D874491"/>
    <w:rsid w:val="3D8B49A9"/>
    <w:rsid w:val="3D8B718C"/>
    <w:rsid w:val="3D8C7CFA"/>
    <w:rsid w:val="3D8D3711"/>
    <w:rsid w:val="3D8D3E1A"/>
    <w:rsid w:val="3D8D62D8"/>
    <w:rsid w:val="3D8E3A72"/>
    <w:rsid w:val="3D8F4C75"/>
    <w:rsid w:val="3D902C02"/>
    <w:rsid w:val="3D970020"/>
    <w:rsid w:val="3D98044D"/>
    <w:rsid w:val="3D995F73"/>
    <w:rsid w:val="3D9C33D4"/>
    <w:rsid w:val="3D9D1F07"/>
    <w:rsid w:val="3D9D3CB5"/>
    <w:rsid w:val="3DA037A5"/>
    <w:rsid w:val="3DA07301"/>
    <w:rsid w:val="3DA6012C"/>
    <w:rsid w:val="3DA75A55"/>
    <w:rsid w:val="3DA77592"/>
    <w:rsid w:val="3DA81B6D"/>
    <w:rsid w:val="3DAB1E38"/>
    <w:rsid w:val="3DAB4624"/>
    <w:rsid w:val="3DAC5CA6"/>
    <w:rsid w:val="3DAC6CE1"/>
    <w:rsid w:val="3DAE0B33"/>
    <w:rsid w:val="3DAE3153"/>
    <w:rsid w:val="3DB06CBA"/>
    <w:rsid w:val="3DB459CA"/>
    <w:rsid w:val="3DB52051"/>
    <w:rsid w:val="3DB673CB"/>
    <w:rsid w:val="3DB7408F"/>
    <w:rsid w:val="3DBA6615"/>
    <w:rsid w:val="3DBB413B"/>
    <w:rsid w:val="3DC14AF4"/>
    <w:rsid w:val="3DC24C44"/>
    <w:rsid w:val="3DC35C72"/>
    <w:rsid w:val="3DC6023A"/>
    <w:rsid w:val="3DC63261"/>
    <w:rsid w:val="3DC96858"/>
    <w:rsid w:val="3DCC00F6"/>
    <w:rsid w:val="3DCC606F"/>
    <w:rsid w:val="3DCC6348"/>
    <w:rsid w:val="3DCF0175"/>
    <w:rsid w:val="3DD27E02"/>
    <w:rsid w:val="3DD376D7"/>
    <w:rsid w:val="3DD516A1"/>
    <w:rsid w:val="3DD6576A"/>
    <w:rsid w:val="3DDA2813"/>
    <w:rsid w:val="3DDB658B"/>
    <w:rsid w:val="3DDE0AF1"/>
    <w:rsid w:val="3DDF7E2A"/>
    <w:rsid w:val="3DE019AF"/>
    <w:rsid w:val="3DE03515"/>
    <w:rsid w:val="3DE11DF4"/>
    <w:rsid w:val="3DE23776"/>
    <w:rsid w:val="3DE51762"/>
    <w:rsid w:val="3DE52903"/>
    <w:rsid w:val="3DE63595"/>
    <w:rsid w:val="3DE64192"/>
    <w:rsid w:val="3DE72818"/>
    <w:rsid w:val="3DE90CA8"/>
    <w:rsid w:val="3DEB0EC4"/>
    <w:rsid w:val="3DEC4562"/>
    <w:rsid w:val="3DEE4511"/>
    <w:rsid w:val="3DEE4D5E"/>
    <w:rsid w:val="3DEE62BF"/>
    <w:rsid w:val="3DF02037"/>
    <w:rsid w:val="3DF021BA"/>
    <w:rsid w:val="3DF064DB"/>
    <w:rsid w:val="3DF16E9D"/>
    <w:rsid w:val="3DF2070D"/>
    <w:rsid w:val="3DF207F1"/>
    <w:rsid w:val="3DF32DF4"/>
    <w:rsid w:val="3DF37D79"/>
    <w:rsid w:val="3DF47BC8"/>
    <w:rsid w:val="3DF5589F"/>
    <w:rsid w:val="3DF7627D"/>
    <w:rsid w:val="3DF777C1"/>
    <w:rsid w:val="3DF77869"/>
    <w:rsid w:val="3DF95DAC"/>
    <w:rsid w:val="3DFA4FA7"/>
    <w:rsid w:val="3DFB326E"/>
    <w:rsid w:val="3DFD1951"/>
    <w:rsid w:val="3DFE1172"/>
    <w:rsid w:val="3DFF04CC"/>
    <w:rsid w:val="3DFF6034"/>
    <w:rsid w:val="3E0553DD"/>
    <w:rsid w:val="3E06185A"/>
    <w:rsid w:val="3E075B49"/>
    <w:rsid w:val="3E0B50C2"/>
    <w:rsid w:val="3E0E6961"/>
    <w:rsid w:val="3E103980"/>
    <w:rsid w:val="3E111FAD"/>
    <w:rsid w:val="3E11707D"/>
    <w:rsid w:val="3E1201FF"/>
    <w:rsid w:val="3E120A87"/>
    <w:rsid w:val="3E154F6C"/>
    <w:rsid w:val="3E156362"/>
    <w:rsid w:val="3E19753C"/>
    <w:rsid w:val="3E1A6989"/>
    <w:rsid w:val="3E1B72AA"/>
    <w:rsid w:val="3E1D0952"/>
    <w:rsid w:val="3E1D6BA4"/>
    <w:rsid w:val="3E23065E"/>
    <w:rsid w:val="3E247F32"/>
    <w:rsid w:val="3E2605BE"/>
    <w:rsid w:val="3E261EFC"/>
    <w:rsid w:val="3E281D66"/>
    <w:rsid w:val="3E2919ED"/>
    <w:rsid w:val="3E2B1CC9"/>
    <w:rsid w:val="3E2B306F"/>
    <w:rsid w:val="3E2B7462"/>
    <w:rsid w:val="3E2D328B"/>
    <w:rsid w:val="3E2F0CFE"/>
    <w:rsid w:val="3E2F6F09"/>
    <w:rsid w:val="3E364197"/>
    <w:rsid w:val="3E377C66"/>
    <w:rsid w:val="3E385855"/>
    <w:rsid w:val="3E3B76FC"/>
    <w:rsid w:val="3E3C34CE"/>
    <w:rsid w:val="3E3E1CCA"/>
    <w:rsid w:val="3E3F2FBE"/>
    <w:rsid w:val="3E4203B8"/>
    <w:rsid w:val="3E424D9F"/>
    <w:rsid w:val="3E42660A"/>
    <w:rsid w:val="3E431D63"/>
    <w:rsid w:val="3E435054"/>
    <w:rsid w:val="3E444130"/>
    <w:rsid w:val="3E46150A"/>
    <w:rsid w:val="3E4668D1"/>
    <w:rsid w:val="3E473F20"/>
    <w:rsid w:val="3E4811F1"/>
    <w:rsid w:val="3E481343"/>
    <w:rsid w:val="3E4B54BF"/>
    <w:rsid w:val="3E4D1237"/>
    <w:rsid w:val="3E4D33B6"/>
    <w:rsid w:val="3E4F01C5"/>
    <w:rsid w:val="3E501DE2"/>
    <w:rsid w:val="3E530817"/>
    <w:rsid w:val="3E5720B6"/>
    <w:rsid w:val="3E573ADE"/>
    <w:rsid w:val="3E59182B"/>
    <w:rsid w:val="3E5B221B"/>
    <w:rsid w:val="3E5E3444"/>
    <w:rsid w:val="3E605A42"/>
    <w:rsid w:val="3E611186"/>
    <w:rsid w:val="3E6134D9"/>
    <w:rsid w:val="3E622809"/>
    <w:rsid w:val="3E6447D3"/>
    <w:rsid w:val="3E6673A8"/>
    <w:rsid w:val="3E667A57"/>
    <w:rsid w:val="3E6738B1"/>
    <w:rsid w:val="3E682515"/>
    <w:rsid w:val="3E684B11"/>
    <w:rsid w:val="3E693B97"/>
    <w:rsid w:val="3E6D18D9"/>
    <w:rsid w:val="3E6E11AD"/>
    <w:rsid w:val="3E6F60C9"/>
    <w:rsid w:val="3E703177"/>
    <w:rsid w:val="3E706473"/>
    <w:rsid w:val="3E720C9E"/>
    <w:rsid w:val="3E722D1D"/>
    <w:rsid w:val="3E723F89"/>
    <w:rsid w:val="3E734A16"/>
    <w:rsid w:val="3E734ADA"/>
    <w:rsid w:val="3E74194F"/>
    <w:rsid w:val="3E753851"/>
    <w:rsid w:val="3E7A6362"/>
    <w:rsid w:val="3E7B713E"/>
    <w:rsid w:val="3E7E5894"/>
    <w:rsid w:val="3E7F160D"/>
    <w:rsid w:val="3E7F2C79"/>
    <w:rsid w:val="3E7F33BB"/>
    <w:rsid w:val="3E824F32"/>
    <w:rsid w:val="3E831FB7"/>
    <w:rsid w:val="3E86735F"/>
    <w:rsid w:val="3E882005"/>
    <w:rsid w:val="3E895FE7"/>
    <w:rsid w:val="3E8B1D5F"/>
    <w:rsid w:val="3E8E7304"/>
    <w:rsid w:val="3E900150"/>
    <w:rsid w:val="3E902EED"/>
    <w:rsid w:val="3E9230EE"/>
    <w:rsid w:val="3E923EA5"/>
    <w:rsid w:val="3E944C27"/>
    <w:rsid w:val="3E962C89"/>
    <w:rsid w:val="3E970704"/>
    <w:rsid w:val="3E970CEA"/>
    <w:rsid w:val="3E971F32"/>
    <w:rsid w:val="3E976F52"/>
    <w:rsid w:val="3E986179"/>
    <w:rsid w:val="3E987A56"/>
    <w:rsid w:val="3E99447C"/>
    <w:rsid w:val="3E9B798C"/>
    <w:rsid w:val="3E9C33B9"/>
    <w:rsid w:val="3E9E213C"/>
    <w:rsid w:val="3E9F1D3A"/>
    <w:rsid w:val="3EA01CAF"/>
    <w:rsid w:val="3EA370A9"/>
    <w:rsid w:val="3EA41B2F"/>
    <w:rsid w:val="3EA60A01"/>
    <w:rsid w:val="3EA62D02"/>
    <w:rsid w:val="3EA64DEB"/>
    <w:rsid w:val="3EA80B63"/>
    <w:rsid w:val="3EA846BF"/>
    <w:rsid w:val="3EA878F4"/>
    <w:rsid w:val="3EA90437"/>
    <w:rsid w:val="3EA9290C"/>
    <w:rsid w:val="3EAD4D9F"/>
    <w:rsid w:val="3EAE162B"/>
    <w:rsid w:val="3EAF1EF2"/>
    <w:rsid w:val="3EB412B6"/>
    <w:rsid w:val="3EB76D31"/>
    <w:rsid w:val="3EBA2645"/>
    <w:rsid w:val="3EBB0897"/>
    <w:rsid w:val="3EBB7679"/>
    <w:rsid w:val="3EBE0387"/>
    <w:rsid w:val="3EBF3856"/>
    <w:rsid w:val="3EC040FF"/>
    <w:rsid w:val="3EC40239"/>
    <w:rsid w:val="3EC62C1B"/>
    <w:rsid w:val="3EC84D62"/>
    <w:rsid w:val="3ECA21BA"/>
    <w:rsid w:val="3ECC295E"/>
    <w:rsid w:val="3ECD30E8"/>
    <w:rsid w:val="3ED03C16"/>
    <w:rsid w:val="3ED23DB5"/>
    <w:rsid w:val="3ED25915"/>
    <w:rsid w:val="3ED27E7C"/>
    <w:rsid w:val="3ED71449"/>
    <w:rsid w:val="3EDB5983"/>
    <w:rsid w:val="3EDD3F6D"/>
    <w:rsid w:val="3EDF71CC"/>
    <w:rsid w:val="3EE12A6E"/>
    <w:rsid w:val="3EE45A19"/>
    <w:rsid w:val="3EE60D02"/>
    <w:rsid w:val="3EE6343A"/>
    <w:rsid w:val="3EEB27FE"/>
    <w:rsid w:val="3EED0CD4"/>
    <w:rsid w:val="3EED47C8"/>
    <w:rsid w:val="3EED76A5"/>
    <w:rsid w:val="3EEE26B9"/>
    <w:rsid w:val="3EEF6792"/>
    <w:rsid w:val="3EF06066"/>
    <w:rsid w:val="3EF1250A"/>
    <w:rsid w:val="3EF137C2"/>
    <w:rsid w:val="3EF204E7"/>
    <w:rsid w:val="3EF26282"/>
    <w:rsid w:val="3EF34CDE"/>
    <w:rsid w:val="3EF4558A"/>
    <w:rsid w:val="3EF618CF"/>
    <w:rsid w:val="3EF62ED4"/>
    <w:rsid w:val="3EF63E67"/>
    <w:rsid w:val="3EF67B21"/>
    <w:rsid w:val="3EF861A9"/>
    <w:rsid w:val="3EFB0C93"/>
    <w:rsid w:val="3EFB2EC2"/>
    <w:rsid w:val="3EFB5260"/>
    <w:rsid w:val="3EFE0783"/>
    <w:rsid w:val="3EFE6463"/>
    <w:rsid w:val="3EFE69D5"/>
    <w:rsid w:val="3F027B19"/>
    <w:rsid w:val="3F0365C7"/>
    <w:rsid w:val="3F041198"/>
    <w:rsid w:val="3F08428D"/>
    <w:rsid w:val="3F0A4B8A"/>
    <w:rsid w:val="3F0B728B"/>
    <w:rsid w:val="3F0E0FF5"/>
    <w:rsid w:val="3F0F2990"/>
    <w:rsid w:val="3F12422F"/>
    <w:rsid w:val="3F125FDD"/>
    <w:rsid w:val="3F160DD8"/>
    <w:rsid w:val="3F161F71"/>
    <w:rsid w:val="3F171845"/>
    <w:rsid w:val="3F181B2A"/>
    <w:rsid w:val="3F1A38CA"/>
    <w:rsid w:val="3F1B10AF"/>
    <w:rsid w:val="3F1D32FF"/>
    <w:rsid w:val="3F1E6D0D"/>
    <w:rsid w:val="3F204B9E"/>
    <w:rsid w:val="3F227DAE"/>
    <w:rsid w:val="3F2301EA"/>
    <w:rsid w:val="3F2350B4"/>
    <w:rsid w:val="3F272DF1"/>
    <w:rsid w:val="3F275F2C"/>
    <w:rsid w:val="3F2A5A1C"/>
    <w:rsid w:val="3F2B1159"/>
    <w:rsid w:val="3F2D2E17"/>
    <w:rsid w:val="3F312907"/>
    <w:rsid w:val="3F3423F7"/>
    <w:rsid w:val="3F3441A5"/>
    <w:rsid w:val="3F3516E3"/>
    <w:rsid w:val="3F3643C1"/>
    <w:rsid w:val="3F3728E6"/>
    <w:rsid w:val="3F3932B2"/>
    <w:rsid w:val="3F3A1267"/>
    <w:rsid w:val="3F3B19D7"/>
    <w:rsid w:val="3F3B5533"/>
    <w:rsid w:val="3F3D6E81"/>
    <w:rsid w:val="3F3E27B9"/>
    <w:rsid w:val="3F410EA5"/>
    <w:rsid w:val="3F422D66"/>
    <w:rsid w:val="3F43232B"/>
    <w:rsid w:val="3F4343E8"/>
    <w:rsid w:val="3F442767"/>
    <w:rsid w:val="3F453253"/>
    <w:rsid w:val="3F482E9A"/>
    <w:rsid w:val="3F48586F"/>
    <w:rsid w:val="3F4A5324"/>
    <w:rsid w:val="3F4D3512"/>
    <w:rsid w:val="3F4F5483"/>
    <w:rsid w:val="3F504B3F"/>
    <w:rsid w:val="3F5076D4"/>
    <w:rsid w:val="3F526E25"/>
    <w:rsid w:val="3F572E23"/>
    <w:rsid w:val="3F5860E5"/>
    <w:rsid w:val="3F586C61"/>
    <w:rsid w:val="3F5900B0"/>
    <w:rsid w:val="3F5C1352"/>
    <w:rsid w:val="3F5C2084"/>
    <w:rsid w:val="3F5C54AA"/>
    <w:rsid w:val="3F5D7549"/>
    <w:rsid w:val="3F5D7BA0"/>
    <w:rsid w:val="3F5E7474"/>
    <w:rsid w:val="3F60143E"/>
    <w:rsid w:val="3F614776"/>
    <w:rsid w:val="3F62594F"/>
    <w:rsid w:val="3F663E5C"/>
    <w:rsid w:val="3F667183"/>
    <w:rsid w:val="3F686569"/>
    <w:rsid w:val="3F6902F3"/>
    <w:rsid w:val="3F6A7BC7"/>
    <w:rsid w:val="3F6B169A"/>
    <w:rsid w:val="3F6B7328"/>
    <w:rsid w:val="3F6C7DE3"/>
    <w:rsid w:val="3F6D1149"/>
    <w:rsid w:val="3F6F342F"/>
    <w:rsid w:val="3F6F6993"/>
    <w:rsid w:val="3F707636"/>
    <w:rsid w:val="3F713229"/>
    <w:rsid w:val="3F724CCD"/>
    <w:rsid w:val="3F786788"/>
    <w:rsid w:val="3F7B2E16"/>
    <w:rsid w:val="3F7C4554"/>
    <w:rsid w:val="3F7F7B16"/>
    <w:rsid w:val="3F80388E"/>
    <w:rsid w:val="3F827606"/>
    <w:rsid w:val="3F827A5D"/>
    <w:rsid w:val="3F83115D"/>
    <w:rsid w:val="3F852749"/>
    <w:rsid w:val="3F85289A"/>
    <w:rsid w:val="3F85576B"/>
    <w:rsid w:val="3F870779"/>
    <w:rsid w:val="3F8832AE"/>
    <w:rsid w:val="3F887A43"/>
    <w:rsid w:val="3F890995"/>
    <w:rsid w:val="3F8933A6"/>
    <w:rsid w:val="3F8B3807"/>
    <w:rsid w:val="3F8B7BCB"/>
    <w:rsid w:val="3F8C0B0F"/>
    <w:rsid w:val="3F8C2233"/>
    <w:rsid w:val="3F8C3FE1"/>
    <w:rsid w:val="3F8F587F"/>
    <w:rsid w:val="3F8F7490"/>
    <w:rsid w:val="3F931DD9"/>
    <w:rsid w:val="3F964694"/>
    <w:rsid w:val="3F966D63"/>
    <w:rsid w:val="3F9B0079"/>
    <w:rsid w:val="3F9B6F7B"/>
    <w:rsid w:val="3F9B7174"/>
    <w:rsid w:val="3F9C0670"/>
    <w:rsid w:val="3F9D515F"/>
    <w:rsid w:val="3F9D61EE"/>
    <w:rsid w:val="3F9F5709"/>
    <w:rsid w:val="3FA00A41"/>
    <w:rsid w:val="3FA03183"/>
    <w:rsid w:val="3FA0645E"/>
    <w:rsid w:val="3FA267B8"/>
    <w:rsid w:val="3FA43E50"/>
    <w:rsid w:val="3FA55765"/>
    <w:rsid w:val="3FA71126"/>
    <w:rsid w:val="3FA71921"/>
    <w:rsid w:val="3FA806EF"/>
    <w:rsid w:val="3FAB2B6A"/>
    <w:rsid w:val="3FAB6CD9"/>
    <w:rsid w:val="3FAC4F31"/>
    <w:rsid w:val="3FAD5DE8"/>
    <w:rsid w:val="3FB11D2D"/>
    <w:rsid w:val="3FB157F6"/>
    <w:rsid w:val="3FB31225"/>
    <w:rsid w:val="3FB631DF"/>
    <w:rsid w:val="3FB66D1A"/>
    <w:rsid w:val="3FB778B9"/>
    <w:rsid w:val="3FB91D30"/>
    <w:rsid w:val="3FBB578F"/>
    <w:rsid w:val="3FBF43B6"/>
    <w:rsid w:val="3FC03C8B"/>
    <w:rsid w:val="3FC1097F"/>
    <w:rsid w:val="3FC17278"/>
    <w:rsid w:val="3FC25C55"/>
    <w:rsid w:val="3FC613D9"/>
    <w:rsid w:val="3FC94592"/>
    <w:rsid w:val="3FCA041A"/>
    <w:rsid w:val="3FCC22BC"/>
    <w:rsid w:val="3FCC262F"/>
    <w:rsid w:val="3FCC75A7"/>
    <w:rsid w:val="3FCD52B6"/>
    <w:rsid w:val="3FD140EA"/>
    <w:rsid w:val="3FD15131"/>
    <w:rsid w:val="3FD17C46"/>
    <w:rsid w:val="3FD3741E"/>
    <w:rsid w:val="3FD43CE0"/>
    <w:rsid w:val="3FD64EFF"/>
    <w:rsid w:val="3FDB0AC5"/>
    <w:rsid w:val="3FE060DB"/>
    <w:rsid w:val="3FE10873"/>
    <w:rsid w:val="3FE21909"/>
    <w:rsid w:val="3FE23C01"/>
    <w:rsid w:val="3FE6131A"/>
    <w:rsid w:val="3FE63ADD"/>
    <w:rsid w:val="3FE727C0"/>
    <w:rsid w:val="3FE80830"/>
    <w:rsid w:val="3FE91814"/>
    <w:rsid w:val="3FE93FA1"/>
    <w:rsid w:val="3FEA152B"/>
    <w:rsid w:val="3FEA5477"/>
    <w:rsid w:val="3FEC0F24"/>
    <w:rsid w:val="3FEC2CD2"/>
    <w:rsid w:val="3FEC396F"/>
    <w:rsid w:val="3FEC558C"/>
    <w:rsid w:val="3FF17F6E"/>
    <w:rsid w:val="3FF35E0E"/>
    <w:rsid w:val="3FF37CB5"/>
    <w:rsid w:val="3FF47A71"/>
    <w:rsid w:val="3FF65F30"/>
    <w:rsid w:val="3FF76C97"/>
    <w:rsid w:val="3FF83425"/>
    <w:rsid w:val="3FF93396"/>
    <w:rsid w:val="3FF97FC1"/>
    <w:rsid w:val="3FFA193D"/>
    <w:rsid w:val="3FFA703F"/>
    <w:rsid w:val="3FFB4CC3"/>
    <w:rsid w:val="3FFD4EDF"/>
    <w:rsid w:val="3FFE7A4F"/>
    <w:rsid w:val="3FFF1F44"/>
    <w:rsid w:val="40014D92"/>
    <w:rsid w:val="40016391"/>
    <w:rsid w:val="4002464B"/>
    <w:rsid w:val="40041DC9"/>
    <w:rsid w:val="40044CBA"/>
    <w:rsid w:val="4004557B"/>
    <w:rsid w:val="40072451"/>
    <w:rsid w:val="40073668"/>
    <w:rsid w:val="40091C75"/>
    <w:rsid w:val="400A7A73"/>
    <w:rsid w:val="400D3B7D"/>
    <w:rsid w:val="400E0926"/>
    <w:rsid w:val="400E0E9A"/>
    <w:rsid w:val="400E3A6F"/>
    <w:rsid w:val="400E55CD"/>
    <w:rsid w:val="401144E6"/>
    <w:rsid w:val="4013025E"/>
    <w:rsid w:val="4014533E"/>
    <w:rsid w:val="40181C56"/>
    <w:rsid w:val="40185875"/>
    <w:rsid w:val="4019217C"/>
    <w:rsid w:val="401A060A"/>
    <w:rsid w:val="401F6C03"/>
    <w:rsid w:val="40210BCD"/>
    <w:rsid w:val="40215B26"/>
    <w:rsid w:val="40216A50"/>
    <w:rsid w:val="4024246B"/>
    <w:rsid w:val="40254369"/>
    <w:rsid w:val="40267F92"/>
    <w:rsid w:val="40271F5C"/>
    <w:rsid w:val="402B37FA"/>
    <w:rsid w:val="402B44C3"/>
    <w:rsid w:val="402C42AF"/>
    <w:rsid w:val="402D0DF6"/>
    <w:rsid w:val="402D7572"/>
    <w:rsid w:val="402E5098"/>
    <w:rsid w:val="40302BBE"/>
    <w:rsid w:val="403121EB"/>
    <w:rsid w:val="40325EC7"/>
    <w:rsid w:val="4033445D"/>
    <w:rsid w:val="403711EA"/>
    <w:rsid w:val="4037219F"/>
    <w:rsid w:val="403A3A3D"/>
    <w:rsid w:val="403C0D10"/>
    <w:rsid w:val="403D52DB"/>
    <w:rsid w:val="403F2E01"/>
    <w:rsid w:val="403F5A0F"/>
    <w:rsid w:val="40410751"/>
    <w:rsid w:val="40411699"/>
    <w:rsid w:val="4041301D"/>
    <w:rsid w:val="40416B7A"/>
    <w:rsid w:val="4042436F"/>
    <w:rsid w:val="40426E91"/>
    <w:rsid w:val="4044739A"/>
    <w:rsid w:val="404A39B1"/>
    <w:rsid w:val="404B3E9C"/>
    <w:rsid w:val="404C3937"/>
    <w:rsid w:val="40511C5E"/>
    <w:rsid w:val="40512B2E"/>
    <w:rsid w:val="40532CA8"/>
    <w:rsid w:val="405363C6"/>
    <w:rsid w:val="4054703C"/>
    <w:rsid w:val="40547059"/>
    <w:rsid w:val="405729E4"/>
    <w:rsid w:val="405759AA"/>
    <w:rsid w:val="405A7836"/>
    <w:rsid w:val="405B1F5D"/>
    <w:rsid w:val="405B296A"/>
    <w:rsid w:val="405C1C05"/>
    <w:rsid w:val="405C6D27"/>
    <w:rsid w:val="40612D9E"/>
    <w:rsid w:val="406250BB"/>
    <w:rsid w:val="4066497A"/>
    <w:rsid w:val="40670B4F"/>
    <w:rsid w:val="40683E84"/>
    <w:rsid w:val="4069269E"/>
    <w:rsid w:val="406A21FA"/>
    <w:rsid w:val="406E35C7"/>
    <w:rsid w:val="407231D7"/>
    <w:rsid w:val="40731A52"/>
    <w:rsid w:val="40742D5C"/>
    <w:rsid w:val="40750F19"/>
    <w:rsid w:val="40752CC7"/>
    <w:rsid w:val="40756176"/>
    <w:rsid w:val="407707ED"/>
    <w:rsid w:val="40774501"/>
    <w:rsid w:val="407927B7"/>
    <w:rsid w:val="40794011"/>
    <w:rsid w:val="407A652F"/>
    <w:rsid w:val="407A71DE"/>
    <w:rsid w:val="407B4815"/>
    <w:rsid w:val="407D2F01"/>
    <w:rsid w:val="407D3A62"/>
    <w:rsid w:val="407F1598"/>
    <w:rsid w:val="407F3B46"/>
    <w:rsid w:val="407F58F4"/>
    <w:rsid w:val="407F60FD"/>
    <w:rsid w:val="407F67D3"/>
    <w:rsid w:val="407F76A2"/>
    <w:rsid w:val="4081166C"/>
    <w:rsid w:val="408432DC"/>
    <w:rsid w:val="40850CB2"/>
    <w:rsid w:val="40860A30"/>
    <w:rsid w:val="408847A8"/>
    <w:rsid w:val="4089175F"/>
    <w:rsid w:val="408946EC"/>
    <w:rsid w:val="408A2332"/>
    <w:rsid w:val="408C19F2"/>
    <w:rsid w:val="408E3D89"/>
    <w:rsid w:val="408E3E1E"/>
    <w:rsid w:val="408F1FDB"/>
    <w:rsid w:val="409009F6"/>
    <w:rsid w:val="4090365D"/>
    <w:rsid w:val="40920B61"/>
    <w:rsid w:val="40922604"/>
    <w:rsid w:val="4093314D"/>
    <w:rsid w:val="40967010"/>
    <w:rsid w:val="40972C3D"/>
    <w:rsid w:val="40972CED"/>
    <w:rsid w:val="409A1A6A"/>
    <w:rsid w:val="409C46F8"/>
    <w:rsid w:val="409C584F"/>
    <w:rsid w:val="409C7793"/>
    <w:rsid w:val="409F1AF2"/>
    <w:rsid w:val="409F305B"/>
    <w:rsid w:val="40A22506"/>
    <w:rsid w:val="40A239FF"/>
    <w:rsid w:val="40A315E2"/>
    <w:rsid w:val="40A351EE"/>
    <w:rsid w:val="40A40AF0"/>
    <w:rsid w:val="40A435AC"/>
    <w:rsid w:val="40A5417C"/>
    <w:rsid w:val="40A54BA7"/>
    <w:rsid w:val="40A80A9F"/>
    <w:rsid w:val="40A92971"/>
    <w:rsid w:val="40A97E53"/>
    <w:rsid w:val="40AA0BC3"/>
    <w:rsid w:val="40AA6712"/>
    <w:rsid w:val="40AB5F10"/>
    <w:rsid w:val="40AD2461"/>
    <w:rsid w:val="40B11938"/>
    <w:rsid w:val="40B173DB"/>
    <w:rsid w:val="40B21825"/>
    <w:rsid w:val="40B23D1C"/>
    <w:rsid w:val="40B60FC7"/>
    <w:rsid w:val="40B82BB4"/>
    <w:rsid w:val="40B875BE"/>
    <w:rsid w:val="40B90E06"/>
    <w:rsid w:val="40BC1BEE"/>
    <w:rsid w:val="40BD15E3"/>
    <w:rsid w:val="40BF3F42"/>
    <w:rsid w:val="40C31C84"/>
    <w:rsid w:val="40C360A6"/>
    <w:rsid w:val="40C57BAE"/>
    <w:rsid w:val="40C72791"/>
    <w:rsid w:val="40CA6906"/>
    <w:rsid w:val="40CB7F65"/>
    <w:rsid w:val="40CE48A0"/>
    <w:rsid w:val="40CF0629"/>
    <w:rsid w:val="40D02AF3"/>
    <w:rsid w:val="40D12C2D"/>
    <w:rsid w:val="40D30C94"/>
    <w:rsid w:val="40D4197F"/>
    <w:rsid w:val="40D47F63"/>
    <w:rsid w:val="40D62BE7"/>
    <w:rsid w:val="40D774DE"/>
    <w:rsid w:val="40D8232D"/>
    <w:rsid w:val="40D91D9F"/>
    <w:rsid w:val="40DA7F52"/>
    <w:rsid w:val="40DC2329"/>
    <w:rsid w:val="40DC3B67"/>
    <w:rsid w:val="40DE77C3"/>
    <w:rsid w:val="40DF31F0"/>
    <w:rsid w:val="40E35E83"/>
    <w:rsid w:val="40E37C31"/>
    <w:rsid w:val="40E4515D"/>
    <w:rsid w:val="40E612A7"/>
    <w:rsid w:val="40E678F4"/>
    <w:rsid w:val="40E83C9B"/>
    <w:rsid w:val="40E85247"/>
    <w:rsid w:val="40E907ED"/>
    <w:rsid w:val="40E92A62"/>
    <w:rsid w:val="40EB11DB"/>
    <w:rsid w:val="40EB1D66"/>
    <w:rsid w:val="40EC7823"/>
    <w:rsid w:val="40ED1018"/>
    <w:rsid w:val="40EF2A79"/>
    <w:rsid w:val="40F14690"/>
    <w:rsid w:val="40F260C6"/>
    <w:rsid w:val="40F277D2"/>
    <w:rsid w:val="40F32CD8"/>
    <w:rsid w:val="40F352AA"/>
    <w:rsid w:val="40F36BFF"/>
    <w:rsid w:val="40F40A87"/>
    <w:rsid w:val="40F7313B"/>
    <w:rsid w:val="40F94117"/>
    <w:rsid w:val="40F94DDB"/>
    <w:rsid w:val="40FA2D11"/>
    <w:rsid w:val="40FA4CB6"/>
    <w:rsid w:val="40FD2008"/>
    <w:rsid w:val="40FE4A6B"/>
    <w:rsid w:val="40FF230D"/>
    <w:rsid w:val="4100432A"/>
    <w:rsid w:val="41004C87"/>
    <w:rsid w:val="410061AC"/>
    <w:rsid w:val="41012A9F"/>
    <w:rsid w:val="4101455B"/>
    <w:rsid w:val="41022238"/>
    <w:rsid w:val="41023096"/>
    <w:rsid w:val="41031F5A"/>
    <w:rsid w:val="41055DF9"/>
    <w:rsid w:val="41083B3B"/>
    <w:rsid w:val="41087697"/>
    <w:rsid w:val="410E3FFA"/>
    <w:rsid w:val="41107DE5"/>
    <w:rsid w:val="41114F25"/>
    <w:rsid w:val="41126875"/>
    <w:rsid w:val="41133CAF"/>
    <w:rsid w:val="411424E0"/>
    <w:rsid w:val="41151DB4"/>
    <w:rsid w:val="41195A47"/>
    <w:rsid w:val="411B1FC8"/>
    <w:rsid w:val="411C1395"/>
    <w:rsid w:val="411E510D"/>
    <w:rsid w:val="411F5E68"/>
    <w:rsid w:val="411F7E6C"/>
    <w:rsid w:val="412040D5"/>
    <w:rsid w:val="41210759"/>
    <w:rsid w:val="41222902"/>
    <w:rsid w:val="41236C02"/>
    <w:rsid w:val="412451C6"/>
    <w:rsid w:val="41251574"/>
    <w:rsid w:val="412520B5"/>
    <w:rsid w:val="41265D6F"/>
    <w:rsid w:val="41275C8E"/>
    <w:rsid w:val="412871E3"/>
    <w:rsid w:val="41296CEF"/>
    <w:rsid w:val="412A5860"/>
    <w:rsid w:val="412A7385"/>
    <w:rsid w:val="412A78EC"/>
    <w:rsid w:val="412C1CD5"/>
    <w:rsid w:val="412C5169"/>
    <w:rsid w:val="41322966"/>
    <w:rsid w:val="41344CBB"/>
    <w:rsid w:val="413454E7"/>
    <w:rsid w:val="41361594"/>
    <w:rsid w:val="413A392E"/>
    <w:rsid w:val="413D70C9"/>
    <w:rsid w:val="413E130B"/>
    <w:rsid w:val="41410DFB"/>
    <w:rsid w:val="41411671"/>
    <w:rsid w:val="414138D2"/>
    <w:rsid w:val="41443B0A"/>
    <w:rsid w:val="414601C0"/>
    <w:rsid w:val="414624D2"/>
    <w:rsid w:val="414716F1"/>
    <w:rsid w:val="41474059"/>
    <w:rsid w:val="4149029A"/>
    <w:rsid w:val="414A0622"/>
    <w:rsid w:val="414A4BB1"/>
    <w:rsid w:val="414A5F02"/>
    <w:rsid w:val="414B00C8"/>
    <w:rsid w:val="414C3A28"/>
    <w:rsid w:val="414D59F2"/>
    <w:rsid w:val="414E768F"/>
    <w:rsid w:val="414F3047"/>
    <w:rsid w:val="414F4028"/>
    <w:rsid w:val="4150713F"/>
    <w:rsid w:val="41525EBB"/>
    <w:rsid w:val="41550197"/>
    <w:rsid w:val="415648A7"/>
    <w:rsid w:val="41566BC5"/>
    <w:rsid w:val="41597EF3"/>
    <w:rsid w:val="415E19AD"/>
    <w:rsid w:val="415E7BFF"/>
    <w:rsid w:val="416045F4"/>
    <w:rsid w:val="416170AD"/>
    <w:rsid w:val="41620E35"/>
    <w:rsid w:val="41621EB6"/>
    <w:rsid w:val="41634113"/>
    <w:rsid w:val="41650F67"/>
    <w:rsid w:val="41672795"/>
    <w:rsid w:val="41695456"/>
    <w:rsid w:val="416A109C"/>
    <w:rsid w:val="416A3A66"/>
    <w:rsid w:val="416E2464"/>
    <w:rsid w:val="416F7716"/>
    <w:rsid w:val="417116E0"/>
    <w:rsid w:val="417161DB"/>
    <w:rsid w:val="417472CD"/>
    <w:rsid w:val="41780CC1"/>
    <w:rsid w:val="417901AA"/>
    <w:rsid w:val="41790595"/>
    <w:rsid w:val="41792010"/>
    <w:rsid w:val="41795582"/>
    <w:rsid w:val="417B45A2"/>
    <w:rsid w:val="417B60BB"/>
    <w:rsid w:val="417D1127"/>
    <w:rsid w:val="417F1B15"/>
    <w:rsid w:val="418036D2"/>
    <w:rsid w:val="41813DE8"/>
    <w:rsid w:val="41831414"/>
    <w:rsid w:val="41847824"/>
    <w:rsid w:val="4185309F"/>
    <w:rsid w:val="41856F3A"/>
    <w:rsid w:val="41867134"/>
    <w:rsid w:val="418777E5"/>
    <w:rsid w:val="4188599D"/>
    <w:rsid w:val="418A4550"/>
    <w:rsid w:val="418B7876"/>
    <w:rsid w:val="419150BB"/>
    <w:rsid w:val="41924A76"/>
    <w:rsid w:val="41940A73"/>
    <w:rsid w:val="41981844"/>
    <w:rsid w:val="41984EBF"/>
    <w:rsid w:val="419A010E"/>
    <w:rsid w:val="419B3797"/>
    <w:rsid w:val="419C5498"/>
    <w:rsid w:val="419E52FD"/>
    <w:rsid w:val="419E624E"/>
    <w:rsid w:val="419F7D2B"/>
    <w:rsid w:val="41A2048E"/>
    <w:rsid w:val="41A21103"/>
    <w:rsid w:val="41A2189A"/>
    <w:rsid w:val="41A33AF4"/>
    <w:rsid w:val="41A3415D"/>
    <w:rsid w:val="41A35612"/>
    <w:rsid w:val="41A4267C"/>
    <w:rsid w:val="41A43864"/>
    <w:rsid w:val="41A507B8"/>
    <w:rsid w:val="41A527D2"/>
    <w:rsid w:val="41A76EB0"/>
    <w:rsid w:val="41A90E7A"/>
    <w:rsid w:val="41A96AA7"/>
    <w:rsid w:val="41AB6BF8"/>
    <w:rsid w:val="41AC1FA1"/>
    <w:rsid w:val="41AC6BFD"/>
    <w:rsid w:val="41AD023F"/>
    <w:rsid w:val="41AD17AE"/>
    <w:rsid w:val="41AD2AF3"/>
    <w:rsid w:val="41AF401A"/>
    <w:rsid w:val="41B01BE8"/>
    <w:rsid w:val="41B521D6"/>
    <w:rsid w:val="41B676E4"/>
    <w:rsid w:val="41B80A98"/>
    <w:rsid w:val="41B954FB"/>
    <w:rsid w:val="41B96BE3"/>
    <w:rsid w:val="41BA1ED3"/>
    <w:rsid w:val="41BD66D4"/>
    <w:rsid w:val="41BE244C"/>
    <w:rsid w:val="41BE41FA"/>
    <w:rsid w:val="41BE4B83"/>
    <w:rsid w:val="41C025A9"/>
    <w:rsid w:val="41C10754"/>
    <w:rsid w:val="41C470D5"/>
    <w:rsid w:val="41C47870"/>
    <w:rsid w:val="41C537DA"/>
    <w:rsid w:val="41C921BB"/>
    <w:rsid w:val="41CA3D0B"/>
    <w:rsid w:val="41CC0438"/>
    <w:rsid w:val="41CC723D"/>
    <w:rsid w:val="41CD097A"/>
    <w:rsid w:val="41CE268F"/>
    <w:rsid w:val="41CF37F5"/>
    <w:rsid w:val="41CF4659"/>
    <w:rsid w:val="41D1217F"/>
    <w:rsid w:val="41D2303D"/>
    <w:rsid w:val="41D261BD"/>
    <w:rsid w:val="41D37CA5"/>
    <w:rsid w:val="41D473A2"/>
    <w:rsid w:val="41D51801"/>
    <w:rsid w:val="41D722E9"/>
    <w:rsid w:val="41D852BC"/>
    <w:rsid w:val="41D9553B"/>
    <w:rsid w:val="41DA506E"/>
    <w:rsid w:val="41DC535C"/>
    <w:rsid w:val="41DC7E7C"/>
    <w:rsid w:val="41DD13BD"/>
    <w:rsid w:val="41DD5436"/>
    <w:rsid w:val="41DE05FE"/>
    <w:rsid w:val="41E023C2"/>
    <w:rsid w:val="41E129E1"/>
    <w:rsid w:val="41E16F5A"/>
    <w:rsid w:val="41E225DE"/>
    <w:rsid w:val="41E26B81"/>
    <w:rsid w:val="41E5640E"/>
    <w:rsid w:val="41E579D9"/>
    <w:rsid w:val="41E6598A"/>
    <w:rsid w:val="41E70D4E"/>
    <w:rsid w:val="41E915B7"/>
    <w:rsid w:val="41E9571B"/>
    <w:rsid w:val="41EC520B"/>
    <w:rsid w:val="41ED600E"/>
    <w:rsid w:val="41EE0F83"/>
    <w:rsid w:val="41EE47A2"/>
    <w:rsid w:val="41F81C79"/>
    <w:rsid w:val="41F82483"/>
    <w:rsid w:val="41F83BB0"/>
    <w:rsid w:val="41F9751E"/>
    <w:rsid w:val="41F97BB5"/>
    <w:rsid w:val="41FA08E5"/>
    <w:rsid w:val="41FA5106"/>
    <w:rsid w:val="41FB1D75"/>
    <w:rsid w:val="41FB36A0"/>
    <w:rsid w:val="41FD1F8A"/>
    <w:rsid w:val="41FE4BFE"/>
    <w:rsid w:val="420057D5"/>
    <w:rsid w:val="42026ACB"/>
    <w:rsid w:val="42033B0C"/>
    <w:rsid w:val="420460B1"/>
    <w:rsid w:val="420473BE"/>
    <w:rsid w:val="42073DF3"/>
    <w:rsid w:val="420822F7"/>
    <w:rsid w:val="42084E57"/>
    <w:rsid w:val="420B35BA"/>
    <w:rsid w:val="420B5361"/>
    <w:rsid w:val="420E33D3"/>
    <w:rsid w:val="420F2CA7"/>
    <w:rsid w:val="421107CE"/>
    <w:rsid w:val="421225FF"/>
    <w:rsid w:val="42127427"/>
    <w:rsid w:val="42132BCD"/>
    <w:rsid w:val="421351F9"/>
    <w:rsid w:val="42160E91"/>
    <w:rsid w:val="42177E21"/>
    <w:rsid w:val="421870E8"/>
    <w:rsid w:val="421B789E"/>
    <w:rsid w:val="421C79AB"/>
    <w:rsid w:val="421D53C4"/>
    <w:rsid w:val="421F113C"/>
    <w:rsid w:val="42204EB5"/>
    <w:rsid w:val="42213106"/>
    <w:rsid w:val="422221AD"/>
    <w:rsid w:val="42224789"/>
    <w:rsid w:val="42251667"/>
    <w:rsid w:val="42255FAE"/>
    <w:rsid w:val="42263205"/>
    <w:rsid w:val="422844C0"/>
    <w:rsid w:val="422876EA"/>
    <w:rsid w:val="422A647D"/>
    <w:rsid w:val="422B7713"/>
    <w:rsid w:val="422C1366"/>
    <w:rsid w:val="422E5CAE"/>
    <w:rsid w:val="422E75D1"/>
    <w:rsid w:val="422F30A4"/>
    <w:rsid w:val="423170C2"/>
    <w:rsid w:val="42337E06"/>
    <w:rsid w:val="42366486"/>
    <w:rsid w:val="423A6D1A"/>
    <w:rsid w:val="42424E2B"/>
    <w:rsid w:val="42426BD9"/>
    <w:rsid w:val="42434A20"/>
    <w:rsid w:val="4245665E"/>
    <w:rsid w:val="4246491B"/>
    <w:rsid w:val="42480A33"/>
    <w:rsid w:val="42483D4F"/>
    <w:rsid w:val="42492C9C"/>
    <w:rsid w:val="4249440B"/>
    <w:rsid w:val="424A47ED"/>
    <w:rsid w:val="424B0183"/>
    <w:rsid w:val="424D1FAE"/>
    <w:rsid w:val="424D3A49"/>
    <w:rsid w:val="424D4F9D"/>
    <w:rsid w:val="424E0D23"/>
    <w:rsid w:val="424E72DF"/>
    <w:rsid w:val="424F4E6C"/>
    <w:rsid w:val="424F7250"/>
    <w:rsid w:val="42500A1C"/>
    <w:rsid w:val="42521512"/>
    <w:rsid w:val="42533EEF"/>
    <w:rsid w:val="4253528A"/>
    <w:rsid w:val="42581301"/>
    <w:rsid w:val="425A3F23"/>
    <w:rsid w:val="425A6618"/>
    <w:rsid w:val="425C413F"/>
    <w:rsid w:val="425C6C9B"/>
    <w:rsid w:val="425D1DDD"/>
    <w:rsid w:val="425F68B8"/>
    <w:rsid w:val="425F77F3"/>
    <w:rsid w:val="42606D9A"/>
    <w:rsid w:val="42633A88"/>
    <w:rsid w:val="42641245"/>
    <w:rsid w:val="42660B19"/>
    <w:rsid w:val="42674891"/>
    <w:rsid w:val="42683214"/>
    <w:rsid w:val="4269060A"/>
    <w:rsid w:val="426C3C56"/>
    <w:rsid w:val="426D23D8"/>
    <w:rsid w:val="426D5897"/>
    <w:rsid w:val="426D634C"/>
    <w:rsid w:val="426D6FB2"/>
    <w:rsid w:val="426E64B2"/>
    <w:rsid w:val="426F381D"/>
    <w:rsid w:val="426F49B7"/>
    <w:rsid w:val="427044E0"/>
    <w:rsid w:val="4271167E"/>
    <w:rsid w:val="42725710"/>
    <w:rsid w:val="427516A4"/>
    <w:rsid w:val="42777E2B"/>
    <w:rsid w:val="42786A9F"/>
    <w:rsid w:val="42790EFC"/>
    <w:rsid w:val="42795A71"/>
    <w:rsid w:val="427A3CDC"/>
    <w:rsid w:val="427A45C5"/>
    <w:rsid w:val="427A76F5"/>
    <w:rsid w:val="427B3B7B"/>
    <w:rsid w:val="427C033D"/>
    <w:rsid w:val="427D1648"/>
    <w:rsid w:val="427E48A2"/>
    <w:rsid w:val="427F3924"/>
    <w:rsid w:val="42826DD7"/>
    <w:rsid w:val="428606F1"/>
    <w:rsid w:val="4287437F"/>
    <w:rsid w:val="42884F34"/>
    <w:rsid w:val="428A3F13"/>
    <w:rsid w:val="428C0B42"/>
    <w:rsid w:val="428C42F8"/>
    <w:rsid w:val="428E1E1E"/>
    <w:rsid w:val="428E647A"/>
    <w:rsid w:val="428F2687"/>
    <w:rsid w:val="428F57FA"/>
    <w:rsid w:val="4292195C"/>
    <w:rsid w:val="42943BEA"/>
    <w:rsid w:val="42945242"/>
    <w:rsid w:val="42981109"/>
    <w:rsid w:val="429A07C3"/>
    <w:rsid w:val="429A39F6"/>
    <w:rsid w:val="429C453B"/>
    <w:rsid w:val="429F6E44"/>
    <w:rsid w:val="42A15FF5"/>
    <w:rsid w:val="42A33B1C"/>
    <w:rsid w:val="42A826DF"/>
    <w:rsid w:val="42A948C7"/>
    <w:rsid w:val="42AC04E8"/>
    <w:rsid w:val="42AC48D8"/>
    <w:rsid w:val="42AD2648"/>
    <w:rsid w:val="42AE32C6"/>
    <w:rsid w:val="42B07FE6"/>
    <w:rsid w:val="42B21FB1"/>
    <w:rsid w:val="42B2733B"/>
    <w:rsid w:val="42B45A49"/>
    <w:rsid w:val="42B51912"/>
    <w:rsid w:val="42B555FD"/>
    <w:rsid w:val="42B6714C"/>
    <w:rsid w:val="42B775C7"/>
    <w:rsid w:val="42B8752D"/>
    <w:rsid w:val="42B9333F"/>
    <w:rsid w:val="42BA458C"/>
    <w:rsid w:val="42BB7262"/>
    <w:rsid w:val="42BE0565"/>
    <w:rsid w:val="42C039BD"/>
    <w:rsid w:val="42C12014"/>
    <w:rsid w:val="42C13FA2"/>
    <w:rsid w:val="42C341BE"/>
    <w:rsid w:val="42C57D01"/>
    <w:rsid w:val="42C65A5C"/>
    <w:rsid w:val="42C83582"/>
    <w:rsid w:val="42C84132"/>
    <w:rsid w:val="42CB3152"/>
    <w:rsid w:val="42CC1290"/>
    <w:rsid w:val="42CD0B98"/>
    <w:rsid w:val="42CE66BF"/>
    <w:rsid w:val="42CF1434"/>
    <w:rsid w:val="42D24401"/>
    <w:rsid w:val="42D24CA4"/>
    <w:rsid w:val="42D31514"/>
    <w:rsid w:val="42D355FF"/>
    <w:rsid w:val="42D53DAF"/>
    <w:rsid w:val="42D55C9F"/>
    <w:rsid w:val="42D60EDF"/>
    <w:rsid w:val="42D6495D"/>
    <w:rsid w:val="42D73420"/>
    <w:rsid w:val="42D75573"/>
    <w:rsid w:val="42DA7EFB"/>
    <w:rsid w:val="42DE51DB"/>
    <w:rsid w:val="42E10B89"/>
    <w:rsid w:val="42E12896"/>
    <w:rsid w:val="42E23830"/>
    <w:rsid w:val="42E40F93"/>
    <w:rsid w:val="42E43B34"/>
    <w:rsid w:val="42E70332"/>
    <w:rsid w:val="42E85841"/>
    <w:rsid w:val="42E94EA1"/>
    <w:rsid w:val="42EA346B"/>
    <w:rsid w:val="42EB54C2"/>
    <w:rsid w:val="42EC3109"/>
    <w:rsid w:val="42ED5041"/>
    <w:rsid w:val="42F00D2B"/>
    <w:rsid w:val="42F205FF"/>
    <w:rsid w:val="42F26851"/>
    <w:rsid w:val="42F35C5E"/>
    <w:rsid w:val="42F44377"/>
    <w:rsid w:val="42F47B44"/>
    <w:rsid w:val="42F53254"/>
    <w:rsid w:val="42F53ADA"/>
    <w:rsid w:val="42F57BFB"/>
    <w:rsid w:val="42F61468"/>
    <w:rsid w:val="42F61598"/>
    <w:rsid w:val="42FD108F"/>
    <w:rsid w:val="42FE6FA4"/>
    <w:rsid w:val="42FE7653"/>
    <w:rsid w:val="42FF16EA"/>
    <w:rsid w:val="42FF4ACA"/>
    <w:rsid w:val="43016A94"/>
    <w:rsid w:val="43036368"/>
    <w:rsid w:val="43040332"/>
    <w:rsid w:val="430435CD"/>
    <w:rsid w:val="43052AF8"/>
    <w:rsid w:val="430838B2"/>
    <w:rsid w:val="430976F7"/>
    <w:rsid w:val="430A3B9B"/>
    <w:rsid w:val="430C545D"/>
    <w:rsid w:val="430D450A"/>
    <w:rsid w:val="43103916"/>
    <w:rsid w:val="43127BD6"/>
    <w:rsid w:val="43137D0C"/>
    <w:rsid w:val="43140207"/>
    <w:rsid w:val="43140A5A"/>
    <w:rsid w:val="431467C7"/>
    <w:rsid w:val="43162488"/>
    <w:rsid w:val="43167E43"/>
    <w:rsid w:val="43193DDE"/>
    <w:rsid w:val="431B4DD4"/>
    <w:rsid w:val="431E1012"/>
    <w:rsid w:val="431E52CB"/>
    <w:rsid w:val="431E7922"/>
    <w:rsid w:val="431F06B7"/>
    <w:rsid w:val="431F6DB3"/>
    <w:rsid w:val="431F6F1A"/>
    <w:rsid w:val="43210CCC"/>
    <w:rsid w:val="432409C1"/>
    <w:rsid w:val="43241F5A"/>
    <w:rsid w:val="43282273"/>
    <w:rsid w:val="43284414"/>
    <w:rsid w:val="432879E8"/>
    <w:rsid w:val="432B2B89"/>
    <w:rsid w:val="432C269E"/>
    <w:rsid w:val="432C6B26"/>
    <w:rsid w:val="432E724C"/>
    <w:rsid w:val="43304997"/>
    <w:rsid w:val="4331618E"/>
    <w:rsid w:val="43326C4D"/>
    <w:rsid w:val="433354C7"/>
    <w:rsid w:val="433409E5"/>
    <w:rsid w:val="433429C6"/>
    <w:rsid w:val="43342E02"/>
    <w:rsid w:val="43383228"/>
    <w:rsid w:val="43384D58"/>
    <w:rsid w:val="4338647E"/>
    <w:rsid w:val="4338799D"/>
    <w:rsid w:val="43387D8A"/>
    <w:rsid w:val="43392EE9"/>
    <w:rsid w:val="433A7BE0"/>
    <w:rsid w:val="433B1DC8"/>
    <w:rsid w:val="433B5D9C"/>
    <w:rsid w:val="433C5205"/>
    <w:rsid w:val="433C7ACC"/>
    <w:rsid w:val="433D6A1A"/>
    <w:rsid w:val="433E6168"/>
    <w:rsid w:val="433F1693"/>
    <w:rsid w:val="433F54EA"/>
    <w:rsid w:val="434019E2"/>
    <w:rsid w:val="43420014"/>
    <w:rsid w:val="4342435E"/>
    <w:rsid w:val="434370AD"/>
    <w:rsid w:val="4346376A"/>
    <w:rsid w:val="43472E25"/>
    <w:rsid w:val="434C12DB"/>
    <w:rsid w:val="434C44CE"/>
    <w:rsid w:val="434D3DCB"/>
    <w:rsid w:val="434F5A51"/>
    <w:rsid w:val="434F77FF"/>
    <w:rsid w:val="4350776E"/>
    <w:rsid w:val="4352109E"/>
    <w:rsid w:val="435272F0"/>
    <w:rsid w:val="43544E16"/>
    <w:rsid w:val="43550B61"/>
    <w:rsid w:val="4356216B"/>
    <w:rsid w:val="4359242C"/>
    <w:rsid w:val="435A0138"/>
    <w:rsid w:val="435A7DD9"/>
    <w:rsid w:val="435A7F52"/>
    <w:rsid w:val="435B2648"/>
    <w:rsid w:val="435B59AA"/>
    <w:rsid w:val="435B61A4"/>
    <w:rsid w:val="435E3EE6"/>
    <w:rsid w:val="435E7A42"/>
    <w:rsid w:val="435F279F"/>
    <w:rsid w:val="4360359D"/>
    <w:rsid w:val="43607C5E"/>
    <w:rsid w:val="43611D9C"/>
    <w:rsid w:val="43615785"/>
    <w:rsid w:val="43622373"/>
    <w:rsid w:val="43627D13"/>
    <w:rsid w:val="43632B3F"/>
    <w:rsid w:val="4365448B"/>
    <w:rsid w:val="43657872"/>
    <w:rsid w:val="43666A6A"/>
    <w:rsid w:val="4367667F"/>
    <w:rsid w:val="436808C1"/>
    <w:rsid w:val="4368266F"/>
    <w:rsid w:val="436A00C3"/>
    <w:rsid w:val="436A0132"/>
    <w:rsid w:val="436A4F74"/>
    <w:rsid w:val="436D5ED7"/>
    <w:rsid w:val="436F146E"/>
    <w:rsid w:val="436F4CB1"/>
    <w:rsid w:val="43721740"/>
    <w:rsid w:val="437270F3"/>
    <w:rsid w:val="43771B01"/>
    <w:rsid w:val="437B4B83"/>
    <w:rsid w:val="437C06CE"/>
    <w:rsid w:val="437F1D8F"/>
    <w:rsid w:val="43812344"/>
    <w:rsid w:val="438144A6"/>
    <w:rsid w:val="43820EC1"/>
    <w:rsid w:val="438254F7"/>
    <w:rsid w:val="43830114"/>
    <w:rsid w:val="438576C5"/>
    <w:rsid w:val="43873283"/>
    <w:rsid w:val="43884ABF"/>
    <w:rsid w:val="43887192"/>
    <w:rsid w:val="438A4CDB"/>
    <w:rsid w:val="438B1197"/>
    <w:rsid w:val="438B4F65"/>
    <w:rsid w:val="438D0328"/>
    <w:rsid w:val="438D4B2D"/>
    <w:rsid w:val="438D5FA0"/>
    <w:rsid w:val="438F1AA3"/>
    <w:rsid w:val="438F3327"/>
    <w:rsid w:val="438F595A"/>
    <w:rsid w:val="43904487"/>
    <w:rsid w:val="4391369E"/>
    <w:rsid w:val="439223D0"/>
    <w:rsid w:val="43954E49"/>
    <w:rsid w:val="43994FCC"/>
    <w:rsid w:val="439A7CE8"/>
    <w:rsid w:val="439B0D3D"/>
    <w:rsid w:val="439B0DDB"/>
    <w:rsid w:val="439B3F9B"/>
    <w:rsid w:val="439B47F3"/>
    <w:rsid w:val="439E6707"/>
    <w:rsid w:val="439E6C28"/>
    <w:rsid w:val="439F5E7B"/>
    <w:rsid w:val="43A12D8E"/>
    <w:rsid w:val="43A13601"/>
    <w:rsid w:val="43A153A0"/>
    <w:rsid w:val="43A41F82"/>
    <w:rsid w:val="43A538C3"/>
    <w:rsid w:val="43A63197"/>
    <w:rsid w:val="43A63820"/>
    <w:rsid w:val="43A833CB"/>
    <w:rsid w:val="43A86F10"/>
    <w:rsid w:val="43A91E0D"/>
    <w:rsid w:val="43AB650F"/>
    <w:rsid w:val="43AC07ED"/>
    <w:rsid w:val="43B104BA"/>
    <w:rsid w:val="43B14016"/>
    <w:rsid w:val="43B1633C"/>
    <w:rsid w:val="43B2027F"/>
    <w:rsid w:val="43B34232"/>
    <w:rsid w:val="43B37AB9"/>
    <w:rsid w:val="43B41A77"/>
    <w:rsid w:val="43B41D58"/>
    <w:rsid w:val="43B63D0A"/>
    <w:rsid w:val="43BA7072"/>
    <w:rsid w:val="43BB0535"/>
    <w:rsid w:val="43BB31A0"/>
    <w:rsid w:val="43BC6A47"/>
    <w:rsid w:val="43BE3CB6"/>
    <w:rsid w:val="43BF2BD7"/>
    <w:rsid w:val="43C006FD"/>
    <w:rsid w:val="43C04259"/>
    <w:rsid w:val="43C207D8"/>
    <w:rsid w:val="43C658C3"/>
    <w:rsid w:val="43C719C4"/>
    <w:rsid w:val="43CB512D"/>
    <w:rsid w:val="43CB5A94"/>
    <w:rsid w:val="43CC2BFE"/>
    <w:rsid w:val="43CD6962"/>
    <w:rsid w:val="43D23F8D"/>
    <w:rsid w:val="43D40DBC"/>
    <w:rsid w:val="43D63A7D"/>
    <w:rsid w:val="43D85A47"/>
    <w:rsid w:val="43D877F5"/>
    <w:rsid w:val="43D92880"/>
    <w:rsid w:val="43D928BB"/>
    <w:rsid w:val="43D9531B"/>
    <w:rsid w:val="43DB1FD4"/>
    <w:rsid w:val="43DB6B7B"/>
    <w:rsid w:val="43DB7BD2"/>
    <w:rsid w:val="43DD12AF"/>
    <w:rsid w:val="43DE6DD5"/>
    <w:rsid w:val="43DF4A9B"/>
    <w:rsid w:val="43E07893"/>
    <w:rsid w:val="43E07AFA"/>
    <w:rsid w:val="43E17353"/>
    <w:rsid w:val="43E32EF2"/>
    <w:rsid w:val="43E443EC"/>
    <w:rsid w:val="43E503D2"/>
    <w:rsid w:val="43E72937"/>
    <w:rsid w:val="43E814B4"/>
    <w:rsid w:val="43E81820"/>
    <w:rsid w:val="43E83E2D"/>
    <w:rsid w:val="43E9584D"/>
    <w:rsid w:val="43ED3070"/>
    <w:rsid w:val="43EE050A"/>
    <w:rsid w:val="43EE2E8F"/>
    <w:rsid w:val="43EF2D90"/>
    <w:rsid w:val="43EF35C1"/>
    <w:rsid w:val="43F3462F"/>
    <w:rsid w:val="43F403A7"/>
    <w:rsid w:val="43F44339"/>
    <w:rsid w:val="43F565F9"/>
    <w:rsid w:val="43FA274B"/>
    <w:rsid w:val="43FB7987"/>
    <w:rsid w:val="43FC488F"/>
    <w:rsid w:val="43FE547B"/>
    <w:rsid w:val="440179B8"/>
    <w:rsid w:val="4402059A"/>
    <w:rsid w:val="44035CCB"/>
    <w:rsid w:val="44042F65"/>
    <w:rsid w:val="44057E40"/>
    <w:rsid w:val="440727AF"/>
    <w:rsid w:val="440A7BCA"/>
    <w:rsid w:val="440C56F0"/>
    <w:rsid w:val="440E76BA"/>
    <w:rsid w:val="440F005E"/>
    <w:rsid w:val="44102588"/>
    <w:rsid w:val="44110F59"/>
    <w:rsid w:val="44112D07"/>
    <w:rsid w:val="44130FB7"/>
    <w:rsid w:val="44136A7F"/>
    <w:rsid w:val="44156F3C"/>
    <w:rsid w:val="441724D7"/>
    <w:rsid w:val="44182CF9"/>
    <w:rsid w:val="44197128"/>
    <w:rsid w:val="441A1710"/>
    <w:rsid w:val="441A605F"/>
    <w:rsid w:val="441B0C88"/>
    <w:rsid w:val="441C7085"/>
    <w:rsid w:val="441E4BDC"/>
    <w:rsid w:val="441E71D2"/>
    <w:rsid w:val="442411F9"/>
    <w:rsid w:val="4424783F"/>
    <w:rsid w:val="4427252A"/>
    <w:rsid w:val="44280A19"/>
    <w:rsid w:val="442B1BAA"/>
    <w:rsid w:val="442C0064"/>
    <w:rsid w:val="442F18BF"/>
    <w:rsid w:val="44304C12"/>
    <w:rsid w:val="443133A9"/>
    <w:rsid w:val="44333F20"/>
    <w:rsid w:val="4436451B"/>
    <w:rsid w:val="44366C11"/>
    <w:rsid w:val="44366D09"/>
    <w:rsid w:val="4438014F"/>
    <w:rsid w:val="44380293"/>
    <w:rsid w:val="443B0C0F"/>
    <w:rsid w:val="443C4228"/>
    <w:rsid w:val="443D60F0"/>
    <w:rsid w:val="443E1986"/>
    <w:rsid w:val="44421112"/>
    <w:rsid w:val="44425279"/>
    <w:rsid w:val="44426CAB"/>
    <w:rsid w:val="444303A9"/>
    <w:rsid w:val="4443784A"/>
    <w:rsid w:val="44472EDA"/>
    <w:rsid w:val="4447497A"/>
    <w:rsid w:val="444B446B"/>
    <w:rsid w:val="444C4E5B"/>
    <w:rsid w:val="444E5F52"/>
    <w:rsid w:val="445317B6"/>
    <w:rsid w:val="4453331F"/>
    <w:rsid w:val="44550186"/>
    <w:rsid w:val="4456166A"/>
    <w:rsid w:val="44562E10"/>
    <w:rsid w:val="445826E4"/>
    <w:rsid w:val="445930EE"/>
    <w:rsid w:val="445A2A35"/>
    <w:rsid w:val="445C09D8"/>
    <w:rsid w:val="445C6678"/>
    <w:rsid w:val="445D6074"/>
    <w:rsid w:val="445E6CA4"/>
    <w:rsid w:val="44615424"/>
    <w:rsid w:val="44623109"/>
    <w:rsid w:val="4464055E"/>
    <w:rsid w:val="44663053"/>
    <w:rsid w:val="4466626A"/>
    <w:rsid w:val="4469669F"/>
    <w:rsid w:val="446B31F6"/>
    <w:rsid w:val="446B5E6B"/>
    <w:rsid w:val="446C5274"/>
    <w:rsid w:val="446D651A"/>
    <w:rsid w:val="446F1EAD"/>
    <w:rsid w:val="44775260"/>
    <w:rsid w:val="44782D86"/>
    <w:rsid w:val="44790F60"/>
    <w:rsid w:val="447C53EE"/>
    <w:rsid w:val="44817E8C"/>
    <w:rsid w:val="44821996"/>
    <w:rsid w:val="4484172B"/>
    <w:rsid w:val="4486788D"/>
    <w:rsid w:val="44872FC9"/>
    <w:rsid w:val="44882D9B"/>
    <w:rsid w:val="44883190"/>
    <w:rsid w:val="44885B43"/>
    <w:rsid w:val="448C2903"/>
    <w:rsid w:val="448C466B"/>
    <w:rsid w:val="448C5AFF"/>
    <w:rsid w:val="448F4563"/>
    <w:rsid w:val="448F4B5A"/>
    <w:rsid w:val="44906321"/>
    <w:rsid w:val="44911190"/>
    <w:rsid w:val="44913E48"/>
    <w:rsid w:val="449146DD"/>
    <w:rsid w:val="44916187"/>
    <w:rsid w:val="4493196E"/>
    <w:rsid w:val="44953938"/>
    <w:rsid w:val="44957494"/>
    <w:rsid w:val="4496320C"/>
    <w:rsid w:val="44963321"/>
    <w:rsid w:val="44966287"/>
    <w:rsid w:val="4497591B"/>
    <w:rsid w:val="44986F84"/>
    <w:rsid w:val="449974D6"/>
    <w:rsid w:val="449A3971"/>
    <w:rsid w:val="449A4F3E"/>
    <w:rsid w:val="449A71A0"/>
    <w:rsid w:val="449C35E2"/>
    <w:rsid w:val="449D0A3E"/>
    <w:rsid w:val="449F6565"/>
    <w:rsid w:val="44A1408B"/>
    <w:rsid w:val="44A3057F"/>
    <w:rsid w:val="44A4505E"/>
    <w:rsid w:val="44A75419"/>
    <w:rsid w:val="44A818BD"/>
    <w:rsid w:val="44AA5AB5"/>
    <w:rsid w:val="44AB0815"/>
    <w:rsid w:val="44AC595F"/>
    <w:rsid w:val="44AE49FA"/>
    <w:rsid w:val="44AE71F8"/>
    <w:rsid w:val="44B1402F"/>
    <w:rsid w:val="44B26298"/>
    <w:rsid w:val="44B32413"/>
    <w:rsid w:val="44B422A7"/>
    <w:rsid w:val="44B429B0"/>
    <w:rsid w:val="44B57B36"/>
    <w:rsid w:val="44B75376"/>
    <w:rsid w:val="44B774EB"/>
    <w:rsid w:val="44B809E3"/>
    <w:rsid w:val="44B813D4"/>
    <w:rsid w:val="44B87626"/>
    <w:rsid w:val="44B943FA"/>
    <w:rsid w:val="44B96554"/>
    <w:rsid w:val="44BA08DA"/>
    <w:rsid w:val="44BA7F63"/>
    <w:rsid w:val="44BB29C9"/>
    <w:rsid w:val="44BC2883"/>
    <w:rsid w:val="44BE7E5F"/>
    <w:rsid w:val="44C0240C"/>
    <w:rsid w:val="44C10289"/>
    <w:rsid w:val="44C154AA"/>
    <w:rsid w:val="44C358B7"/>
    <w:rsid w:val="44C36444"/>
    <w:rsid w:val="44C4421D"/>
    <w:rsid w:val="44C60A40"/>
    <w:rsid w:val="44C71617"/>
    <w:rsid w:val="44C935E1"/>
    <w:rsid w:val="44C9538F"/>
    <w:rsid w:val="44C96F5B"/>
    <w:rsid w:val="44CF08C7"/>
    <w:rsid w:val="44D0671E"/>
    <w:rsid w:val="44D25347"/>
    <w:rsid w:val="44D34460"/>
    <w:rsid w:val="44D37FBC"/>
    <w:rsid w:val="44D50904"/>
    <w:rsid w:val="44D83825"/>
    <w:rsid w:val="44D849B1"/>
    <w:rsid w:val="44DC1567"/>
    <w:rsid w:val="44DC3315"/>
    <w:rsid w:val="44DD44BB"/>
    <w:rsid w:val="44E07E8F"/>
    <w:rsid w:val="44E1092B"/>
    <w:rsid w:val="44E33521"/>
    <w:rsid w:val="44E45144"/>
    <w:rsid w:val="44E46C23"/>
    <w:rsid w:val="44EB6556"/>
    <w:rsid w:val="44EB7D4B"/>
    <w:rsid w:val="44EC71E8"/>
    <w:rsid w:val="44EE3048"/>
    <w:rsid w:val="44EF2D10"/>
    <w:rsid w:val="44EF648E"/>
    <w:rsid w:val="44F22B38"/>
    <w:rsid w:val="44F50743"/>
    <w:rsid w:val="44F53486"/>
    <w:rsid w:val="44F541AA"/>
    <w:rsid w:val="44F62D7A"/>
    <w:rsid w:val="44F730C8"/>
    <w:rsid w:val="44F8455F"/>
    <w:rsid w:val="44F84702"/>
    <w:rsid w:val="44FA32B4"/>
    <w:rsid w:val="44FA3CB5"/>
    <w:rsid w:val="44FC0160"/>
    <w:rsid w:val="44FC154A"/>
    <w:rsid w:val="44FD328B"/>
    <w:rsid w:val="4502763F"/>
    <w:rsid w:val="45040ED5"/>
    <w:rsid w:val="45044629"/>
    <w:rsid w:val="45045743"/>
    <w:rsid w:val="45055CE5"/>
    <w:rsid w:val="45073896"/>
    <w:rsid w:val="450B3BFA"/>
    <w:rsid w:val="450B59A8"/>
    <w:rsid w:val="450C277A"/>
    <w:rsid w:val="450D212B"/>
    <w:rsid w:val="450E4647"/>
    <w:rsid w:val="450F36EA"/>
    <w:rsid w:val="45107462"/>
    <w:rsid w:val="45124B0D"/>
    <w:rsid w:val="45124F88"/>
    <w:rsid w:val="4514485C"/>
    <w:rsid w:val="45150D9A"/>
    <w:rsid w:val="4517259F"/>
    <w:rsid w:val="451A115F"/>
    <w:rsid w:val="451A5BEB"/>
    <w:rsid w:val="451B28C0"/>
    <w:rsid w:val="451C0B13"/>
    <w:rsid w:val="451C17AD"/>
    <w:rsid w:val="451E1B7F"/>
    <w:rsid w:val="451E392D"/>
    <w:rsid w:val="451F3201"/>
    <w:rsid w:val="451F38DA"/>
    <w:rsid w:val="4520040D"/>
    <w:rsid w:val="45237196"/>
    <w:rsid w:val="45246A6A"/>
    <w:rsid w:val="45252F0E"/>
    <w:rsid w:val="45280308"/>
    <w:rsid w:val="452A0524"/>
    <w:rsid w:val="452A5142"/>
    <w:rsid w:val="452D7765"/>
    <w:rsid w:val="452E2371"/>
    <w:rsid w:val="452F4140"/>
    <w:rsid w:val="453077F4"/>
    <w:rsid w:val="45315AC5"/>
    <w:rsid w:val="4531619A"/>
    <w:rsid w:val="45323D49"/>
    <w:rsid w:val="45355F4D"/>
    <w:rsid w:val="45361337"/>
    <w:rsid w:val="4537679D"/>
    <w:rsid w:val="45396998"/>
    <w:rsid w:val="453C0257"/>
    <w:rsid w:val="453C4469"/>
    <w:rsid w:val="453D48AA"/>
    <w:rsid w:val="453D4F37"/>
    <w:rsid w:val="453D5EDD"/>
    <w:rsid w:val="453E18DA"/>
    <w:rsid w:val="453E51C6"/>
    <w:rsid w:val="453F38A4"/>
    <w:rsid w:val="453F3C4E"/>
    <w:rsid w:val="453F5652"/>
    <w:rsid w:val="454020F1"/>
    <w:rsid w:val="45417AA0"/>
    <w:rsid w:val="45423F04"/>
    <w:rsid w:val="454278DA"/>
    <w:rsid w:val="454347B2"/>
    <w:rsid w:val="45440EBA"/>
    <w:rsid w:val="454676EB"/>
    <w:rsid w:val="45467F62"/>
    <w:rsid w:val="454809AA"/>
    <w:rsid w:val="4550785F"/>
    <w:rsid w:val="455349AE"/>
    <w:rsid w:val="45541875"/>
    <w:rsid w:val="45554E5A"/>
    <w:rsid w:val="45570BED"/>
    <w:rsid w:val="45575091"/>
    <w:rsid w:val="45595B61"/>
    <w:rsid w:val="45596713"/>
    <w:rsid w:val="455A248C"/>
    <w:rsid w:val="455B5D37"/>
    <w:rsid w:val="455C3910"/>
    <w:rsid w:val="455E5698"/>
    <w:rsid w:val="455F33F6"/>
    <w:rsid w:val="455F5D55"/>
    <w:rsid w:val="45605CF4"/>
    <w:rsid w:val="45644E54"/>
    <w:rsid w:val="456652D4"/>
    <w:rsid w:val="45675CA0"/>
    <w:rsid w:val="456A1083"/>
    <w:rsid w:val="456A2608"/>
    <w:rsid w:val="456D73CD"/>
    <w:rsid w:val="456F23DB"/>
    <w:rsid w:val="456F6B9F"/>
    <w:rsid w:val="4571566F"/>
    <w:rsid w:val="45737205"/>
    <w:rsid w:val="457572C5"/>
    <w:rsid w:val="4576699E"/>
    <w:rsid w:val="45770E90"/>
    <w:rsid w:val="4577278A"/>
    <w:rsid w:val="4577303D"/>
    <w:rsid w:val="457933AD"/>
    <w:rsid w:val="45796DB6"/>
    <w:rsid w:val="457B3B4C"/>
    <w:rsid w:val="457E5332"/>
    <w:rsid w:val="457F003D"/>
    <w:rsid w:val="45800144"/>
    <w:rsid w:val="458145DA"/>
    <w:rsid w:val="45842F6A"/>
    <w:rsid w:val="45877724"/>
    <w:rsid w:val="4588349D"/>
    <w:rsid w:val="458B498F"/>
    <w:rsid w:val="458C0BAA"/>
    <w:rsid w:val="458C1A14"/>
    <w:rsid w:val="458D0988"/>
    <w:rsid w:val="459469C8"/>
    <w:rsid w:val="45963876"/>
    <w:rsid w:val="45964076"/>
    <w:rsid w:val="4597153B"/>
    <w:rsid w:val="45990B3E"/>
    <w:rsid w:val="459A2ECC"/>
    <w:rsid w:val="459A5BC5"/>
    <w:rsid w:val="459B56C8"/>
    <w:rsid w:val="459C7A87"/>
    <w:rsid w:val="45A34199"/>
    <w:rsid w:val="45A5204C"/>
    <w:rsid w:val="45A724D8"/>
    <w:rsid w:val="45AC0035"/>
    <w:rsid w:val="45AD1268"/>
    <w:rsid w:val="45AD4CB1"/>
    <w:rsid w:val="45B21D97"/>
    <w:rsid w:val="45B421B9"/>
    <w:rsid w:val="45B459CE"/>
    <w:rsid w:val="45B47174"/>
    <w:rsid w:val="45B55914"/>
    <w:rsid w:val="45B6087F"/>
    <w:rsid w:val="45B778DE"/>
    <w:rsid w:val="45BC54BB"/>
    <w:rsid w:val="45BD7258"/>
    <w:rsid w:val="45BE046A"/>
    <w:rsid w:val="45BE34E3"/>
    <w:rsid w:val="45BE6EBE"/>
    <w:rsid w:val="45C02C36"/>
    <w:rsid w:val="45C1250B"/>
    <w:rsid w:val="45C142B9"/>
    <w:rsid w:val="45C36283"/>
    <w:rsid w:val="45C53801"/>
    <w:rsid w:val="45CA5863"/>
    <w:rsid w:val="45CC33C2"/>
    <w:rsid w:val="45CD7101"/>
    <w:rsid w:val="45CE2C78"/>
    <w:rsid w:val="45CF2E79"/>
    <w:rsid w:val="45CF4C28"/>
    <w:rsid w:val="45CF7E80"/>
    <w:rsid w:val="45D1274E"/>
    <w:rsid w:val="45D21CF5"/>
    <w:rsid w:val="45D25204"/>
    <w:rsid w:val="45D368FE"/>
    <w:rsid w:val="45D65FB6"/>
    <w:rsid w:val="45D87F80"/>
    <w:rsid w:val="45D97854"/>
    <w:rsid w:val="45DB5579"/>
    <w:rsid w:val="45DD492F"/>
    <w:rsid w:val="45DE64FB"/>
    <w:rsid w:val="45E00F65"/>
    <w:rsid w:val="45E237EC"/>
    <w:rsid w:val="45E2495B"/>
    <w:rsid w:val="45E457FA"/>
    <w:rsid w:val="45E613B2"/>
    <w:rsid w:val="45E80805"/>
    <w:rsid w:val="45E86828"/>
    <w:rsid w:val="45E93DFF"/>
    <w:rsid w:val="45EC57D9"/>
    <w:rsid w:val="45EE5265"/>
    <w:rsid w:val="45F0644A"/>
    <w:rsid w:val="45F11042"/>
    <w:rsid w:val="45F1231E"/>
    <w:rsid w:val="45F1232C"/>
    <w:rsid w:val="45F12DF0"/>
    <w:rsid w:val="45F14B9E"/>
    <w:rsid w:val="45F3574E"/>
    <w:rsid w:val="45F428E0"/>
    <w:rsid w:val="45F679AF"/>
    <w:rsid w:val="45F91CA4"/>
    <w:rsid w:val="45FB77CB"/>
    <w:rsid w:val="45FD025E"/>
    <w:rsid w:val="45FD79E7"/>
    <w:rsid w:val="45FE60EF"/>
    <w:rsid w:val="46001285"/>
    <w:rsid w:val="460074D7"/>
    <w:rsid w:val="46051016"/>
    <w:rsid w:val="46063770"/>
    <w:rsid w:val="4609638B"/>
    <w:rsid w:val="460C19D8"/>
    <w:rsid w:val="46115240"/>
    <w:rsid w:val="46125095"/>
    <w:rsid w:val="461406BE"/>
    <w:rsid w:val="4614088C"/>
    <w:rsid w:val="4618037D"/>
    <w:rsid w:val="461807D7"/>
    <w:rsid w:val="46182787"/>
    <w:rsid w:val="461865CE"/>
    <w:rsid w:val="46192347"/>
    <w:rsid w:val="461A1F91"/>
    <w:rsid w:val="461D6C8B"/>
    <w:rsid w:val="461E4B14"/>
    <w:rsid w:val="4620055F"/>
    <w:rsid w:val="46223350"/>
    <w:rsid w:val="46230966"/>
    <w:rsid w:val="462439B9"/>
    <w:rsid w:val="46243C8E"/>
    <w:rsid w:val="462553F1"/>
    <w:rsid w:val="46267EDC"/>
    <w:rsid w:val="46295A03"/>
    <w:rsid w:val="462A456B"/>
    <w:rsid w:val="462B129A"/>
    <w:rsid w:val="462C3E28"/>
    <w:rsid w:val="462E5DF2"/>
    <w:rsid w:val="462E7BA0"/>
    <w:rsid w:val="463113D5"/>
    <w:rsid w:val="46323D4A"/>
    <w:rsid w:val="46352521"/>
    <w:rsid w:val="46366582"/>
    <w:rsid w:val="463769DC"/>
    <w:rsid w:val="46377F79"/>
    <w:rsid w:val="46386C71"/>
    <w:rsid w:val="463D6035"/>
    <w:rsid w:val="463D7F75"/>
    <w:rsid w:val="463E737E"/>
    <w:rsid w:val="46404AD9"/>
    <w:rsid w:val="46430DB2"/>
    <w:rsid w:val="464473C4"/>
    <w:rsid w:val="46462F83"/>
    <w:rsid w:val="46464484"/>
    <w:rsid w:val="464A2500"/>
    <w:rsid w:val="464C2F23"/>
    <w:rsid w:val="464D1C38"/>
    <w:rsid w:val="464E0242"/>
    <w:rsid w:val="464F5033"/>
    <w:rsid w:val="464F57E4"/>
    <w:rsid w:val="464F7C90"/>
    <w:rsid w:val="465005B9"/>
    <w:rsid w:val="46507519"/>
    <w:rsid w:val="46511AE0"/>
    <w:rsid w:val="46517D32"/>
    <w:rsid w:val="4652461A"/>
    <w:rsid w:val="4654512D"/>
    <w:rsid w:val="46545FB4"/>
    <w:rsid w:val="465619C6"/>
    <w:rsid w:val="46567018"/>
    <w:rsid w:val="46595220"/>
    <w:rsid w:val="465B295F"/>
    <w:rsid w:val="465D33FD"/>
    <w:rsid w:val="465D3F9B"/>
    <w:rsid w:val="46654C28"/>
    <w:rsid w:val="46670CF3"/>
    <w:rsid w:val="46674E60"/>
    <w:rsid w:val="46681707"/>
    <w:rsid w:val="466871EB"/>
    <w:rsid w:val="46692602"/>
    <w:rsid w:val="46693933"/>
    <w:rsid w:val="466A3D31"/>
    <w:rsid w:val="466F127C"/>
    <w:rsid w:val="46712E97"/>
    <w:rsid w:val="46715CDF"/>
    <w:rsid w:val="467248DA"/>
    <w:rsid w:val="46731A57"/>
    <w:rsid w:val="46732BD1"/>
    <w:rsid w:val="46743C3C"/>
    <w:rsid w:val="467521DF"/>
    <w:rsid w:val="46767402"/>
    <w:rsid w:val="467977C5"/>
    <w:rsid w:val="467D073D"/>
    <w:rsid w:val="467D0B27"/>
    <w:rsid w:val="467F21AA"/>
    <w:rsid w:val="46805F22"/>
    <w:rsid w:val="468123C6"/>
    <w:rsid w:val="46841EB6"/>
    <w:rsid w:val="46853E3A"/>
    <w:rsid w:val="4685435B"/>
    <w:rsid w:val="4686314E"/>
    <w:rsid w:val="46877ADE"/>
    <w:rsid w:val="46880BBC"/>
    <w:rsid w:val="4689127A"/>
    <w:rsid w:val="468A0B4E"/>
    <w:rsid w:val="46900FBA"/>
    <w:rsid w:val="46907FF6"/>
    <w:rsid w:val="46911EDD"/>
    <w:rsid w:val="46925E12"/>
    <w:rsid w:val="46957C1F"/>
    <w:rsid w:val="46963A2E"/>
    <w:rsid w:val="46965D99"/>
    <w:rsid w:val="4698770F"/>
    <w:rsid w:val="469C37C0"/>
    <w:rsid w:val="469C3FEF"/>
    <w:rsid w:val="469D4D26"/>
    <w:rsid w:val="469E0050"/>
    <w:rsid w:val="469F3F0A"/>
    <w:rsid w:val="46A02970"/>
    <w:rsid w:val="46A05B8A"/>
    <w:rsid w:val="46A169DD"/>
    <w:rsid w:val="46A301FD"/>
    <w:rsid w:val="46A5119F"/>
    <w:rsid w:val="46A53457"/>
    <w:rsid w:val="46A6389B"/>
    <w:rsid w:val="46A80BCA"/>
    <w:rsid w:val="46AA452D"/>
    <w:rsid w:val="46AA7D34"/>
    <w:rsid w:val="46AC31BB"/>
    <w:rsid w:val="46AE27B4"/>
    <w:rsid w:val="46AE2908"/>
    <w:rsid w:val="46AE5E98"/>
    <w:rsid w:val="46AE6F33"/>
    <w:rsid w:val="46AF05B5"/>
    <w:rsid w:val="46B02CAB"/>
    <w:rsid w:val="46B11A3B"/>
    <w:rsid w:val="46B1266F"/>
    <w:rsid w:val="46B20AD6"/>
    <w:rsid w:val="46B27673"/>
    <w:rsid w:val="46B3289C"/>
    <w:rsid w:val="46B514AD"/>
    <w:rsid w:val="46B77BE3"/>
    <w:rsid w:val="46BE123E"/>
    <w:rsid w:val="46BF0C42"/>
    <w:rsid w:val="46C029FB"/>
    <w:rsid w:val="46C30EE8"/>
    <w:rsid w:val="46C4266C"/>
    <w:rsid w:val="46C45D93"/>
    <w:rsid w:val="46C465EB"/>
    <w:rsid w:val="46C60007"/>
    <w:rsid w:val="46C6111E"/>
    <w:rsid w:val="46C626A7"/>
    <w:rsid w:val="46C6725C"/>
    <w:rsid w:val="46C70FE3"/>
    <w:rsid w:val="46C95F38"/>
    <w:rsid w:val="46C978C9"/>
    <w:rsid w:val="46CB1893"/>
    <w:rsid w:val="46CC2A76"/>
    <w:rsid w:val="46CD006B"/>
    <w:rsid w:val="46CD198D"/>
    <w:rsid w:val="46CE1D0E"/>
    <w:rsid w:val="46CE59EE"/>
    <w:rsid w:val="46CF2A9A"/>
    <w:rsid w:val="46D374A8"/>
    <w:rsid w:val="46D523E2"/>
    <w:rsid w:val="46D544C0"/>
    <w:rsid w:val="46D54510"/>
    <w:rsid w:val="46D71FE6"/>
    <w:rsid w:val="46D86895"/>
    <w:rsid w:val="46DA56D2"/>
    <w:rsid w:val="46DA686A"/>
    <w:rsid w:val="46DA7D28"/>
    <w:rsid w:val="46DE4FE0"/>
    <w:rsid w:val="46E110B6"/>
    <w:rsid w:val="46E464B1"/>
    <w:rsid w:val="46E52B53"/>
    <w:rsid w:val="46E57EA1"/>
    <w:rsid w:val="46E666CD"/>
    <w:rsid w:val="46E7130E"/>
    <w:rsid w:val="46E97F6B"/>
    <w:rsid w:val="46EB2893"/>
    <w:rsid w:val="46EB347B"/>
    <w:rsid w:val="46EC132E"/>
    <w:rsid w:val="46EE10DD"/>
    <w:rsid w:val="46F26061"/>
    <w:rsid w:val="46F31B5E"/>
    <w:rsid w:val="46F32B98"/>
    <w:rsid w:val="46F4765C"/>
    <w:rsid w:val="46F51556"/>
    <w:rsid w:val="46F51AD5"/>
    <w:rsid w:val="46F56910"/>
    <w:rsid w:val="46F752D4"/>
    <w:rsid w:val="46F85CAE"/>
    <w:rsid w:val="46F9684D"/>
    <w:rsid w:val="46F96DC1"/>
    <w:rsid w:val="46FA2240"/>
    <w:rsid w:val="46FA3F26"/>
    <w:rsid w:val="46FA7049"/>
    <w:rsid w:val="46FB034D"/>
    <w:rsid w:val="46FB623B"/>
    <w:rsid w:val="46FC59CC"/>
    <w:rsid w:val="46FC7C9E"/>
    <w:rsid w:val="46FE02F8"/>
    <w:rsid w:val="47000D52"/>
    <w:rsid w:val="47056411"/>
    <w:rsid w:val="47065D63"/>
    <w:rsid w:val="47094169"/>
    <w:rsid w:val="470A2811"/>
    <w:rsid w:val="470E02B0"/>
    <w:rsid w:val="470E352E"/>
    <w:rsid w:val="4710374A"/>
    <w:rsid w:val="47107368"/>
    <w:rsid w:val="47116C31"/>
    <w:rsid w:val="471447CE"/>
    <w:rsid w:val="47166351"/>
    <w:rsid w:val="471824D6"/>
    <w:rsid w:val="471A0124"/>
    <w:rsid w:val="471A45C8"/>
    <w:rsid w:val="471A70E2"/>
    <w:rsid w:val="471B373E"/>
    <w:rsid w:val="471C41FF"/>
    <w:rsid w:val="472015A9"/>
    <w:rsid w:val="4723522B"/>
    <w:rsid w:val="47263DAF"/>
    <w:rsid w:val="47282841"/>
    <w:rsid w:val="472B40E0"/>
    <w:rsid w:val="472C7488"/>
    <w:rsid w:val="472D42FC"/>
    <w:rsid w:val="472D55C2"/>
    <w:rsid w:val="472E72A2"/>
    <w:rsid w:val="472F6895"/>
    <w:rsid w:val="47336E76"/>
    <w:rsid w:val="4734036E"/>
    <w:rsid w:val="47352751"/>
    <w:rsid w:val="47372A84"/>
    <w:rsid w:val="4738011B"/>
    <w:rsid w:val="47381007"/>
    <w:rsid w:val="473867FC"/>
    <w:rsid w:val="473A4323"/>
    <w:rsid w:val="473B0722"/>
    <w:rsid w:val="473C009B"/>
    <w:rsid w:val="473F6BCF"/>
    <w:rsid w:val="47413903"/>
    <w:rsid w:val="47431AC0"/>
    <w:rsid w:val="47434CC7"/>
    <w:rsid w:val="474451A1"/>
    <w:rsid w:val="47451645"/>
    <w:rsid w:val="474679E0"/>
    <w:rsid w:val="47486A40"/>
    <w:rsid w:val="474C1D5B"/>
    <w:rsid w:val="474E6020"/>
    <w:rsid w:val="47505EDD"/>
    <w:rsid w:val="47523D62"/>
    <w:rsid w:val="475315B5"/>
    <w:rsid w:val="47555600"/>
    <w:rsid w:val="475570D4"/>
    <w:rsid w:val="47571D30"/>
    <w:rsid w:val="47581FE8"/>
    <w:rsid w:val="475B6DD9"/>
    <w:rsid w:val="475C24EB"/>
    <w:rsid w:val="475E2A51"/>
    <w:rsid w:val="475E44B5"/>
    <w:rsid w:val="47600177"/>
    <w:rsid w:val="47601E9E"/>
    <w:rsid w:val="47613705"/>
    <w:rsid w:val="47627311"/>
    <w:rsid w:val="47650EE8"/>
    <w:rsid w:val="47653A95"/>
    <w:rsid w:val="47673CAC"/>
    <w:rsid w:val="4767437F"/>
    <w:rsid w:val="476A2E5A"/>
    <w:rsid w:val="476D2536"/>
    <w:rsid w:val="476E4379"/>
    <w:rsid w:val="476E7D71"/>
    <w:rsid w:val="476F66C2"/>
    <w:rsid w:val="47747B1C"/>
    <w:rsid w:val="477659BD"/>
    <w:rsid w:val="47765DDA"/>
    <w:rsid w:val="47766D68"/>
    <w:rsid w:val="47782FCC"/>
    <w:rsid w:val="477C3392"/>
    <w:rsid w:val="477F3D30"/>
    <w:rsid w:val="477F442B"/>
    <w:rsid w:val="47801D13"/>
    <w:rsid w:val="4781101C"/>
    <w:rsid w:val="4781627B"/>
    <w:rsid w:val="478236BD"/>
    <w:rsid w:val="47825C22"/>
    <w:rsid w:val="47835CCA"/>
    <w:rsid w:val="47847D2F"/>
    <w:rsid w:val="47855EE6"/>
    <w:rsid w:val="47867568"/>
    <w:rsid w:val="47876F78"/>
    <w:rsid w:val="478903BB"/>
    <w:rsid w:val="478B0F43"/>
    <w:rsid w:val="478C7274"/>
    <w:rsid w:val="478D69C3"/>
    <w:rsid w:val="478F466E"/>
    <w:rsid w:val="47902E10"/>
    <w:rsid w:val="47906638"/>
    <w:rsid w:val="4792415F"/>
    <w:rsid w:val="4792427E"/>
    <w:rsid w:val="47930250"/>
    <w:rsid w:val="47946129"/>
    <w:rsid w:val="47947ED7"/>
    <w:rsid w:val="479733DA"/>
    <w:rsid w:val="47981F8D"/>
    <w:rsid w:val="479A3013"/>
    <w:rsid w:val="479B1265"/>
    <w:rsid w:val="479C6A6B"/>
    <w:rsid w:val="479D6B22"/>
    <w:rsid w:val="479E417C"/>
    <w:rsid w:val="479E6FA7"/>
    <w:rsid w:val="479E76ED"/>
    <w:rsid w:val="47A0687C"/>
    <w:rsid w:val="47A1261E"/>
    <w:rsid w:val="47A14704"/>
    <w:rsid w:val="47A20F4B"/>
    <w:rsid w:val="47A30E15"/>
    <w:rsid w:val="47A63131"/>
    <w:rsid w:val="47AA0E1C"/>
    <w:rsid w:val="47AA594C"/>
    <w:rsid w:val="47AC5725"/>
    <w:rsid w:val="47B33460"/>
    <w:rsid w:val="47B406DC"/>
    <w:rsid w:val="47B57A38"/>
    <w:rsid w:val="47B916EB"/>
    <w:rsid w:val="47BA5463"/>
    <w:rsid w:val="47BD397D"/>
    <w:rsid w:val="47BE6711"/>
    <w:rsid w:val="47BE73FC"/>
    <w:rsid w:val="47BF20A8"/>
    <w:rsid w:val="47BF514E"/>
    <w:rsid w:val="47C03E21"/>
    <w:rsid w:val="47C159B7"/>
    <w:rsid w:val="47C36A0E"/>
    <w:rsid w:val="47C60AA0"/>
    <w:rsid w:val="47C953AE"/>
    <w:rsid w:val="47CA16E7"/>
    <w:rsid w:val="47CA1B4A"/>
    <w:rsid w:val="47CA56A6"/>
    <w:rsid w:val="47CC503A"/>
    <w:rsid w:val="47CD33E9"/>
    <w:rsid w:val="47D05870"/>
    <w:rsid w:val="47D26C51"/>
    <w:rsid w:val="47D40B4C"/>
    <w:rsid w:val="47D41223"/>
    <w:rsid w:val="47D5010B"/>
    <w:rsid w:val="47D77DC3"/>
    <w:rsid w:val="47D91B84"/>
    <w:rsid w:val="47D93A9A"/>
    <w:rsid w:val="47DD2C1E"/>
    <w:rsid w:val="47DE55F6"/>
    <w:rsid w:val="47E21BF4"/>
    <w:rsid w:val="47E250E6"/>
    <w:rsid w:val="47E2796E"/>
    <w:rsid w:val="47E349BA"/>
    <w:rsid w:val="47E924FF"/>
    <w:rsid w:val="47EC7D13"/>
    <w:rsid w:val="47ED75E7"/>
    <w:rsid w:val="47EE1AA6"/>
    <w:rsid w:val="47F05FF3"/>
    <w:rsid w:val="47F776ED"/>
    <w:rsid w:val="47F81D88"/>
    <w:rsid w:val="47FB39F8"/>
    <w:rsid w:val="47FB569A"/>
    <w:rsid w:val="47FB61A8"/>
    <w:rsid w:val="47FD6248"/>
    <w:rsid w:val="48017A71"/>
    <w:rsid w:val="480220DE"/>
    <w:rsid w:val="48036E0A"/>
    <w:rsid w:val="48056A48"/>
    <w:rsid w:val="48074B4D"/>
    <w:rsid w:val="48090F70"/>
    <w:rsid w:val="480D710A"/>
    <w:rsid w:val="4810162F"/>
    <w:rsid w:val="481132D5"/>
    <w:rsid w:val="48131A71"/>
    <w:rsid w:val="481334F1"/>
    <w:rsid w:val="4814243F"/>
    <w:rsid w:val="48160602"/>
    <w:rsid w:val="48163855"/>
    <w:rsid w:val="48180B08"/>
    <w:rsid w:val="481C4D7D"/>
    <w:rsid w:val="481E1E96"/>
    <w:rsid w:val="481E308C"/>
    <w:rsid w:val="481E5F6E"/>
    <w:rsid w:val="48205C0E"/>
    <w:rsid w:val="48207910"/>
    <w:rsid w:val="482202A1"/>
    <w:rsid w:val="48223734"/>
    <w:rsid w:val="482254E2"/>
    <w:rsid w:val="48243A3C"/>
    <w:rsid w:val="482B51C8"/>
    <w:rsid w:val="482C6963"/>
    <w:rsid w:val="482E032B"/>
    <w:rsid w:val="48311BC9"/>
    <w:rsid w:val="4832149E"/>
    <w:rsid w:val="48335942"/>
    <w:rsid w:val="483416BA"/>
    <w:rsid w:val="4834385A"/>
    <w:rsid w:val="48357CD5"/>
    <w:rsid w:val="48366735"/>
    <w:rsid w:val="483A1E4F"/>
    <w:rsid w:val="483A32C8"/>
    <w:rsid w:val="483B0352"/>
    <w:rsid w:val="483B0836"/>
    <w:rsid w:val="483D5387"/>
    <w:rsid w:val="483F4329"/>
    <w:rsid w:val="48403BBB"/>
    <w:rsid w:val="484266DA"/>
    <w:rsid w:val="4844121F"/>
    <w:rsid w:val="48472745"/>
    <w:rsid w:val="48476372"/>
    <w:rsid w:val="48487B3C"/>
    <w:rsid w:val="484B1A0D"/>
    <w:rsid w:val="484C049B"/>
    <w:rsid w:val="484C4DFF"/>
    <w:rsid w:val="484D502E"/>
    <w:rsid w:val="484E277B"/>
    <w:rsid w:val="48507E7F"/>
    <w:rsid w:val="48537497"/>
    <w:rsid w:val="485A0874"/>
    <w:rsid w:val="485A3963"/>
    <w:rsid w:val="485B29EC"/>
    <w:rsid w:val="485E3715"/>
    <w:rsid w:val="48603FD8"/>
    <w:rsid w:val="4860600B"/>
    <w:rsid w:val="486123C6"/>
    <w:rsid w:val="486430C3"/>
    <w:rsid w:val="486474F0"/>
    <w:rsid w:val="48653621"/>
    <w:rsid w:val="4867383D"/>
    <w:rsid w:val="486926A5"/>
    <w:rsid w:val="486A0269"/>
    <w:rsid w:val="486A07F9"/>
    <w:rsid w:val="486A5E8E"/>
    <w:rsid w:val="486B66A9"/>
    <w:rsid w:val="486C2C02"/>
    <w:rsid w:val="486E0728"/>
    <w:rsid w:val="486E157C"/>
    <w:rsid w:val="486F53C0"/>
    <w:rsid w:val="48706549"/>
    <w:rsid w:val="48723AE3"/>
    <w:rsid w:val="487321E2"/>
    <w:rsid w:val="48735221"/>
    <w:rsid w:val="48741AB6"/>
    <w:rsid w:val="487552F3"/>
    <w:rsid w:val="487628BC"/>
    <w:rsid w:val="4876582E"/>
    <w:rsid w:val="487675DC"/>
    <w:rsid w:val="48774226"/>
    <w:rsid w:val="487815A6"/>
    <w:rsid w:val="48785BFB"/>
    <w:rsid w:val="48790E7B"/>
    <w:rsid w:val="487B1097"/>
    <w:rsid w:val="487D0C1F"/>
    <w:rsid w:val="487D3F41"/>
    <w:rsid w:val="487E2EFD"/>
    <w:rsid w:val="487E491C"/>
    <w:rsid w:val="487F52F6"/>
    <w:rsid w:val="488063CB"/>
    <w:rsid w:val="488520C4"/>
    <w:rsid w:val="48861F15"/>
    <w:rsid w:val="488705BA"/>
    <w:rsid w:val="488740A5"/>
    <w:rsid w:val="48885504"/>
    <w:rsid w:val="4889543F"/>
    <w:rsid w:val="488D4AAC"/>
    <w:rsid w:val="488E5609"/>
    <w:rsid w:val="4890354C"/>
    <w:rsid w:val="48924B48"/>
    <w:rsid w:val="4894779A"/>
    <w:rsid w:val="489740E3"/>
    <w:rsid w:val="48987CCA"/>
    <w:rsid w:val="489B7043"/>
    <w:rsid w:val="48A02A03"/>
    <w:rsid w:val="48A205AA"/>
    <w:rsid w:val="48A50654"/>
    <w:rsid w:val="48A52D41"/>
    <w:rsid w:val="48A57EC2"/>
    <w:rsid w:val="48A709C8"/>
    <w:rsid w:val="48A759E8"/>
    <w:rsid w:val="48A979B2"/>
    <w:rsid w:val="48AB3FC1"/>
    <w:rsid w:val="48AB7EFE"/>
    <w:rsid w:val="48AE6D76"/>
    <w:rsid w:val="48AF089B"/>
    <w:rsid w:val="48B3438D"/>
    <w:rsid w:val="48B41B3C"/>
    <w:rsid w:val="48B55E3A"/>
    <w:rsid w:val="48B62D10"/>
    <w:rsid w:val="48B704BD"/>
    <w:rsid w:val="48B8224C"/>
    <w:rsid w:val="48BA396D"/>
    <w:rsid w:val="48BC5937"/>
    <w:rsid w:val="48BD520B"/>
    <w:rsid w:val="48BE4A6C"/>
    <w:rsid w:val="48BF71D5"/>
    <w:rsid w:val="48C31DB3"/>
    <w:rsid w:val="48C42D49"/>
    <w:rsid w:val="48C742DC"/>
    <w:rsid w:val="48CA1757"/>
    <w:rsid w:val="48CA4CE9"/>
    <w:rsid w:val="48CB4E19"/>
    <w:rsid w:val="48CC3761"/>
    <w:rsid w:val="48CC4820"/>
    <w:rsid w:val="48CE11C6"/>
    <w:rsid w:val="48CF0775"/>
    <w:rsid w:val="48CF2312"/>
    <w:rsid w:val="48CF3887"/>
    <w:rsid w:val="48D12A65"/>
    <w:rsid w:val="48D21BBE"/>
    <w:rsid w:val="48D2339E"/>
    <w:rsid w:val="48D250C5"/>
    <w:rsid w:val="48D42422"/>
    <w:rsid w:val="48D42AEB"/>
    <w:rsid w:val="48D552C8"/>
    <w:rsid w:val="48D72771"/>
    <w:rsid w:val="48D90D7D"/>
    <w:rsid w:val="48D9333D"/>
    <w:rsid w:val="48D97C39"/>
    <w:rsid w:val="48DA0777"/>
    <w:rsid w:val="48DB1376"/>
    <w:rsid w:val="48DB38E3"/>
    <w:rsid w:val="48DB6941"/>
    <w:rsid w:val="48DD02C3"/>
    <w:rsid w:val="48DD58AD"/>
    <w:rsid w:val="48DF1C79"/>
    <w:rsid w:val="48E00EFA"/>
    <w:rsid w:val="48E1714C"/>
    <w:rsid w:val="48E37733"/>
    <w:rsid w:val="48E43EE3"/>
    <w:rsid w:val="48E46C3C"/>
    <w:rsid w:val="48E571AC"/>
    <w:rsid w:val="48E809A4"/>
    <w:rsid w:val="48EA3B26"/>
    <w:rsid w:val="48EB621C"/>
    <w:rsid w:val="48EC2878"/>
    <w:rsid w:val="48EC55EE"/>
    <w:rsid w:val="48ED6EE3"/>
    <w:rsid w:val="48EF1E44"/>
    <w:rsid w:val="48EF7956"/>
    <w:rsid w:val="48F54724"/>
    <w:rsid w:val="48F563DF"/>
    <w:rsid w:val="48F5718D"/>
    <w:rsid w:val="48F618EF"/>
    <w:rsid w:val="48F63371"/>
    <w:rsid w:val="48F644C0"/>
    <w:rsid w:val="48F65D82"/>
    <w:rsid w:val="48F72053"/>
    <w:rsid w:val="48F778B5"/>
    <w:rsid w:val="48F90B61"/>
    <w:rsid w:val="48FA020D"/>
    <w:rsid w:val="48FB74D5"/>
    <w:rsid w:val="48FD2B21"/>
    <w:rsid w:val="48FD385A"/>
    <w:rsid w:val="490140CC"/>
    <w:rsid w:val="49023F16"/>
    <w:rsid w:val="49026EB0"/>
    <w:rsid w:val="49035C1C"/>
    <w:rsid w:val="49042E3A"/>
    <w:rsid w:val="4905074B"/>
    <w:rsid w:val="49054987"/>
    <w:rsid w:val="49057F53"/>
    <w:rsid w:val="49060960"/>
    <w:rsid w:val="49060C39"/>
    <w:rsid w:val="49061623"/>
    <w:rsid w:val="49086163"/>
    <w:rsid w:val="490948F4"/>
    <w:rsid w:val="490966A2"/>
    <w:rsid w:val="490B241B"/>
    <w:rsid w:val="490D6395"/>
    <w:rsid w:val="490E5A67"/>
    <w:rsid w:val="490F66C7"/>
    <w:rsid w:val="491017DF"/>
    <w:rsid w:val="4910358D"/>
    <w:rsid w:val="49157745"/>
    <w:rsid w:val="4916491B"/>
    <w:rsid w:val="491734CD"/>
    <w:rsid w:val="491737F8"/>
    <w:rsid w:val="49173D1D"/>
    <w:rsid w:val="4917465A"/>
    <w:rsid w:val="491A5E9D"/>
    <w:rsid w:val="491B1733"/>
    <w:rsid w:val="491B2179"/>
    <w:rsid w:val="491E0224"/>
    <w:rsid w:val="491F7C74"/>
    <w:rsid w:val="49213ACE"/>
    <w:rsid w:val="4921579A"/>
    <w:rsid w:val="49224F88"/>
    <w:rsid w:val="492359B6"/>
    <w:rsid w:val="49235A14"/>
    <w:rsid w:val="49240FFA"/>
    <w:rsid w:val="49262DB0"/>
    <w:rsid w:val="49284D7B"/>
    <w:rsid w:val="492939CC"/>
    <w:rsid w:val="492A08C5"/>
    <w:rsid w:val="492B0FBF"/>
    <w:rsid w:val="492B1D1F"/>
    <w:rsid w:val="492B73BE"/>
    <w:rsid w:val="492C7085"/>
    <w:rsid w:val="492D05E3"/>
    <w:rsid w:val="492D5A1F"/>
    <w:rsid w:val="492D6F16"/>
    <w:rsid w:val="49325BF9"/>
    <w:rsid w:val="49343ADA"/>
    <w:rsid w:val="493865ED"/>
    <w:rsid w:val="493952FF"/>
    <w:rsid w:val="493B2C4E"/>
    <w:rsid w:val="493C0826"/>
    <w:rsid w:val="493C688D"/>
    <w:rsid w:val="493C6A78"/>
    <w:rsid w:val="493D1A71"/>
    <w:rsid w:val="493E021A"/>
    <w:rsid w:val="493E7303"/>
    <w:rsid w:val="493F1574"/>
    <w:rsid w:val="494178AD"/>
    <w:rsid w:val="49435DF5"/>
    <w:rsid w:val="49452BA0"/>
    <w:rsid w:val="49465201"/>
    <w:rsid w:val="49470F79"/>
    <w:rsid w:val="49476D31"/>
    <w:rsid w:val="49487F1F"/>
    <w:rsid w:val="494A36C3"/>
    <w:rsid w:val="494B0A69"/>
    <w:rsid w:val="494C0793"/>
    <w:rsid w:val="494D4F10"/>
    <w:rsid w:val="494E5765"/>
    <w:rsid w:val="4951655A"/>
    <w:rsid w:val="49532C07"/>
    <w:rsid w:val="49535CBF"/>
    <w:rsid w:val="49547044"/>
    <w:rsid w:val="495723CC"/>
    <w:rsid w:val="4957480F"/>
    <w:rsid w:val="49586022"/>
    <w:rsid w:val="495913D8"/>
    <w:rsid w:val="495A31B3"/>
    <w:rsid w:val="495A617C"/>
    <w:rsid w:val="495C6A49"/>
    <w:rsid w:val="495D53AD"/>
    <w:rsid w:val="495E1242"/>
    <w:rsid w:val="495E37B3"/>
    <w:rsid w:val="495F2766"/>
    <w:rsid w:val="495F570C"/>
    <w:rsid w:val="495F741D"/>
    <w:rsid w:val="49602A8F"/>
    <w:rsid w:val="4960505A"/>
    <w:rsid w:val="4964066C"/>
    <w:rsid w:val="49643ED9"/>
    <w:rsid w:val="49655F9F"/>
    <w:rsid w:val="49663FA8"/>
    <w:rsid w:val="496658A3"/>
    <w:rsid w:val="49666531"/>
    <w:rsid w:val="496833C9"/>
    <w:rsid w:val="4969350E"/>
    <w:rsid w:val="49695393"/>
    <w:rsid w:val="49696660"/>
    <w:rsid w:val="49697141"/>
    <w:rsid w:val="496A2DDB"/>
    <w:rsid w:val="496B2EB9"/>
    <w:rsid w:val="496B5824"/>
    <w:rsid w:val="496E23B4"/>
    <w:rsid w:val="497003A2"/>
    <w:rsid w:val="49710515"/>
    <w:rsid w:val="497241A8"/>
    <w:rsid w:val="49725893"/>
    <w:rsid w:val="49731D6E"/>
    <w:rsid w:val="49755AE6"/>
    <w:rsid w:val="497576BC"/>
    <w:rsid w:val="497D6933"/>
    <w:rsid w:val="497E3790"/>
    <w:rsid w:val="497F2E77"/>
    <w:rsid w:val="49804EB2"/>
    <w:rsid w:val="498126DD"/>
    <w:rsid w:val="49821348"/>
    <w:rsid w:val="49821F37"/>
    <w:rsid w:val="49826689"/>
    <w:rsid w:val="4983035C"/>
    <w:rsid w:val="49845D8B"/>
    <w:rsid w:val="49846628"/>
    <w:rsid w:val="49853A7C"/>
    <w:rsid w:val="498576BF"/>
    <w:rsid w:val="498814C5"/>
    <w:rsid w:val="49883A6B"/>
    <w:rsid w:val="498A43E7"/>
    <w:rsid w:val="498B355B"/>
    <w:rsid w:val="498C23FF"/>
    <w:rsid w:val="498E7695"/>
    <w:rsid w:val="498F60E8"/>
    <w:rsid w:val="49900B72"/>
    <w:rsid w:val="49906437"/>
    <w:rsid w:val="4994148D"/>
    <w:rsid w:val="49956188"/>
    <w:rsid w:val="49957F36"/>
    <w:rsid w:val="499A379E"/>
    <w:rsid w:val="499A554C"/>
    <w:rsid w:val="499C0B00"/>
    <w:rsid w:val="499C0CBA"/>
    <w:rsid w:val="499E44F2"/>
    <w:rsid w:val="499E503D"/>
    <w:rsid w:val="49A259EF"/>
    <w:rsid w:val="49A32653"/>
    <w:rsid w:val="49A3420A"/>
    <w:rsid w:val="49A734B7"/>
    <w:rsid w:val="49A90533"/>
    <w:rsid w:val="49AA06D1"/>
    <w:rsid w:val="49AC05F5"/>
    <w:rsid w:val="49AD2737"/>
    <w:rsid w:val="49AD43B4"/>
    <w:rsid w:val="49AD7E80"/>
    <w:rsid w:val="49AE2DA6"/>
    <w:rsid w:val="49AE42D7"/>
    <w:rsid w:val="49AF2B26"/>
    <w:rsid w:val="49B03EC5"/>
    <w:rsid w:val="49B22896"/>
    <w:rsid w:val="49B477D5"/>
    <w:rsid w:val="49BC3715"/>
    <w:rsid w:val="49BD5860"/>
    <w:rsid w:val="49BE3EF1"/>
    <w:rsid w:val="49BE48FF"/>
    <w:rsid w:val="49BE7101"/>
    <w:rsid w:val="49BE748D"/>
    <w:rsid w:val="49C10760"/>
    <w:rsid w:val="49C10D2B"/>
    <w:rsid w:val="49C113FF"/>
    <w:rsid w:val="49C12AD9"/>
    <w:rsid w:val="49C26F36"/>
    <w:rsid w:val="49C37A5B"/>
    <w:rsid w:val="49C64655"/>
    <w:rsid w:val="49C83ABC"/>
    <w:rsid w:val="49CC2F6A"/>
    <w:rsid w:val="49CD76D0"/>
    <w:rsid w:val="49D071C0"/>
    <w:rsid w:val="49D14E84"/>
    <w:rsid w:val="49D34515"/>
    <w:rsid w:val="49D35E29"/>
    <w:rsid w:val="49D83A04"/>
    <w:rsid w:val="49D96075"/>
    <w:rsid w:val="49DA4070"/>
    <w:rsid w:val="49DC5326"/>
    <w:rsid w:val="49DC5F35"/>
    <w:rsid w:val="49DD2CC0"/>
    <w:rsid w:val="49E0196C"/>
    <w:rsid w:val="49E46123"/>
    <w:rsid w:val="49E637B4"/>
    <w:rsid w:val="49E901DB"/>
    <w:rsid w:val="49EA0597"/>
    <w:rsid w:val="49EC22F3"/>
    <w:rsid w:val="49EC3FFA"/>
    <w:rsid w:val="49ED2A82"/>
    <w:rsid w:val="49EF7C48"/>
    <w:rsid w:val="49F02CC8"/>
    <w:rsid w:val="49F107DC"/>
    <w:rsid w:val="49F11610"/>
    <w:rsid w:val="49F25388"/>
    <w:rsid w:val="49F27774"/>
    <w:rsid w:val="49F31551"/>
    <w:rsid w:val="49F432E6"/>
    <w:rsid w:val="49F556AA"/>
    <w:rsid w:val="49F64E79"/>
    <w:rsid w:val="49F7299F"/>
    <w:rsid w:val="49F9610D"/>
    <w:rsid w:val="49FB3008"/>
    <w:rsid w:val="49FB31BE"/>
    <w:rsid w:val="49FB423D"/>
    <w:rsid w:val="49FC25C6"/>
    <w:rsid w:val="49FD093E"/>
    <w:rsid w:val="49FD6BAA"/>
    <w:rsid w:val="49FF6116"/>
    <w:rsid w:val="4A031344"/>
    <w:rsid w:val="4A0330F2"/>
    <w:rsid w:val="4A044FF9"/>
    <w:rsid w:val="4A04706C"/>
    <w:rsid w:val="4A0616CC"/>
    <w:rsid w:val="4A065361"/>
    <w:rsid w:val="4A0728F3"/>
    <w:rsid w:val="4A0B0C00"/>
    <w:rsid w:val="4A0B0D31"/>
    <w:rsid w:val="4A0B1FA6"/>
    <w:rsid w:val="4A0B78D0"/>
    <w:rsid w:val="4A0D3F70"/>
    <w:rsid w:val="4A0E66EB"/>
    <w:rsid w:val="4A0E7992"/>
    <w:rsid w:val="4A0F3823"/>
    <w:rsid w:val="4A0F64E6"/>
    <w:rsid w:val="4A0F7CE8"/>
    <w:rsid w:val="4A117F6C"/>
    <w:rsid w:val="4A120366"/>
    <w:rsid w:val="4A15042C"/>
    <w:rsid w:val="4A174DEF"/>
    <w:rsid w:val="4A182707"/>
    <w:rsid w:val="4A191BB4"/>
    <w:rsid w:val="4A192915"/>
    <w:rsid w:val="4A1B48DF"/>
    <w:rsid w:val="4A1D2868"/>
    <w:rsid w:val="4A1E1CDA"/>
    <w:rsid w:val="4A1E3088"/>
    <w:rsid w:val="4A1F5030"/>
    <w:rsid w:val="4A21202C"/>
    <w:rsid w:val="4A217C4B"/>
    <w:rsid w:val="4A2211BF"/>
    <w:rsid w:val="4A2329AF"/>
    <w:rsid w:val="4A236990"/>
    <w:rsid w:val="4A2812E5"/>
    <w:rsid w:val="4A282B58"/>
    <w:rsid w:val="4A2A1013"/>
    <w:rsid w:val="4A2A423D"/>
    <w:rsid w:val="4A2A74E3"/>
    <w:rsid w:val="4A2D478B"/>
    <w:rsid w:val="4A2E48B0"/>
    <w:rsid w:val="4A2F456A"/>
    <w:rsid w:val="4A2F6066"/>
    <w:rsid w:val="4A327B01"/>
    <w:rsid w:val="4A3634C7"/>
    <w:rsid w:val="4A370FED"/>
    <w:rsid w:val="4A380B23"/>
    <w:rsid w:val="4A3B1213"/>
    <w:rsid w:val="4A3C6604"/>
    <w:rsid w:val="4A3E412A"/>
    <w:rsid w:val="4A3E4206"/>
    <w:rsid w:val="4A403EE4"/>
    <w:rsid w:val="4A413C1A"/>
    <w:rsid w:val="4A421E6C"/>
    <w:rsid w:val="4A4377B4"/>
    <w:rsid w:val="4A467655"/>
    <w:rsid w:val="4A4831FA"/>
    <w:rsid w:val="4A4B3F64"/>
    <w:rsid w:val="4A4C2CF7"/>
    <w:rsid w:val="4A4D0811"/>
    <w:rsid w:val="4A546F5A"/>
    <w:rsid w:val="4A581C9D"/>
    <w:rsid w:val="4A583605"/>
    <w:rsid w:val="4A592141"/>
    <w:rsid w:val="4A5B1180"/>
    <w:rsid w:val="4A5C4EB0"/>
    <w:rsid w:val="4A5D6CA6"/>
    <w:rsid w:val="4A5D7178"/>
    <w:rsid w:val="4A604A63"/>
    <w:rsid w:val="4A617494"/>
    <w:rsid w:val="4A617E1F"/>
    <w:rsid w:val="4A6476D1"/>
    <w:rsid w:val="4A6718D3"/>
    <w:rsid w:val="4A6B75B6"/>
    <w:rsid w:val="4A6D183E"/>
    <w:rsid w:val="4A6D4A0F"/>
    <w:rsid w:val="4A6F5A6E"/>
    <w:rsid w:val="4A6F625C"/>
    <w:rsid w:val="4A6F69D9"/>
    <w:rsid w:val="4A714C75"/>
    <w:rsid w:val="4A7162AD"/>
    <w:rsid w:val="4A72164F"/>
    <w:rsid w:val="4A724208"/>
    <w:rsid w:val="4A735A25"/>
    <w:rsid w:val="4A742241"/>
    <w:rsid w:val="4A7428FB"/>
    <w:rsid w:val="4A745D9D"/>
    <w:rsid w:val="4A760546"/>
    <w:rsid w:val="4A784300"/>
    <w:rsid w:val="4A7A1270"/>
    <w:rsid w:val="4A7A13F6"/>
    <w:rsid w:val="4A7B31CD"/>
    <w:rsid w:val="4A7B712C"/>
    <w:rsid w:val="4A7E2114"/>
    <w:rsid w:val="4A7F4E6E"/>
    <w:rsid w:val="4A7F66F1"/>
    <w:rsid w:val="4A817509"/>
    <w:rsid w:val="4A8204BA"/>
    <w:rsid w:val="4A8330FE"/>
    <w:rsid w:val="4A834233"/>
    <w:rsid w:val="4A857FAB"/>
    <w:rsid w:val="4A862FD3"/>
    <w:rsid w:val="4A8723E4"/>
    <w:rsid w:val="4A882BBB"/>
    <w:rsid w:val="4A883CCD"/>
    <w:rsid w:val="4A8B0324"/>
    <w:rsid w:val="4A8B5F7D"/>
    <w:rsid w:val="4A8C5062"/>
    <w:rsid w:val="4A8C70C9"/>
    <w:rsid w:val="4A8D6256"/>
    <w:rsid w:val="4A8D7C62"/>
    <w:rsid w:val="4A8E6E5F"/>
    <w:rsid w:val="4A8F2BD7"/>
    <w:rsid w:val="4A9138C5"/>
    <w:rsid w:val="4A924C57"/>
    <w:rsid w:val="4A9326C8"/>
    <w:rsid w:val="4A960A49"/>
    <w:rsid w:val="4A962857"/>
    <w:rsid w:val="4A965AF1"/>
    <w:rsid w:val="4A9804CE"/>
    <w:rsid w:val="4A981A8C"/>
    <w:rsid w:val="4A9B05A9"/>
    <w:rsid w:val="4A9B77CE"/>
    <w:rsid w:val="4A9D3546"/>
    <w:rsid w:val="4A9E50FD"/>
    <w:rsid w:val="4A9E7CF1"/>
    <w:rsid w:val="4A9F72BE"/>
    <w:rsid w:val="4AA31C82"/>
    <w:rsid w:val="4AA3746A"/>
    <w:rsid w:val="4AA43E69"/>
    <w:rsid w:val="4AA6409B"/>
    <w:rsid w:val="4AAA2983"/>
    <w:rsid w:val="4AAA3A0B"/>
    <w:rsid w:val="4AAA5D75"/>
    <w:rsid w:val="4AAE7AFD"/>
    <w:rsid w:val="4AAF2268"/>
    <w:rsid w:val="4AB11EDF"/>
    <w:rsid w:val="4AB12B4E"/>
    <w:rsid w:val="4AB56533"/>
    <w:rsid w:val="4AB60164"/>
    <w:rsid w:val="4AB67801"/>
    <w:rsid w:val="4AB97539"/>
    <w:rsid w:val="4ABA5FDF"/>
    <w:rsid w:val="4ABD14F2"/>
    <w:rsid w:val="4ABD3BF4"/>
    <w:rsid w:val="4ABE2A8F"/>
    <w:rsid w:val="4ABF59B7"/>
    <w:rsid w:val="4AC11ECE"/>
    <w:rsid w:val="4AC163A9"/>
    <w:rsid w:val="4AC26B09"/>
    <w:rsid w:val="4AC45A57"/>
    <w:rsid w:val="4AC62A9D"/>
    <w:rsid w:val="4AC665C2"/>
    <w:rsid w:val="4AC72371"/>
    <w:rsid w:val="4AC72AD7"/>
    <w:rsid w:val="4AC74505"/>
    <w:rsid w:val="4ACA0780"/>
    <w:rsid w:val="4ACA1D18"/>
    <w:rsid w:val="4ACA1E61"/>
    <w:rsid w:val="4ACA7D7A"/>
    <w:rsid w:val="4ACB7688"/>
    <w:rsid w:val="4ACC5BD9"/>
    <w:rsid w:val="4ACC7DDB"/>
    <w:rsid w:val="4ACF7478"/>
    <w:rsid w:val="4ACF7499"/>
    <w:rsid w:val="4AD10481"/>
    <w:rsid w:val="4AD2498A"/>
    <w:rsid w:val="4AD4263C"/>
    <w:rsid w:val="4AD54A8E"/>
    <w:rsid w:val="4AD5594C"/>
    <w:rsid w:val="4AD72235"/>
    <w:rsid w:val="4AD93E52"/>
    <w:rsid w:val="4ADD66D9"/>
    <w:rsid w:val="4ADE4594"/>
    <w:rsid w:val="4ADF4F9C"/>
    <w:rsid w:val="4ADF53D0"/>
    <w:rsid w:val="4ADF6F8E"/>
    <w:rsid w:val="4AE253FD"/>
    <w:rsid w:val="4AE271AB"/>
    <w:rsid w:val="4AE35423"/>
    <w:rsid w:val="4AE64EED"/>
    <w:rsid w:val="4AE66C9B"/>
    <w:rsid w:val="4AE83401"/>
    <w:rsid w:val="4AEB2284"/>
    <w:rsid w:val="4AEE55F3"/>
    <w:rsid w:val="4AEE78FE"/>
    <w:rsid w:val="4AEF3676"/>
    <w:rsid w:val="4AF0290B"/>
    <w:rsid w:val="4AF13892"/>
    <w:rsid w:val="4AF46894"/>
    <w:rsid w:val="4AF550ED"/>
    <w:rsid w:val="4AF60EA8"/>
    <w:rsid w:val="4AF61B6A"/>
    <w:rsid w:val="4AF64A04"/>
    <w:rsid w:val="4AF75215"/>
    <w:rsid w:val="4AF8594A"/>
    <w:rsid w:val="4AFB5BD2"/>
    <w:rsid w:val="4AFC26D1"/>
    <w:rsid w:val="4AFC2895"/>
    <w:rsid w:val="4AFD4C19"/>
    <w:rsid w:val="4B0179A3"/>
    <w:rsid w:val="4B0230A8"/>
    <w:rsid w:val="4B032D3D"/>
    <w:rsid w:val="4B045373"/>
    <w:rsid w:val="4B047F6F"/>
    <w:rsid w:val="4B050A17"/>
    <w:rsid w:val="4B052E99"/>
    <w:rsid w:val="4B0542B3"/>
    <w:rsid w:val="4B0A47E5"/>
    <w:rsid w:val="4B0B3E76"/>
    <w:rsid w:val="4B0C247A"/>
    <w:rsid w:val="4B0C5FD6"/>
    <w:rsid w:val="4B0E61F2"/>
    <w:rsid w:val="4B0E7FA0"/>
    <w:rsid w:val="4B0F2018"/>
    <w:rsid w:val="4B0F492C"/>
    <w:rsid w:val="4B0F594C"/>
    <w:rsid w:val="4B0F6E97"/>
    <w:rsid w:val="4B11183E"/>
    <w:rsid w:val="4B115A3A"/>
    <w:rsid w:val="4B127428"/>
    <w:rsid w:val="4B1355B6"/>
    <w:rsid w:val="4B1719D9"/>
    <w:rsid w:val="4B187071"/>
    <w:rsid w:val="4B1A4B97"/>
    <w:rsid w:val="4B1C090F"/>
    <w:rsid w:val="4B1C363A"/>
    <w:rsid w:val="4B1E14E5"/>
    <w:rsid w:val="4B205CD2"/>
    <w:rsid w:val="4B215F25"/>
    <w:rsid w:val="4B217E16"/>
    <w:rsid w:val="4B232DA2"/>
    <w:rsid w:val="4B241572"/>
    <w:rsid w:val="4B262808"/>
    <w:rsid w:val="4B2772B4"/>
    <w:rsid w:val="4B285784"/>
    <w:rsid w:val="4B2B6C3E"/>
    <w:rsid w:val="4B2E0642"/>
    <w:rsid w:val="4B2F43E5"/>
    <w:rsid w:val="4B3043BA"/>
    <w:rsid w:val="4B306168"/>
    <w:rsid w:val="4B321807"/>
    <w:rsid w:val="4B321EE0"/>
    <w:rsid w:val="4B32412A"/>
    <w:rsid w:val="4B337A07"/>
    <w:rsid w:val="4B35377F"/>
    <w:rsid w:val="4B35552D"/>
    <w:rsid w:val="4B362460"/>
    <w:rsid w:val="4B375C2E"/>
    <w:rsid w:val="4B383FED"/>
    <w:rsid w:val="4B3D2633"/>
    <w:rsid w:val="4B3D424A"/>
    <w:rsid w:val="4B3D4F44"/>
    <w:rsid w:val="4B3E36B9"/>
    <w:rsid w:val="4B3F45FD"/>
    <w:rsid w:val="4B410375"/>
    <w:rsid w:val="4B4340EE"/>
    <w:rsid w:val="4B4439C2"/>
    <w:rsid w:val="4B460B4B"/>
    <w:rsid w:val="4B46512A"/>
    <w:rsid w:val="4B466544"/>
    <w:rsid w:val="4B4734B2"/>
    <w:rsid w:val="4B485AC1"/>
    <w:rsid w:val="4B49722A"/>
    <w:rsid w:val="4B4B2FA2"/>
    <w:rsid w:val="4B4B4017"/>
    <w:rsid w:val="4B4B4D50"/>
    <w:rsid w:val="4B4B4D7A"/>
    <w:rsid w:val="4B4B748E"/>
    <w:rsid w:val="4B55797D"/>
    <w:rsid w:val="4B5736F5"/>
    <w:rsid w:val="4B5A4890"/>
    <w:rsid w:val="4B5D43C3"/>
    <w:rsid w:val="4B5D5079"/>
    <w:rsid w:val="4B5F25AA"/>
    <w:rsid w:val="4B6020DB"/>
    <w:rsid w:val="4B606CD6"/>
    <w:rsid w:val="4B616322"/>
    <w:rsid w:val="4B62209A"/>
    <w:rsid w:val="4B633062"/>
    <w:rsid w:val="4B645E12"/>
    <w:rsid w:val="4B693428"/>
    <w:rsid w:val="4B6A4C38"/>
    <w:rsid w:val="4B6A52E9"/>
    <w:rsid w:val="4B6B71A0"/>
    <w:rsid w:val="4B6D116B"/>
    <w:rsid w:val="4B7047B7"/>
    <w:rsid w:val="4B7063B8"/>
    <w:rsid w:val="4B725159"/>
    <w:rsid w:val="4B751DCD"/>
    <w:rsid w:val="4B7604A4"/>
    <w:rsid w:val="4B78366B"/>
    <w:rsid w:val="4B784F16"/>
    <w:rsid w:val="4B796544"/>
    <w:rsid w:val="4B7C5C51"/>
    <w:rsid w:val="4B7D226C"/>
    <w:rsid w:val="4B817745"/>
    <w:rsid w:val="4B817EFD"/>
    <w:rsid w:val="4B820492"/>
    <w:rsid w:val="4B8517C9"/>
    <w:rsid w:val="4B874136"/>
    <w:rsid w:val="4B8819D4"/>
    <w:rsid w:val="4B885FA4"/>
    <w:rsid w:val="4B8A1D1C"/>
    <w:rsid w:val="4B8D35BB"/>
    <w:rsid w:val="4B8E70BC"/>
    <w:rsid w:val="4B8F7333"/>
    <w:rsid w:val="4B900655"/>
    <w:rsid w:val="4B9013AB"/>
    <w:rsid w:val="4B910A04"/>
    <w:rsid w:val="4B912189"/>
    <w:rsid w:val="4B92129D"/>
    <w:rsid w:val="4B92472D"/>
    <w:rsid w:val="4B936336"/>
    <w:rsid w:val="4B956967"/>
    <w:rsid w:val="4B9621C0"/>
    <w:rsid w:val="4B98310F"/>
    <w:rsid w:val="4B983D0E"/>
    <w:rsid w:val="4B9844F7"/>
    <w:rsid w:val="4B985ABC"/>
    <w:rsid w:val="4B9868B7"/>
    <w:rsid w:val="4B991F60"/>
    <w:rsid w:val="4B995EC1"/>
    <w:rsid w:val="4B9A7A86"/>
    <w:rsid w:val="4BA003AF"/>
    <w:rsid w:val="4BA01D01"/>
    <w:rsid w:val="4BA10E14"/>
    <w:rsid w:val="4BA15DFB"/>
    <w:rsid w:val="4BA268DF"/>
    <w:rsid w:val="4BA33FD7"/>
    <w:rsid w:val="4BA37EF3"/>
    <w:rsid w:val="4BA52911"/>
    <w:rsid w:val="4BA729C7"/>
    <w:rsid w:val="4BA80843"/>
    <w:rsid w:val="4BA80A71"/>
    <w:rsid w:val="4BA8188C"/>
    <w:rsid w:val="4BA83353"/>
    <w:rsid w:val="4BA95F1B"/>
    <w:rsid w:val="4BAE6383"/>
    <w:rsid w:val="4BB01057"/>
    <w:rsid w:val="4BB23021"/>
    <w:rsid w:val="4BB67EC9"/>
    <w:rsid w:val="4BB7397C"/>
    <w:rsid w:val="4BB859AC"/>
    <w:rsid w:val="4BB943B0"/>
    <w:rsid w:val="4BBC5C4E"/>
    <w:rsid w:val="4BBE19C6"/>
    <w:rsid w:val="4BBF33B2"/>
    <w:rsid w:val="4BC05088"/>
    <w:rsid w:val="4BC31A99"/>
    <w:rsid w:val="4BC5691B"/>
    <w:rsid w:val="4BC90A28"/>
    <w:rsid w:val="4BC915C7"/>
    <w:rsid w:val="4BCB5CC6"/>
    <w:rsid w:val="4BCC3193"/>
    <w:rsid w:val="4BCC491D"/>
    <w:rsid w:val="4BCE3883"/>
    <w:rsid w:val="4BCE41B0"/>
    <w:rsid w:val="4BCE7FB9"/>
    <w:rsid w:val="4BCF5981"/>
    <w:rsid w:val="4BD034A7"/>
    <w:rsid w:val="4BD27220"/>
    <w:rsid w:val="4BD44D46"/>
    <w:rsid w:val="4BD55986"/>
    <w:rsid w:val="4BD61624"/>
    <w:rsid w:val="4BD77F5B"/>
    <w:rsid w:val="4BD85ABE"/>
    <w:rsid w:val="4BD86D14"/>
    <w:rsid w:val="4BD91F73"/>
    <w:rsid w:val="4BDD19BC"/>
    <w:rsid w:val="4BDD7781"/>
    <w:rsid w:val="4BDE0179"/>
    <w:rsid w:val="4BDE3E16"/>
    <w:rsid w:val="4BE04305"/>
    <w:rsid w:val="4BE331DB"/>
    <w:rsid w:val="4BE45919"/>
    <w:rsid w:val="4BE51056"/>
    <w:rsid w:val="4BE62CCB"/>
    <w:rsid w:val="4BE753D1"/>
    <w:rsid w:val="4BEA7622"/>
    <w:rsid w:val="4BEC77C6"/>
    <w:rsid w:val="4BEE56E3"/>
    <w:rsid w:val="4BEF1B80"/>
    <w:rsid w:val="4BEF7DD1"/>
    <w:rsid w:val="4BF03B4A"/>
    <w:rsid w:val="4BF076A6"/>
    <w:rsid w:val="4BF2154C"/>
    <w:rsid w:val="4BF215A6"/>
    <w:rsid w:val="4BF309D3"/>
    <w:rsid w:val="4BF76C86"/>
    <w:rsid w:val="4BF841D3"/>
    <w:rsid w:val="4BF900B2"/>
    <w:rsid w:val="4BFB10C9"/>
    <w:rsid w:val="4BFC429C"/>
    <w:rsid w:val="4BFD18C8"/>
    <w:rsid w:val="4BFE4B66"/>
    <w:rsid w:val="4BFE515F"/>
    <w:rsid w:val="4BFE6267"/>
    <w:rsid w:val="4C01598E"/>
    <w:rsid w:val="4C031F99"/>
    <w:rsid w:val="4C036058"/>
    <w:rsid w:val="4C0373D9"/>
    <w:rsid w:val="4C0441F7"/>
    <w:rsid w:val="4C0453D3"/>
    <w:rsid w:val="4C06511B"/>
    <w:rsid w:val="4C066B66"/>
    <w:rsid w:val="4C067384"/>
    <w:rsid w:val="4C074C0B"/>
    <w:rsid w:val="4C075A54"/>
    <w:rsid w:val="4C081CA4"/>
    <w:rsid w:val="4C093A8A"/>
    <w:rsid w:val="4C0A0997"/>
    <w:rsid w:val="4C0D0258"/>
    <w:rsid w:val="4C0F6C40"/>
    <w:rsid w:val="4C0F6E78"/>
    <w:rsid w:val="4C104C85"/>
    <w:rsid w:val="4C111715"/>
    <w:rsid w:val="4C137A41"/>
    <w:rsid w:val="4C1448DB"/>
    <w:rsid w:val="4C14640D"/>
    <w:rsid w:val="4C1623EB"/>
    <w:rsid w:val="4C1A3AC3"/>
    <w:rsid w:val="4C1E7CDB"/>
    <w:rsid w:val="4C1F5029"/>
    <w:rsid w:val="4C2179FD"/>
    <w:rsid w:val="4C223262"/>
    <w:rsid w:val="4C237FED"/>
    <w:rsid w:val="4C242D73"/>
    <w:rsid w:val="4C243F0A"/>
    <w:rsid w:val="4C251A45"/>
    <w:rsid w:val="4C2537F3"/>
    <w:rsid w:val="4C25440C"/>
    <w:rsid w:val="4C2630C7"/>
    <w:rsid w:val="4C27788D"/>
    <w:rsid w:val="4C2832E3"/>
    <w:rsid w:val="4C290139"/>
    <w:rsid w:val="4C2B34A4"/>
    <w:rsid w:val="4C2F6420"/>
    <w:rsid w:val="4C307344"/>
    <w:rsid w:val="4C312198"/>
    <w:rsid w:val="4C326C8E"/>
    <w:rsid w:val="4C354463"/>
    <w:rsid w:val="4C360942"/>
    <w:rsid w:val="4C365A00"/>
    <w:rsid w:val="4C3B162A"/>
    <w:rsid w:val="4C3D66CB"/>
    <w:rsid w:val="4C3E48B5"/>
    <w:rsid w:val="4C3E6205"/>
    <w:rsid w:val="4C3F5E28"/>
    <w:rsid w:val="4C4179C2"/>
    <w:rsid w:val="4C441A2B"/>
    <w:rsid w:val="4C4548C3"/>
    <w:rsid w:val="4C46376A"/>
    <w:rsid w:val="4C473013"/>
    <w:rsid w:val="4C4A17AD"/>
    <w:rsid w:val="4C4C6440"/>
    <w:rsid w:val="4C4C7539"/>
    <w:rsid w:val="4C4F35BC"/>
    <w:rsid w:val="4C523EBC"/>
    <w:rsid w:val="4C5314CC"/>
    <w:rsid w:val="4C53424A"/>
    <w:rsid w:val="4C5479B0"/>
    <w:rsid w:val="4C556EE6"/>
    <w:rsid w:val="4C56217A"/>
    <w:rsid w:val="4C575977"/>
    <w:rsid w:val="4C5862A3"/>
    <w:rsid w:val="4C587B46"/>
    <w:rsid w:val="4C593040"/>
    <w:rsid w:val="4C593C2B"/>
    <w:rsid w:val="4C59524B"/>
    <w:rsid w:val="4C5C2F8D"/>
    <w:rsid w:val="4C5C4D3B"/>
    <w:rsid w:val="4C5D15A0"/>
    <w:rsid w:val="4C5D6A3D"/>
    <w:rsid w:val="4C5E7CC1"/>
    <w:rsid w:val="4C6034DF"/>
    <w:rsid w:val="4C603B11"/>
    <w:rsid w:val="4C60482B"/>
    <w:rsid w:val="4C6205A3"/>
    <w:rsid w:val="4C634BA7"/>
    <w:rsid w:val="4C641089"/>
    <w:rsid w:val="4C665ECB"/>
    <w:rsid w:val="4C675BBA"/>
    <w:rsid w:val="4C677CE0"/>
    <w:rsid w:val="4C687B84"/>
    <w:rsid w:val="4C6A7458"/>
    <w:rsid w:val="4C6B49CF"/>
    <w:rsid w:val="4C6D6F48"/>
    <w:rsid w:val="4C6F0F12"/>
    <w:rsid w:val="4C70464E"/>
    <w:rsid w:val="4C704EB3"/>
    <w:rsid w:val="4C70587D"/>
    <w:rsid w:val="4C7107E7"/>
    <w:rsid w:val="4C713A3D"/>
    <w:rsid w:val="4C714C8A"/>
    <w:rsid w:val="4C7178EC"/>
    <w:rsid w:val="4C75760F"/>
    <w:rsid w:val="4C781D6C"/>
    <w:rsid w:val="4C7B78B7"/>
    <w:rsid w:val="4C7D58FE"/>
    <w:rsid w:val="4C7E5B37"/>
    <w:rsid w:val="4C7F2D46"/>
    <w:rsid w:val="4C7F7F6C"/>
    <w:rsid w:val="4C82498B"/>
    <w:rsid w:val="4C8478AF"/>
    <w:rsid w:val="4C8524E4"/>
    <w:rsid w:val="4C852940"/>
    <w:rsid w:val="4C855898"/>
    <w:rsid w:val="4C860C9B"/>
    <w:rsid w:val="4C87000A"/>
    <w:rsid w:val="4C871DB8"/>
    <w:rsid w:val="4C875BB4"/>
    <w:rsid w:val="4C88556D"/>
    <w:rsid w:val="4C89165D"/>
    <w:rsid w:val="4C891FD4"/>
    <w:rsid w:val="4C8958D2"/>
    <w:rsid w:val="4C934C01"/>
    <w:rsid w:val="4C9362EB"/>
    <w:rsid w:val="4C9431EA"/>
    <w:rsid w:val="4C971A72"/>
    <w:rsid w:val="4C994A2C"/>
    <w:rsid w:val="4C995F8F"/>
    <w:rsid w:val="4C997D3D"/>
    <w:rsid w:val="4C9A4AB5"/>
    <w:rsid w:val="4C9B5160"/>
    <w:rsid w:val="4C9E5360"/>
    <w:rsid w:val="4CA30BBC"/>
    <w:rsid w:val="4CA4286F"/>
    <w:rsid w:val="4CA45413"/>
    <w:rsid w:val="4CA47AE0"/>
    <w:rsid w:val="4CA566E2"/>
    <w:rsid w:val="4CA63FAC"/>
    <w:rsid w:val="4CA706AC"/>
    <w:rsid w:val="4CA74208"/>
    <w:rsid w:val="4CA748C5"/>
    <w:rsid w:val="4CA80FE3"/>
    <w:rsid w:val="4CA8697D"/>
    <w:rsid w:val="4CAA019C"/>
    <w:rsid w:val="4CAD20F3"/>
    <w:rsid w:val="4CAE37E9"/>
    <w:rsid w:val="4CB24246"/>
    <w:rsid w:val="4CB278DF"/>
    <w:rsid w:val="4CB372A5"/>
    <w:rsid w:val="4CB44B77"/>
    <w:rsid w:val="4CB46925"/>
    <w:rsid w:val="4CB47370"/>
    <w:rsid w:val="4CB6269D"/>
    <w:rsid w:val="4CB77DA6"/>
    <w:rsid w:val="4CB86415"/>
    <w:rsid w:val="4CBA1D62"/>
    <w:rsid w:val="4CBB224D"/>
    <w:rsid w:val="4CBE1552"/>
    <w:rsid w:val="4CC006FA"/>
    <w:rsid w:val="4CC0351C"/>
    <w:rsid w:val="4CC047A5"/>
    <w:rsid w:val="4CC10E54"/>
    <w:rsid w:val="4CC21042"/>
    <w:rsid w:val="4CC23180"/>
    <w:rsid w:val="4CC33C64"/>
    <w:rsid w:val="4CC37990"/>
    <w:rsid w:val="4CC42316"/>
    <w:rsid w:val="4CC44697"/>
    <w:rsid w:val="4CC50B32"/>
    <w:rsid w:val="4CC52286"/>
    <w:rsid w:val="4CC55378"/>
    <w:rsid w:val="4CC83045"/>
    <w:rsid w:val="4CC869DB"/>
    <w:rsid w:val="4CC93786"/>
    <w:rsid w:val="4CCA0E09"/>
    <w:rsid w:val="4CCA439B"/>
    <w:rsid w:val="4CCC03DE"/>
    <w:rsid w:val="4CCD4C5A"/>
    <w:rsid w:val="4CCE6E08"/>
    <w:rsid w:val="4CCE736A"/>
    <w:rsid w:val="4CCF19B1"/>
    <w:rsid w:val="4CD3324F"/>
    <w:rsid w:val="4CD35839"/>
    <w:rsid w:val="4CD362CA"/>
    <w:rsid w:val="4CD6549D"/>
    <w:rsid w:val="4CD80866"/>
    <w:rsid w:val="4CD9638C"/>
    <w:rsid w:val="4CDB2104"/>
    <w:rsid w:val="4CDB2544"/>
    <w:rsid w:val="4CDD31E8"/>
    <w:rsid w:val="4CDD5E7C"/>
    <w:rsid w:val="4CDF1588"/>
    <w:rsid w:val="4CE01D90"/>
    <w:rsid w:val="4CE0596C"/>
    <w:rsid w:val="4CE07F1F"/>
    <w:rsid w:val="4CE1714D"/>
    <w:rsid w:val="4CE17311"/>
    <w:rsid w:val="4CE208F1"/>
    <w:rsid w:val="4CE32979"/>
    <w:rsid w:val="4CE72828"/>
    <w:rsid w:val="4CE93B72"/>
    <w:rsid w:val="4CEB247E"/>
    <w:rsid w:val="4CEE5539"/>
    <w:rsid w:val="4CEE62DB"/>
    <w:rsid w:val="4CEF1611"/>
    <w:rsid w:val="4CEF74A5"/>
    <w:rsid w:val="4CF02490"/>
    <w:rsid w:val="4CF12C3C"/>
    <w:rsid w:val="4CF136D5"/>
    <w:rsid w:val="4CF338F1"/>
    <w:rsid w:val="4CF4388E"/>
    <w:rsid w:val="4CF5766A"/>
    <w:rsid w:val="4CF722FD"/>
    <w:rsid w:val="4CF84A64"/>
    <w:rsid w:val="4CF91A9B"/>
    <w:rsid w:val="4CFA3536"/>
    <w:rsid w:val="4CFA6A0B"/>
    <w:rsid w:val="4CFB4554"/>
    <w:rsid w:val="4CFE5DF2"/>
    <w:rsid w:val="4D031097"/>
    <w:rsid w:val="4D045794"/>
    <w:rsid w:val="4D063B3E"/>
    <w:rsid w:val="4D073FB9"/>
    <w:rsid w:val="4D0B0C3B"/>
    <w:rsid w:val="4D0C2EA5"/>
    <w:rsid w:val="4D0C477D"/>
    <w:rsid w:val="4D0D7E13"/>
    <w:rsid w:val="4D0E2D62"/>
    <w:rsid w:val="4D0E652F"/>
    <w:rsid w:val="4D110FBB"/>
    <w:rsid w:val="4D137AF0"/>
    <w:rsid w:val="4D163416"/>
    <w:rsid w:val="4D185106"/>
    <w:rsid w:val="4D192A7C"/>
    <w:rsid w:val="4D1A2C2C"/>
    <w:rsid w:val="4D1C7453"/>
    <w:rsid w:val="4D2044CD"/>
    <w:rsid w:val="4D21045F"/>
    <w:rsid w:val="4D225A59"/>
    <w:rsid w:val="4D231481"/>
    <w:rsid w:val="4D236632"/>
    <w:rsid w:val="4D242C7E"/>
    <w:rsid w:val="4D267451"/>
    <w:rsid w:val="4D271DD5"/>
    <w:rsid w:val="4D274534"/>
    <w:rsid w:val="4D2770F7"/>
    <w:rsid w:val="4D2829FD"/>
    <w:rsid w:val="4D2B308B"/>
    <w:rsid w:val="4D2B7808"/>
    <w:rsid w:val="4D2C4D36"/>
    <w:rsid w:val="4D2D4BAA"/>
    <w:rsid w:val="4D2D62EB"/>
    <w:rsid w:val="4D31441A"/>
    <w:rsid w:val="4D317F76"/>
    <w:rsid w:val="4D336C1A"/>
    <w:rsid w:val="4D341814"/>
    <w:rsid w:val="4D357A66"/>
    <w:rsid w:val="4D360ADE"/>
    <w:rsid w:val="4D382631"/>
    <w:rsid w:val="4D3A0517"/>
    <w:rsid w:val="4D3A32CE"/>
    <w:rsid w:val="4D3A50CF"/>
    <w:rsid w:val="4D3C5DDD"/>
    <w:rsid w:val="4D3D691B"/>
    <w:rsid w:val="4D3F08E5"/>
    <w:rsid w:val="4D40004E"/>
    <w:rsid w:val="4D4001B9"/>
    <w:rsid w:val="4D405120"/>
    <w:rsid w:val="4D40640B"/>
    <w:rsid w:val="4D430005"/>
    <w:rsid w:val="4D4529C5"/>
    <w:rsid w:val="4D4544B2"/>
    <w:rsid w:val="4D471547"/>
    <w:rsid w:val="4D491731"/>
    <w:rsid w:val="4D494005"/>
    <w:rsid w:val="4D4A3E41"/>
    <w:rsid w:val="4D4B570A"/>
    <w:rsid w:val="4D4C4DB0"/>
    <w:rsid w:val="4D4E6D7A"/>
    <w:rsid w:val="4D550108"/>
    <w:rsid w:val="4D5667FE"/>
    <w:rsid w:val="4D571D1E"/>
    <w:rsid w:val="4D57223F"/>
    <w:rsid w:val="4D57542E"/>
    <w:rsid w:val="4D594AFE"/>
    <w:rsid w:val="4D5A571F"/>
    <w:rsid w:val="4D5C3245"/>
    <w:rsid w:val="4D5D10BD"/>
    <w:rsid w:val="4D6016B7"/>
    <w:rsid w:val="4D61085B"/>
    <w:rsid w:val="4D6245D3"/>
    <w:rsid w:val="4D634CAC"/>
    <w:rsid w:val="4D644442"/>
    <w:rsid w:val="4D6455F8"/>
    <w:rsid w:val="4D6646B1"/>
    <w:rsid w:val="4D665E71"/>
    <w:rsid w:val="4D67545C"/>
    <w:rsid w:val="4D682209"/>
    <w:rsid w:val="4D6C5536"/>
    <w:rsid w:val="4D704352"/>
    <w:rsid w:val="4D747043"/>
    <w:rsid w:val="4D753864"/>
    <w:rsid w:val="4D754306"/>
    <w:rsid w:val="4D767F72"/>
    <w:rsid w:val="4D795AE7"/>
    <w:rsid w:val="4D7A2EA3"/>
    <w:rsid w:val="4D7B7211"/>
    <w:rsid w:val="4D7C3CED"/>
    <w:rsid w:val="4D7C5695"/>
    <w:rsid w:val="4D7D140D"/>
    <w:rsid w:val="4D7D194D"/>
    <w:rsid w:val="4D7E259D"/>
    <w:rsid w:val="4D7E6E1B"/>
    <w:rsid w:val="4D7F0CE1"/>
    <w:rsid w:val="4D82166B"/>
    <w:rsid w:val="4D822DD2"/>
    <w:rsid w:val="4D834C75"/>
    <w:rsid w:val="4D83582C"/>
    <w:rsid w:val="4D847A60"/>
    <w:rsid w:val="4D88228C"/>
    <w:rsid w:val="4D8951F8"/>
    <w:rsid w:val="4D8C1650"/>
    <w:rsid w:val="4D8C1CE6"/>
    <w:rsid w:val="4D9549A9"/>
    <w:rsid w:val="4D990CF9"/>
    <w:rsid w:val="4D99279A"/>
    <w:rsid w:val="4D9C7AE5"/>
    <w:rsid w:val="4D9D385D"/>
    <w:rsid w:val="4D9F3131"/>
    <w:rsid w:val="4D9F6104"/>
    <w:rsid w:val="4DA00CDA"/>
    <w:rsid w:val="4DA04F2A"/>
    <w:rsid w:val="4DA10F2C"/>
    <w:rsid w:val="4DA150FB"/>
    <w:rsid w:val="4DA3306D"/>
    <w:rsid w:val="4DA4699A"/>
    <w:rsid w:val="4DA56C09"/>
    <w:rsid w:val="4DA93FB0"/>
    <w:rsid w:val="4DAA37DC"/>
    <w:rsid w:val="4DAD1CF2"/>
    <w:rsid w:val="4DAD3AA0"/>
    <w:rsid w:val="4DAE49FC"/>
    <w:rsid w:val="4DAF0AEB"/>
    <w:rsid w:val="4DAF41A0"/>
    <w:rsid w:val="4DB01A5E"/>
    <w:rsid w:val="4DB03871"/>
    <w:rsid w:val="4DB12E65"/>
    <w:rsid w:val="4DB46A0C"/>
    <w:rsid w:val="4DB50BA7"/>
    <w:rsid w:val="4DB766CD"/>
    <w:rsid w:val="4DB85903"/>
    <w:rsid w:val="4DBA61E0"/>
    <w:rsid w:val="4DBB1AD3"/>
    <w:rsid w:val="4DBD1DF1"/>
    <w:rsid w:val="4DBD3AD3"/>
    <w:rsid w:val="4DBD5D91"/>
    <w:rsid w:val="4DBD5FBC"/>
    <w:rsid w:val="4DBD63E3"/>
    <w:rsid w:val="4DBF5582"/>
    <w:rsid w:val="4DC10EB2"/>
    <w:rsid w:val="4DC1357D"/>
    <w:rsid w:val="4DC1579E"/>
    <w:rsid w:val="4DC1754C"/>
    <w:rsid w:val="4DC31516"/>
    <w:rsid w:val="4DC316F2"/>
    <w:rsid w:val="4DC42B98"/>
    <w:rsid w:val="4DC46E97"/>
    <w:rsid w:val="4DCB6644"/>
    <w:rsid w:val="4DCC008E"/>
    <w:rsid w:val="4DD35C44"/>
    <w:rsid w:val="4DD41ED2"/>
    <w:rsid w:val="4DD43DBB"/>
    <w:rsid w:val="4DD47A15"/>
    <w:rsid w:val="4DD54B7C"/>
    <w:rsid w:val="4DD633E1"/>
    <w:rsid w:val="4DD70125"/>
    <w:rsid w:val="4DD728CB"/>
    <w:rsid w:val="4DD75353"/>
    <w:rsid w:val="4DD9016A"/>
    <w:rsid w:val="4DD92AE7"/>
    <w:rsid w:val="4DD9648A"/>
    <w:rsid w:val="4DDA060D"/>
    <w:rsid w:val="4DDB0F60"/>
    <w:rsid w:val="4DDC732D"/>
    <w:rsid w:val="4DDE4787"/>
    <w:rsid w:val="4DDE481E"/>
    <w:rsid w:val="4DE03227"/>
    <w:rsid w:val="4DE137EE"/>
    <w:rsid w:val="4DE3416A"/>
    <w:rsid w:val="4DE7552B"/>
    <w:rsid w:val="4DE7646C"/>
    <w:rsid w:val="4DE77E30"/>
    <w:rsid w:val="4DE82D2A"/>
    <w:rsid w:val="4DE869A1"/>
    <w:rsid w:val="4DE90850"/>
    <w:rsid w:val="4DE941F9"/>
    <w:rsid w:val="4DEA4CF4"/>
    <w:rsid w:val="4DEB6CBA"/>
    <w:rsid w:val="4DEC6E10"/>
    <w:rsid w:val="4DEE6C6B"/>
    <w:rsid w:val="4DF204A6"/>
    <w:rsid w:val="4DF530D3"/>
    <w:rsid w:val="4DF60B64"/>
    <w:rsid w:val="4DF86401"/>
    <w:rsid w:val="4DF9095E"/>
    <w:rsid w:val="4DF94F37"/>
    <w:rsid w:val="4DFA6321"/>
    <w:rsid w:val="4DFE254E"/>
    <w:rsid w:val="4DFF1E22"/>
    <w:rsid w:val="4E032C0A"/>
    <w:rsid w:val="4E037EE6"/>
    <w:rsid w:val="4E047438"/>
    <w:rsid w:val="4E0509AC"/>
    <w:rsid w:val="4E061402"/>
    <w:rsid w:val="4E067654"/>
    <w:rsid w:val="4E0833CC"/>
    <w:rsid w:val="4E0B07C7"/>
    <w:rsid w:val="4E0B2A9E"/>
    <w:rsid w:val="4E0B6448"/>
    <w:rsid w:val="4E0B6A19"/>
    <w:rsid w:val="4E0E6A31"/>
    <w:rsid w:val="4E10402F"/>
    <w:rsid w:val="4E107BBD"/>
    <w:rsid w:val="4E112952"/>
    <w:rsid w:val="4E125654"/>
    <w:rsid w:val="4E162199"/>
    <w:rsid w:val="4E16466D"/>
    <w:rsid w:val="4E16579B"/>
    <w:rsid w:val="4E1A60A2"/>
    <w:rsid w:val="4E1B1C73"/>
    <w:rsid w:val="4E1C00A4"/>
    <w:rsid w:val="4E1C4782"/>
    <w:rsid w:val="4E2077F1"/>
    <w:rsid w:val="4E222E26"/>
    <w:rsid w:val="4E255D2C"/>
    <w:rsid w:val="4E256AC3"/>
    <w:rsid w:val="4E281379"/>
    <w:rsid w:val="4E28581D"/>
    <w:rsid w:val="4E2B2885"/>
    <w:rsid w:val="4E2B5342"/>
    <w:rsid w:val="4E2F59DC"/>
    <w:rsid w:val="4E312794"/>
    <w:rsid w:val="4E3427C1"/>
    <w:rsid w:val="4E3E0D43"/>
    <w:rsid w:val="4E3E0D57"/>
    <w:rsid w:val="4E3F594B"/>
    <w:rsid w:val="4E406B13"/>
    <w:rsid w:val="4E4168DE"/>
    <w:rsid w:val="4E423CF6"/>
    <w:rsid w:val="4E4306F0"/>
    <w:rsid w:val="4E436DAA"/>
    <w:rsid w:val="4E437F61"/>
    <w:rsid w:val="4E451F2B"/>
    <w:rsid w:val="4E483E2C"/>
    <w:rsid w:val="4E4A2A5E"/>
    <w:rsid w:val="4E4B5067"/>
    <w:rsid w:val="4E4D4114"/>
    <w:rsid w:val="4E4D47C5"/>
    <w:rsid w:val="4E4F4E50"/>
    <w:rsid w:val="4E5377DA"/>
    <w:rsid w:val="4E55147F"/>
    <w:rsid w:val="4E555004"/>
    <w:rsid w:val="4E575244"/>
    <w:rsid w:val="4E577EB0"/>
    <w:rsid w:val="4E5959D6"/>
    <w:rsid w:val="4E596CB2"/>
    <w:rsid w:val="4E5D6597"/>
    <w:rsid w:val="4E5E123E"/>
    <w:rsid w:val="4E5F42F3"/>
    <w:rsid w:val="4E616639"/>
    <w:rsid w:val="4E617544"/>
    <w:rsid w:val="4E650709"/>
    <w:rsid w:val="4E6836D6"/>
    <w:rsid w:val="4E6879C7"/>
    <w:rsid w:val="4E697980"/>
    <w:rsid w:val="4E6B74B7"/>
    <w:rsid w:val="4E6C5F3F"/>
    <w:rsid w:val="4E6E699C"/>
    <w:rsid w:val="4E6F0D56"/>
    <w:rsid w:val="4E7227BD"/>
    <w:rsid w:val="4E7312E2"/>
    <w:rsid w:val="4E7445BE"/>
    <w:rsid w:val="4E760336"/>
    <w:rsid w:val="4E7779A7"/>
    <w:rsid w:val="4E7919E9"/>
    <w:rsid w:val="4E7A12A5"/>
    <w:rsid w:val="4E7C672B"/>
    <w:rsid w:val="4E7E71EB"/>
    <w:rsid w:val="4E7F1CC2"/>
    <w:rsid w:val="4E80129F"/>
    <w:rsid w:val="4E837333"/>
    <w:rsid w:val="4E84238B"/>
    <w:rsid w:val="4E8430BC"/>
    <w:rsid w:val="4E870795"/>
    <w:rsid w:val="4E88466D"/>
    <w:rsid w:val="4E8862BB"/>
    <w:rsid w:val="4E8C7B5A"/>
    <w:rsid w:val="4E8D28FA"/>
    <w:rsid w:val="4E8D5680"/>
    <w:rsid w:val="4E913AB2"/>
    <w:rsid w:val="4E936D6F"/>
    <w:rsid w:val="4E9538C3"/>
    <w:rsid w:val="4E963862"/>
    <w:rsid w:val="4E973E54"/>
    <w:rsid w:val="4E977924"/>
    <w:rsid w:val="4E9843F7"/>
    <w:rsid w:val="4E9904C8"/>
    <w:rsid w:val="4E995D7C"/>
    <w:rsid w:val="4E9B317F"/>
    <w:rsid w:val="4E9B5FEF"/>
    <w:rsid w:val="4E9C1394"/>
    <w:rsid w:val="4E9E4DCF"/>
    <w:rsid w:val="4EA330F5"/>
    <w:rsid w:val="4EA34EE2"/>
    <w:rsid w:val="4EA4053F"/>
    <w:rsid w:val="4EA43238"/>
    <w:rsid w:val="4EA47356"/>
    <w:rsid w:val="4EA477FC"/>
    <w:rsid w:val="4EA50C1B"/>
    <w:rsid w:val="4EA529C9"/>
    <w:rsid w:val="4EA76741"/>
    <w:rsid w:val="4EA85D29"/>
    <w:rsid w:val="4EA948AD"/>
    <w:rsid w:val="4EAB7FFC"/>
    <w:rsid w:val="4EAD47F6"/>
    <w:rsid w:val="4EAD5D22"/>
    <w:rsid w:val="4EAF0372"/>
    <w:rsid w:val="4EB1100B"/>
    <w:rsid w:val="4EB16ED4"/>
    <w:rsid w:val="4EB5120D"/>
    <w:rsid w:val="4EB513C3"/>
    <w:rsid w:val="4EB630BF"/>
    <w:rsid w:val="4EB8094F"/>
    <w:rsid w:val="4EB824AA"/>
    <w:rsid w:val="4EB832C5"/>
    <w:rsid w:val="4EBB3F02"/>
    <w:rsid w:val="4EBC506D"/>
    <w:rsid w:val="4EBE1CDD"/>
    <w:rsid w:val="4EBE7BC4"/>
    <w:rsid w:val="4EBF1FDE"/>
    <w:rsid w:val="4EC07803"/>
    <w:rsid w:val="4EC117D6"/>
    <w:rsid w:val="4EC13C83"/>
    <w:rsid w:val="4EC14021"/>
    <w:rsid w:val="4EC1462F"/>
    <w:rsid w:val="4EC16156"/>
    <w:rsid w:val="4EC217CD"/>
    <w:rsid w:val="4EC372F3"/>
    <w:rsid w:val="4EC41D18"/>
    <w:rsid w:val="4EC42650"/>
    <w:rsid w:val="4EC45545"/>
    <w:rsid w:val="4EC56BC8"/>
    <w:rsid w:val="4EC66A03"/>
    <w:rsid w:val="4EC76DE4"/>
    <w:rsid w:val="4EC81BA7"/>
    <w:rsid w:val="4EC92207"/>
    <w:rsid w:val="4ECB2D04"/>
    <w:rsid w:val="4ECB6A08"/>
    <w:rsid w:val="4ECC05C8"/>
    <w:rsid w:val="4ECC13F9"/>
    <w:rsid w:val="4ECC1F41"/>
    <w:rsid w:val="4ECD3D05"/>
    <w:rsid w:val="4ECE6178"/>
    <w:rsid w:val="4ECF3EEA"/>
    <w:rsid w:val="4ED137BE"/>
    <w:rsid w:val="4ED2028C"/>
    <w:rsid w:val="4ED33865"/>
    <w:rsid w:val="4ED35788"/>
    <w:rsid w:val="4ED5452D"/>
    <w:rsid w:val="4ED70257"/>
    <w:rsid w:val="4ED82D9F"/>
    <w:rsid w:val="4ED84B4D"/>
    <w:rsid w:val="4ED94208"/>
    <w:rsid w:val="4EDD6607"/>
    <w:rsid w:val="4EE0169B"/>
    <w:rsid w:val="4EE07EA5"/>
    <w:rsid w:val="4EE227D7"/>
    <w:rsid w:val="4EE554BC"/>
    <w:rsid w:val="4EE95ABC"/>
    <w:rsid w:val="4EEA2AD2"/>
    <w:rsid w:val="4EEC23A6"/>
    <w:rsid w:val="4EF07680"/>
    <w:rsid w:val="4EF07DFA"/>
    <w:rsid w:val="4EF22C74"/>
    <w:rsid w:val="4EF23735"/>
    <w:rsid w:val="4EF237E6"/>
    <w:rsid w:val="4EF34B7E"/>
    <w:rsid w:val="4EF61477"/>
    <w:rsid w:val="4EFA0EB9"/>
    <w:rsid w:val="4EFB083B"/>
    <w:rsid w:val="4EFB4CDF"/>
    <w:rsid w:val="4EFD6AD1"/>
    <w:rsid w:val="4EFF3268"/>
    <w:rsid w:val="4F005546"/>
    <w:rsid w:val="4F035942"/>
    <w:rsid w:val="4F040362"/>
    <w:rsid w:val="4F0566F3"/>
    <w:rsid w:val="4F063ED2"/>
    <w:rsid w:val="4F074C6B"/>
    <w:rsid w:val="4F087D42"/>
    <w:rsid w:val="4F0C2A48"/>
    <w:rsid w:val="4F0D466E"/>
    <w:rsid w:val="4F132029"/>
    <w:rsid w:val="4F13675C"/>
    <w:rsid w:val="4F1418FD"/>
    <w:rsid w:val="4F147B4F"/>
    <w:rsid w:val="4F165675"/>
    <w:rsid w:val="4F166E11"/>
    <w:rsid w:val="4F177D26"/>
    <w:rsid w:val="4F190D64"/>
    <w:rsid w:val="4F19241E"/>
    <w:rsid w:val="4F1B712F"/>
    <w:rsid w:val="4F1D2EA8"/>
    <w:rsid w:val="4F1D4C56"/>
    <w:rsid w:val="4F1E0E43"/>
    <w:rsid w:val="4F1E4E68"/>
    <w:rsid w:val="4F1E6963"/>
    <w:rsid w:val="4F1F4AB3"/>
    <w:rsid w:val="4F204746"/>
    <w:rsid w:val="4F20671C"/>
    <w:rsid w:val="4F215ECC"/>
    <w:rsid w:val="4F2215D0"/>
    <w:rsid w:val="4F22226C"/>
    <w:rsid w:val="4F226DC8"/>
    <w:rsid w:val="4F227A85"/>
    <w:rsid w:val="4F244236"/>
    <w:rsid w:val="4F275AD4"/>
    <w:rsid w:val="4F29214E"/>
    <w:rsid w:val="4F2A5A60"/>
    <w:rsid w:val="4F2E0C11"/>
    <w:rsid w:val="4F2F14D9"/>
    <w:rsid w:val="4F2F6737"/>
    <w:rsid w:val="4F331A18"/>
    <w:rsid w:val="4F351261"/>
    <w:rsid w:val="4F367AC5"/>
    <w:rsid w:val="4F3D41A5"/>
    <w:rsid w:val="4F3D70A6"/>
    <w:rsid w:val="4F3D7FBF"/>
    <w:rsid w:val="4F3E4639"/>
    <w:rsid w:val="4F405D22"/>
    <w:rsid w:val="4F406680"/>
    <w:rsid w:val="4F416B96"/>
    <w:rsid w:val="4F422894"/>
    <w:rsid w:val="4F447101"/>
    <w:rsid w:val="4F451DDD"/>
    <w:rsid w:val="4F452028"/>
    <w:rsid w:val="4F473A81"/>
    <w:rsid w:val="4F475607"/>
    <w:rsid w:val="4F4843E7"/>
    <w:rsid w:val="4F4937FD"/>
    <w:rsid w:val="4F4977F9"/>
    <w:rsid w:val="4F4A531F"/>
    <w:rsid w:val="4F4B3CC6"/>
    <w:rsid w:val="4F4B6F82"/>
    <w:rsid w:val="4F4D08E4"/>
    <w:rsid w:val="4F4D38F0"/>
    <w:rsid w:val="4F4E005F"/>
    <w:rsid w:val="4F5148FF"/>
    <w:rsid w:val="4F53618A"/>
    <w:rsid w:val="4F555EC1"/>
    <w:rsid w:val="4F581C30"/>
    <w:rsid w:val="4F585878"/>
    <w:rsid w:val="4F5A1A06"/>
    <w:rsid w:val="4F5C39D0"/>
    <w:rsid w:val="4F5C46DB"/>
    <w:rsid w:val="4F5F526E"/>
    <w:rsid w:val="4F5F701C"/>
    <w:rsid w:val="4F5F74D0"/>
    <w:rsid w:val="4F602D94"/>
    <w:rsid w:val="4F615A4A"/>
    <w:rsid w:val="4F6208BA"/>
    <w:rsid w:val="4F644633"/>
    <w:rsid w:val="4F6463E1"/>
    <w:rsid w:val="4F650512"/>
    <w:rsid w:val="4F6603AB"/>
    <w:rsid w:val="4F6665FD"/>
    <w:rsid w:val="4F681AF1"/>
    <w:rsid w:val="4F686F20"/>
    <w:rsid w:val="4F693ACA"/>
    <w:rsid w:val="4F6B0EDA"/>
    <w:rsid w:val="4F6D03B3"/>
    <w:rsid w:val="4F6E54B1"/>
    <w:rsid w:val="4F702CB0"/>
    <w:rsid w:val="4F7337BF"/>
    <w:rsid w:val="4F737550"/>
    <w:rsid w:val="4F7839EB"/>
    <w:rsid w:val="4F7A3F06"/>
    <w:rsid w:val="4F7C258C"/>
    <w:rsid w:val="4F7C65F8"/>
    <w:rsid w:val="4F7D1D9E"/>
    <w:rsid w:val="4F7E7026"/>
    <w:rsid w:val="4F814367"/>
    <w:rsid w:val="4F815A58"/>
    <w:rsid w:val="4F815FEA"/>
    <w:rsid w:val="4F820F5D"/>
    <w:rsid w:val="4F840831"/>
    <w:rsid w:val="4F855BBA"/>
    <w:rsid w:val="4F876573"/>
    <w:rsid w:val="4F895C51"/>
    <w:rsid w:val="4F8A4760"/>
    <w:rsid w:val="4F8B1BBF"/>
    <w:rsid w:val="4F8B7E11"/>
    <w:rsid w:val="4F917EAC"/>
    <w:rsid w:val="4F92170C"/>
    <w:rsid w:val="4F954768"/>
    <w:rsid w:val="4F957BA3"/>
    <w:rsid w:val="4F992FC4"/>
    <w:rsid w:val="4F9A62A6"/>
    <w:rsid w:val="4F9B506C"/>
    <w:rsid w:val="4F9B703B"/>
    <w:rsid w:val="4F9C3DCC"/>
    <w:rsid w:val="4F9D1D6A"/>
    <w:rsid w:val="4F9F1B0F"/>
    <w:rsid w:val="4FA03814"/>
    <w:rsid w:val="4FA107F2"/>
    <w:rsid w:val="4FA2515B"/>
    <w:rsid w:val="4FA33BE5"/>
    <w:rsid w:val="4FA45FB8"/>
    <w:rsid w:val="4FA964E9"/>
    <w:rsid w:val="4FAA5DDF"/>
    <w:rsid w:val="4FAB646B"/>
    <w:rsid w:val="4FAC0B4A"/>
    <w:rsid w:val="4FAC5905"/>
    <w:rsid w:val="4FAE3B00"/>
    <w:rsid w:val="4FB014FB"/>
    <w:rsid w:val="4FB31116"/>
    <w:rsid w:val="4FB455DD"/>
    <w:rsid w:val="4FB530E0"/>
    <w:rsid w:val="4FB7572D"/>
    <w:rsid w:val="4FBA2FBC"/>
    <w:rsid w:val="4FBA3755"/>
    <w:rsid w:val="4FBD1F95"/>
    <w:rsid w:val="4FBE2337"/>
    <w:rsid w:val="4FBE79FF"/>
    <w:rsid w:val="4FC14613"/>
    <w:rsid w:val="4FC21359"/>
    <w:rsid w:val="4FC26BC4"/>
    <w:rsid w:val="4FC33100"/>
    <w:rsid w:val="4FC41575"/>
    <w:rsid w:val="4FC556B0"/>
    <w:rsid w:val="4FC57CA3"/>
    <w:rsid w:val="4FC61429"/>
    <w:rsid w:val="4FC6709B"/>
    <w:rsid w:val="4FC81820"/>
    <w:rsid w:val="4FC92959"/>
    <w:rsid w:val="4FCA510C"/>
    <w:rsid w:val="4FCB4CA8"/>
    <w:rsid w:val="4FCC37AE"/>
    <w:rsid w:val="4FCD2475"/>
    <w:rsid w:val="4FCD667C"/>
    <w:rsid w:val="4FCD6768"/>
    <w:rsid w:val="4FCE41A2"/>
    <w:rsid w:val="4FCE7D9E"/>
    <w:rsid w:val="4FCE7FB4"/>
    <w:rsid w:val="4FCF212F"/>
    <w:rsid w:val="4FD0136E"/>
    <w:rsid w:val="4FD01CC8"/>
    <w:rsid w:val="4FD23C92"/>
    <w:rsid w:val="4FD44B11"/>
    <w:rsid w:val="4FD5108C"/>
    <w:rsid w:val="4FD55530"/>
    <w:rsid w:val="4FDA34DD"/>
    <w:rsid w:val="4FDA5AA9"/>
    <w:rsid w:val="4FDB026C"/>
    <w:rsid w:val="4FDC241B"/>
    <w:rsid w:val="4FDC53FE"/>
    <w:rsid w:val="4FDC68BF"/>
    <w:rsid w:val="4FDD44E4"/>
    <w:rsid w:val="4FDD7D1B"/>
    <w:rsid w:val="4FDF1F0B"/>
    <w:rsid w:val="4FE15C83"/>
    <w:rsid w:val="4FE53500"/>
    <w:rsid w:val="4FE87012"/>
    <w:rsid w:val="4FE87176"/>
    <w:rsid w:val="4FE91D72"/>
    <w:rsid w:val="4FEA13C6"/>
    <w:rsid w:val="4FEB7ED1"/>
    <w:rsid w:val="4FEC12BB"/>
    <w:rsid w:val="4FEC46FA"/>
    <w:rsid w:val="4FED4628"/>
    <w:rsid w:val="4FED6404"/>
    <w:rsid w:val="4FEE65F2"/>
    <w:rsid w:val="4FF21FBB"/>
    <w:rsid w:val="4FF33AEC"/>
    <w:rsid w:val="4FF42366"/>
    <w:rsid w:val="4FF42B9C"/>
    <w:rsid w:val="4FF439E5"/>
    <w:rsid w:val="4FF47C20"/>
    <w:rsid w:val="4FF529BA"/>
    <w:rsid w:val="4FF652DA"/>
    <w:rsid w:val="4FF736F9"/>
    <w:rsid w:val="4FF742E8"/>
    <w:rsid w:val="4FF84D7B"/>
    <w:rsid w:val="50010670"/>
    <w:rsid w:val="50011AFC"/>
    <w:rsid w:val="50016554"/>
    <w:rsid w:val="5002017E"/>
    <w:rsid w:val="50020304"/>
    <w:rsid w:val="50035120"/>
    <w:rsid w:val="50035C64"/>
    <w:rsid w:val="5004761C"/>
    <w:rsid w:val="5005393F"/>
    <w:rsid w:val="5006393C"/>
    <w:rsid w:val="500656EA"/>
    <w:rsid w:val="500831FC"/>
    <w:rsid w:val="5009684A"/>
    <w:rsid w:val="500A25AD"/>
    <w:rsid w:val="500A5F84"/>
    <w:rsid w:val="500C3891"/>
    <w:rsid w:val="500D4CCA"/>
    <w:rsid w:val="500D786C"/>
    <w:rsid w:val="501222E0"/>
    <w:rsid w:val="50186232"/>
    <w:rsid w:val="501A2F43"/>
    <w:rsid w:val="501A5E16"/>
    <w:rsid w:val="501D04CF"/>
    <w:rsid w:val="501E7CD7"/>
    <w:rsid w:val="501F0BAA"/>
    <w:rsid w:val="501F1883"/>
    <w:rsid w:val="501F3DA3"/>
    <w:rsid w:val="5021701C"/>
    <w:rsid w:val="502245A8"/>
    <w:rsid w:val="50242014"/>
    <w:rsid w:val="5026212E"/>
    <w:rsid w:val="50265D8C"/>
    <w:rsid w:val="50271E5A"/>
    <w:rsid w:val="50276F1F"/>
    <w:rsid w:val="5028468C"/>
    <w:rsid w:val="502A5642"/>
    <w:rsid w:val="502B5150"/>
    <w:rsid w:val="502D1A4F"/>
    <w:rsid w:val="502F6ABC"/>
    <w:rsid w:val="5030546B"/>
    <w:rsid w:val="50324731"/>
    <w:rsid w:val="50330A02"/>
    <w:rsid w:val="50333DEC"/>
    <w:rsid w:val="50334002"/>
    <w:rsid w:val="50342257"/>
    <w:rsid w:val="503865C2"/>
    <w:rsid w:val="503C223E"/>
    <w:rsid w:val="503C735D"/>
    <w:rsid w:val="503D03B4"/>
    <w:rsid w:val="503E30D6"/>
    <w:rsid w:val="503F0BFC"/>
    <w:rsid w:val="50416722"/>
    <w:rsid w:val="5049176B"/>
    <w:rsid w:val="504C29DB"/>
    <w:rsid w:val="504D0CA5"/>
    <w:rsid w:val="504E330C"/>
    <w:rsid w:val="504E7436"/>
    <w:rsid w:val="504F1B5D"/>
    <w:rsid w:val="504F54ED"/>
    <w:rsid w:val="505226DD"/>
    <w:rsid w:val="50523C9A"/>
    <w:rsid w:val="50540526"/>
    <w:rsid w:val="505428F9"/>
    <w:rsid w:val="505465F1"/>
    <w:rsid w:val="50560B51"/>
    <w:rsid w:val="50570D86"/>
    <w:rsid w:val="50597F0F"/>
    <w:rsid w:val="505A11B1"/>
    <w:rsid w:val="505F0E17"/>
    <w:rsid w:val="50615016"/>
    <w:rsid w:val="50616DC4"/>
    <w:rsid w:val="50630D8E"/>
    <w:rsid w:val="50632B3C"/>
    <w:rsid w:val="506568B4"/>
    <w:rsid w:val="50667978"/>
    <w:rsid w:val="50670FCE"/>
    <w:rsid w:val="5067133A"/>
    <w:rsid w:val="506757C9"/>
    <w:rsid w:val="50687B4B"/>
    <w:rsid w:val="5069597D"/>
    <w:rsid w:val="50697A27"/>
    <w:rsid w:val="506A6A8B"/>
    <w:rsid w:val="506B1E14"/>
    <w:rsid w:val="506D077B"/>
    <w:rsid w:val="506F0F47"/>
    <w:rsid w:val="506F63E4"/>
    <w:rsid w:val="50731C44"/>
    <w:rsid w:val="507349E0"/>
    <w:rsid w:val="50736514"/>
    <w:rsid w:val="5075461D"/>
    <w:rsid w:val="50761340"/>
    <w:rsid w:val="50762272"/>
    <w:rsid w:val="50770FD1"/>
    <w:rsid w:val="50792360"/>
    <w:rsid w:val="507978FB"/>
    <w:rsid w:val="507B2A86"/>
    <w:rsid w:val="507E34D2"/>
    <w:rsid w:val="50827466"/>
    <w:rsid w:val="50836D3A"/>
    <w:rsid w:val="5087673B"/>
    <w:rsid w:val="508A4454"/>
    <w:rsid w:val="508A631B"/>
    <w:rsid w:val="508B3E41"/>
    <w:rsid w:val="508B51DE"/>
    <w:rsid w:val="508C26B5"/>
    <w:rsid w:val="508F1B83"/>
    <w:rsid w:val="508F782C"/>
    <w:rsid w:val="509133CF"/>
    <w:rsid w:val="509216C9"/>
    <w:rsid w:val="509251CF"/>
    <w:rsid w:val="50937738"/>
    <w:rsid w:val="50946A56"/>
    <w:rsid w:val="50947199"/>
    <w:rsid w:val="50972065"/>
    <w:rsid w:val="50992F99"/>
    <w:rsid w:val="50994EE8"/>
    <w:rsid w:val="50995EDC"/>
    <w:rsid w:val="509A4783"/>
    <w:rsid w:val="509C1BAA"/>
    <w:rsid w:val="509F03AC"/>
    <w:rsid w:val="50A00F4B"/>
    <w:rsid w:val="50A12196"/>
    <w:rsid w:val="50A301BF"/>
    <w:rsid w:val="50A5584E"/>
    <w:rsid w:val="50A815FE"/>
    <w:rsid w:val="50A82971"/>
    <w:rsid w:val="50A90A48"/>
    <w:rsid w:val="50A9586A"/>
    <w:rsid w:val="50AA7C6B"/>
    <w:rsid w:val="50AF1034"/>
    <w:rsid w:val="50B110BA"/>
    <w:rsid w:val="50B13A11"/>
    <w:rsid w:val="50B145A9"/>
    <w:rsid w:val="50B52772"/>
    <w:rsid w:val="50B60EBE"/>
    <w:rsid w:val="50B74101"/>
    <w:rsid w:val="50B7631C"/>
    <w:rsid w:val="50B769E4"/>
    <w:rsid w:val="50BB2978"/>
    <w:rsid w:val="50BB7A74"/>
    <w:rsid w:val="50BC3FFA"/>
    <w:rsid w:val="50BD049E"/>
    <w:rsid w:val="50BD0B5D"/>
    <w:rsid w:val="50BF357C"/>
    <w:rsid w:val="50BF6559"/>
    <w:rsid w:val="50C43019"/>
    <w:rsid w:val="50CC697A"/>
    <w:rsid w:val="50CF3D2E"/>
    <w:rsid w:val="50D47596"/>
    <w:rsid w:val="50D531EC"/>
    <w:rsid w:val="50D637EF"/>
    <w:rsid w:val="50D67A0A"/>
    <w:rsid w:val="50D86F9C"/>
    <w:rsid w:val="50DB5511"/>
    <w:rsid w:val="50DC6683"/>
    <w:rsid w:val="50DD1D25"/>
    <w:rsid w:val="50DF1E02"/>
    <w:rsid w:val="50DF3BF4"/>
    <w:rsid w:val="50E03FB6"/>
    <w:rsid w:val="50E1523E"/>
    <w:rsid w:val="50E33C7D"/>
    <w:rsid w:val="50E579F5"/>
    <w:rsid w:val="50E64171"/>
    <w:rsid w:val="50E772C9"/>
    <w:rsid w:val="50E84DEF"/>
    <w:rsid w:val="50E865D1"/>
    <w:rsid w:val="50EA0DF5"/>
    <w:rsid w:val="50EA5EA6"/>
    <w:rsid w:val="50EA7158"/>
    <w:rsid w:val="50EB7E6D"/>
    <w:rsid w:val="50ED0658"/>
    <w:rsid w:val="50ED094E"/>
    <w:rsid w:val="50EF6094"/>
    <w:rsid w:val="50F13EE0"/>
    <w:rsid w:val="50F2091C"/>
    <w:rsid w:val="50F639B0"/>
    <w:rsid w:val="50F73284"/>
    <w:rsid w:val="50F87728"/>
    <w:rsid w:val="50FB0FC7"/>
    <w:rsid w:val="5102447C"/>
    <w:rsid w:val="510250DA"/>
    <w:rsid w:val="510330F7"/>
    <w:rsid w:val="51052624"/>
    <w:rsid w:val="51067F55"/>
    <w:rsid w:val="51082D12"/>
    <w:rsid w:val="510C6D30"/>
    <w:rsid w:val="510F2A0C"/>
    <w:rsid w:val="510F4A72"/>
    <w:rsid w:val="511107EA"/>
    <w:rsid w:val="511126A2"/>
    <w:rsid w:val="51134562"/>
    <w:rsid w:val="51134CE1"/>
    <w:rsid w:val="51153BA7"/>
    <w:rsid w:val="51154BFB"/>
    <w:rsid w:val="5116195C"/>
    <w:rsid w:val="511625FC"/>
    <w:rsid w:val="51166F3E"/>
    <w:rsid w:val="51176AC6"/>
    <w:rsid w:val="51184F8B"/>
    <w:rsid w:val="5119769F"/>
    <w:rsid w:val="511A58F1"/>
    <w:rsid w:val="511C62D0"/>
    <w:rsid w:val="511D0F3D"/>
    <w:rsid w:val="511F61A8"/>
    <w:rsid w:val="51221DE9"/>
    <w:rsid w:val="51225DEE"/>
    <w:rsid w:val="512336EF"/>
    <w:rsid w:val="512469A0"/>
    <w:rsid w:val="51255BEA"/>
    <w:rsid w:val="51264C98"/>
    <w:rsid w:val="51275918"/>
    <w:rsid w:val="512A5408"/>
    <w:rsid w:val="512D78F5"/>
    <w:rsid w:val="512E314A"/>
    <w:rsid w:val="512F1E1F"/>
    <w:rsid w:val="512F294A"/>
    <w:rsid w:val="512F3EF9"/>
    <w:rsid w:val="512F6EC2"/>
    <w:rsid w:val="512F7CF0"/>
    <w:rsid w:val="51303345"/>
    <w:rsid w:val="5133069D"/>
    <w:rsid w:val="51340035"/>
    <w:rsid w:val="51361FFF"/>
    <w:rsid w:val="51380460"/>
    <w:rsid w:val="51386829"/>
    <w:rsid w:val="513B0F0A"/>
    <w:rsid w:val="513B13C3"/>
    <w:rsid w:val="513D1933"/>
    <w:rsid w:val="513D221D"/>
    <w:rsid w:val="51402E7D"/>
    <w:rsid w:val="514364CA"/>
    <w:rsid w:val="514527E1"/>
    <w:rsid w:val="51472C15"/>
    <w:rsid w:val="51481364"/>
    <w:rsid w:val="514A408D"/>
    <w:rsid w:val="514C3EA9"/>
    <w:rsid w:val="514C49FC"/>
    <w:rsid w:val="514C6741"/>
    <w:rsid w:val="514E0864"/>
    <w:rsid w:val="5153495F"/>
    <w:rsid w:val="5153580B"/>
    <w:rsid w:val="5153670D"/>
    <w:rsid w:val="51537E33"/>
    <w:rsid w:val="5155020A"/>
    <w:rsid w:val="51556929"/>
    <w:rsid w:val="51570FF3"/>
    <w:rsid w:val="51584538"/>
    <w:rsid w:val="51586419"/>
    <w:rsid w:val="51595086"/>
    <w:rsid w:val="515A3F3F"/>
    <w:rsid w:val="515A5923"/>
    <w:rsid w:val="515B7CB7"/>
    <w:rsid w:val="515D3A2F"/>
    <w:rsid w:val="515E23C7"/>
    <w:rsid w:val="515F62D3"/>
    <w:rsid w:val="51621655"/>
    <w:rsid w:val="516232F9"/>
    <w:rsid w:val="51625545"/>
    <w:rsid w:val="51626918"/>
    <w:rsid w:val="51671682"/>
    <w:rsid w:val="5167665C"/>
    <w:rsid w:val="516947B0"/>
    <w:rsid w:val="516B5D29"/>
    <w:rsid w:val="516D2732"/>
    <w:rsid w:val="516E62F9"/>
    <w:rsid w:val="516F21B0"/>
    <w:rsid w:val="517012C9"/>
    <w:rsid w:val="51702986"/>
    <w:rsid w:val="51704EFA"/>
    <w:rsid w:val="5172503A"/>
    <w:rsid w:val="517368AD"/>
    <w:rsid w:val="51754B1B"/>
    <w:rsid w:val="51756E5D"/>
    <w:rsid w:val="517575D7"/>
    <w:rsid w:val="517639BB"/>
    <w:rsid w:val="51766B16"/>
    <w:rsid w:val="51782617"/>
    <w:rsid w:val="51786EDE"/>
    <w:rsid w:val="517A08C8"/>
    <w:rsid w:val="517B639D"/>
    <w:rsid w:val="517C5B1F"/>
    <w:rsid w:val="517D2E0A"/>
    <w:rsid w:val="5181138F"/>
    <w:rsid w:val="51825244"/>
    <w:rsid w:val="518278CF"/>
    <w:rsid w:val="51850890"/>
    <w:rsid w:val="5187285A"/>
    <w:rsid w:val="51875A23"/>
    <w:rsid w:val="518816A1"/>
    <w:rsid w:val="518862DE"/>
    <w:rsid w:val="518A32C1"/>
    <w:rsid w:val="518A40F8"/>
    <w:rsid w:val="518A7817"/>
    <w:rsid w:val="518B19A9"/>
    <w:rsid w:val="519059F2"/>
    <w:rsid w:val="51905BB3"/>
    <w:rsid w:val="51907133"/>
    <w:rsid w:val="519108A5"/>
    <w:rsid w:val="51925198"/>
    <w:rsid w:val="519311FF"/>
    <w:rsid w:val="519555A0"/>
    <w:rsid w:val="51956DF0"/>
    <w:rsid w:val="519805C3"/>
    <w:rsid w:val="519A0DF5"/>
    <w:rsid w:val="519A6E4B"/>
    <w:rsid w:val="519C236E"/>
    <w:rsid w:val="519D0BD2"/>
    <w:rsid w:val="51A0548F"/>
    <w:rsid w:val="51A054E7"/>
    <w:rsid w:val="51A27694"/>
    <w:rsid w:val="51A753BA"/>
    <w:rsid w:val="51A76123"/>
    <w:rsid w:val="51AB3D3B"/>
    <w:rsid w:val="51AB479B"/>
    <w:rsid w:val="51AB50F9"/>
    <w:rsid w:val="51AD364F"/>
    <w:rsid w:val="51AD5BE2"/>
    <w:rsid w:val="51B03B5F"/>
    <w:rsid w:val="51B15B17"/>
    <w:rsid w:val="51B24883"/>
    <w:rsid w:val="51B24EFA"/>
    <w:rsid w:val="51B26AC0"/>
    <w:rsid w:val="51B318A1"/>
    <w:rsid w:val="51B3364F"/>
    <w:rsid w:val="51B50826"/>
    <w:rsid w:val="51B64EEE"/>
    <w:rsid w:val="51B80C66"/>
    <w:rsid w:val="51B92570"/>
    <w:rsid w:val="51BB2504"/>
    <w:rsid w:val="51BC0756"/>
    <w:rsid w:val="51BC132E"/>
    <w:rsid w:val="51BC3A87"/>
    <w:rsid w:val="51BD44CE"/>
    <w:rsid w:val="51C27D36"/>
    <w:rsid w:val="51C518B1"/>
    <w:rsid w:val="51C60CCD"/>
    <w:rsid w:val="51C615D4"/>
    <w:rsid w:val="51C63F5B"/>
    <w:rsid w:val="51CA417C"/>
    <w:rsid w:val="51CB0999"/>
    <w:rsid w:val="51CC5E14"/>
    <w:rsid w:val="51CC64BF"/>
    <w:rsid w:val="51CC67FF"/>
    <w:rsid w:val="51CE7A41"/>
    <w:rsid w:val="51D007D0"/>
    <w:rsid w:val="51D13AD5"/>
    <w:rsid w:val="51D17CB1"/>
    <w:rsid w:val="51D25A64"/>
    <w:rsid w:val="51D32F47"/>
    <w:rsid w:val="51D50DD6"/>
    <w:rsid w:val="51D72D57"/>
    <w:rsid w:val="51DA0BDC"/>
    <w:rsid w:val="51DA6E2E"/>
    <w:rsid w:val="51DD5BE3"/>
    <w:rsid w:val="51E101BC"/>
    <w:rsid w:val="51E11AEF"/>
    <w:rsid w:val="51E12A1E"/>
    <w:rsid w:val="51E157E3"/>
    <w:rsid w:val="51E1640E"/>
    <w:rsid w:val="51E23F34"/>
    <w:rsid w:val="51E27A91"/>
    <w:rsid w:val="51E41A5B"/>
    <w:rsid w:val="51E60623"/>
    <w:rsid w:val="51E71B9C"/>
    <w:rsid w:val="51E82AF5"/>
    <w:rsid w:val="51E873FF"/>
    <w:rsid w:val="51E87DBA"/>
    <w:rsid w:val="51E93115"/>
    <w:rsid w:val="51E97071"/>
    <w:rsid w:val="51EB2652"/>
    <w:rsid w:val="51EE333E"/>
    <w:rsid w:val="51EE4687"/>
    <w:rsid w:val="51EF0FDE"/>
    <w:rsid w:val="51EF7B88"/>
    <w:rsid w:val="51F06CD1"/>
    <w:rsid w:val="51F223CA"/>
    <w:rsid w:val="51F2795F"/>
    <w:rsid w:val="51F577C4"/>
    <w:rsid w:val="51F61E88"/>
    <w:rsid w:val="51F64E66"/>
    <w:rsid w:val="51F71C5E"/>
    <w:rsid w:val="51F80C00"/>
    <w:rsid w:val="51F840C2"/>
    <w:rsid w:val="51F8415C"/>
    <w:rsid w:val="51FC6DA4"/>
    <w:rsid w:val="52002AEE"/>
    <w:rsid w:val="5201260D"/>
    <w:rsid w:val="520143BB"/>
    <w:rsid w:val="52021EE1"/>
    <w:rsid w:val="52027F76"/>
    <w:rsid w:val="52034C48"/>
    <w:rsid w:val="52036385"/>
    <w:rsid w:val="5204425C"/>
    <w:rsid w:val="5204764B"/>
    <w:rsid w:val="520806F5"/>
    <w:rsid w:val="52081B54"/>
    <w:rsid w:val="52083968"/>
    <w:rsid w:val="520A62A5"/>
    <w:rsid w:val="520B348B"/>
    <w:rsid w:val="520E2E26"/>
    <w:rsid w:val="521045FE"/>
    <w:rsid w:val="52122527"/>
    <w:rsid w:val="52125164"/>
    <w:rsid w:val="52127220"/>
    <w:rsid w:val="52140592"/>
    <w:rsid w:val="52146C98"/>
    <w:rsid w:val="521560B8"/>
    <w:rsid w:val="52160010"/>
    <w:rsid w:val="521603F6"/>
    <w:rsid w:val="52181704"/>
    <w:rsid w:val="52186B91"/>
    <w:rsid w:val="521A4AD1"/>
    <w:rsid w:val="521A5985"/>
    <w:rsid w:val="521C1A24"/>
    <w:rsid w:val="521C7995"/>
    <w:rsid w:val="521D1B28"/>
    <w:rsid w:val="521D4930"/>
    <w:rsid w:val="521D4F6D"/>
    <w:rsid w:val="521D6D1B"/>
    <w:rsid w:val="521F31D6"/>
    <w:rsid w:val="52201EBE"/>
    <w:rsid w:val="5221674A"/>
    <w:rsid w:val="52227D85"/>
    <w:rsid w:val="5224254B"/>
    <w:rsid w:val="5224454D"/>
    <w:rsid w:val="5226253D"/>
    <w:rsid w:val="52263573"/>
    <w:rsid w:val="52287B99"/>
    <w:rsid w:val="522A03DB"/>
    <w:rsid w:val="522B58DB"/>
    <w:rsid w:val="522B768A"/>
    <w:rsid w:val="522C1726"/>
    <w:rsid w:val="522E404A"/>
    <w:rsid w:val="523209F0"/>
    <w:rsid w:val="52344790"/>
    <w:rsid w:val="52362E00"/>
    <w:rsid w:val="523636A7"/>
    <w:rsid w:val="52366371"/>
    <w:rsid w:val="5237325D"/>
    <w:rsid w:val="5238027C"/>
    <w:rsid w:val="52397FF8"/>
    <w:rsid w:val="523A0EA1"/>
    <w:rsid w:val="523A3451"/>
    <w:rsid w:val="523A5390"/>
    <w:rsid w:val="523B1BD6"/>
    <w:rsid w:val="523C3645"/>
    <w:rsid w:val="523D0094"/>
    <w:rsid w:val="523E5BC1"/>
    <w:rsid w:val="523F1387"/>
    <w:rsid w:val="52410C5B"/>
    <w:rsid w:val="52422169"/>
    <w:rsid w:val="5246559A"/>
    <w:rsid w:val="52497B10"/>
    <w:rsid w:val="524A2826"/>
    <w:rsid w:val="524A4A92"/>
    <w:rsid w:val="524C5999"/>
    <w:rsid w:val="524C6749"/>
    <w:rsid w:val="524D7600"/>
    <w:rsid w:val="52505342"/>
    <w:rsid w:val="5253273C"/>
    <w:rsid w:val="52534CE5"/>
    <w:rsid w:val="52546BE0"/>
    <w:rsid w:val="52556A4B"/>
    <w:rsid w:val="52565B49"/>
    <w:rsid w:val="525C3D4D"/>
    <w:rsid w:val="525E35BB"/>
    <w:rsid w:val="52623FC3"/>
    <w:rsid w:val="52632320"/>
    <w:rsid w:val="5263418F"/>
    <w:rsid w:val="526479F4"/>
    <w:rsid w:val="5265216E"/>
    <w:rsid w:val="5265391D"/>
    <w:rsid w:val="52660640"/>
    <w:rsid w:val="52674B02"/>
    <w:rsid w:val="526A01B2"/>
    <w:rsid w:val="526C1D2F"/>
    <w:rsid w:val="526F0D33"/>
    <w:rsid w:val="52703653"/>
    <w:rsid w:val="52727F85"/>
    <w:rsid w:val="52741030"/>
    <w:rsid w:val="52742DDF"/>
    <w:rsid w:val="5274629A"/>
    <w:rsid w:val="52770B21"/>
    <w:rsid w:val="527B11CD"/>
    <w:rsid w:val="527C3FF3"/>
    <w:rsid w:val="527E0410"/>
    <w:rsid w:val="527E3C5D"/>
    <w:rsid w:val="52804F8B"/>
    <w:rsid w:val="528079D5"/>
    <w:rsid w:val="52821C26"/>
    <w:rsid w:val="5282603C"/>
    <w:rsid w:val="52826E4F"/>
    <w:rsid w:val="528374C6"/>
    <w:rsid w:val="52850F60"/>
    <w:rsid w:val="52862B12"/>
    <w:rsid w:val="52866F81"/>
    <w:rsid w:val="5287044A"/>
    <w:rsid w:val="52871549"/>
    <w:rsid w:val="5288688A"/>
    <w:rsid w:val="528943B0"/>
    <w:rsid w:val="528977FA"/>
    <w:rsid w:val="528A0854"/>
    <w:rsid w:val="528A2602"/>
    <w:rsid w:val="528E55E3"/>
    <w:rsid w:val="528F1931"/>
    <w:rsid w:val="52900F78"/>
    <w:rsid w:val="52902C3D"/>
    <w:rsid w:val="529045B2"/>
    <w:rsid w:val="52904D0E"/>
    <w:rsid w:val="52972C9C"/>
    <w:rsid w:val="52972D88"/>
    <w:rsid w:val="52976ACD"/>
    <w:rsid w:val="52992845"/>
    <w:rsid w:val="529945F3"/>
    <w:rsid w:val="529A036B"/>
    <w:rsid w:val="529A383C"/>
    <w:rsid w:val="529E039B"/>
    <w:rsid w:val="529E60AD"/>
    <w:rsid w:val="529F2C8A"/>
    <w:rsid w:val="529F2E40"/>
    <w:rsid w:val="529F5B1C"/>
    <w:rsid w:val="529F7052"/>
    <w:rsid w:val="52A03BD4"/>
    <w:rsid w:val="52A1495F"/>
    <w:rsid w:val="52A21FBF"/>
    <w:rsid w:val="52A262D4"/>
    <w:rsid w:val="52A336C4"/>
    <w:rsid w:val="52A37C23"/>
    <w:rsid w:val="52A5743C"/>
    <w:rsid w:val="52A57E70"/>
    <w:rsid w:val="52A822B5"/>
    <w:rsid w:val="52A82BE3"/>
    <w:rsid w:val="52AB2578"/>
    <w:rsid w:val="52AC1B74"/>
    <w:rsid w:val="52B06989"/>
    <w:rsid w:val="52B23907"/>
    <w:rsid w:val="52B401C5"/>
    <w:rsid w:val="52B551A5"/>
    <w:rsid w:val="52B73E07"/>
    <w:rsid w:val="52B753C1"/>
    <w:rsid w:val="52B7608C"/>
    <w:rsid w:val="52B81E12"/>
    <w:rsid w:val="52B92EE7"/>
    <w:rsid w:val="52BA75FF"/>
    <w:rsid w:val="52BB204D"/>
    <w:rsid w:val="52BB6FDE"/>
    <w:rsid w:val="52BE04FE"/>
    <w:rsid w:val="52C06024"/>
    <w:rsid w:val="52C15887"/>
    <w:rsid w:val="52C1636B"/>
    <w:rsid w:val="52C222A5"/>
    <w:rsid w:val="52C36A6C"/>
    <w:rsid w:val="52C378C2"/>
    <w:rsid w:val="52C42167"/>
    <w:rsid w:val="52C678C7"/>
    <w:rsid w:val="52C8312A"/>
    <w:rsid w:val="52C85835"/>
    <w:rsid w:val="52C97A4D"/>
    <w:rsid w:val="52CA29FF"/>
    <w:rsid w:val="52CC1B65"/>
    <w:rsid w:val="52CD28C8"/>
    <w:rsid w:val="52CD6993"/>
    <w:rsid w:val="52CE1FB4"/>
    <w:rsid w:val="52CF2DA2"/>
    <w:rsid w:val="52CF6267"/>
    <w:rsid w:val="52D15D94"/>
    <w:rsid w:val="52D1775A"/>
    <w:rsid w:val="52D2129F"/>
    <w:rsid w:val="52D615E9"/>
    <w:rsid w:val="52D7511B"/>
    <w:rsid w:val="52D9328A"/>
    <w:rsid w:val="52DC0984"/>
    <w:rsid w:val="52DE1C23"/>
    <w:rsid w:val="52DE46FC"/>
    <w:rsid w:val="52E02222"/>
    <w:rsid w:val="52E332B3"/>
    <w:rsid w:val="52E361B6"/>
    <w:rsid w:val="52E617B5"/>
    <w:rsid w:val="52E62CD8"/>
    <w:rsid w:val="52E678FD"/>
    <w:rsid w:val="52E70525"/>
    <w:rsid w:val="52E74EC7"/>
    <w:rsid w:val="52E8557B"/>
    <w:rsid w:val="52E86626"/>
    <w:rsid w:val="52E87329"/>
    <w:rsid w:val="52E9540A"/>
    <w:rsid w:val="52E977E7"/>
    <w:rsid w:val="52EA0C85"/>
    <w:rsid w:val="52EA1199"/>
    <w:rsid w:val="52ED493F"/>
    <w:rsid w:val="52EE0C20"/>
    <w:rsid w:val="52EE1C4E"/>
    <w:rsid w:val="52EE4E83"/>
    <w:rsid w:val="52EF6909"/>
    <w:rsid w:val="52F04997"/>
    <w:rsid w:val="52F16A71"/>
    <w:rsid w:val="52F361D0"/>
    <w:rsid w:val="52F92BFA"/>
    <w:rsid w:val="52FA62B1"/>
    <w:rsid w:val="52FB1BFC"/>
    <w:rsid w:val="52FB3500"/>
    <w:rsid w:val="52FB59B8"/>
    <w:rsid w:val="52FF2582"/>
    <w:rsid w:val="530748AB"/>
    <w:rsid w:val="53075C2D"/>
    <w:rsid w:val="53081779"/>
    <w:rsid w:val="53087C98"/>
    <w:rsid w:val="530A6477"/>
    <w:rsid w:val="530B5CD4"/>
    <w:rsid w:val="530C4AB9"/>
    <w:rsid w:val="530D43C3"/>
    <w:rsid w:val="530F0D59"/>
    <w:rsid w:val="530F2B07"/>
    <w:rsid w:val="53101A23"/>
    <w:rsid w:val="53101D87"/>
    <w:rsid w:val="53106871"/>
    <w:rsid w:val="531159A5"/>
    <w:rsid w:val="5316079B"/>
    <w:rsid w:val="53165C44"/>
    <w:rsid w:val="5318204F"/>
    <w:rsid w:val="53186CB2"/>
    <w:rsid w:val="53191BA9"/>
    <w:rsid w:val="53193986"/>
    <w:rsid w:val="531A366F"/>
    <w:rsid w:val="531C7F7E"/>
    <w:rsid w:val="531E71EE"/>
    <w:rsid w:val="531F2930"/>
    <w:rsid w:val="53217ECD"/>
    <w:rsid w:val="53220A8C"/>
    <w:rsid w:val="532258DD"/>
    <w:rsid w:val="53230361"/>
    <w:rsid w:val="53234805"/>
    <w:rsid w:val="5326466C"/>
    <w:rsid w:val="53272FC0"/>
    <w:rsid w:val="532742F5"/>
    <w:rsid w:val="532857A5"/>
    <w:rsid w:val="532A0CDB"/>
    <w:rsid w:val="532A5172"/>
    <w:rsid w:val="532C53C6"/>
    <w:rsid w:val="532C6DCC"/>
    <w:rsid w:val="533113DD"/>
    <w:rsid w:val="533125AA"/>
    <w:rsid w:val="53347FB0"/>
    <w:rsid w:val="5338205E"/>
    <w:rsid w:val="53385317"/>
    <w:rsid w:val="53397B84"/>
    <w:rsid w:val="533B19FC"/>
    <w:rsid w:val="533B1C60"/>
    <w:rsid w:val="533B2CB2"/>
    <w:rsid w:val="533E37CE"/>
    <w:rsid w:val="533F1F43"/>
    <w:rsid w:val="533F7217"/>
    <w:rsid w:val="53433614"/>
    <w:rsid w:val="534529CD"/>
    <w:rsid w:val="53461A8A"/>
    <w:rsid w:val="534670EA"/>
    <w:rsid w:val="53473A1B"/>
    <w:rsid w:val="53487DC7"/>
    <w:rsid w:val="534C7AEF"/>
    <w:rsid w:val="534D1C19"/>
    <w:rsid w:val="534D3933"/>
    <w:rsid w:val="534F1156"/>
    <w:rsid w:val="53503344"/>
    <w:rsid w:val="535106AE"/>
    <w:rsid w:val="53513120"/>
    <w:rsid w:val="53514250"/>
    <w:rsid w:val="53560736"/>
    <w:rsid w:val="53567F17"/>
    <w:rsid w:val="53585A2C"/>
    <w:rsid w:val="535A647D"/>
    <w:rsid w:val="535B4061"/>
    <w:rsid w:val="535E75EB"/>
    <w:rsid w:val="535F3A8F"/>
    <w:rsid w:val="536226E2"/>
    <w:rsid w:val="536270DB"/>
    <w:rsid w:val="53627934"/>
    <w:rsid w:val="536410A5"/>
    <w:rsid w:val="53642E53"/>
    <w:rsid w:val="53650979"/>
    <w:rsid w:val="536535D1"/>
    <w:rsid w:val="536746F1"/>
    <w:rsid w:val="53676A60"/>
    <w:rsid w:val="5369498A"/>
    <w:rsid w:val="536961B3"/>
    <w:rsid w:val="536D0D7A"/>
    <w:rsid w:val="536E5081"/>
    <w:rsid w:val="536F016D"/>
    <w:rsid w:val="536F71A0"/>
    <w:rsid w:val="536F7A4A"/>
    <w:rsid w:val="5370152E"/>
    <w:rsid w:val="537137C2"/>
    <w:rsid w:val="53730441"/>
    <w:rsid w:val="53777366"/>
    <w:rsid w:val="537868DB"/>
    <w:rsid w:val="537868FE"/>
    <w:rsid w:val="537A2677"/>
    <w:rsid w:val="53821C2D"/>
    <w:rsid w:val="5385101B"/>
    <w:rsid w:val="53865EB2"/>
    <w:rsid w:val="53895CC2"/>
    <w:rsid w:val="538A6632"/>
    <w:rsid w:val="538C0077"/>
    <w:rsid w:val="538F062A"/>
    <w:rsid w:val="538F1D7F"/>
    <w:rsid w:val="5391176E"/>
    <w:rsid w:val="53922362"/>
    <w:rsid w:val="53933738"/>
    <w:rsid w:val="539354E6"/>
    <w:rsid w:val="539405A1"/>
    <w:rsid w:val="5395028A"/>
    <w:rsid w:val="53950B60"/>
    <w:rsid w:val="53966D85"/>
    <w:rsid w:val="539829B2"/>
    <w:rsid w:val="5398497A"/>
    <w:rsid w:val="539A4AC7"/>
    <w:rsid w:val="539B6B27"/>
    <w:rsid w:val="539B6DF6"/>
    <w:rsid w:val="539C17B5"/>
    <w:rsid w:val="539C4AC8"/>
    <w:rsid w:val="539D0113"/>
    <w:rsid w:val="539D6365"/>
    <w:rsid w:val="539E43F5"/>
    <w:rsid w:val="539F74A6"/>
    <w:rsid w:val="53A13825"/>
    <w:rsid w:val="53A25729"/>
    <w:rsid w:val="53A35D07"/>
    <w:rsid w:val="53A771E4"/>
    <w:rsid w:val="53A83B6F"/>
    <w:rsid w:val="53AA4EC8"/>
    <w:rsid w:val="53AE40CE"/>
    <w:rsid w:val="53AF678D"/>
    <w:rsid w:val="53B013F4"/>
    <w:rsid w:val="53B073CD"/>
    <w:rsid w:val="53B146EE"/>
    <w:rsid w:val="53B449A8"/>
    <w:rsid w:val="53B64811"/>
    <w:rsid w:val="53B7245B"/>
    <w:rsid w:val="53BC2E44"/>
    <w:rsid w:val="53BD2563"/>
    <w:rsid w:val="53BE1E57"/>
    <w:rsid w:val="53C05963"/>
    <w:rsid w:val="53C102A5"/>
    <w:rsid w:val="53C27B7A"/>
    <w:rsid w:val="53C358B3"/>
    <w:rsid w:val="53C51418"/>
    <w:rsid w:val="53C65075"/>
    <w:rsid w:val="53C658BC"/>
    <w:rsid w:val="53C77F57"/>
    <w:rsid w:val="53CA4C80"/>
    <w:rsid w:val="53CB62C5"/>
    <w:rsid w:val="53CC09F8"/>
    <w:rsid w:val="53D004C1"/>
    <w:rsid w:val="53D05F7C"/>
    <w:rsid w:val="53D11CA9"/>
    <w:rsid w:val="53D14261"/>
    <w:rsid w:val="53D33B35"/>
    <w:rsid w:val="53D37FD9"/>
    <w:rsid w:val="53D63625"/>
    <w:rsid w:val="53D72519"/>
    <w:rsid w:val="53D900DF"/>
    <w:rsid w:val="53DA4EC3"/>
    <w:rsid w:val="53DB783C"/>
    <w:rsid w:val="53DF64A4"/>
    <w:rsid w:val="53E04DBD"/>
    <w:rsid w:val="53E051BF"/>
    <w:rsid w:val="53E30B72"/>
    <w:rsid w:val="53E330FC"/>
    <w:rsid w:val="53E534E0"/>
    <w:rsid w:val="53E67D0C"/>
    <w:rsid w:val="53E82F40"/>
    <w:rsid w:val="53EA1462"/>
    <w:rsid w:val="53EB70D0"/>
    <w:rsid w:val="53EC118B"/>
    <w:rsid w:val="53EC2678"/>
    <w:rsid w:val="53EC2E48"/>
    <w:rsid w:val="53EE6BC1"/>
    <w:rsid w:val="53F008AC"/>
    <w:rsid w:val="53F02939"/>
    <w:rsid w:val="53F17904"/>
    <w:rsid w:val="53F22187"/>
    <w:rsid w:val="53F266B1"/>
    <w:rsid w:val="53F35AE4"/>
    <w:rsid w:val="53F47096"/>
    <w:rsid w:val="53F6144D"/>
    <w:rsid w:val="53F86A2E"/>
    <w:rsid w:val="53F97408"/>
    <w:rsid w:val="53FA7313"/>
    <w:rsid w:val="53FB1159"/>
    <w:rsid w:val="53FD63D0"/>
    <w:rsid w:val="53FE57C8"/>
    <w:rsid w:val="53FF6F56"/>
    <w:rsid w:val="540438A7"/>
    <w:rsid w:val="54054DA3"/>
    <w:rsid w:val="54055EB7"/>
    <w:rsid w:val="5406215C"/>
    <w:rsid w:val="540704C1"/>
    <w:rsid w:val="5407318C"/>
    <w:rsid w:val="540746A4"/>
    <w:rsid w:val="540A4CC2"/>
    <w:rsid w:val="540C39F4"/>
    <w:rsid w:val="540C7047"/>
    <w:rsid w:val="54104D89"/>
    <w:rsid w:val="5411133B"/>
    <w:rsid w:val="54117B9F"/>
    <w:rsid w:val="54121818"/>
    <w:rsid w:val="54124769"/>
    <w:rsid w:val="54132D19"/>
    <w:rsid w:val="54151939"/>
    <w:rsid w:val="5417546D"/>
    <w:rsid w:val="54181F99"/>
    <w:rsid w:val="541C0D51"/>
    <w:rsid w:val="541C5466"/>
    <w:rsid w:val="541D2076"/>
    <w:rsid w:val="541D69AC"/>
    <w:rsid w:val="54205F91"/>
    <w:rsid w:val="54207D27"/>
    <w:rsid w:val="542645AC"/>
    <w:rsid w:val="54297BF9"/>
    <w:rsid w:val="542C3BE2"/>
    <w:rsid w:val="542E16B3"/>
    <w:rsid w:val="542F0FA2"/>
    <w:rsid w:val="54313AB1"/>
    <w:rsid w:val="54316AAD"/>
    <w:rsid w:val="54324CFF"/>
    <w:rsid w:val="54326A07"/>
    <w:rsid w:val="54345897"/>
    <w:rsid w:val="543547EF"/>
    <w:rsid w:val="543842E0"/>
    <w:rsid w:val="543C36E3"/>
    <w:rsid w:val="543C7743"/>
    <w:rsid w:val="543D17CB"/>
    <w:rsid w:val="543E035A"/>
    <w:rsid w:val="543E18F6"/>
    <w:rsid w:val="544023D9"/>
    <w:rsid w:val="5441014C"/>
    <w:rsid w:val="54412A09"/>
    <w:rsid w:val="54424BAE"/>
    <w:rsid w:val="54436E59"/>
    <w:rsid w:val="544405ED"/>
    <w:rsid w:val="544607AB"/>
    <w:rsid w:val="544667B3"/>
    <w:rsid w:val="5446696E"/>
    <w:rsid w:val="54484523"/>
    <w:rsid w:val="54492049"/>
    <w:rsid w:val="544B62E1"/>
    <w:rsid w:val="544C6787"/>
    <w:rsid w:val="54501629"/>
    <w:rsid w:val="54505185"/>
    <w:rsid w:val="54515FE7"/>
    <w:rsid w:val="545304B1"/>
    <w:rsid w:val="5453081C"/>
    <w:rsid w:val="545314EB"/>
    <w:rsid w:val="54556C40"/>
    <w:rsid w:val="545804DE"/>
    <w:rsid w:val="54586345"/>
    <w:rsid w:val="545C201A"/>
    <w:rsid w:val="54602B84"/>
    <w:rsid w:val="54637848"/>
    <w:rsid w:val="54640491"/>
    <w:rsid w:val="54640C31"/>
    <w:rsid w:val="546427E8"/>
    <w:rsid w:val="546450D5"/>
    <w:rsid w:val="54662920"/>
    <w:rsid w:val="546649A9"/>
    <w:rsid w:val="546B1C7C"/>
    <w:rsid w:val="546B2FE2"/>
    <w:rsid w:val="546B6463"/>
    <w:rsid w:val="546B6E57"/>
    <w:rsid w:val="546D7169"/>
    <w:rsid w:val="546E385E"/>
    <w:rsid w:val="546F1599"/>
    <w:rsid w:val="54720301"/>
    <w:rsid w:val="547249FC"/>
    <w:rsid w:val="54732BCC"/>
    <w:rsid w:val="54732FDB"/>
    <w:rsid w:val="547550F4"/>
    <w:rsid w:val="54763B1F"/>
    <w:rsid w:val="54772376"/>
    <w:rsid w:val="54774E08"/>
    <w:rsid w:val="54790B80"/>
    <w:rsid w:val="547A0454"/>
    <w:rsid w:val="54805F39"/>
    <w:rsid w:val="548155B7"/>
    <w:rsid w:val="54826D7E"/>
    <w:rsid w:val="548412D3"/>
    <w:rsid w:val="548968E9"/>
    <w:rsid w:val="548D0188"/>
    <w:rsid w:val="548D1B99"/>
    <w:rsid w:val="548D2425"/>
    <w:rsid w:val="548E3F00"/>
    <w:rsid w:val="54900FF4"/>
    <w:rsid w:val="54905ECA"/>
    <w:rsid w:val="5490662A"/>
    <w:rsid w:val="549332C4"/>
    <w:rsid w:val="5496707D"/>
    <w:rsid w:val="54992FD0"/>
    <w:rsid w:val="549A28A4"/>
    <w:rsid w:val="549A5EE9"/>
    <w:rsid w:val="549B6C4C"/>
    <w:rsid w:val="549C74BE"/>
    <w:rsid w:val="549F0C18"/>
    <w:rsid w:val="54A01A9A"/>
    <w:rsid w:val="54A11E85"/>
    <w:rsid w:val="54A23C02"/>
    <w:rsid w:val="54A3167A"/>
    <w:rsid w:val="54A43297"/>
    <w:rsid w:val="54A51975"/>
    <w:rsid w:val="54A64D37"/>
    <w:rsid w:val="54A906CA"/>
    <w:rsid w:val="54A91133"/>
    <w:rsid w:val="54AD082A"/>
    <w:rsid w:val="54AD7240"/>
    <w:rsid w:val="54AE3D80"/>
    <w:rsid w:val="54AF45A2"/>
    <w:rsid w:val="54B020C8"/>
    <w:rsid w:val="54B35714"/>
    <w:rsid w:val="54B52D8E"/>
    <w:rsid w:val="54B5510B"/>
    <w:rsid w:val="54B756AE"/>
    <w:rsid w:val="54B7671D"/>
    <w:rsid w:val="54BA4CF5"/>
    <w:rsid w:val="54BC02E9"/>
    <w:rsid w:val="54BD498D"/>
    <w:rsid w:val="54C0055D"/>
    <w:rsid w:val="54C142D5"/>
    <w:rsid w:val="54C33BA9"/>
    <w:rsid w:val="54C85664"/>
    <w:rsid w:val="54CA1526"/>
    <w:rsid w:val="54CD41CF"/>
    <w:rsid w:val="54D06254"/>
    <w:rsid w:val="54D1276A"/>
    <w:rsid w:val="54D44008"/>
    <w:rsid w:val="54D564A0"/>
    <w:rsid w:val="54DB2ADA"/>
    <w:rsid w:val="54DB5397"/>
    <w:rsid w:val="54DC0E83"/>
    <w:rsid w:val="54DD161B"/>
    <w:rsid w:val="54DD7575"/>
    <w:rsid w:val="54DE2CFD"/>
    <w:rsid w:val="54E0190C"/>
    <w:rsid w:val="54E0475B"/>
    <w:rsid w:val="54E16725"/>
    <w:rsid w:val="54E65AEA"/>
    <w:rsid w:val="54E7207A"/>
    <w:rsid w:val="54E7304B"/>
    <w:rsid w:val="54E83610"/>
    <w:rsid w:val="54E844DB"/>
    <w:rsid w:val="54E96D80"/>
    <w:rsid w:val="54EA1131"/>
    <w:rsid w:val="54EB3100"/>
    <w:rsid w:val="54EC5A2D"/>
    <w:rsid w:val="54ED50CA"/>
    <w:rsid w:val="54EE410C"/>
    <w:rsid w:val="54EE7300"/>
    <w:rsid w:val="54EF407C"/>
    <w:rsid w:val="54F202E2"/>
    <w:rsid w:val="54F2189F"/>
    <w:rsid w:val="54F259C0"/>
    <w:rsid w:val="54F31E22"/>
    <w:rsid w:val="54F32D6C"/>
    <w:rsid w:val="54F36B90"/>
    <w:rsid w:val="54F40207"/>
    <w:rsid w:val="54F41FB5"/>
    <w:rsid w:val="54F509F0"/>
    <w:rsid w:val="54F61F69"/>
    <w:rsid w:val="54F63F7F"/>
    <w:rsid w:val="54F93955"/>
    <w:rsid w:val="54F94888"/>
    <w:rsid w:val="54F95460"/>
    <w:rsid w:val="54FA6A32"/>
    <w:rsid w:val="54FB4F10"/>
    <w:rsid w:val="54FC5522"/>
    <w:rsid w:val="54FC6507"/>
    <w:rsid w:val="54FD5E03"/>
    <w:rsid w:val="54FF0217"/>
    <w:rsid w:val="5504377C"/>
    <w:rsid w:val="5507618C"/>
    <w:rsid w:val="55091542"/>
    <w:rsid w:val="550B2446"/>
    <w:rsid w:val="550B4D5E"/>
    <w:rsid w:val="550C37A2"/>
    <w:rsid w:val="550C7E08"/>
    <w:rsid w:val="550D751A"/>
    <w:rsid w:val="55124B31"/>
    <w:rsid w:val="5513114E"/>
    <w:rsid w:val="551408A9"/>
    <w:rsid w:val="55150637"/>
    <w:rsid w:val="55175F38"/>
    <w:rsid w:val="551A70AF"/>
    <w:rsid w:val="551D71B5"/>
    <w:rsid w:val="551E5398"/>
    <w:rsid w:val="552306CD"/>
    <w:rsid w:val="5523289A"/>
    <w:rsid w:val="55232D59"/>
    <w:rsid w:val="55234147"/>
    <w:rsid w:val="55234733"/>
    <w:rsid w:val="552503C0"/>
    <w:rsid w:val="55254130"/>
    <w:rsid w:val="552705DC"/>
    <w:rsid w:val="55277EAD"/>
    <w:rsid w:val="552828E6"/>
    <w:rsid w:val="55287EB0"/>
    <w:rsid w:val="552A1E7A"/>
    <w:rsid w:val="552A59D6"/>
    <w:rsid w:val="552C5BF2"/>
    <w:rsid w:val="552C79A0"/>
    <w:rsid w:val="552D350A"/>
    <w:rsid w:val="552E2913"/>
    <w:rsid w:val="552F235D"/>
    <w:rsid w:val="552F7491"/>
    <w:rsid w:val="55320D2F"/>
    <w:rsid w:val="55326187"/>
    <w:rsid w:val="553408F5"/>
    <w:rsid w:val="55344AB0"/>
    <w:rsid w:val="553736DA"/>
    <w:rsid w:val="55382D71"/>
    <w:rsid w:val="553C49CA"/>
    <w:rsid w:val="553D7E00"/>
    <w:rsid w:val="553F2B22"/>
    <w:rsid w:val="55413C56"/>
    <w:rsid w:val="55425416"/>
    <w:rsid w:val="55443CBD"/>
    <w:rsid w:val="55480552"/>
    <w:rsid w:val="554828B1"/>
    <w:rsid w:val="55486AED"/>
    <w:rsid w:val="554A7E27"/>
    <w:rsid w:val="554B1D58"/>
    <w:rsid w:val="554B1FA0"/>
    <w:rsid w:val="554D3B95"/>
    <w:rsid w:val="554D7917"/>
    <w:rsid w:val="554F368F"/>
    <w:rsid w:val="555132EC"/>
    <w:rsid w:val="55551801"/>
    <w:rsid w:val="55564A1D"/>
    <w:rsid w:val="555658CD"/>
    <w:rsid w:val="55582AEC"/>
    <w:rsid w:val="55592760"/>
    <w:rsid w:val="55592765"/>
    <w:rsid w:val="555A0DDC"/>
    <w:rsid w:val="555E54FD"/>
    <w:rsid w:val="555F6C5D"/>
    <w:rsid w:val="556171CA"/>
    <w:rsid w:val="556233C2"/>
    <w:rsid w:val="55652EB2"/>
    <w:rsid w:val="5566328E"/>
    <w:rsid w:val="55674FA4"/>
    <w:rsid w:val="5569493C"/>
    <w:rsid w:val="556B422E"/>
    <w:rsid w:val="556E2056"/>
    <w:rsid w:val="556E620B"/>
    <w:rsid w:val="556F4202"/>
    <w:rsid w:val="55703126"/>
    <w:rsid w:val="55713605"/>
    <w:rsid w:val="5572737D"/>
    <w:rsid w:val="557377AF"/>
    <w:rsid w:val="5574172C"/>
    <w:rsid w:val="55767857"/>
    <w:rsid w:val="55775BE1"/>
    <w:rsid w:val="55780C75"/>
    <w:rsid w:val="557853A1"/>
    <w:rsid w:val="557A0AE7"/>
    <w:rsid w:val="557B116B"/>
    <w:rsid w:val="557C66F9"/>
    <w:rsid w:val="557D4F00"/>
    <w:rsid w:val="55807CEC"/>
    <w:rsid w:val="55821210"/>
    <w:rsid w:val="55821CB6"/>
    <w:rsid w:val="55853555"/>
    <w:rsid w:val="55855303"/>
    <w:rsid w:val="55865DC4"/>
    <w:rsid w:val="558712BC"/>
    <w:rsid w:val="5588094F"/>
    <w:rsid w:val="55893A9F"/>
    <w:rsid w:val="558A2919"/>
    <w:rsid w:val="558D1BF8"/>
    <w:rsid w:val="558E065B"/>
    <w:rsid w:val="558E5D25"/>
    <w:rsid w:val="55904A6E"/>
    <w:rsid w:val="55913C7C"/>
    <w:rsid w:val="5592481B"/>
    <w:rsid w:val="559277A3"/>
    <w:rsid w:val="55943798"/>
    <w:rsid w:val="55951CDA"/>
    <w:rsid w:val="55955AEF"/>
    <w:rsid w:val="559847D6"/>
    <w:rsid w:val="5598523A"/>
    <w:rsid w:val="55996103"/>
    <w:rsid w:val="559A5736"/>
    <w:rsid w:val="559B0475"/>
    <w:rsid w:val="559B3CFD"/>
    <w:rsid w:val="55A03EEB"/>
    <w:rsid w:val="55A06976"/>
    <w:rsid w:val="55A106D3"/>
    <w:rsid w:val="55A25CD9"/>
    <w:rsid w:val="55A466FE"/>
    <w:rsid w:val="55A82D9F"/>
    <w:rsid w:val="55A84711"/>
    <w:rsid w:val="55A97243"/>
    <w:rsid w:val="55AA2FBB"/>
    <w:rsid w:val="55AA4D69"/>
    <w:rsid w:val="55AA58ED"/>
    <w:rsid w:val="55AB1511"/>
    <w:rsid w:val="55AC4B7D"/>
    <w:rsid w:val="55AF4167"/>
    <w:rsid w:val="55B003E1"/>
    <w:rsid w:val="55B0074C"/>
    <w:rsid w:val="55B02DDD"/>
    <w:rsid w:val="55B47996"/>
    <w:rsid w:val="55B74331"/>
    <w:rsid w:val="55B9058D"/>
    <w:rsid w:val="55B9695A"/>
    <w:rsid w:val="55BA7DEA"/>
    <w:rsid w:val="55BB0D24"/>
    <w:rsid w:val="55BB2AD2"/>
    <w:rsid w:val="55BB2B19"/>
    <w:rsid w:val="55BD0B5F"/>
    <w:rsid w:val="55BE2CD2"/>
    <w:rsid w:val="55BF0C29"/>
    <w:rsid w:val="55C37BD9"/>
    <w:rsid w:val="55C41CA5"/>
    <w:rsid w:val="55C4441C"/>
    <w:rsid w:val="55C54977"/>
    <w:rsid w:val="55C645F4"/>
    <w:rsid w:val="55C70CAD"/>
    <w:rsid w:val="55C73B6D"/>
    <w:rsid w:val="55C77919"/>
    <w:rsid w:val="55C80586"/>
    <w:rsid w:val="55C85C7B"/>
    <w:rsid w:val="55C861C7"/>
    <w:rsid w:val="55CC2E45"/>
    <w:rsid w:val="55CD1C7C"/>
    <w:rsid w:val="55CE6366"/>
    <w:rsid w:val="55CF657E"/>
    <w:rsid w:val="55D33BEB"/>
    <w:rsid w:val="55D45164"/>
    <w:rsid w:val="55D50038"/>
    <w:rsid w:val="55D549F2"/>
    <w:rsid w:val="55D97061"/>
    <w:rsid w:val="55DB1F32"/>
    <w:rsid w:val="55DD513F"/>
    <w:rsid w:val="55DD51BD"/>
    <w:rsid w:val="55DE65B2"/>
    <w:rsid w:val="55DF4A13"/>
    <w:rsid w:val="55DF6F34"/>
    <w:rsid w:val="55E262B1"/>
    <w:rsid w:val="55E27BB4"/>
    <w:rsid w:val="55E519B6"/>
    <w:rsid w:val="55E54EB7"/>
    <w:rsid w:val="55E57C4C"/>
    <w:rsid w:val="55E62245"/>
    <w:rsid w:val="55E943A6"/>
    <w:rsid w:val="55EA0DC4"/>
    <w:rsid w:val="55EA33B8"/>
    <w:rsid w:val="55EB160A"/>
    <w:rsid w:val="55EC5382"/>
    <w:rsid w:val="55F06C20"/>
    <w:rsid w:val="55F27A1D"/>
    <w:rsid w:val="55F45FE4"/>
    <w:rsid w:val="55F7664B"/>
    <w:rsid w:val="55F936B0"/>
    <w:rsid w:val="55FA184D"/>
    <w:rsid w:val="55FA7777"/>
    <w:rsid w:val="55FC44D1"/>
    <w:rsid w:val="55FD3049"/>
    <w:rsid w:val="55FE7C43"/>
    <w:rsid w:val="55FF18B1"/>
    <w:rsid w:val="56002BDB"/>
    <w:rsid w:val="56020701"/>
    <w:rsid w:val="560221AE"/>
    <w:rsid w:val="560403F4"/>
    <w:rsid w:val="56042F1D"/>
    <w:rsid w:val="56073F6A"/>
    <w:rsid w:val="56076140"/>
    <w:rsid w:val="560A63F9"/>
    <w:rsid w:val="560C2EA8"/>
    <w:rsid w:val="560E52F8"/>
    <w:rsid w:val="561074A3"/>
    <w:rsid w:val="561132CD"/>
    <w:rsid w:val="56130B60"/>
    <w:rsid w:val="56145746"/>
    <w:rsid w:val="56150435"/>
    <w:rsid w:val="56150744"/>
    <w:rsid w:val="56152420"/>
    <w:rsid w:val="56170048"/>
    <w:rsid w:val="56173C29"/>
    <w:rsid w:val="56175C35"/>
    <w:rsid w:val="56186177"/>
    <w:rsid w:val="56187F25"/>
    <w:rsid w:val="561A0928"/>
    <w:rsid w:val="561A5A4B"/>
    <w:rsid w:val="561D1AA7"/>
    <w:rsid w:val="561D378D"/>
    <w:rsid w:val="561F12B3"/>
    <w:rsid w:val="56245CD9"/>
    <w:rsid w:val="56251A55"/>
    <w:rsid w:val="56252405"/>
    <w:rsid w:val="562A3A13"/>
    <w:rsid w:val="562A4811"/>
    <w:rsid w:val="562B06B4"/>
    <w:rsid w:val="562C1C22"/>
    <w:rsid w:val="5630526E"/>
    <w:rsid w:val="5631387D"/>
    <w:rsid w:val="563230B2"/>
    <w:rsid w:val="563333D6"/>
    <w:rsid w:val="56334D5F"/>
    <w:rsid w:val="56350AD7"/>
    <w:rsid w:val="563611BE"/>
    <w:rsid w:val="56366D64"/>
    <w:rsid w:val="5637484F"/>
    <w:rsid w:val="563822B3"/>
    <w:rsid w:val="56382F4B"/>
    <w:rsid w:val="563A3C49"/>
    <w:rsid w:val="563C1E65"/>
    <w:rsid w:val="563D5BDD"/>
    <w:rsid w:val="563D798B"/>
    <w:rsid w:val="563F54B2"/>
    <w:rsid w:val="5640122A"/>
    <w:rsid w:val="56406AB8"/>
    <w:rsid w:val="564154BD"/>
    <w:rsid w:val="564175F1"/>
    <w:rsid w:val="564203FD"/>
    <w:rsid w:val="56440D1A"/>
    <w:rsid w:val="5644186E"/>
    <w:rsid w:val="56444B7E"/>
    <w:rsid w:val="5647080A"/>
    <w:rsid w:val="56472142"/>
    <w:rsid w:val="56477382"/>
    <w:rsid w:val="56480FE4"/>
    <w:rsid w:val="56491729"/>
    <w:rsid w:val="5649565D"/>
    <w:rsid w:val="564B3E56"/>
    <w:rsid w:val="564C7BCE"/>
    <w:rsid w:val="564E64E5"/>
    <w:rsid w:val="564E7DEA"/>
    <w:rsid w:val="564F2AFF"/>
    <w:rsid w:val="56501D52"/>
    <w:rsid w:val="56503404"/>
    <w:rsid w:val="56505911"/>
    <w:rsid w:val="56507FC5"/>
    <w:rsid w:val="565306E5"/>
    <w:rsid w:val="56530F5D"/>
    <w:rsid w:val="565332B6"/>
    <w:rsid w:val="56551179"/>
    <w:rsid w:val="56553E52"/>
    <w:rsid w:val="56577198"/>
    <w:rsid w:val="5658229D"/>
    <w:rsid w:val="565A22EB"/>
    <w:rsid w:val="565D2223"/>
    <w:rsid w:val="565F5B54"/>
    <w:rsid w:val="56634B4F"/>
    <w:rsid w:val="56673D56"/>
    <w:rsid w:val="566854A3"/>
    <w:rsid w:val="566974FC"/>
    <w:rsid w:val="566B5520"/>
    <w:rsid w:val="566E324B"/>
    <w:rsid w:val="566E3FE9"/>
    <w:rsid w:val="56701027"/>
    <w:rsid w:val="56706DAD"/>
    <w:rsid w:val="56713395"/>
    <w:rsid w:val="56723AD9"/>
    <w:rsid w:val="56741E63"/>
    <w:rsid w:val="56752260"/>
    <w:rsid w:val="56755377"/>
    <w:rsid w:val="56781FDD"/>
    <w:rsid w:val="567A659C"/>
    <w:rsid w:val="567B1F2B"/>
    <w:rsid w:val="567D15B1"/>
    <w:rsid w:val="567E3CD9"/>
    <w:rsid w:val="567E6878"/>
    <w:rsid w:val="567E79B3"/>
    <w:rsid w:val="567F7FA4"/>
    <w:rsid w:val="56815ACA"/>
    <w:rsid w:val="56835D9B"/>
    <w:rsid w:val="56844798"/>
    <w:rsid w:val="5685728D"/>
    <w:rsid w:val="568668CA"/>
    <w:rsid w:val="56867733"/>
    <w:rsid w:val="56872C3D"/>
    <w:rsid w:val="568B06F7"/>
    <w:rsid w:val="568B252B"/>
    <w:rsid w:val="568B4B9B"/>
    <w:rsid w:val="568D48D7"/>
    <w:rsid w:val="568E5A7A"/>
    <w:rsid w:val="568F736C"/>
    <w:rsid w:val="56900687"/>
    <w:rsid w:val="5690074F"/>
    <w:rsid w:val="56903F5F"/>
    <w:rsid w:val="56927CD7"/>
    <w:rsid w:val="56933D5E"/>
    <w:rsid w:val="56955A19"/>
    <w:rsid w:val="569872DA"/>
    <w:rsid w:val="569877C6"/>
    <w:rsid w:val="56995614"/>
    <w:rsid w:val="569A4F98"/>
    <w:rsid w:val="569C6DA8"/>
    <w:rsid w:val="569D042A"/>
    <w:rsid w:val="569D39DE"/>
    <w:rsid w:val="56A1616C"/>
    <w:rsid w:val="56A24097"/>
    <w:rsid w:val="56A249DA"/>
    <w:rsid w:val="56A2752B"/>
    <w:rsid w:val="56A30136"/>
    <w:rsid w:val="56A36B59"/>
    <w:rsid w:val="56A417B8"/>
    <w:rsid w:val="56A46172"/>
    <w:rsid w:val="56A60C81"/>
    <w:rsid w:val="56A619D5"/>
    <w:rsid w:val="56A7004F"/>
    <w:rsid w:val="56A76649"/>
    <w:rsid w:val="56A85EF4"/>
    <w:rsid w:val="56A921B3"/>
    <w:rsid w:val="56A96DCF"/>
    <w:rsid w:val="56AA0E3B"/>
    <w:rsid w:val="56AB0D99"/>
    <w:rsid w:val="56AB1439"/>
    <w:rsid w:val="56AC25F0"/>
    <w:rsid w:val="56AC391A"/>
    <w:rsid w:val="56AE7538"/>
    <w:rsid w:val="56AF7BEA"/>
    <w:rsid w:val="56B00E52"/>
    <w:rsid w:val="56B05008"/>
    <w:rsid w:val="56B26738"/>
    <w:rsid w:val="56B3615D"/>
    <w:rsid w:val="56B37C4E"/>
    <w:rsid w:val="56B539ED"/>
    <w:rsid w:val="56B55774"/>
    <w:rsid w:val="56B62346"/>
    <w:rsid w:val="56B656D9"/>
    <w:rsid w:val="56B839DA"/>
    <w:rsid w:val="56B84109"/>
    <w:rsid w:val="56B85264"/>
    <w:rsid w:val="56BA0FDC"/>
    <w:rsid w:val="56BC6B02"/>
    <w:rsid w:val="56BE55B0"/>
    <w:rsid w:val="56BE6D1E"/>
    <w:rsid w:val="56C1100E"/>
    <w:rsid w:val="56C12394"/>
    <w:rsid w:val="56C13962"/>
    <w:rsid w:val="56C22086"/>
    <w:rsid w:val="56C22337"/>
    <w:rsid w:val="56C24C57"/>
    <w:rsid w:val="56C33516"/>
    <w:rsid w:val="56C34335"/>
    <w:rsid w:val="56C365FF"/>
    <w:rsid w:val="56C536A0"/>
    <w:rsid w:val="56C540E1"/>
    <w:rsid w:val="56C65BD3"/>
    <w:rsid w:val="56C9609A"/>
    <w:rsid w:val="56CA5E49"/>
    <w:rsid w:val="56CB31E9"/>
    <w:rsid w:val="56CB68EF"/>
    <w:rsid w:val="56CC3C8A"/>
    <w:rsid w:val="56CC4F85"/>
    <w:rsid w:val="56CE6835"/>
    <w:rsid w:val="56D007FF"/>
    <w:rsid w:val="56D23B6F"/>
    <w:rsid w:val="56D23D87"/>
    <w:rsid w:val="56D24A0B"/>
    <w:rsid w:val="56D54068"/>
    <w:rsid w:val="56D60D89"/>
    <w:rsid w:val="56D670CD"/>
    <w:rsid w:val="56DC2B9C"/>
    <w:rsid w:val="56E11045"/>
    <w:rsid w:val="56E322E1"/>
    <w:rsid w:val="56E326EF"/>
    <w:rsid w:val="56E73A42"/>
    <w:rsid w:val="56E878F7"/>
    <w:rsid w:val="56E97A29"/>
    <w:rsid w:val="56EA6EE3"/>
    <w:rsid w:val="56EB5F09"/>
    <w:rsid w:val="56EB645F"/>
    <w:rsid w:val="56ED315F"/>
    <w:rsid w:val="56ED331D"/>
    <w:rsid w:val="56EE1059"/>
    <w:rsid w:val="56EE63D9"/>
    <w:rsid w:val="56F11165"/>
    <w:rsid w:val="56F2105C"/>
    <w:rsid w:val="56F52014"/>
    <w:rsid w:val="56F61952"/>
    <w:rsid w:val="56F664B8"/>
    <w:rsid w:val="56F73FDE"/>
    <w:rsid w:val="56FA24F2"/>
    <w:rsid w:val="56FD6278"/>
    <w:rsid w:val="56FE711B"/>
    <w:rsid w:val="570109B9"/>
    <w:rsid w:val="57016C0B"/>
    <w:rsid w:val="570556BE"/>
    <w:rsid w:val="57060A6B"/>
    <w:rsid w:val="57076DFB"/>
    <w:rsid w:val="570B21C1"/>
    <w:rsid w:val="570C3708"/>
    <w:rsid w:val="570F30D6"/>
    <w:rsid w:val="570F4CA8"/>
    <w:rsid w:val="57103ECE"/>
    <w:rsid w:val="57106E4E"/>
    <w:rsid w:val="57111330"/>
    <w:rsid w:val="5712706A"/>
    <w:rsid w:val="57127275"/>
    <w:rsid w:val="57137C33"/>
    <w:rsid w:val="57142DA0"/>
    <w:rsid w:val="57190A47"/>
    <w:rsid w:val="57195F83"/>
    <w:rsid w:val="571B228A"/>
    <w:rsid w:val="571F0355"/>
    <w:rsid w:val="5721105B"/>
    <w:rsid w:val="572823EA"/>
    <w:rsid w:val="572A4DAB"/>
    <w:rsid w:val="572A6162"/>
    <w:rsid w:val="572A7D44"/>
    <w:rsid w:val="572B1EDA"/>
    <w:rsid w:val="572B6B56"/>
    <w:rsid w:val="572D02C8"/>
    <w:rsid w:val="572D3E71"/>
    <w:rsid w:val="572F3778"/>
    <w:rsid w:val="57324EB7"/>
    <w:rsid w:val="573362BF"/>
    <w:rsid w:val="57364B06"/>
    <w:rsid w:val="573A1C51"/>
    <w:rsid w:val="573B2E2C"/>
    <w:rsid w:val="573C40E7"/>
    <w:rsid w:val="573D5E2C"/>
    <w:rsid w:val="5740449E"/>
    <w:rsid w:val="57437223"/>
    <w:rsid w:val="574477F0"/>
    <w:rsid w:val="5746665A"/>
    <w:rsid w:val="5748483A"/>
    <w:rsid w:val="574865E8"/>
    <w:rsid w:val="574877E1"/>
    <w:rsid w:val="574A2360"/>
    <w:rsid w:val="574A3DF9"/>
    <w:rsid w:val="574B21FD"/>
    <w:rsid w:val="574B678F"/>
    <w:rsid w:val="574B719F"/>
    <w:rsid w:val="574B7C88"/>
    <w:rsid w:val="574C432A"/>
    <w:rsid w:val="574D3BFE"/>
    <w:rsid w:val="574D4690"/>
    <w:rsid w:val="574E2F99"/>
    <w:rsid w:val="57504E2F"/>
    <w:rsid w:val="575126D3"/>
    <w:rsid w:val="575273E1"/>
    <w:rsid w:val="57537751"/>
    <w:rsid w:val="57552E22"/>
    <w:rsid w:val="575548AE"/>
    <w:rsid w:val="575556B1"/>
    <w:rsid w:val="5757215D"/>
    <w:rsid w:val="57580BF5"/>
    <w:rsid w:val="57590062"/>
    <w:rsid w:val="575907F5"/>
    <w:rsid w:val="57594971"/>
    <w:rsid w:val="575A6B72"/>
    <w:rsid w:val="575C0124"/>
    <w:rsid w:val="575C02E5"/>
    <w:rsid w:val="575C15E3"/>
    <w:rsid w:val="575C1BDA"/>
    <w:rsid w:val="575C2093"/>
    <w:rsid w:val="575D13D3"/>
    <w:rsid w:val="575D15B4"/>
    <w:rsid w:val="575D37F5"/>
    <w:rsid w:val="575E22AF"/>
    <w:rsid w:val="575E453D"/>
    <w:rsid w:val="575E7F6F"/>
    <w:rsid w:val="57607F35"/>
    <w:rsid w:val="5761079B"/>
    <w:rsid w:val="57632CB7"/>
    <w:rsid w:val="57635426"/>
    <w:rsid w:val="576378C6"/>
    <w:rsid w:val="576445AA"/>
    <w:rsid w:val="57650F48"/>
    <w:rsid w:val="5765477D"/>
    <w:rsid w:val="576663E7"/>
    <w:rsid w:val="57684EDC"/>
    <w:rsid w:val="57685FF3"/>
    <w:rsid w:val="57686183"/>
    <w:rsid w:val="576B0865"/>
    <w:rsid w:val="576B63F9"/>
    <w:rsid w:val="576C5E08"/>
    <w:rsid w:val="576F2EA7"/>
    <w:rsid w:val="57744A66"/>
    <w:rsid w:val="57745FC7"/>
    <w:rsid w:val="57776ECD"/>
    <w:rsid w:val="57792C45"/>
    <w:rsid w:val="577949F3"/>
    <w:rsid w:val="577B3F4D"/>
    <w:rsid w:val="577D0987"/>
    <w:rsid w:val="577E0031"/>
    <w:rsid w:val="577E46FF"/>
    <w:rsid w:val="577E52D7"/>
    <w:rsid w:val="577E64AD"/>
    <w:rsid w:val="57803FD4"/>
    <w:rsid w:val="578053C5"/>
    <w:rsid w:val="57805D55"/>
    <w:rsid w:val="57805D82"/>
    <w:rsid w:val="578136C4"/>
    <w:rsid w:val="57836CED"/>
    <w:rsid w:val="578411E6"/>
    <w:rsid w:val="5784175D"/>
    <w:rsid w:val="578435E0"/>
    <w:rsid w:val="578515EA"/>
    <w:rsid w:val="57874821"/>
    <w:rsid w:val="57875362"/>
    <w:rsid w:val="578816AE"/>
    <w:rsid w:val="578A1D1A"/>
    <w:rsid w:val="578A6C00"/>
    <w:rsid w:val="578E4942"/>
    <w:rsid w:val="578F2469"/>
    <w:rsid w:val="578F2CA5"/>
    <w:rsid w:val="579139FB"/>
    <w:rsid w:val="5792501F"/>
    <w:rsid w:val="57925AB5"/>
    <w:rsid w:val="57941164"/>
    <w:rsid w:val="579438B4"/>
    <w:rsid w:val="57961A49"/>
    <w:rsid w:val="5797224C"/>
    <w:rsid w:val="579932E7"/>
    <w:rsid w:val="57993C18"/>
    <w:rsid w:val="57995095"/>
    <w:rsid w:val="579E07D9"/>
    <w:rsid w:val="579E445A"/>
    <w:rsid w:val="579E765B"/>
    <w:rsid w:val="57A44166"/>
    <w:rsid w:val="57A52A4A"/>
    <w:rsid w:val="57A537C6"/>
    <w:rsid w:val="57A57404"/>
    <w:rsid w:val="57A726CA"/>
    <w:rsid w:val="57A8352A"/>
    <w:rsid w:val="57A91901"/>
    <w:rsid w:val="57AF0129"/>
    <w:rsid w:val="57B108DA"/>
    <w:rsid w:val="57B43C7D"/>
    <w:rsid w:val="57BB1DDB"/>
    <w:rsid w:val="57BD4A5B"/>
    <w:rsid w:val="57BD6030"/>
    <w:rsid w:val="57BD6FD6"/>
    <w:rsid w:val="57C01DDA"/>
    <w:rsid w:val="57C06AC6"/>
    <w:rsid w:val="57C33332"/>
    <w:rsid w:val="57C51837"/>
    <w:rsid w:val="57C540DC"/>
    <w:rsid w:val="57C93D34"/>
    <w:rsid w:val="57C94DDE"/>
    <w:rsid w:val="57CA6432"/>
    <w:rsid w:val="57CC2A38"/>
    <w:rsid w:val="57CC7219"/>
    <w:rsid w:val="57CE476B"/>
    <w:rsid w:val="57CE65B1"/>
    <w:rsid w:val="57D001E3"/>
    <w:rsid w:val="57D15305"/>
    <w:rsid w:val="57D50A07"/>
    <w:rsid w:val="57D55708"/>
    <w:rsid w:val="57D566CC"/>
    <w:rsid w:val="57D83E10"/>
    <w:rsid w:val="57D95847"/>
    <w:rsid w:val="57DB7DE8"/>
    <w:rsid w:val="57DB7E78"/>
    <w:rsid w:val="57DC2DA2"/>
    <w:rsid w:val="57DD1426"/>
    <w:rsid w:val="57E01CBA"/>
    <w:rsid w:val="57E207EA"/>
    <w:rsid w:val="57E24C8E"/>
    <w:rsid w:val="57E32E1A"/>
    <w:rsid w:val="57E40965"/>
    <w:rsid w:val="57E566A6"/>
    <w:rsid w:val="57E62D44"/>
    <w:rsid w:val="57E74053"/>
    <w:rsid w:val="57E81272"/>
    <w:rsid w:val="57E87CD3"/>
    <w:rsid w:val="57EA1090"/>
    <w:rsid w:val="57EA1456"/>
    <w:rsid w:val="57EC1669"/>
    <w:rsid w:val="57ED39CE"/>
    <w:rsid w:val="57EE0EDB"/>
    <w:rsid w:val="57EF4CB5"/>
    <w:rsid w:val="57F03975"/>
    <w:rsid w:val="57F14ED1"/>
    <w:rsid w:val="57F239CD"/>
    <w:rsid w:val="57F728C2"/>
    <w:rsid w:val="57FB7AFE"/>
    <w:rsid w:val="57FD23C8"/>
    <w:rsid w:val="57FF1B62"/>
    <w:rsid w:val="57FF5DE3"/>
    <w:rsid w:val="57FF75EE"/>
    <w:rsid w:val="58013307"/>
    <w:rsid w:val="58014CE0"/>
    <w:rsid w:val="58040C9F"/>
    <w:rsid w:val="5804172C"/>
    <w:rsid w:val="58082731"/>
    <w:rsid w:val="58093434"/>
    <w:rsid w:val="58094C63"/>
    <w:rsid w:val="580A1AEF"/>
    <w:rsid w:val="580B4386"/>
    <w:rsid w:val="580B5F93"/>
    <w:rsid w:val="580C30D8"/>
    <w:rsid w:val="580F00F8"/>
    <w:rsid w:val="58102306"/>
    <w:rsid w:val="581217F1"/>
    <w:rsid w:val="58122797"/>
    <w:rsid w:val="58136BF6"/>
    <w:rsid w:val="5814296E"/>
    <w:rsid w:val="58160494"/>
    <w:rsid w:val="5816663A"/>
    <w:rsid w:val="5818245E"/>
    <w:rsid w:val="58192513"/>
    <w:rsid w:val="58196DAC"/>
    <w:rsid w:val="581A7F84"/>
    <w:rsid w:val="581D1822"/>
    <w:rsid w:val="581E27FC"/>
    <w:rsid w:val="581E5583"/>
    <w:rsid w:val="581F1A88"/>
    <w:rsid w:val="581F37ED"/>
    <w:rsid w:val="581F3C8C"/>
    <w:rsid w:val="58201313"/>
    <w:rsid w:val="58214DBF"/>
    <w:rsid w:val="58216ABF"/>
    <w:rsid w:val="582232DD"/>
    <w:rsid w:val="582241C7"/>
    <w:rsid w:val="58237473"/>
    <w:rsid w:val="582622EE"/>
    <w:rsid w:val="58262DCD"/>
    <w:rsid w:val="582708F3"/>
    <w:rsid w:val="58296419"/>
    <w:rsid w:val="582A3F3F"/>
    <w:rsid w:val="582C5BEA"/>
    <w:rsid w:val="582D26D4"/>
    <w:rsid w:val="582E1C82"/>
    <w:rsid w:val="582E7A95"/>
    <w:rsid w:val="58306639"/>
    <w:rsid w:val="58333CC5"/>
    <w:rsid w:val="583444DA"/>
    <w:rsid w:val="58357C03"/>
    <w:rsid w:val="58366D88"/>
    <w:rsid w:val="58376DD7"/>
    <w:rsid w:val="5837775B"/>
    <w:rsid w:val="58382B00"/>
    <w:rsid w:val="58392B46"/>
    <w:rsid w:val="583F0740"/>
    <w:rsid w:val="584035D3"/>
    <w:rsid w:val="58405511"/>
    <w:rsid w:val="58426B00"/>
    <w:rsid w:val="58442781"/>
    <w:rsid w:val="584559A7"/>
    <w:rsid w:val="58464056"/>
    <w:rsid w:val="5846521D"/>
    <w:rsid w:val="58467845"/>
    <w:rsid w:val="58472D43"/>
    <w:rsid w:val="584743F2"/>
    <w:rsid w:val="58482296"/>
    <w:rsid w:val="584A32DB"/>
    <w:rsid w:val="584A3692"/>
    <w:rsid w:val="584C7642"/>
    <w:rsid w:val="584D65AC"/>
    <w:rsid w:val="584D6EAE"/>
    <w:rsid w:val="58515970"/>
    <w:rsid w:val="5851771E"/>
    <w:rsid w:val="58523BC2"/>
    <w:rsid w:val="585242BE"/>
    <w:rsid w:val="58535244"/>
    <w:rsid w:val="5853793A"/>
    <w:rsid w:val="58550FBC"/>
    <w:rsid w:val="58580AAD"/>
    <w:rsid w:val="58597EAB"/>
    <w:rsid w:val="585B5C1B"/>
    <w:rsid w:val="585B7E33"/>
    <w:rsid w:val="585C65A8"/>
    <w:rsid w:val="585D45E2"/>
    <w:rsid w:val="585F008D"/>
    <w:rsid w:val="585F037B"/>
    <w:rsid w:val="585F1E3B"/>
    <w:rsid w:val="585F2AF7"/>
    <w:rsid w:val="585F5977"/>
    <w:rsid w:val="586065B5"/>
    <w:rsid w:val="5861224A"/>
    <w:rsid w:val="586202ED"/>
    <w:rsid w:val="5862401C"/>
    <w:rsid w:val="5864418B"/>
    <w:rsid w:val="58691E19"/>
    <w:rsid w:val="586A7ED7"/>
    <w:rsid w:val="586B76C2"/>
    <w:rsid w:val="58722AB2"/>
    <w:rsid w:val="58731999"/>
    <w:rsid w:val="58736FD2"/>
    <w:rsid w:val="5875165E"/>
    <w:rsid w:val="5875340D"/>
    <w:rsid w:val="58753DB9"/>
    <w:rsid w:val="587578B0"/>
    <w:rsid w:val="58773081"/>
    <w:rsid w:val="5877686F"/>
    <w:rsid w:val="587811FC"/>
    <w:rsid w:val="58782EFD"/>
    <w:rsid w:val="587A07F0"/>
    <w:rsid w:val="587B479B"/>
    <w:rsid w:val="587C752E"/>
    <w:rsid w:val="587D49B7"/>
    <w:rsid w:val="58854E97"/>
    <w:rsid w:val="58865CDA"/>
    <w:rsid w:val="58866596"/>
    <w:rsid w:val="58871392"/>
    <w:rsid w:val="58884BAD"/>
    <w:rsid w:val="5889335C"/>
    <w:rsid w:val="588953DF"/>
    <w:rsid w:val="588A3951"/>
    <w:rsid w:val="588C427D"/>
    <w:rsid w:val="588C6BC1"/>
    <w:rsid w:val="588E1328"/>
    <w:rsid w:val="588F0354"/>
    <w:rsid w:val="58913FBE"/>
    <w:rsid w:val="58921EEB"/>
    <w:rsid w:val="58924565"/>
    <w:rsid w:val="589645C5"/>
    <w:rsid w:val="589715D5"/>
    <w:rsid w:val="589757D5"/>
    <w:rsid w:val="58975B15"/>
    <w:rsid w:val="589812B0"/>
    <w:rsid w:val="589A7317"/>
    <w:rsid w:val="589D0BB5"/>
    <w:rsid w:val="589E7A86"/>
    <w:rsid w:val="589F65B2"/>
    <w:rsid w:val="58A30BB2"/>
    <w:rsid w:val="58A40196"/>
    <w:rsid w:val="58A504A8"/>
    <w:rsid w:val="58A63C18"/>
    <w:rsid w:val="58A82984"/>
    <w:rsid w:val="58A87664"/>
    <w:rsid w:val="58AB32D2"/>
    <w:rsid w:val="58AB7F08"/>
    <w:rsid w:val="58AC0ED4"/>
    <w:rsid w:val="58AE4B70"/>
    <w:rsid w:val="58B0562B"/>
    <w:rsid w:val="58B42B78"/>
    <w:rsid w:val="58B442C6"/>
    <w:rsid w:val="58B71C77"/>
    <w:rsid w:val="58B77EC9"/>
    <w:rsid w:val="58BA64CA"/>
    <w:rsid w:val="58BC06AB"/>
    <w:rsid w:val="58BC7D3F"/>
    <w:rsid w:val="58BF28DA"/>
    <w:rsid w:val="58C15EA3"/>
    <w:rsid w:val="58C223CA"/>
    <w:rsid w:val="58C23DC0"/>
    <w:rsid w:val="58C3061C"/>
    <w:rsid w:val="58C425E6"/>
    <w:rsid w:val="58C47CC8"/>
    <w:rsid w:val="58C47EF0"/>
    <w:rsid w:val="58CD2608"/>
    <w:rsid w:val="58CD48BB"/>
    <w:rsid w:val="58CE4E7D"/>
    <w:rsid w:val="58CE7766"/>
    <w:rsid w:val="58CF0F3C"/>
    <w:rsid w:val="58CF5176"/>
    <w:rsid w:val="58D00F8B"/>
    <w:rsid w:val="58D02D39"/>
    <w:rsid w:val="58D07FAA"/>
    <w:rsid w:val="58D179D0"/>
    <w:rsid w:val="58D205AF"/>
    <w:rsid w:val="58D2085F"/>
    <w:rsid w:val="58D269C6"/>
    <w:rsid w:val="58D42829"/>
    <w:rsid w:val="58D47FFB"/>
    <w:rsid w:val="58D57DC2"/>
    <w:rsid w:val="58D85297"/>
    <w:rsid w:val="58D93F53"/>
    <w:rsid w:val="58DA6810"/>
    <w:rsid w:val="58DA7713"/>
    <w:rsid w:val="58DC449E"/>
    <w:rsid w:val="58DE7204"/>
    <w:rsid w:val="58DF06DE"/>
    <w:rsid w:val="58E16CF4"/>
    <w:rsid w:val="58E22F1C"/>
    <w:rsid w:val="58E40592"/>
    <w:rsid w:val="58E405DD"/>
    <w:rsid w:val="58E52550"/>
    <w:rsid w:val="58E61072"/>
    <w:rsid w:val="58E6255C"/>
    <w:rsid w:val="58E74DA8"/>
    <w:rsid w:val="58E930AE"/>
    <w:rsid w:val="58E93DFA"/>
    <w:rsid w:val="58E967C4"/>
    <w:rsid w:val="58EE0969"/>
    <w:rsid w:val="58EF1411"/>
    <w:rsid w:val="58EF50F2"/>
    <w:rsid w:val="58F20F01"/>
    <w:rsid w:val="58F22CAF"/>
    <w:rsid w:val="58F45964"/>
    <w:rsid w:val="58F5279F"/>
    <w:rsid w:val="58F5454D"/>
    <w:rsid w:val="58F740F7"/>
    <w:rsid w:val="58F75133"/>
    <w:rsid w:val="58F928DB"/>
    <w:rsid w:val="58FF3D64"/>
    <w:rsid w:val="58FF4613"/>
    <w:rsid w:val="5900000F"/>
    <w:rsid w:val="59012EF2"/>
    <w:rsid w:val="590145FA"/>
    <w:rsid w:val="59046094"/>
    <w:rsid w:val="590501A6"/>
    <w:rsid w:val="59060650"/>
    <w:rsid w:val="590777C4"/>
    <w:rsid w:val="59081A9C"/>
    <w:rsid w:val="590836E0"/>
    <w:rsid w:val="59091DA7"/>
    <w:rsid w:val="590B2E55"/>
    <w:rsid w:val="590D0B25"/>
    <w:rsid w:val="590E7AFE"/>
    <w:rsid w:val="590F2911"/>
    <w:rsid w:val="59106321"/>
    <w:rsid w:val="5911410C"/>
    <w:rsid w:val="5911517F"/>
    <w:rsid w:val="59117084"/>
    <w:rsid w:val="59140914"/>
    <w:rsid w:val="5914392C"/>
    <w:rsid w:val="59162E41"/>
    <w:rsid w:val="59184C1C"/>
    <w:rsid w:val="59190642"/>
    <w:rsid w:val="59194AE2"/>
    <w:rsid w:val="591A640F"/>
    <w:rsid w:val="591B0458"/>
    <w:rsid w:val="591E0842"/>
    <w:rsid w:val="591E1CF6"/>
    <w:rsid w:val="592014A1"/>
    <w:rsid w:val="592117E6"/>
    <w:rsid w:val="5921326B"/>
    <w:rsid w:val="59213594"/>
    <w:rsid w:val="59240D1F"/>
    <w:rsid w:val="59262959"/>
    <w:rsid w:val="59271254"/>
    <w:rsid w:val="5928618F"/>
    <w:rsid w:val="59290CF4"/>
    <w:rsid w:val="592926F2"/>
    <w:rsid w:val="5929513F"/>
    <w:rsid w:val="592D018B"/>
    <w:rsid w:val="592D1F39"/>
    <w:rsid w:val="59310538"/>
    <w:rsid w:val="59316B6C"/>
    <w:rsid w:val="59330D43"/>
    <w:rsid w:val="59333AC2"/>
    <w:rsid w:val="593373ED"/>
    <w:rsid w:val="593429C5"/>
    <w:rsid w:val="59367040"/>
    <w:rsid w:val="59392AE1"/>
    <w:rsid w:val="59396B30"/>
    <w:rsid w:val="593D6EE9"/>
    <w:rsid w:val="59401951"/>
    <w:rsid w:val="59401C6C"/>
    <w:rsid w:val="59407EBE"/>
    <w:rsid w:val="59413C36"/>
    <w:rsid w:val="59420AF2"/>
    <w:rsid w:val="59430B4C"/>
    <w:rsid w:val="59433EDE"/>
    <w:rsid w:val="59435F75"/>
    <w:rsid w:val="59437A20"/>
    <w:rsid w:val="5944329C"/>
    <w:rsid w:val="59462FFB"/>
    <w:rsid w:val="594700E3"/>
    <w:rsid w:val="594A4899"/>
    <w:rsid w:val="594D4389"/>
    <w:rsid w:val="594E1070"/>
    <w:rsid w:val="59521175"/>
    <w:rsid w:val="595219A0"/>
    <w:rsid w:val="595474C6"/>
    <w:rsid w:val="595607E3"/>
    <w:rsid w:val="59577EF5"/>
    <w:rsid w:val="59585FB2"/>
    <w:rsid w:val="59586E18"/>
    <w:rsid w:val="59590C77"/>
    <w:rsid w:val="595B0854"/>
    <w:rsid w:val="59610256"/>
    <w:rsid w:val="59633BAD"/>
    <w:rsid w:val="5963595B"/>
    <w:rsid w:val="59637709"/>
    <w:rsid w:val="59661F1A"/>
    <w:rsid w:val="5966205B"/>
    <w:rsid w:val="59682F71"/>
    <w:rsid w:val="596908AC"/>
    <w:rsid w:val="596926C2"/>
    <w:rsid w:val="596A32B0"/>
    <w:rsid w:val="596A6CE9"/>
    <w:rsid w:val="596C61B0"/>
    <w:rsid w:val="596D2BA8"/>
    <w:rsid w:val="5970248B"/>
    <w:rsid w:val="5972012C"/>
    <w:rsid w:val="59722F9E"/>
    <w:rsid w:val="597265D0"/>
    <w:rsid w:val="59736FAA"/>
    <w:rsid w:val="59777814"/>
    <w:rsid w:val="59781F9D"/>
    <w:rsid w:val="597869A8"/>
    <w:rsid w:val="597C07CB"/>
    <w:rsid w:val="597C2287"/>
    <w:rsid w:val="597C51D9"/>
    <w:rsid w:val="597C6A1D"/>
    <w:rsid w:val="597C7196"/>
    <w:rsid w:val="597E4543"/>
    <w:rsid w:val="5980650D"/>
    <w:rsid w:val="59807580"/>
    <w:rsid w:val="59846BF5"/>
    <w:rsid w:val="59874EF4"/>
    <w:rsid w:val="59875E96"/>
    <w:rsid w:val="5987789B"/>
    <w:rsid w:val="59884F15"/>
    <w:rsid w:val="598853C1"/>
    <w:rsid w:val="598D5861"/>
    <w:rsid w:val="598F25C7"/>
    <w:rsid w:val="598F6750"/>
    <w:rsid w:val="59907957"/>
    <w:rsid w:val="59913850"/>
    <w:rsid w:val="59940BC1"/>
    <w:rsid w:val="59942A23"/>
    <w:rsid w:val="59967E8F"/>
    <w:rsid w:val="5997249A"/>
    <w:rsid w:val="5998392A"/>
    <w:rsid w:val="59985695"/>
    <w:rsid w:val="59995821"/>
    <w:rsid w:val="599B31A0"/>
    <w:rsid w:val="599D6C75"/>
    <w:rsid w:val="599E186D"/>
    <w:rsid w:val="599F6BE8"/>
    <w:rsid w:val="59A206F2"/>
    <w:rsid w:val="59A23BCF"/>
    <w:rsid w:val="59A42ED5"/>
    <w:rsid w:val="59A55F73"/>
    <w:rsid w:val="59A71CEC"/>
    <w:rsid w:val="59A948AF"/>
    <w:rsid w:val="59AB0B1A"/>
    <w:rsid w:val="59AB54B2"/>
    <w:rsid w:val="59AE0698"/>
    <w:rsid w:val="59AE43B5"/>
    <w:rsid w:val="59AF1377"/>
    <w:rsid w:val="59B2243E"/>
    <w:rsid w:val="59B35B6C"/>
    <w:rsid w:val="59B535F0"/>
    <w:rsid w:val="59B600D5"/>
    <w:rsid w:val="59B60656"/>
    <w:rsid w:val="59B72F7B"/>
    <w:rsid w:val="59B77A55"/>
    <w:rsid w:val="59B82C7A"/>
    <w:rsid w:val="59B843A4"/>
    <w:rsid w:val="59BB12F3"/>
    <w:rsid w:val="59BC1D00"/>
    <w:rsid w:val="59BE5287"/>
    <w:rsid w:val="59BE6995"/>
    <w:rsid w:val="59C11A0A"/>
    <w:rsid w:val="59C15576"/>
    <w:rsid w:val="59C26ADA"/>
    <w:rsid w:val="59C4289D"/>
    <w:rsid w:val="59C46F34"/>
    <w:rsid w:val="59C57F5B"/>
    <w:rsid w:val="59C75EEA"/>
    <w:rsid w:val="59CB7D7C"/>
    <w:rsid w:val="59CC1752"/>
    <w:rsid w:val="59CC3500"/>
    <w:rsid w:val="59CC5BE0"/>
    <w:rsid w:val="59CD1BB9"/>
    <w:rsid w:val="59CF2FF0"/>
    <w:rsid w:val="59CF7E13"/>
    <w:rsid w:val="59D3044C"/>
    <w:rsid w:val="59D316E3"/>
    <w:rsid w:val="59D35AB6"/>
    <w:rsid w:val="59D3752F"/>
    <w:rsid w:val="59D423B5"/>
    <w:rsid w:val="59D6437F"/>
    <w:rsid w:val="59D71D52"/>
    <w:rsid w:val="59D979CB"/>
    <w:rsid w:val="59DA36DD"/>
    <w:rsid w:val="59DA5DAD"/>
    <w:rsid w:val="59DB3C9E"/>
    <w:rsid w:val="59DC3142"/>
    <w:rsid w:val="59DC483D"/>
    <w:rsid w:val="59DC552C"/>
    <w:rsid w:val="59DE39B4"/>
    <w:rsid w:val="59E051FD"/>
    <w:rsid w:val="59E2778E"/>
    <w:rsid w:val="59E44CEE"/>
    <w:rsid w:val="59E533C1"/>
    <w:rsid w:val="59E7033A"/>
    <w:rsid w:val="59E87270"/>
    <w:rsid w:val="59E91789"/>
    <w:rsid w:val="59EA66D8"/>
    <w:rsid w:val="59EC1888"/>
    <w:rsid w:val="59EC76FE"/>
    <w:rsid w:val="59ED1B53"/>
    <w:rsid w:val="59EE3352"/>
    <w:rsid w:val="59F038EB"/>
    <w:rsid w:val="59F11964"/>
    <w:rsid w:val="59F34F31"/>
    <w:rsid w:val="59F41A26"/>
    <w:rsid w:val="59F42A57"/>
    <w:rsid w:val="59F502E5"/>
    <w:rsid w:val="59F62FD6"/>
    <w:rsid w:val="59F708D0"/>
    <w:rsid w:val="59F81164"/>
    <w:rsid w:val="59FA4454"/>
    <w:rsid w:val="59FB30B7"/>
    <w:rsid w:val="59FB6C39"/>
    <w:rsid w:val="59FC013D"/>
    <w:rsid w:val="59FD6573"/>
    <w:rsid w:val="59FE7900"/>
    <w:rsid w:val="59FF38D6"/>
    <w:rsid w:val="5A0031AA"/>
    <w:rsid w:val="5A010FCF"/>
    <w:rsid w:val="5A01185B"/>
    <w:rsid w:val="5A026F22"/>
    <w:rsid w:val="5A044C87"/>
    <w:rsid w:val="5A044F3E"/>
    <w:rsid w:val="5A052B3B"/>
    <w:rsid w:val="5A0802B0"/>
    <w:rsid w:val="5A0C1B4F"/>
    <w:rsid w:val="5A0C4453"/>
    <w:rsid w:val="5A0C7DA1"/>
    <w:rsid w:val="5A0F6C9C"/>
    <w:rsid w:val="5A105AE3"/>
    <w:rsid w:val="5A117165"/>
    <w:rsid w:val="5A150D5F"/>
    <w:rsid w:val="5A167004"/>
    <w:rsid w:val="5A184997"/>
    <w:rsid w:val="5A19111B"/>
    <w:rsid w:val="5A19426B"/>
    <w:rsid w:val="5A1A0B70"/>
    <w:rsid w:val="5A1B2000"/>
    <w:rsid w:val="5A1C55D0"/>
    <w:rsid w:val="5A1C6E0C"/>
    <w:rsid w:val="5A1D5B0A"/>
    <w:rsid w:val="5A1E1882"/>
    <w:rsid w:val="5A1F69E3"/>
    <w:rsid w:val="5A2055FA"/>
    <w:rsid w:val="5A217941"/>
    <w:rsid w:val="5A225816"/>
    <w:rsid w:val="5A237619"/>
    <w:rsid w:val="5A2570B4"/>
    <w:rsid w:val="5A281575"/>
    <w:rsid w:val="5A285C23"/>
    <w:rsid w:val="5A285D45"/>
    <w:rsid w:val="5A2B15E1"/>
    <w:rsid w:val="5A2C0443"/>
    <w:rsid w:val="5A2C35FE"/>
    <w:rsid w:val="5A2C3D5B"/>
    <w:rsid w:val="5A2E01D2"/>
    <w:rsid w:val="5A2E6A57"/>
    <w:rsid w:val="5A2F315C"/>
    <w:rsid w:val="5A3115B5"/>
    <w:rsid w:val="5A315128"/>
    <w:rsid w:val="5A366373"/>
    <w:rsid w:val="5A3908C4"/>
    <w:rsid w:val="5A3A490E"/>
    <w:rsid w:val="5A3B4555"/>
    <w:rsid w:val="5A3C2AEC"/>
    <w:rsid w:val="5A3D43FE"/>
    <w:rsid w:val="5A3E0190"/>
    <w:rsid w:val="5A407A4A"/>
    <w:rsid w:val="5A4237C2"/>
    <w:rsid w:val="5A434AAC"/>
    <w:rsid w:val="5A470DD9"/>
    <w:rsid w:val="5A476C6A"/>
    <w:rsid w:val="5A49493C"/>
    <w:rsid w:val="5A494F2D"/>
    <w:rsid w:val="5A4A01F0"/>
    <w:rsid w:val="5A4C4F0B"/>
    <w:rsid w:val="5A4D795B"/>
    <w:rsid w:val="5A4E28A4"/>
    <w:rsid w:val="5A4E660B"/>
    <w:rsid w:val="5A4F5EDF"/>
    <w:rsid w:val="5A500549"/>
    <w:rsid w:val="5A511C57"/>
    <w:rsid w:val="5A52453C"/>
    <w:rsid w:val="5A53777D"/>
    <w:rsid w:val="5A5530B6"/>
    <w:rsid w:val="5A5534F6"/>
    <w:rsid w:val="5A5569F8"/>
    <w:rsid w:val="5A560DC3"/>
    <w:rsid w:val="5A576F72"/>
    <w:rsid w:val="5A582FE6"/>
    <w:rsid w:val="5A585339"/>
    <w:rsid w:val="5A5A0BD4"/>
    <w:rsid w:val="5A5D05FC"/>
    <w:rsid w:val="5A5D23AA"/>
    <w:rsid w:val="5A5D57C3"/>
    <w:rsid w:val="5A615BCE"/>
    <w:rsid w:val="5A61633E"/>
    <w:rsid w:val="5A621635"/>
    <w:rsid w:val="5A621E86"/>
    <w:rsid w:val="5A640949"/>
    <w:rsid w:val="5A641BF0"/>
    <w:rsid w:val="5A663B4F"/>
    <w:rsid w:val="5A68338C"/>
    <w:rsid w:val="5A6B0F6B"/>
    <w:rsid w:val="5A6B4F46"/>
    <w:rsid w:val="5A6F369B"/>
    <w:rsid w:val="5A702373"/>
    <w:rsid w:val="5A705D84"/>
    <w:rsid w:val="5A7124E5"/>
    <w:rsid w:val="5A712AFF"/>
    <w:rsid w:val="5A736072"/>
    <w:rsid w:val="5A7427F2"/>
    <w:rsid w:val="5A7616BE"/>
    <w:rsid w:val="5A76346C"/>
    <w:rsid w:val="5A764281"/>
    <w:rsid w:val="5A776714"/>
    <w:rsid w:val="5A77682C"/>
    <w:rsid w:val="5A7A4D9F"/>
    <w:rsid w:val="5A7A7400"/>
    <w:rsid w:val="5A7B0A82"/>
    <w:rsid w:val="5A7B407E"/>
    <w:rsid w:val="5A7E3BFB"/>
    <w:rsid w:val="5A800254"/>
    <w:rsid w:val="5A8028EF"/>
    <w:rsid w:val="5A817CEB"/>
    <w:rsid w:val="5A823772"/>
    <w:rsid w:val="5A8262B5"/>
    <w:rsid w:val="5A827DBF"/>
    <w:rsid w:val="5A8505C4"/>
    <w:rsid w:val="5A851901"/>
    <w:rsid w:val="5A872927"/>
    <w:rsid w:val="5A8818EC"/>
    <w:rsid w:val="5A887B92"/>
    <w:rsid w:val="5A8913F1"/>
    <w:rsid w:val="5A8A1814"/>
    <w:rsid w:val="5A8A51B6"/>
    <w:rsid w:val="5A8A65B6"/>
    <w:rsid w:val="5A8C4263"/>
    <w:rsid w:val="5A8D02C7"/>
    <w:rsid w:val="5A90381B"/>
    <w:rsid w:val="5A92474A"/>
    <w:rsid w:val="5A9304C2"/>
    <w:rsid w:val="5A941E1F"/>
    <w:rsid w:val="5A94286E"/>
    <w:rsid w:val="5A971D60"/>
    <w:rsid w:val="5A980B76"/>
    <w:rsid w:val="5A9866CB"/>
    <w:rsid w:val="5A987886"/>
    <w:rsid w:val="5A9A53AC"/>
    <w:rsid w:val="5A9C2C07"/>
    <w:rsid w:val="5A9D2064"/>
    <w:rsid w:val="5AA12940"/>
    <w:rsid w:val="5AA16C74"/>
    <w:rsid w:val="5AA224B3"/>
    <w:rsid w:val="5AA61FA3"/>
    <w:rsid w:val="5AA75D1B"/>
    <w:rsid w:val="5AA91AFA"/>
    <w:rsid w:val="5AA93841"/>
    <w:rsid w:val="5AA955EF"/>
    <w:rsid w:val="5AAB4DEE"/>
    <w:rsid w:val="5AAB75B9"/>
    <w:rsid w:val="5AAC2B44"/>
    <w:rsid w:val="5AAD18F9"/>
    <w:rsid w:val="5AAD63E9"/>
    <w:rsid w:val="5AAE2C06"/>
    <w:rsid w:val="5AAE4404"/>
    <w:rsid w:val="5AAF2166"/>
    <w:rsid w:val="5AB204DE"/>
    <w:rsid w:val="5AB26B9A"/>
    <w:rsid w:val="5AB32912"/>
    <w:rsid w:val="5AB332E4"/>
    <w:rsid w:val="5AB4055B"/>
    <w:rsid w:val="5AB5456B"/>
    <w:rsid w:val="5AB559E0"/>
    <w:rsid w:val="5AB56C9A"/>
    <w:rsid w:val="5AB81CD6"/>
    <w:rsid w:val="5AB9121B"/>
    <w:rsid w:val="5ABA3CA0"/>
    <w:rsid w:val="5ABA5A4E"/>
    <w:rsid w:val="5ABC17C7"/>
    <w:rsid w:val="5ABF12B7"/>
    <w:rsid w:val="5AC013EE"/>
    <w:rsid w:val="5AC32B55"/>
    <w:rsid w:val="5AC40804"/>
    <w:rsid w:val="5AC468CD"/>
    <w:rsid w:val="5AC46AFA"/>
    <w:rsid w:val="5AC5200C"/>
    <w:rsid w:val="5AC54A30"/>
    <w:rsid w:val="5AC6035D"/>
    <w:rsid w:val="5AC60BF9"/>
    <w:rsid w:val="5AC95C92"/>
    <w:rsid w:val="5AC96DCC"/>
    <w:rsid w:val="5ACA5920"/>
    <w:rsid w:val="5ACB4616"/>
    <w:rsid w:val="5ACB56E0"/>
    <w:rsid w:val="5ACD10AC"/>
    <w:rsid w:val="5ACE4740"/>
    <w:rsid w:val="5ACE597D"/>
    <w:rsid w:val="5AD00965"/>
    <w:rsid w:val="5AD14B46"/>
    <w:rsid w:val="5AD16135"/>
    <w:rsid w:val="5AD175C5"/>
    <w:rsid w:val="5AD20FEA"/>
    <w:rsid w:val="5AD308BE"/>
    <w:rsid w:val="5AD30EEB"/>
    <w:rsid w:val="5AD44AB6"/>
    <w:rsid w:val="5AD53D0E"/>
    <w:rsid w:val="5AD75493"/>
    <w:rsid w:val="5AD86E8D"/>
    <w:rsid w:val="5ADB1DB8"/>
    <w:rsid w:val="5ADC573B"/>
    <w:rsid w:val="5ADC59C5"/>
    <w:rsid w:val="5ADC6527"/>
    <w:rsid w:val="5ADD02AE"/>
    <w:rsid w:val="5ADD2BA5"/>
    <w:rsid w:val="5ADF0815"/>
    <w:rsid w:val="5AE01A21"/>
    <w:rsid w:val="5AE127E9"/>
    <w:rsid w:val="5AE2054A"/>
    <w:rsid w:val="5AE22E06"/>
    <w:rsid w:val="5AE2463A"/>
    <w:rsid w:val="5AE466D4"/>
    <w:rsid w:val="5AE62C25"/>
    <w:rsid w:val="5AE97091"/>
    <w:rsid w:val="5AEB0305"/>
    <w:rsid w:val="5AEB3E5A"/>
    <w:rsid w:val="5AEB4AF6"/>
    <w:rsid w:val="5AEB4D1E"/>
    <w:rsid w:val="5AEB4D41"/>
    <w:rsid w:val="5AEC084D"/>
    <w:rsid w:val="5AED3B32"/>
    <w:rsid w:val="5AF279AE"/>
    <w:rsid w:val="5AF905A1"/>
    <w:rsid w:val="5AFC6067"/>
    <w:rsid w:val="5B013F5E"/>
    <w:rsid w:val="5B0414BD"/>
    <w:rsid w:val="5B0942E0"/>
    <w:rsid w:val="5B0A699D"/>
    <w:rsid w:val="5B0B0058"/>
    <w:rsid w:val="5B0B1438"/>
    <w:rsid w:val="5B0C1558"/>
    <w:rsid w:val="5B0E07D9"/>
    <w:rsid w:val="5B112C8E"/>
    <w:rsid w:val="5B1560DC"/>
    <w:rsid w:val="5B160A23"/>
    <w:rsid w:val="5B1708CA"/>
    <w:rsid w:val="5B177049"/>
    <w:rsid w:val="5B19180A"/>
    <w:rsid w:val="5B1D06C1"/>
    <w:rsid w:val="5B1D65E8"/>
    <w:rsid w:val="5B1E3C02"/>
    <w:rsid w:val="5B1E422F"/>
    <w:rsid w:val="5B1E77CC"/>
    <w:rsid w:val="5B1E7D8B"/>
    <w:rsid w:val="5B211E08"/>
    <w:rsid w:val="5B21454D"/>
    <w:rsid w:val="5B217F85"/>
    <w:rsid w:val="5B221869"/>
    <w:rsid w:val="5B2335F4"/>
    <w:rsid w:val="5B23729D"/>
    <w:rsid w:val="5B247D38"/>
    <w:rsid w:val="5B296E1F"/>
    <w:rsid w:val="5B2A225C"/>
    <w:rsid w:val="5B2A5C9A"/>
    <w:rsid w:val="5B2E6752"/>
    <w:rsid w:val="5B2F01EA"/>
    <w:rsid w:val="5B3049D5"/>
    <w:rsid w:val="5B3062C7"/>
    <w:rsid w:val="5B321A89"/>
    <w:rsid w:val="5B340EDD"/>
    <w:rsid w:val="5B355FB3"/>
    <w:rsid w:val="5B364469"/>
    <w:rsid w:val="5B370E4D"/>
    <w:rsid w:val="5B372318"/>
    <w:rsid w:val="5B3C2907"/>
    <w:rsid w:val="5B3C3FC4"/>
    <w:rsid w:val="5B3C492C"/>
    <w:rsid w:val="5B3C72C4"/>
    <w:rsid w:val="5B3D3F8A"/>
    <w:rsid w:val="5B3F0E73"/>
    <w:rsid w:val="5B3F5F54"/>
    <w:rsid w:val="5B4217BD"/>
    <w:rsid w:val="5B455322"/>
    <w:rsid w:val="5B456F23"/>
    <w:rsid w:val="5B4672E2"/>
    <w:rsid w:val="5B47451C"/>
    <w:rsid w:val="5B47552E"/>
    <w:rsid w:val="5B47771B"/>
    <w:rsid w:val="5B4876F8"/>
    <w:rsid w:val="5B490B80"/>
    <w:rsid w:val="5B4922C9"/>
    <w:rsid w:val="5B4E1883"/>
    <w:rsid w:val="5B4E356A"/>
    <w:rsid w:val="5B4E559E"/>
    <w:rsid w:val="5B501F0F"/>
    <w:rsid w:val="5B5029F3"/>
    <w:rsid w:val="5B5279BC"/>
    <w:rsid w:val="5B527A35"/>
    <w:rsid w:val="5B55086C"/>
    <w:rsid w:val="5B55492E"/>
    <w:rsid w:val="5B566FB1"/>
    <w:rsid w:val="5B57329D"/>
    <w:rsid w:val="5B5804D5"/>
    <w:rsid w:val="5B590DB7"/>
    <w:rsid w:val="5B5A4B3C"/>
    <w:rsid w:val="5B5B0FE0"/>
    <w:rsid w:val="5B5E7496"/>
    <w:rsid w:val="5B5F7F9D"/>
    <w:rsid w:val="5B622CBA"/>
    <w:rsid w:val="5B630F2A"/>
    <w:rsid w:val="5B6634E0"/>
    <w:rsid w:val="5B682278"/>
    <w:rsid w:val="5B6A2D43"/>
    <w:rsid w:val="5B6D7141"/>
    <w:rsid w:val="5B6E3535"/>
    <w:rsid w:val="5B6E4A34"/>
    <w:rsid w:val="5B7008B1"/>
    <w:rsid w:val="5B701E5A"/>
    <w:rsid w:val="5B751975"/>
    <w:rsid w:val="5B793214"/>
    <w:rsid w:val="5B7A0965"/>
    <w:rsid w:val="5B7B3430"/>
    <w:rsid w:val="5B7C75A0"/>
    <w:rsid w:val="5B7D1150"/>
    <w:rsid w:val="5B7F5150"/>
    <w:rsid w:val="5B800A46"/>
    <w:rsid w:val="5B815DAE"/>
    <w:rsid w:val="5B8449DB"/>
    <w:rsid w:val="5B8502CC"/>
    <w:rsid w:val="5B85605C"/>
    <w:rsid w:val="5B857E0A"/>
    <w:rsid w:val="5B87692E"/>
    <w:rsid w:val="5B8816A9"/>
    <w:rsid w:val="5B892AAC"/>
    <w:rsid w:val="5B8A3673"/>
    <w:rsid w:val="5B8A6F39"/>
    <w:rsid w:val="5B8D3163"/>
    <w:rsid w:val="5B8E39E8"/>
    <w:rsid w:val="5B8F0C89"/>
    <w:rsid w:val="5B90055D"/>
    <w:rsid w:val="5B923C38"/>
    <w:rsid w:val="5B934DDF"/>
    <w:rsid w:val="5B94029F"/>
    <w:rsid w:val="5B96304E"/>
    <w:rsid w:val="5B96396F"/>
    <w:rsid w:val="5B9758FD"/>
    <w:rsid w:val="5B977B3E"/>
    <w:rsid w:val="5B9838DE"/>
    <w:rsid w:val="5B986557"/>
    <w:rsid w:val="5B9A46F8"/>
    <w:rsid w:val="5B9B1B49"/>
    <w:rsid w:val="5B9B48BC"/>
    <w:rsid w:val="5B9B762E"/>
    <w:rsid w:val="5B9B7C87"/>
    <w:rsid w:val="5B9C3001"/>
    <w:rsid w:val="5B9C5154"/>
    <w:rsid w:val="5B9C6F02"/>
    <w:rsid w:val="5BA46607"/>
    <w:rsid w:val="5BA83942"/>
    <w:rsid w:val="5BA83AF9"/>
    <w:rsid w:val="5BAB6C05"/>
    <w:rsid w:val="5BAC183B"/>
    <w:rsid w:val="5BAC35E9"/>
    <w:rsid w:val="5BAD17AF"/>
    <w:rsid w:val="5BAD55B3"/>
    <w:rsid w:val="5BAE18D3"/>
    <w:rsid w:val="5BAF1477"/>
    <w:rsid w:val="5BAF30D9"/>
    <w:rsid w:val="5BAF59CC"/>
    <w:rsid w:val="5BB07E17"/>
    <w:rsid w:val="5BB20E73"/>
    <w:rsid w:val="5BB26726"/>
    <w:rsid w:val="5BB511C6"/>
    <w:rsid w:val="5BB644D1"/>
    <w:rsid w:val="5BB71F8E"/>
    <w:rsid w:val="5BB73D3C"/>
    <w:rsid w:val="5BB751BD"/>
    <w:rsid w:val="5BB83C6A"/>
    <w:rsid w:val="5BB83D6D"/>
    <w:rsid w:val="5BB86E12"/>
    <w:rsid w:val="5BB93F58"/>
    <w:rsid w:val="5BBA3939"/>
    <w:rsid w:val="5BBA55DA"/>
    <w:rsid w:val="5BBB3BA8"/>
    <w:rsid w:val="5BBC27DD"/>
    <w:rsid w:val="5BBD57F6"/>
    <w:rsid w:val="5BBE156E"/>
    <w:rsid w:val="5BBF488A"/>
    <w:rsid w:val="5BC0602F"/>
    <w:rsid w:val="5BC10B74"/>
    <w:rsid w:val="5BC16969"/>
    <w:rsid w:val="5BC47241"/>
    <w:rsid w:val="5BC745CB"/>
    <w:rsid w:val="5BCB77E7"/>
    <w:rsid w:val="5BCC5200"/>
    <w:rsid w:val="5BCF1957"/>
    <w:rsid w:val="5BCF3811"/>
    <w:rsid w:val="5BCF552A"/>
    <w:rsid w:val="5BCF72D8"/>
    <w:rsid w:val="5BD32C9E"/>
    <w:rsid w:val="5BD62CB1"/>
    <w:rsid w:val="5BD743DE"/>
    <w:rsid w:val="5BD76B7C"/>
    <w:rsid w:val="5BDD1924"/>
    <w:rsid w:val="5BE07737"/>
    <w:rsid w:val="5BE21435"/>
    <w:rsid w:val="5BE34B31"/>
    <w:rsid w:val="5BE63985"/>
    <w:rsid w:val="5BE63D34"/>
    <w:rsid w:val="5BE82721"/>
    <w:rsid w:val="5BEC1C38"/>
    <w:rsid w:val="5BED775E"/>
    <w:rsid w:val="5BF1724E"/>
    <w:rsid w:val="5BF277E2"/>
    <w:rsid w:val="5BF30B80"/>
    <w:rsid w:val="5BF43D30"/>
    <w:rsid w:val="5BF45FDC"/>
    <w:rsid w:val="5BF534D1"/>
    <w:rsid w:val="5BF64864"/>
    <w:rsid w:val="5BF705DC"/>
    <w:rsid w:val="5BF907F8"/>
    <w:rsid w:val="5BF94C98"/>
    <w:rsid w:val="5BFB2BA2"/>
    <w:rsid w:val="5BFC4D42"/>
    <w:rsid w:val="5BFC6B02"/>
    <w:rsid w:val="5BFD3E45"/>
    <w:rsid w:val="5BFE196B"/>
    <w:rsid w:val="5BFE7BBD"/>
    <w:rsid w:val="5BFF1E2F"/>
    <w:rsid w:val="5C00536A"/>
    <w:rsid w:val="5C006935"/>
    <w:rsid w:val="5C014F06"/>
    <w:rsid w:val="5C0827EA"/>
    <w:rsid w:val="5C087A2F"/>
    <w:rsid w:val="5C090A3C"/>
    <w:rsid w:val="5C093B32"/>
    <w:rsid w:val="5C0C5203"/>
    <w:rsid w:val="5C0C5B8E"/>
    <w:rsid w:val="5C0D1686"/>
    <w:rsid w:val="5C0E42C2"/>
    <w:rsid w:val="5C1113E4"/>
    <w:rsid w:val="5C1318BA"/>
    <w:rsid w:val="5C140F65"/>
    <w:rsid w:val="5C1475D9"/>
    <w:rsid w:val="5C184182"/>
    <w:rsid w:val="5C1B3784"/>
    <w:rsid w:val="5C1B6F9F"/>
    <w:rsid w:val="5C1B7B96"/>
    <w:rsid w:val="5C1E2A49"/>
    <w:rsid w:val="5C1E3DBB"/>
    <w:rsid w:val="5C1F33F8"/>
    <w:rsid w:val="5C1F4E24"/>
    <w:rsid w:val="5C205D85"/>
    <w:rsid w:val="5C230695"/>
    <w:rsid w:val="5C24165F"/>
    <w:rsid w:val="5C25339C"/>
    <w:rsid w:val="5C253AD6"/>
    <w:rsid w:val="5C27091C"/>
    <w:rsid w:val="5C271FFE"/>
    <w:rsid w:val="5C274226"/>
    <w:rsid w:val="5C295359"/>
    <w:rsid w:val="5C2B2C99"/>
    <w:rsid w:val="5C2C64D8"/>
    <w:rsid w:val="5C2D3FFE"/>
    <w:rsid w:val="5C2E2250"/>
    <w:rsid w:val="5C3077A7"/>
    <w:rsid w:val="5C335AB8"/>
    <w:rsid w:val="5C3435DF"/>
    <w:rsid w:val="5C36795D"/>
    <w:rsid w:val="5C3839BE"/>
    <w:rsid w:val="5C3B671B"/>
    <w:rsid w:val="5C3C3CB7"/>
    <w:rsid w:val="5C3D386F"/>
    <w:rsid w:val="5C3D7057"/>
    <w:rsid w:val="5C3D7865"/>
    <w:rsid w:val="5C3E7FB9"/>
    <w:rsid w:val="5C4001D5"/>
    <w:rsid w:val="5C4161B1"/>
    <w:rsid w:val="5C423F4D"/>
    <w:rsid w:val="5C425480"/>
    <w:rsid w:val="5C436D45"/>
    <w:rsid w:val="5C480E38"/>
    <w:rsid w:val="5C49419B"/>
    <w:rsid w:val="5C4A7D1B"/>
    <w:rsid w:val="5C4C26D6"/>
    <w:rsid w:val="5C4C76A2"/>
    <w:rsid w:val="5C50666A"/>
    <w:rsid w:val="5C57406F"/>
    <w:rsid w:val="5C593F83"/>
    <w:rsid w:val="5C59743F"/>
    <w:rsid w:val="5C5A701A"/>
    <w:rsid w:val="5C5E240A"/>
    <w:rsid w:val="5C606182"/>
    <w:rsid w:val="5C6217FE"/>
    <w:rsid w:val="5C691011"/>
    <w:rsid w:val="5C6914DA"/>
    <w:rsid w:val="5C6A2B7D"/>
    <w:rsid w:val="5C6A4CCD"/>
    <w:rsid w:val="5C6C2D78"/>
    <w:rsid w:val="5C6E089F"/>
    <w:rsid w:val="5C7047B8"/>
    <w:rsid w:val="5C705C0C"/>
    <w:rsid w:val="5C71038F"/>
    <w:rsid w:val="5C7165E1"/>
    <w:rsid w:val="5C72200A"/>
    <w:rsid w:val="5C726720"/>
    <w:rsid w:val="5C735EB5"/>
    <w:rsid w:val="5C741C2D"/>
    <w:rsid w:val="5C761E49"/>
    <w:rsid w:val="5C765B57"/>
    <w:rsid w:val="5C776994"/>
    <w:rsid w:val="5C7878F3"/>
    <w:rsid w:val="5C791D06"/>
    <w:rsid w:val="5C7B745F"/>
    <w:rsid w:val="5C7C44A3"/>
    <w:rsid w:val="5C7D6D34"/>
    <w:rsid w:val="5C7D739C"/>
    <w:rsid w:val="5C8271B2"/>
    <w:rsid w:val="5C8408E6"/>
    <w:rsid w:val="5C841E70"/>
    <w:rsid w:val="5C844566"/>
    <w:rsid w:val="5C8603CD"/>
    <w:rsid w:val="5C867FA0"/>
    <w:rsid w:val="5C8720C4"/>
    <w:rsid w:val="5C892AB7"/>
    <w:rsid w:val="5C8E2CEF"/>
    <w:rsid w:val="5C8E5C48"/>
    <w:rsid w:val="5C903E50"/>
    <w:rsid w:val="5C910A31"/>
    <w:rsid w:val="5C930305"/>
    <w:rsid w:val="5C943DF3"/>
    <w:rsid w:val="5C950521"/>
    <w:rsid w:val="5C981DBF"/>
    <w:rsid w:val="5C996B4E"/>
    <w:rsid w:val="5C9A41EB"/>
    <w:rsid w:val="5C9B540C"/>
    <w:rsid w:val="5C9E216D"/>
    <w:rsid w:val="5CA0213A"/>
    <w:rsid w:val="5CA21365"/>
    <w:rsid w:val="5CA2297D"/>
    <w:rsid w:val="5CA47E6E"/>
    <w:rsid w:val="5CA71435"/>
    <w:rsid w:val="5CA72FCA"/>
    <w:rsid w:val="5CA8133F"/>
    <w:rsid w:val="5CA82B63"/>
    <w:rsid w:val="5CAA564F"/>
    <w:rsid w:val="5CAB2B15"/>
    <w:rsid w:val="5CAB38A1"/>
    <w:rsid w:val="5CAB4ECB"/>
    <w:rsid w:val="5CAC62C7"/>
    <w:rsid w:val="5CAD148C"/>
    <w:rsid w:val="5CAD17D7"/>
    <w:rsid w:val="5CAE15E3"/>
    <w:rsid w:val="5CB00EB7"/>
    <w:rsid w:val="5CB10FE2"/>
    <w:rsid w:val="5CB14C2F"/>
    <w:rsid w:val="5CB15607"/>
    <w:rsid w:val="5CB5230B"/>
    <w:rsid w:val="5CB656BF"/>
    <w:rsid w:val="5CB87D6C"/>
    <w:rsid w:val="5CBC3C01"/>
    <w:rsid w:val="5CBD748C"/>
    <w:rsid w:val="5CBE001F"/>
    <w:rsid w:val="5CBF559E"/>
    <w:rsid w:val="5CBF7AA6"/>
    <w:rsid w:val="5CC11316"/>
    <w:rsid w:val="5CC44FF2"/>
    <w:rsid w:val="5CCB5CF1"/>
    <w:rsid w:val="5CCD5F20"/>
    <w:rsid w:val="5CCF1258"/>
    <w:rsid w:val="5CD03307"/>
    <w:rsid w:val="5CD2613E"/>
    <w:rsid w:val="5CD31049"/>
    <w:rsid w:val="5CD47BB1"/>
    <w:rsid w:val="5CD56B70"/>
    <w:rsid w:val="5CD66444"/>
    <w:rsid w:val="5CD7058A"/>
    <w:rsid w:val="5CD821BC"/>
    <w:rsid w:val="5CDB057C"/>
    <w:rsid w:val="5CDC1A60"/>
    <w:rsid w:val="5CDC1FC7"/>
    <w:rsid w:val="5CDE56E5"/>
    <w:rsid w:val="5CDF148F"/>
    <w:rsid w:val="5CE04CB5"/>
    <w:rsid w:val="5CE12F88"/>
    <w:rsid w:val="5CE2303B"/>
    <w:rsid w:val="5CE45360"/>
    <w:rsid w:val="5CE463B7"/>
    <w:rsid w:val="5CE56731"/>
    <w:rsid w:val="5CE620CF"/>
    <w:rsid w:val="5CE648D9"/>
    <w:rsid w:val="5CE8096A"/>
    <w:rsid w:val="5CE82CD2"/>
    <w:rsid w:val="5CE95112"/>
    <w:rsid w:val="5CEB2603"/>
    <w:rsid w:val="5CF039A9"/>
    <w:rsid w:val="5CF07506"/>
    <w:rsid w:val="5CF81667"/>
    <w:rsid w:val="5CF85D94"/>
    <w:rsid w:val="5CFB6342"/>
    <w:rsid w:val="5D003399"/>
    <w:rsid w:val="5D0134C1"/>
    <w:rsid w:val="5D025A9F"/>
    <w:rsid w:val="5D027239"/>
    <w:rsid w:val="5D041203"/>
    <w:rsid w:val="5D044F2F"/>
    <w:rsid w:val="5D0571F8"/>
    <w:rsid w:val="5D064F7B"/>
    <w:rsid w:val="5D0923AE"/>
    <w:rsid w:val="5D095648"/>
    <w:rsid w:val="5D0A151F"/>
    <w:rsid w:val="5D0B79FD"/>
    <w:rsid w:val="5D0E2082"/>
    <w:rsid w:val="5D131446"/>
    <w:rsid w:val="5D1379C0"/>
    <w:rsid w:val="5D144416"/>
    <w:rsid w:val="5D152577"/>
    <w:rsid w:val="5D174E5B"/>
    <w:rsid w:val="5D182C2F"/>
    <w:rsid w:val="5D191A5E"/>
    <w:rsid w:val="5D192F00"/>
    <w:rsid w:val="5D194ADC"/>
    <w:rsid w:val="5D1976FB"/>
    <w:rsid w:val="5D1A0A26"/>
    <w:rsid w:val="5D1A32C0"/>
    <w:rsid w:val="5D1D4073"/>
    <w:rsid w:val="5D1D56C4"/>
    <w:rsid w:val="5D1E6300"/>
    <w:rsid w:val="5D1F27C7"/>
    <w:rsid w:val="5D1F6470"/>
    <w:rsid w:val="5D217368"/>
    <w:rsid w:val="5D22030C"/>
    <w:rsid w:val="5D221689"/>
    <w:rsid w:val="5D2366CB"/>
    <w:rsid w:val="5D236733"/>
    <w:rsid w:val="5D242DBD"/>
    <w:rsid w:val="5D243653"/>
    <w:rsid w:val="5D25720C"/>
    <w:rsid w:val="5D26661C"/>
    <w:rsid w:val="5D276C9F"/>
    <w:rsid w:val="5D281115"/>
    <w:rsid w:val="5D2B0A72"/>
    <w:rsid w:val="5D2B1F84"/>
    <w:rsid w:val="5D2B49E2"/>
    <w:rsid w:val="5D2C288D"/>
    <w:rsid w:val="5D2E002E"/>
    <w:rsid w:val="5D2E44D2"/>
    <w:rsid w:val="5D2E64D6"/>
    <w:rsid w:val="5D304620"/>
    <w:rsid w:val="5D310209"/>
    <w:rsid w:val="5D340902"/>
    <w:rsid w:val="5D351D86"/>
    <w:rsid w:val="5D3532A8"/>
    <w:rsid w:val="5D3715D8"/>
    <w:rsid w:val="5D37598E"/>
    <w:rsid w:val="5D3A2C72"/>
    <w:rsid w:val="5D3B6DD3"/>
    <w:rsid w:val="5D3C6BEF"/>
    <w:rsid w:val="5D3D6D9F"/>
    <w:rsid w:val="5D3F223B"/>
    <w:rsid w:val="5D4041AE"/>
    <w:rsid w:val="5D4069FF"/>
    <w:rsid w:val="5D413CF7"/>
    <w:rsid w:val="5D415FB3"/>
    <w:rsid w:val="5D445E0F"/>
    <w:rsid w:val="5D4569AE"/>
    <w:rsid w:val="5D483C9B"/>
    <w:rsid w:val="5D491E46"/>
    <w:rsid w:val="5D4A27E9"/>
    <w:rsid w:val="5D4A31F6"/>
    <w:rsid w:val="5D4B5EB1"/>
    <w:rsid w:val="5D4C4A47"/>
    <w:rsid w:val="5D4C7FC4"/>
    <w:rsid w:val="5D4E62B5"/>
    <w:rsid w:val="5D501602"/>
    <w:rsid w:val="5D550132"/>
    <w:rsid w:val="5D577585"/>
    <w:rsid w:val="5D5901A1"/>
    <w:rsid w:val="5D5B380F"/>
    <w:rsid w:val="5D5C1A16"/>
    <w:rsid w:val="5D5C41E5"/>
    <w:rsid w:val="5D5D3E1E"/>
    <w:rsid w:val="5D5E01EC"/>
    <w:rsid w:val="5D5E175A"/>
    <w:rsid w:val="5D5E5B05"/>
    <w:rsid w:val="5D5F3503"/>
    <w:rsid w:val="5D5F468B"/>
    <w:rsid w:val="5D631D68"/>
    <w:rsid w:val="5D647EF4"/>
    <w:rsid w:val="5D651EB8"/>
    <w:rsid w:val="5D657ABD"/>
    <w:rsid w:val="5D663C6C"/>
    <w:rsid w:val="5D6677C8"/>
    <w:rsid w:val="5D681792"/>
    <w:rsid w:val="5D6B16DC"/>
    <w:rsid w:val="5D6E2740"/>
    <w:rsid w:val="5D720862"/>
    <w:rsid w:val="5D7333F7"/>
    <w:rsid w:val="5D753EAF"/>
    <w:rsid w:val="5D76460B"/>
    <w:rsid w:val="5D7651B1"/>
    <w:rsid w:val="5D7724BB"/>
    <w:rsid w:val="5D782616"/>
    <w:rsid w:val="5D787D80"/>
    <w:rsid w:val="5D7A37C6"/>
    <w:rsid w:val="5D7C78FF"/>
    <w:rsid w:val="5D7E05D6"/>
    <w:rsid w:val="5D7E6190"/>
    <w:rsid w:val="5D8205DF"/>
    <w:rsid w:val="5D83037A"/>
    <w:rsid w:val="5D8365CC"/>
    <w:rsid w:val="5D862436"/>
    <w:rsid w:val="5D881E34"/>
    <w:rsid w:val="5D8A04B2"/>
    <w:rsid w:val="5D916F3A"/>
    <w:rsid w:val="5D9341D8"/>
    <w:rsid w:val="5D9407D9"/>
    <w:rsid w:val="5D946072"/>
    <w:rsid w:val="5D962A06"/>
    <w:rsid w:val="5D972DE5"/>
    <w:rsid w:val="5D9A56C3"/>
    <w:rsid w:val="5D9C4FBE"/>
    <w:rsid w:val="5D9F2CDA"/>
    <w:rsid w:val="5D9F7366"/>
    <w:rsid w:val="5DA14CA4"/>
    <w:rsid w:val="5DA23810"/>
    <w:rsid w:val="5DA33DE2"/>
    <w:rsid w:val="5DA36C6E"/>
    <w:rsid w:val="5DA4554F"/>
    <w:rsid w:val="5DA546AF"/>
    <w:rsid w:val="5DA7514F"/>
    <w:rsid w:val="5DA77C7B"/>
    <w:rsid w:val="5DAA7FFC"/>
    <w:rsid w:val="5DAD7A63"/>
    <w:rsid w:val="5DAE78AC"/>
    <w:rsid w:val="5DB04615"/>
    <w:rsid w:val="5DB06245"/>
    <w:rsid w:val="5DB24AEC"/>
    <w:rsid w:val="5DB276BD"/>
    <w:rsid w:val="5DB30D5B"/>
    <w:rsid w:val="5DB35622"/>
    <w:rsid w:val="5DB524FD"/>
    <w:rsid w:val="5DB6074F"/>
    <w:rsid w:val="5DB65C12"/>
    <w:rsid w:val="5DBA17D4"/>
    <w:rsid w:val="5DBC17B5"/>
    <w:rsid w:val="5DBC3FD2"/>
    <w:rsid w:val="5DBE5681"/>
    <w:rsid w:val="5DC015CE"/>
    <w:rsid w:val="5DC17B54"/>
    <w:rsid w:val="5DC2265C"/>
    <w:rsid w:val="5DC57793"/>
    <w:rsid w:val="5DC7295C"/>
    <w:rsid w:val="5DC8059A"/>
    <w:rsid w:val="5DC944B4"/>
    <w:rsid w:val="5DCB3ACF"/>
    <w:rsid w:val="5DCC0909"/>
    <w:rsid w:val="5DCC1F1C"/>
    <w:rsid w:val="5DCE0087"/>
    <w:rsid w:val="5DCE2481"/>
    <w:rsid w:val="5DCF0038"/>
    <w:rsid w:val="5DD010E5"/>
    <w:rsid w:val="5DD21301"/>
    <w:rsid w:val="5DD230AF"/>
    <w:rsid w:val="5DD25566"/>
    <w:rsid w:val="5DD454EA"/>
    <w:rsid w:val="5DD50E01"/>
    <w:rsid w:val="5DD55129"/>
    <w:rsid w:val="5DD62B9F"/>
    <w:rsid w:val="5DD65873"/>
    <w:rsid w:val="5DDA5163"/>
    <w:rsid w:val="5DDA77FD"/>
    <w:rsid w:val="5DDC3F2E"/>
    <w:rsid w:val="5DDC7A8A"/>
    <w:rsid w:val="5DDD723D"/>
    <w:rsid w:val="5DDE1117"/>
    <w:rsid w:val="5DDE1A54"/>
    <w:rsid w:val="5DDF6040"/>
    <w:rsid w:val="5DDF68CC"/>
    <w:rsid w:val="5DE060D1"/>
    <w:rsid w:val="5DE15320"/>
    <w:rsid w:val="5DE227D8"/>
    <w:rsid w:val="5DE4367E"/>
    <w:rsid w:val="5DE51E64"/>
    <w:rsid w:val="5DE53983"/>
    <w:rsid w:val="5DE649B4"/>
    <w:rsid w:val="5DE73AFC"/>
    <w:rsid w:val="5DE77F99"/>
    <w:rsid w:val="5DE828D3"/>
    <w:rsid w:val="5DEA664B"/>
    <w:rsid w:val="5DEB0B1F"/>
    <w:rsid w:val="5DEB5F1F"/>
    <w:rsid w:val="5DED613B"/>
    <w:rsid w:val="5DF30B88"/>
    <w:rsid w:val="5DF41277"/>
    <w:rsid w:val="5DF433C4"/>
    <w:rsid w:val="5DF70D68"/>
    <w:rsid w:val="5DF70E4E"/>
    <w:rsid w:val="5DF72B16"/>
    <w:rsid w:val="5DFA32E2"/>
    <w:rsid w:val="5DFB447D"/>
    <w:rsid w:val="5DFC15FA"/>
    <w:rsid w:val="5DFD2B8D"/>
    <w:rsid w:val="5DFE20F6"/>
    <w:rsid w:val="5DFE5C52"/>
    <w:rsid w:val="5DFF5ED6"/>
    <w:rsid w:val="5E00162F"/>
    <w:rsid w:val="5E0019CA"/>
    <w:rsid w:val="5E005E6E"/>
    <w:rsid w:val="5E03273F"/>
    <w:rsid w:val="5E053307"/>
    <w:rsid w:val="5E0771FD"/>
    <w:rsid w:val="5E0969BF"/>
    <w:rsid w:val="5E0A12F3"/>
    <w:rsid w:val="5E0A5B42"/>
    <w:rsid w:val="5E0B036F"/>
    <w:rsid w:val="5E0B3621"/>
    <w:rsid w:val="5E1048BB"/>
    <w:rsid w:val="5E145476"/>
    <w:rsid w:val="5E152B00"/>
    <w:rsid w:val="5E156F48"/>
    <w:rsid w:val="5E162F9C"/>
    <w:rsid w:val="5E166031"/>
    <w:rsid w:val="5E166C1F"/>
    <w:rsid w:val="5E1831B8"/>
    <w:rsid w:val="5E1B0500"/>
    <w:rsid w:val="5E1B4D7E"/>
    <w:rsid w:val="5E1C667C"/>
    <w:rsid w:val="5E227EBD"/>
    <w:rsid w:val="5E24744E"/>
    <w:rsid w:val="5E251B51"/>
    <w:rsid w:val="5E2D4789"/>
    <w:rsid w:val="5E2D6537"/>
    <w:rsid w:val="5E313C04"/>
    <w:rsid w:val="5E331DA0"/>
    <w:rsid w:val="5E335C4E"/>
    <w:rsid w:val="5E345C25"/>
    <w:rsid w:val="5E34711E"/>
    <w:rsid w:val="5E355645"/>
    <w:rsid w:val="5E361890"/>
    <w:rsid w:val="5E37564B"/>
    <w:rsid w:val="5E39312E"/>
    <w:rsid w:val="5E3A1D2A"/>
    <w:rsid w:val="5E3C43B8"/>
    <w:rsid w:val="5E3C62A0"/>
    <w:rsid w:val="5E3C6FA9"/>
    <w:rsid w:val="5E3E24F3"/>
    <w:rsid w:val="5E417349"/>
    <w:rsid w:val="5E432F68"/>
    <w:rsid w:val="5E451AD3"/>
    <w:rsid w:val="5E463095"/>
    <w:rsid w:val="5E464C39"/>
    <w:rsid w:val="5E48353D"/>
    <w:rsid w:val="5E48499C"/>
    <w:rsid w:val="5E4A0E97"/>
    <w:rsid w:val="5E4A6AF2"/>
    <w:rsid w:val="5E4C1CAB"/>
    <w:rsid w:val="5E4D2736"/>
    <w:rsid w:val="5E4F0557"/>
    <w:rsid w:val="5E51599C"/>
    <w:rsid w:val="5E51769D"/>
    <w:rsid w:val="5E525B31"/>
    <w:rsid w:val="5E531331"/>
    <w:rsid w:val="5E532442"/>
    <w:rsid w:val="5E5336AC"/>
    <w:rsid w:val="5E541D16"/>
    <w:rsid w:val="5E5463B1"/>
    <w:rsid w:val="5E547F68"/>
    <w:rsid w:val="5E5763C7"/>
    <w:rsid w:val="5E577C9D"/>
    <w:rsid w:val="5E587A58"/>
    <w:rsid w:val="5E5D0197"/>
    <w:rsid w:val="5E5F0D5A"/>
    <w:rsid w:val="5E602469"/>
    <w:rsid w:val="5E620B78"/>
    <w:rsid w:val="5E6261E1"/>
    <w:rsid w:val="5E653F23"/>
    <w:rsid w:val="5E677C9B"/>
    <w:rsid w:val="5E681499"/>
    <w:rsid w:val="5E6A32E8"/>
    <w:rsid w:val="5E6A778C"/>
    <w:rsid w:val="5E6B6243"/>
    <w:rsid w:val="5E6C0022"/>
    <w:rsid w:val="5E6D4B86"/>
    <w:rsid w:val="5E6E102A"/>
    <w:rsid w:val="5E6E2E17"/>
    <w:rsid w:val="5E6F0AF5"/>
    <w:rsid w:val="5E6F62EA"/>
    <w:rsid w:val="5E713415"/>
    <w:rsid w:val="5E714C0F"/>
    <w:rsid w:val="5E7176D0"/>
    <w:rsid w:val="5E7303EE"/>
    <w:rsid w:val="5E730906"/>
    <w:rsid w:val="5E732D3F"/>
    <w:rsid w:val="5E735312"/>
    <w:rsid w:val="5E746D3A"/>
    <w:rsid w:val="5E756369"/>
    <w:rsid w:val="5E7E44A8"/>
    <w:rsid w:val="5E7F3237"/>
    <w:rsid w:val="5E802B0B"/>
    <w:rsid w:val="5E8072DA"/>
    <w:rsid w:val="5E810E56"/>
    <w:rsid w:val="5E812C2B"/>
    <w:rsid w:val="5E827AD3"/>
    <w:rsid w:val="5E8343A9"/>
    <w:rsid w:val="5E8641AB"/>
    <w:rsid w:val="5E87020C"/>
    <w:rsid w:val="5E8777A8"/>
    <w:rsid w:val="5E895E64"/>
    <w:rsid w:val="5E8B5C2C"/>
    <w:rsid w:val="5E8E17F6"/>
    <w:rsid w:val="5E8E502C"/>
    <w:rsid w:val="5E8E6FD6"/>
    <w:rsid w:val="5E8F2D4E"/>
    <w:rsid w:val="5E914D18"/>
    <w:rsid w:val="5E9345EC"/>
    <w:rsid w:val="5E952452"/>
    <w:rsid w:val="5E960581"/>
    <w:rsid w:val="5E97694D"/>
    <w:rsid w:val="5E9860A7"/>
    <w:rsid w:val="5E9A1E1F"/>
    <w:rsid w:val="5E9F778E"/>
    <w:rsid w:val="5EA42C9D"/>
    <w:rsid w:val="5EA52572"/>
    <w:rsid w:val="5EA734E4"/>
    <w:rsid w:val="5EA902B4"/>
    <w:rsid w:val="5EAA7B88"/>
    <w:rsid w:val="5EAB124C"/>
    <w:rsid w:val="5EAB61E5"/>
    <w:rsid w:val="5EAE71B5"/>
    <w:rsid w:val="5EAF519E"/>
    <w:rsid w:val="5EB033F0"/>
    <w:rsid w:val="5EB31E2C"/>
    <w:rsid w:val="5EB32EE1"/>
    <w:rsid w:val="5EB47002"/>
    <w:rsid w:val="5EB540C0"/>
    <w:rsid w:val="5EB56C59"/>
    <w:rsid w:val="5EB62111"/>
    <w:rsid w:val="5EB713FF"/>
    <w:rsid w:val="5EB72BF2"/>
    <w:rsid w:val="5EB822A5"/>
    <w:rsid w:val="5EB82DE4"/>
    <w:rsid w:val="5EBB1D95"/>
    <w:rsid w:val="5EBC058C"/>
    <w:rsid w:val="5EBC2507"/>
    <w:rsid w:val="5EBD2EE1"/>
    <w:rsid w:val="5EBD3D5F"/>
    <w:rsid w:val="5EC04DFF"/>
    <w:rsid w:val="5EC05B97"/>
    <w:rsid w:val="5EC073AC"/>
    <w:rsid w:val="5EC45395"/>
    <w:rsid w:val="5EC6397D"/>
    <w:rsid w:val="5EC74623"/>
    <w:rsid w:val="5EC77192"/>
    <w:rsid w:val="5ECA2749"/>
    <w:rsid w:val="5ECC3D6F"/>
    <w:rsid w:val="5ECC4580"/>
    <w:rsid w:val="5ECD421E"/>
    <w:rsid w:val="5ECE1AC8"/>
    <w:rsid w:val="5ECE4F4D"/>
    <w:rsid w:val="5ECE6501"/>
    <w:rsid w:val="5ECF09A3"/>
    <w:rsid w:val="5ED053E3"/>
    <w:rsid w:val="5ED05841"/>
    <w:rsid w:val="5ED4650D"/>
    <w:rsid w:val="5ED6341F"/>
    <w:rsid w:val="5ED66053"/>
    <w:rsid w:val="5ED74E21"/>
    <w:rsid w:val="5ED777FC"/>
    <w:rsid w:val="5ED846F5"/>
    <w:rsid w:val="5ED859DA"/>
    <w:rsid w:val="5ED864A3"/>
    <w:rsid w:val="5ED920A4"/>
    <w:rsid w:val="5EDB3860"/>
    <w:rsid w:val="5EDC1B78"/>
    <w:rsid w:val="5EDD7BB4"/>
    <w:rsid w:val="5EDE6A7D"/>
    <w:rsid w:val="5EDE7177"/>
    <w:rsid w:val="5EE47C66"/>
    <w:rsid w:val="5EE50540"/>
    <w:rsid w:val="5EE94B54"/>
    <w:rsid w:val="5EEA0A39"/>
    <w:rsid w:val="5EEB1BCA"/>
    <w:rsid w:val="5EEC35D0"/>
    <w:rsid w:val="5EED3070"/>
    <w:rsid w:val="5EEE7857"/>
    <w:rsid w:val="5EEF3228"/>
    <w:rsid w:val="5EF15D3B"/>
    <w:rsid w:val="5EF36C6C"/>
    <w:rsid w:val="5EF64B7B"/>
    <w:rsid w:val="5EF7101F"/>
    <w:rsid w:val="5EF766F6"/>
    <w:rsid w:val="5EF86946"/>
    <w:rsid w:val="5EF86B45"/>
    <w:rsid w:val="5EFA466C"/>
    <w:rsid w:val="5EFC4888"/>
    <w:rsid w:val="5EFF4C61"/>
    <w:rsid w:val="5F01129B"/>
    <w:rsid w:val="5F0137BB"/>
    <w:rsid w:val="5F0279C4"/>
    <w:rsid w:val="5F03630C"/>
    <w:rsid w:val="5F053010"/>
    <w:rsid w:val="5F061262"/>
    <w:rsid w:val="5F077630"/>
    <w:rsid w:val="5F084F74"/>
    <w:rsid w:val="5F090D52"/>
    <w:rsid w:val="5F096E63"/>
    <w:rsid w:val="5F0B4ACB"/>
    <w:rsid w:val="5F0B4F92"/>
    <w:rsid w:val="5F0D0843"/>
    <w:rsid w:val="5F0D2091"/>
    <w:rsid w:val="5F101CD0"/>
    <w:rsid w:val="5F103E8F"/>
    <w:rsid w:val="5F136503"/>
    <w:rsid w:val="5F15112E"/>
    <w:rsid w:val="5F154116"/>
    <w:rsid w:val="5F174C09"/>
    <w:rsid w:val="5F182D44"/>
    <w:rsid w:val="5F1A7422"/>
    <w:rsid w:val="5F1C2437"/>
    <w:rsid w:val="5F1C2CF8"/>
    <w:rsid w:val="5F1F2B61"/>
    <w:rsid w:val="5F223BC2"/>
    <w:rsid w:val="5F230066"/>
    <w:rsid w:val="5F245B8C"/>
    <w:rsid w:val="5F24616B"/>
    <w:rsid w:val="5F252695"/>
    <w:rsid w:val="5F257BD5"/>
    <w:rsid w:val="5F2711D9"/>
    <w:rsid w:val="5F283D41"/>
    <w:rsid w:val="5F2931A3"/>
    <w:rsid w:val="5F2B096A"/>
    <w:rsid w:val="5F2B10C1"/>
    <w:rsid w:val="5F2B57F8"/>
    <w:rsid w:val="5F2C0934"/>
    <w:rsid w:val="5F2C67EF"/>
    <w:rsid w:val="5F2D4AFA"/>
    <w:rsid w:val="5F2E07B9"/>
    <w:rsid w:val="5F2E7EEE"/>
    <w:rsid w:val="5F2F0C99"/>
    <w:rsid w:val="5F310BD2"/>
    <w:rsid w:val="5F33157D"/>
    <w:rsid w:val="5F357D99"/>
    <w:rsid w:val="5F36428D"/>
    <w:rsid w:val="5F37766E"/>
    <w:rsid w:val="5F382280"/>
    <w:rsid w:val="5F38637A"/>
    <w:rsid w:val="5F3955D4"/>
    <w:rsid w:val="5F3A427F"/>
    <w:rsid w:val="5F3B2596"/>
    <w:rsid w:val="5F3B6E50"/>
    <w:rsid w:val="5F3E6C4E"/>
    <w:rsid w:val="5F3F0531"/>
    <w:rsid w:val="5F4104EC"/>
    <w:rsid w:val="5F41098E"/>
    <w:rsid w:val="5F4203D3"/>
    <w:rsid w:val="5F452AD3"/>
    <w:rsid w:val="5F465762"/>
    <w:rsid w:val="5F472C2C"/>
    <w:rsid w:val="5F485F1A"/>
    <w:rsid w:val="5F487AE9"/>
    <w:rsid w:val="5F49114F"/>
    <w:rsid w:val="5F4B1C8E"/>
    <w:rsid w:val="5F4B3CCD"/>
    <w:rsid w:val="5F4C4865"/>
    <w:rsid w:val="5F4E26F5"/>
    <w:rsid w:val="5F4E49B7"/>
    <w:rsid w:val="5F4F6A72"/>
    <w:rsid w:val="5F52422E"/>
    <w:rsid w:val="5F534732"/>
    <w:rsid w:val="5F555D46"/>
    <w:rsid w:val="5F5D2E4C"/>
    <w:rsid w:val="5F5D3B71"/>
    <w:rsid w:val="5F5D4BFA"/>
    <w:rsid w:val="5F5F34CB"/>
    <w:rsid w:val="5F5F5BA9"/>
    <w:rsid w:val="5F607A03"/>
    <w:rsid w:val="5F622F73"/>
    <w:rsid w:val="5F6305A6"/>
    <w:rsid w:val="5F6366B5"/>
    <w:rsid w:val="5F636DCE"/>
    <w:rsid w:val="5F645BD1"/>
    <w:rsid w:val="5F673415"/>
    <w:rsid w:val="5F684F91"/>
    <w:rsid w:val="5F6B071D"/>
    <w:rsid w:val="5F6B46F1"/>
    <w:rsid w:val="5F6C2B19"/>
    <w:rsid w:val="5F6D4AD6"/>
    <w:rsid w:val="5F6E4D72"/>
    <w:rsid w:val="5F6E6E08"/>
    <w:rsid w:val="5F6F1A2E"/>
    <w:rsid w:val="5F7168B8"/>
    <w:rsid w:val="5F73441E"/>
    <w:rsid w:val="5F741157"/>
    <w:rsid w:val="5F742670"/>
    <w:rsid w:val="5F743453"/>
    <w:rsid w:val="5F750405"/>
    <w:rsid w:val="5F752DD2"/>
    <w:rsid w:val="5F7731EE"/>
    <w:rsid w:val="5F775CBC"/>
    <w:rsid w:val="5F7B135D"/>
    <w:rsid w:val="5F7B42E3"/>
    <w:rsid w:val="5F7C05C5"/>
    <w:rsid w:val="5F7D057F"/>
    <w:rsid w:val="5F7D4849"/>
    <w:rsid w:val="5F7D4B47"/>
    <w:rsid w:val="5F7E529D"/>
    <w:rsid w:val="5F7E69B2"/>
    <w:rsid w:val="5F7F7267"/>
    <w:rsid w:val="5F8005E6"/>
    <w:rsid w:val="5F8108E9"/>
    <w:rsid w:val="5F812FDF"/>
    <w:rsid w:val="5F826594"/>
    <w:rsid w:val="5F8403D9"/>
    <w:rsid w:val="5F840C68"/>
    <w:rsid w:val="5F846397"/>
    <w:rsid w:val="5F851089"/>
    <w:rsid w:val="5F856747"/>
    <w:rsid w:val="5F8573A0"/>
    <w:rsid w:val="5F857F66"/>
    <w:rsid w:val="5F8740B5"/>
    <w:rsid w:val="5F87675C"/>
    <w:rsid w:val="5F884A61"/>
    <w:rsid w:val="5F8A7D30"/>
    <w:rsid w:val="5F8D65FE"/>
    <w:rsid w:val="5F8E3006"/>
    <w:rsid w:val="5F922F6A"/>
    <w:rsid w:val="5F926F9A"/>
    <w:rsid w:val="5F933F75"/>
    <w:rsid w:val="5F944AC0"/>
    <w:rsid w:val="5F9525E6"/>
    <w:rsid w:val="5F954394"/>
    <w:rsid w:val="5F9730E2"/>
    <w:rsid w:val="5F9920D6"/>
    <w:rsid w:val="5F9A5E4E"/>
    <w:rsid w:val="5F9D1B1E"/>
    <w:rsid w:val="5F9D59E6"/>
    <w:rsid w:val="5FA10F8B"/>
    <w:rsid w:val="5FA1306E"/>
    <w:rsid w:val="5FA32F55"/>
    <w:rsid w:val="5FA40A7B"/>
    <w:rsid w:val="5FA73C2A"/>
    <w:rsid w:val="5FA82319"/>
    <w:rsid w:val="5FB23198"/>
    <w:rsid w:val="5FB27537"/>
    <w:rsid w:val="5FB53A17"/>
    <w:rsid w:val="5FB5562E"/>
    <w:rsid w:val="5FB605FB"/>
    <w:rsid w:val="5FB70224"/>
    <w:rsid w:val="5FB962D5"/>
    <w:rsid w:val="5FBC7B73"/>
    <w:rsid w:val="5FBC7BA6"/>
    <w:rsid w:val="5FBE3A3F"/>
    <w:rsid w:val="5FBE656B"/>
    <w:rsid w:val="5FBF00FF"/>
    <w:rsid w:val="5FBF1411"/>
    <w:rsid w:val="5FC15189"/>
    <w:rsid w:val="5FC2309D"/>
    <w:rsid w:val="5FC30F01"/>
    <w:rsid w:val="5FC403E3"/>
    <w:rsid w:val="5FC4649E"/>
    <w:rsid w:val="5FC66615"/>
    <w:rsid w:val="5FC94E89"/>
    <w:rsid w:val="5FCC24AC"/>
    <w:rsid w:val="5FCD3B2E"/>
    <w:rsid w:val="5FCE79BD"/>
    <w:rsid w:val="5FCF7F47"/>
    <w:rsid w:val="5FD210B3"/>
    <w:rsid w:val="5FD255E8"/>
    <w:rsid w:val="5FD30251"/>
    <w:rsid w:val="5FD40C2B"/>
    <w:rsid w:val="5FD517CA"/>
    <w:rsid w:val="5FD7298E"/>
    <w:rsid w:val="5FD73E9D"/>
    <w:rsid w:val="5FD76D72"/>
    <w:rsid w:val="5FD85188"/>
    <w:rsid w:val="5FD924D3"/>
    <w:rsid w:val="5FDA7319"/>
    <w:rsid w:val="5FDB26EF"/>
    <w:rsid w:val="5FDB2BEA"/>
    <w:rsid w:val="5FDD2404"/>
    <w:rsid w:val="5FE07D05"/>
    <w:rsid w:val="5FE3688B"/>
    <w:rsid w:val="5FE559CD"/>
    <w:rsid w:val="5FE56DF6"/>
    <w:rsid w:val="5FE710C6"/>
    <w:rsid w:val="5FE84E0C"/>
    <w:rsid w:val="5FE86BBA"/>
    <w:rsid w:val="5FE9338C"/>
    <w:rsid w:val="5FE936F7"/>
    <w:rsid w:val="5FEA46E0"/>
    <w:rsid w:val="5FEC48FC"/>
    <w:rsid w:val="5FF10884"/>
    <w:rsid w:val="5FF4555F"/>
    <w:rsid w:val="5FF53085"/>
    <w:rsid w:val="5FF624E7"/>
    <w:rsid w:val="5FF902BA"/>
    <w:rsid w:val="5FF91595"/>
    <w:rsid w:val="5FF91718"/>
    <w:rsid w:val="5FF94923"/>
    <w:rsid w:val="5FFC08B7"/>
    <w:rsid w:val="5FFC6A7A"/>
    <w:rsid w:val="5FFE462F"/>
    <w:rsid w:val="5FFF61CD"/>
    <w:rsid w:val="600038C4"/>
    <w:rsid w:val="60025ECE"/>
    <w:rsid w:val="60032F94"/>
    <w:rsid w:val="600618B8"/>
    <w:rsid w:val="60065E79"/>
    <w:rsid w:val="60070169"/>
    <w:rsid w:val="60082F12"/>
    <w:rsid w:val="6008725C"/>
    <w:rsid w:val="600A4823"/>
    <w:rsid w:val="600B000E"/>
    <w:rsid w:val="600E62F5"/>
    <w:rsid w:val="601259E5"/>
    <w:rsid w:val="60145C01"/>
    <w:rsid w:val="60151855"/>
    <w:rsid w:val="601616A0"/>
    <w:rsid w:val="601658A7"/>
    <w:rsid w:val="60176AEB"/>
    <w:rsid w:val="601773EE"/>
    <w:rsid w:val="60182A32"/>
    <w:rsid w:val="60185359"/>
    <w:rsid w:val="601A43EF"/>
    <w:rsid w:val="601B2A6D"/>
    <w:rsid w:val="601B2AEB"/>
    <w:rsid w:val="601C31A3"/>
    <w:rsid w:val="60242381"/>
    <w:rsid w:val="602473C8"/>
    <w:rsid w:val="60266763"/>
    <w:rsid w:val="60270435"/>
    <w:rsid w:val="60275E6B"/>
    <w:rsid w:val="602D42F6"/>
    <w:rsid w:val="602E60BA"/>
    <w:rsid w:val="602F2A3B"/>
    <w:rsid w:val="6031230F"/>
    <w:rsid w:val="603218A9"/>
    <w:rsid w:val="603340C9"/>
    <w:rsid w:val="603358AD"/>
    <w:rsid w:val="60343BAD"/>
    <w:rsid w:val="60371207"/>
    <w:rsid w:val="603718EF"/>
    <w:rsid w:val="60373939"/>
    <w:rsid w:val="6037544B"/>
    <w:rsid w:val="603911C4"/>
    <w:rsid w:val="603B13E0"/>
    <w:rsid w:val="603B7746"/>
    <w:rsid w:val="603C144B"/>
    <w:rsid w:val="603D05FD"/>
    <w:rsid w:val="604326ED"/>
    <w:rsid w:val="604638E0"/>
    <w:rsid w:val="60477D84"/>
    <w:rsid w:val="60487EAF"/>
    <w:rsid w:val="604D7B88"/>
    <w:rsid w:val="605113B0"/>
    <w:rsid w:val="605204D7"/>
    <w:rsid w:val="60522285"/>
    <w:rsid w:val="60523832"/>
    <w:rsid w:val="6054424F"/>
    <w:rsid w:val="60571CFB"/>
    <w:rsid w:val="60593AF3"/>
    <w:rsid w:val="60595F74"/>
    <w:rsid w:val="605D3C0F"/>
    <w:rsid w:val="605F0815"/>
    <w:rsid w:val="605F3679"/>
    <w:rsid w:val="605F57CF"/>
    <w:rsid w:val="60600A87"/>
    <w:rsid w:val="60600E46"/>
    <w:rsid w:val="60621C6C"/>
    <w:rsid w:val="60623024"/>
    <w:rsid w:val="60631B06"/>
    <w:rsid w:val="60640FCF"/>
    <w:rsid w:val="60655947"/>
    <w:rsid w:val="606630DA"/>
    <w:rsid w:val="6066480F"/>
    <w:rsid w:val="60670FC9"/>
    <w:rsid w:val="60680A3A"/>
    <w:rsid w:val="60690453"/>
    <w:rsid w:val="606A3397"/>
    <w:rsid w:val="606C5781"/>
    <w:rsid w:val="606D2C19"/>
    <w:rsid w:val="606E57EA"/>
    <w:rsid w:val="606E776A"/>
    <w:rsid w:val="606F18AA"/>
    <w:rsid w:val="606F4BE5"/>
    <w:rsid w:val="6071416B"/>
    <w:rsid w:val="607246D5"/>
    <w:rsid w:val="60731795"/>
    <w:rsid w:val="60753BCD"/>
    <w:rsid w:val="607740A4"/>
    <w:rsid w:val="607B251F"/>
    <w:rsid w:val="607D4876"/>
    <w:rsid w:val="607D4C2F"/>
    <w:rsid w:val="607E12CC"/>
    <w:rsid w:val="607F2E50"/>
    <w:rsid w:val="60805044"/>
    <w:rsid w:val="60820545"/>
    <w:rsid w:val="6082251F"/>
    <w:rsid w:val="60824919"/>
    <w:rsid w:val="60867116"/>
    <w:rsid w:val="6088266F"/>
    <w:rsid w:val="60885CA7"/>
    <w:rsid w:val="60891385"/>
    <w:rsid w:val="608A3BE5"/>
    <w:rsid w:val="608C39E9"/>
    <w:rsid w:val="608D150F"/>
    <w:rsid w:val="608E59B3"/>
    <w:rsid w:val="609028F6"/>
    <w:rsid w:val="60911B92"/>
    <w:rsid w:val="60917251"/>
    <w:rsid w:val="60955422"/>
    <w:rsid w:val="60956B25"/>
    <w:rsid w:val="609805E0"/>
    <w:rsid w:val="609B484F"/>
    <w:rsid w:val="609B79A5"/>
    <w:rsid w:val="609C5D62"/>
    <w:rsid w:val="609F63E4"/>
    <w:rsid w:val="60A07495"/>
    <w:rsid w:val="60A2320D"/>
    <w:rsid w:val="60A56859"/>
    <w:rsid w:val="60AA72A6"/>
    <w:rsid w:val="60AC408B"/>
    <w:rsid w:val="60AC459F"/>
    <w:rsid w:val="60AE4409"/>
    <w:rsid w:val="60AE7228"/>
    <w:rsid w:val="60AF1486"/>
    <w:rsid w:val="60B349C5"/>
    <w:rsid w:val="60B3541A"/>
    <w:rsid w:val="60B618AB"/>
    <w:rsid w:val="60B73086"/>
    <w:rsid w:val="60BB607C"/>
    <w:rsid w:val="60C018E5"/>
    <w:rsid w:val="60C17E6A"/>
    <w:rsid w:val="60C211B9"/>
    <w:rsid w:val="60C23997"/>
    <w:rsid w:val="60C2411E"/>
    <w:rsid w:val="60C3622F"/>
    <w:rsid w:val="60C4544F"/>
    <w:rsid w:val="60C767CF"/>
    <w:rsid w:val="60C87C85"/>
    <w:rsid w:val="60CF14B0"/>
    <w:rsid w:val="60CF38D6"/>
    <w:rsid w:val="60CF5779"/>
    <w:rsid w:val="60D07175"/>
    <w:rsid w:val="60D15C66"/>
    <w:rsid w:val="60D4713E"/>
    <w:rsid w:val="60D57568"/>
    <w:rsid w:val="60D66460"/>
    <w:rsid w:val="60D6692F"/>
    <w:rsid w:val="60D826C7"/>
    <w:rsid w:val="60D847A8"/>
    <w:rsid w:val="60DF1D6B"/>
    <w:rsid w:val="60E03D35"/>
    <w:rsid w:val="60E3018F"/>
    <w:rsid w:val="60E43825"/>
    <w:rsid w:val="60E551F2"/>
    <w:rsid w:val="60E850FD"/>
    <w:rsid w:val="60E94998"/>
    <w:rsid w:val="60EA5FA2"/>
    <w:rsid w:val="60EB4BB4"/>
    <w:rsid w:val="60EC4488"/>
    <w:rsid w:val="60ED61C7"/>
    <w:rsid w:val="60F11A9E"/>
    <w:rsid w:val="60F17CF0"/>
    <w:rsid w:val="60F33A68"/>
    <w:rsid w:val="60F35816"/>
    <w:rsid w:val="60F43B63"/>
    <w:rsid w:val="60F45D4A"/>
    <w:rsid w:val="60F5158E"/>
    <w:rsid w:val="60F52B83"/>
    <w:rsid w:val="60F55411"/>
    <w:rsid w:val="60F872D1"/>
    <w:rsid w:val="60FA17E8"/>
    <w:rsid w:val="60FA4DF7"/>
    <w:rsid w:val="60FD2E3F"/>
    <w:rsid w:val="60FE64C3"/>
    <w:rsid w:val="61016185"/>
    <w:rsid w:val="61021A6A"/>
    <w:rsid w:val="61025A59"/>
    <w:rsid w:val="61032535"/>
    <w:rsid w:val="610340E9"/>
    <w:rsid w:val="61041926"/>
    <w:rsid w:val="61042E3F"/>
    <w:rsid w:val="61071143"/>
    <w:rsid w:val="61082371"/>
    <w:rsid w:val="610A5F2A"/>
    <w:rsid w:val="610E08A2"/>
    <w:rsid w:val="610E2650"/>
    <w:rsid w:val="610E6B3A"/>
    <w:rsid w:val="610F0880"/>
    <w:rsid w:val="610F7FCD"/>
    <w:rsid w:val="611134A9"/>
    <w:rsid w:val="61121BA3"/>
    <w:rsid w:val="61126BE5"/>
    <w:rsid w:val="611530B6"/>
    <w:rsid w:val="61154C74"/>
    <w:rsid w:val="611724E2"/>
    <w:rsid w:val="611759A9"/>
    <w:rsid w:val="611A0140"/>
    <w:rsid w:val="611A5DAC"/>
    <w:rsid w:val="611B64FD"/>
    <w:rsid w:val="611C318D"/>
    <w:rsid w:val="611E2EDC"/>
    <w:rsid w:val="61202383"/>
    <w:rsid w:val="61202A29"/>
    <w:rsid w:val="61245BD4"/>
    <w:rsid w:val="612956DC"/>
    <w:rsid w:val="612B08A8"/>
    <w:rsid w:val="612C5666"/>
    <w:rsid w:val="612E684E"/>
    <w:rsid w:val="612F0022"/>
    <w:rsid w:val="6131719E"/>
    <w:rsid w:val="61321F75"/>
    <w:rsid w:val="6132243A"/>
    <w:rsid w:val="613321A9"/>
    <w:rsid w:val="61343382"/>
    <w:rsid w:val="613603E4"/>
    <w:rsid w:val="61363D34"/>
    <w:rsid w:val="6137634A"/>
    <w:rsid w:val="613939BE"/>
    <w:rsid w:val="61395C63"/>
    <w:rsid w:val="613A00F7"/>
    <w:rsid w:val="613B5FCA"/>
    <w:rsid w:val="613E2F72"/>
    <w:rsid w:val="613F26EA"/>
    <w:rsid w:val="613F446D"/>
    <w:rsid w:val="61411A57"/>
    <w:rsid w:val="61433328"/>
    <w:rsid w:val="61471FEF"/>
    <w:rsid w:val="61476580"/>
    <w:rsid w:val="61486EB2"/>
    <w:rsid w:val="614918B6"/>
    <w:rsid w:val="614B5642"/>
    <w:rsid w:val="614B66FB"/>
    <w:rsid w:val="614D0D3A"/>
    <w:rsid w:val="614D73EA"/>
    <w:rsid w:val="6151138E"/>
    <w:rsid w:val="61521F04"/>
    <w:rsid w:val="61534507"/>
    <w:rsid w:val="615362B5"/>
    <w:rsid w:val="61563995"/>
    <w:rsid w:val="615648BD"/>
    <w:rsid w:val="61572249"/>
    <w:rsid w:val="615736B4"/>
    <w:rsid w:val="615A16E5"/>
    <w:rsid w:val="615A3AE7"/>
    <w:rsid w:val="615A5895"/>
    <w:rsid w:val="615B1571"/>
    <w:rsid w:val="615C3490"/>
    <w:rsid w:val="615C73EF"/>
    <w:rsid w:val="61630BEE"/>
    <w:rsid w:val="6163588F"/>
    <w:rsid w:val="616404C2"/>
    <w:rsid w:val="616474CA"/>
    <w:rsid w:val="6165427D"/>
    <w:rsid w:val="61666B82"/>
    <w:rsid w:val="61691F7C"/>
    <w:rsid w:val="61694432"/>
    <w:rsid w:val="61696F09"/>
    <w:rsid w:val="616B7AA3"/>
    <w:rsid w:val="616C5E36"/>
    <w:rsid w:val="616D7F77"/>
    <w:rsid w:val="616F3359"/>
    <w:rsid w:val="61706E67"/>
    <w:rsid w:val="61707F91"/>
    <w:rsid w:val="617140C2"/>
    <w:rsid w:val="61750529"/>
    <w:rsid w:val="617507CF"/>
    <w:rsid w:val="61753435"/>
    <w:rsid w:val="61761FA3"/>
    <w:rsid w:val="61763FFC"/>
    <w:rsid w:val="61772657"/>
    <w:rsid w:val="61783DE2"/>
    <w:rsid w:val="61783E09"/>
    <w:rsid w:val="617B7E11"/>
    <w:rsid w:val="617F52FC"/>
    <w:rsid w:val="61815CF2"/>
    <w:rsid w:val="61816F38"/>
    <w:rsid w:val="618172C6"/>
    <w:rsid w:val="61824FF8"/>
    <w:rsid w:val="61830BFA"/>
    <w:rsid w:val="61864B99"/>
    <w:rsid w:val="6187214C"/>
    <w:rsid w:val="6188048F"/>
    <w:rsid w:val="61885C49"/>
    <w:rsid w:val="61891CD7"/>
    <w:rsid w:val="61897F29"/>
    <w:rsid w:val="618A333F"/>
    <w:rsid w:val="618B1EF3"/>
    <w:rsid w:val="618B1F5D"/>
    <w:rsid w:val="618B3CA1"/>
    <w:rsid w:val="618E3791"/>
    <w:rsid w:val="61914D9C"/>
    <w:rsid w:val="6192481A"/>
    <w:rsid w:val="61932119"/>
    <w:rsid w:val="61941B7F"/>
    <w:rsid w:val="61950013"/>
    <w:rsid w:val="61954B1F"/>
    <w:rsid w:val="61955BE0"/>
    <w:rsid w:val="619C1A0A"/>
    <w:rsid w:val="619F599E"/>
    <w:rsid w:val="61A07E69"/>
    <w:rsid w:val="61A145D6"/>
    <w:rsid w:val="61A22D98"/>
    <w:rsid w:val="61A758A3"/>
    <w:rsid w:val="61A94127"/>
    <w:rsid w:val="61AA6CF2"/>
    <w:rsid w:val="61AC3024"/>
    <w:rsid w:val="61AD3E67"/>
    <w:rsid w:val="61AE0FAA"/>
    <w:rsid w:val="61AE331B"/>
    <w:rsid w:val="61AE5804"/>
    <w:rsid w:val="61B509B1"/>
    <w:rsid w:val="61B50D1E"/>
    <w:rsid w:val="61B551C2"/>
    <w:rsid w:val="61B6386F"/>
    <w:rsid w:val="61B64B12"/>
    <w:rsid w:val="61B772A6"/>
    <w:rsid w:val="61B96A60"/>
    <w:rsid w:val="61BA27D8"/>
    <w:rsid w:val="61BA389A"/>
    <w:rsid w:val="61BB7C79"/>
    <w:rsid w:val="61BF1193"/>
    <w:rsid w:val="61C13B66"/>
    <w:rsid w:val="61C3168D"/>
    <w:rsid w:val="61C316DA"/>
    <w:rsid w:val="61C41811"/>
    <w:rsid w:val="61C46DD7"/>
    <w:rsid w:val="61C47583"/>
    <w:rsid w:val="61C62F2B"/>
    <w:rsid w:val="61C84EF5"/>
    <w:rsid w:val="61CA2A1B"/>
    <w:rsid w:val="61CB32AE"/>
    <w:rsid w:val="61CD0ADB"/>
    <w:rsid w:val="61CD42B9"/>
    <w:rsid w:val="61D065E0"/>
    <w:rsid w:val="61D373F6"/>
    <w:rsid w:val="61D514F7"/>
    <w:rsid w:val="61D64503"/>
    <w:rsid w:val="61D734DA"/>
    <w:rsid w:val="61D7370C"/>
    <w:rsid w:val="61DC0DF0"/>
    <w:rsid w:val="61DF1B49"/>
    <w:rsid w:val="61DF3FED"/>
    <w:rsid w:val="61DF6C16"/>
    <w:rsid w:val="61E04CD5"/>
    <w:rsid w:val="61E239A6"/>
    <w:rsid w:val="61E450E3"/>
    <w:rsid w:val="61E52B68"/>
    <w:rsid w:val="61E635CD"/>
    <w:rsid w:val="61E810F3"/>
    <w:rsid w:val="61E944E1"/>
    <w:rsid w:val="61E97A82"/>
    <w:rsid w:val="61EA4E6B"/>
    <w:rsid w:val="61EA6C19"/>
    <w:rsid w:val="61EB0BE3"/>
    <w:rsid w:val="61EB473F"/>
    <w:rsid w:val="61EB62A9"/>
    <w:rsid w:val="61ED495B"/>
    <w:rsid w:val="61EE673E"/>
    <w:rsid w:val="61F16BAE"/>
    <w:rsid w:val="61F2727D"/>
    <w:rsid w:val="61F42DF4"/>
    <w:rsid w:val="61F5214B"/>
    <w:rsid w:val="61F555BE"/>
    <w:rsid w:val="61F83D3F"/>
    <w:rsid w:val="61FB458B"/>
    <w:rsid w:val="61FC694D"/>
    <w:rsid w:val="61FC6BD9"/>
    <w:rsid w:val="61FE26C5"/>
    <w:rsid w:val="61FE4473"/>
    <w:rsid w:val="61FF1397"/>
    <w:rsid w:val="6200643D"/>
    <w:rsid w:val="62031A89"/>
    <w:rsid w:val="62090567"/>
    <w:rsid w:val="62091C84"/>
    <w:rsid w:val="62097391"/>
    <w:rsid w:val="620A0569"/>
    <w:rsid w:val="620A72BB"/>
    <w:rsid w:val="620B3141"/>
    <w:rsid w:val="620B4882"/>
    <w:rsid w:val="620B4DE2"/>
    <w:rsid w:val="620E0B57"/>
    <w:rsid w:val="620F48D2"/>
    <w:rsid w:val="6211064A"/>
    <w:rsid w:val="62110E73"/>
    <w:rsid w:val="62143C96"/>
    <w:rsid w:val="6217038E"/>
    <w:rsid w:val="62197C87"/>
    <w:rsid w:val="621B1BF9"/>
    <w:rsid w:val="621C0D9D"/>
    <w:rsid w:val="621C5035"/>
    <w:rsid w:val="621D774B"/>
    <w:rsid w:val="621E2698"/>
    <w:rsid w:val="621E43B7"/>
    <w:rsid w:val="6222268E"/>
    <w:rsid w:val="62233915"/>
    <w:rsid w:val="622639C9"/>
    <w:rsid w:val="62265778"/>
    <w:rsid w:val="62265A2C"/>
    <w:rsid w:val="622668B9"/>
    <w:rsid w:val="62272D3F"/>
    <w:rsid w:val="62274D59"/>
    <w:rsid w:val="622814F0"/>
    <w:rsid w:val="62286F0E"/>
    <w:rsid w:val="6229523A"/>
    <w:rsid w:val="622C1B47"/>
    <w:rsid w:val="622C5484"/>
    <w:rsid w:val="622D3399"/>
    <w:rsid w:val="622D56C0"/>
    <w:rsid w:val="622D6A22"/>
    <w:rsid w:val="622E5507"/>
    <w:rsid w:val="622F0AD0"/>
    <w:rsid w:val="62334D53"/>
    <w:rsid w:val="6234166D"/>
    <w:rsid w:val="62344338"/>
    <w:rsid w:val="62356BEC"/>
    <w:rsid w:val="623934C1"/>
    <w:rsid w:val="623D6CAD"/>
    <w:rsid w:val="623E2ADC"/>
    <w:rsid w:val="623F023C"/>
    <w:rsid w:val="62400DDA"/>
    <w:rsid w:val="62402D30"/>
    <w:rsid w:val="62412368"/>
    <w:rsid w:val="6244487C"/>
    <w:rsid w:val="62456545"/>
    <w:rsid w:val="62481B92"/>
    <w:rsid w:val="62483E87"/>
    <w:rsid w:val="62487DE4"/>
    <w:rsid w:val="624A3B5C"/>
    <w:rsid w:val="624D7611"/>
    <w:rsid w:val="624F50DA"/>
    <w:rsid w:val="625322C7"/>
    <w:rsid w:val="62557ED0"/>
    <w:rsid w:val="6256117B"/>
    <w:rsid w:val="62562501"/>
    <w:rsid w:val="6256605D"/>
    <w:rsid w:val="62595B4D"/>
    <w:rsid w:val="625A4188"/>
    <w:rsid w:val="625B20CE"/>
    <w:rsid w:val="625B3673"/>
    <w:rsid w:val="625B4D27"/>
    <w:rsid w:val="62613F3B"/>
    <w:rsid w:val="62620EA5"/>
    <w:rsid w:val="6263077A"/>
    <w:rsid w:val="62634C1E"/>
    <w:rsid w:val="626453AC"/>
    <w:rsid w:val="6265219D"/>
    <w:rsid w:val="62663B30"/>
    <w:rsid w:val="6266580F"/>
    <w:rsid w:val="6266663F"/>
    <w:rsid w:val="62671E25"/>
    <w:rsid w:val="62685D90"/>
    <w:rsid w:val="626B02E7"/>
    <w:rsid w:val="626B7C40"/>
    <w:rsid w:val="626D15F8"/>
    <w:rsid w:val="626D784A"/>
    <w:rsid w:val="626E292D"/>
    <w:rsid w:val="626F1110"/>
    <w:rsid w:val="627110E9"/>
    <w:rsid w:val="62715471"/>
    <w:rsid w:val="6274637F"/>
    <w:rsid w:val="627523B1"/>
    <w:rsid w:val="627666FF"/>
    <w:rsid w:val="62774225"/>
    <w:rsid w:val="62791D4B"/>
    <w:rsid w:val="62797F9D"/>
    <w:rsid w:val="627A3652"/>
    <w:rsid w:val="627C5F72"/>
    <w:rsid w:val="62821AAC"/>
    <w:rsid w:val="628232F6"/>
    <w:rsid w:val="628356F2"/>
    <w:rsid w:val="628551A2"/>
    <w:rsid w:val="62856942"/>
    <w:rsid w:val="628726BA"/>
    <w:rsid w:val="62893AE2"/>
    <w:rsid w:val="628964F1"/>
    <w:rsid w:val="628A1B1B"/>
    <w:rsid w:val="629244AA"/>
    <w:rsid w:val="62931BBE"/>
    <w:rsid w:val="62970456"/>
    <w:rsid w:val="62976675"/>
    <w:rsid w:val="629B40F7"/>
    <w:rsid w:val="629D6654"/>
    <w:rsid w:val="62A10326"/>
    <w:rsid w:val="62A468BF"/>
    <w:rsid w:val="62A476D7"/>
    <w:rsid w:val="62A67154"/>
    <w:rsid w:val="62A71CF2"/>
    <w:rsid w:val="62A82630"/>
    <w:rsid w:val="62A95D26"/>
    <w:rsid w:val="62AA0157"/>
    <w:rsid w:val="62AC0373"/>
    <w:rsid w:val="62AC2121"/>
    <w:rsid w:val="62AE5B3C"/>
    <w:rsid w:val="62B2525D"/>
    <w:rsid w:val="62B31DB5"/>
    <w:rsid w:val="62B45EB9"/>
    <w:rsid w:val="62B72874"/>
    <w:rsid w:val="62B93562"/>
    <w:rsid w:val="62B93720"/>
    <w:rsid w:val="62B94C0A"/>
    <w:rsid w:val="62B965EC"/>
    <w:rsid w:val="62BD3036"/>
    <w:rsid w:val="62BE193B"/>
    <w:rsid w:val="62BE1E54"/>
    <w:rsid w:val="62C001B9"/>
    <w:rsid w:val="62C0797A"/>
    <w:rsid w:val="62C31A1B"/>
    <w:rsid w:val="62C40B19"/>
    <w:rsid w:val="62C423F5"/>
    <w:rsid w:val="62C51707"/>
    <w:rsid w:val="62C653B1"/>
    <w:rsid w:val="62C70D09"/>
    <w:rsid w:val="62C84A81"/>
    <w:rsid w:val="62CC275F"/>
    <w:rsid w:val="62CD0900"/>
    <w:rsid w:val="62CD1B9F"/>
    <w:rsid w:val="62CD2812"/>
    <w:rsid w:val="62CE02E9"/>
    <w:rsid w:val="62CE22C2"/>
    <w:rsid w:val="62D01A5D"/>
    <w:rsid w:val="62D35345"/>
    <w:rsid w:val="62D578C9"/>
    <w:rsid w:val="62D72BDE"/>
    <w:rsid w:val="62DA4E8E"/>
    <w:rsid w:val="62DB2989"/>
    <w:rsid w:val="62DC0514"/>
    <w:rsid w:val="62DF4051"/>
    <w:rsid w:val="62DF59B2"/>
    <w:rsid w:val="62E07A60"/>
    <w:rsid w:val="62E16AB7"/>
    <w:rsid w:val="62E55633"/>
    <w:rsid w:val="62E573E1"/>
    <w:rsid w:val="62E91611"/>
    <w:rsid w:val="62EA2C49"/>
    <w:rsid w:val="62EA3478"/>
    <w:rsid w:val="62EC2A62"/>
    <w:rsid w:val="62EE2739"/>
    <w:rsid w:val="62F44E30"/>
    <w:rsid w:val="62F46F20"/>
    <w:rsid w:val="62F655DD"/>
    <w:rsid w:val="62F67840"/>
    <w:rsid w:val="62F82F7B"/>
    <w:rsid w:val="62FF406F"/>
    <w:rsid w:val="62FF66F4"/>
    <w:rsid w:val="630006BE"/>
    <w:rsid w:val="63016362"/>
    <w:rsid w:val="630215DA"/>
    <w:rsid w:val="63060568"/>
    <w:rsid w:val="630630F3"/>
    <w:rsid w:val="63071A4D"/>
    <w:rsid w:val="630755A9"/>
    <w:rsid w:val="63092BE9"/>
    <w:rsid w:val="63092E9C"/>
    <w:rsid w:val="63096493"/>
    <w:rsid w:val="630A365B"/>
    <w:rsid w:val="630B32EB"/>
    <w:rsid w:val="630C7063"/>
    <w:rsid w:val="630D7CD1"/>
    <w:rsid w:val="630E17D1"/>
    <w:rsid w:val="630F27E1"/>
    <w:rsid w:val="630F445E"/>
    <w:rsid w:val="630F5FAF"/>
    <w:rsid w:val="631101D6"/>
    <w:rsid w:val="6311467A"/>
    <w:rsid w:val="63140C4B"/>
    <w:rsid w:val="6319505B"/>
    <w:rsid w:val="63197D2B"/>
    <w:rsid w:val="631A25A3"/>
    <w:rsid w:val="631B6240"/>
    <w:rsid w:val="631D4DCC"/>
    <w:rsid w:val="631D6B7A"/>
    <w:rsid w:val="631E435E"/>
    <w:rsid w:val="631F5B2D"/>
    <w:rsid w:val="63243993"/>
    <w:rsid w:val="632443AD"/>
    <w:rsid w:val="63272375"/>
    <w:rsid w:val="63275C4B"/>
    <w:rsid w:val="632A1297"/>
    <w:rsid w:val="632B24B6"/>
    <w:rsid w:val="632B4088"/>
    <w:rsid w:val="632D7990"/>
    <w:rsid w:val="632E23B1"/>
    <w:rsid w:val="632F62F8"/>
    <w:rsid w:val="63304B00"/>
    <w:rsid w:val="6331344C"/>
    <w:rsid w:val="63327AB9"/>
    <w:rsid w:val="63330C1B"/>
    <w:rsid w:val="6336485F"/>
    <w:rsid w:val="63381C06"/>
    <w:rsid w:val="63391906"/>
    <w:rsid w:val="63391F7B"/>
    <w:rsid w:val="63392E41"/>
    <w:rsid w:val="633D1D8C"/>
    <w:rsid w:val="633D1E74"/>
    <w:rsid w:val="633E3629"/>
    <w:rsid w:val="63404387"/>
    <w:rsid w:val="63467C70"/>
    <w:rsid w:val="63473BF7"/>
    <w:rsid w:val="63474438"/>
    <w:rsid w:val="634A0EB1"/>
    <w:rsid w:val="634A36E8"/>
    <w:rsid w:val="634C4BA5"/>
    <w:rsid w:val="634E7E04"/>
    <w:rsid w:val="634F3402"/>
    <w:rsid w:val="635049CC"/>
    <w:rsid w:val="6353259C"/>
    <w:rsid w:val="63534A94"/>
    <w:rsid w:val="63537498"/>
    <w:rsid w:val="63554566"/>
    <w:rsid w:val="63586994"/>
    <w:rsid w:val="635A2FAE"/>
    <w:rsid w:val="635B22A4"/>
    <w:rsid w:val="635B4170"/>
    <w:rsid w:val="635B4488"/>
    <w:rsid w:val="635D78BF"/>
    <w:rsid w:val="635E38F3"/>
    <w:rsid w:val="63615F56"/>
    <w:rsid w:val="63627B5F"/>
    <w:rsid w:val="63632BE3"/>
    <w:rsid w:val="636364AC"/>
    <w:rsid w:val="636532E3"/>
    <w:rsid w:val="636649C5"/>
    <w:rsid w:val="636B5B38"/>
    <w:rsid w:val="636D189A"/>
    <w:rsid w:val="636D5034"/>
    <w:rsid w:val="636E1233"/>
    <w:rsid w:val="636E1A3A"/>
    <w:rsid w:val="636E5BA8"/>
    <w:rsid w:val="637013A0"/>
    <w:rsid w:val="63701F10"/>
    <w:rsid w:val="63706172"/>
    <w:rsid w:val="63732C3E"/>
    <w:rsid w:val="63743497"/>
    <w:rsid w:val="63755831"/>
    <w:rsid w:val="637718CB"/>
    <w:rsid w:val="6378315B"/>
    <w:rsid w:val="637B1D2E"/>
    <w:rsid w:val="637C1792"/>
    <w:rsid w:val="637F36E5"/>
    <w:rsid w:val="637F4537"/>
    <w:rsid w:val="63815FDA"/>
    <w:rsid w:val="638259C1"/>
    <w:rsid w:val="6383324E"/>
    <w:rsid w:val="63844520"/>
    <w:rsid w:val="63845D82"/>
    <w:rsid w:val="6385441C"/>
    <w:rsid w:val="638601D8"/>
    <w:rsid w:val="63861A11"/>
    <w:rsid w:val="63865409"/>
    <w:rsid w:val="63896ADA"/>
    <w:rsid w:val="638C1100"/>
    <w:rsid w:val="638C5AAE"/>
    <w:rsid w:val="638E4764"/>
    <w:rsid w:val="638E67FA"/>
    <w:rsid w:val="638F1633"/>
    <w:rsid w:val="63907D73"/>
    <w:rsid w:val="639233E5"/>
    <w:rsid w:val="639257BA"/>
    <w:rsid w:val="63933DBC"/>
    <w:rsid w:val="63936D24"/>
    <w:rsid w:val="63950E07"/>
    <w:rsid w:val="63980E88"/>
    <w:rsid w:val="639A4E02"/>
    <w:rsid w:val="639D5F0D"/>
    <w:rsid w:val="639F20B9"/>
    <w:rsid w:val="639F2EA3"/>
    <w:rsid w:val="63A0369D"/>
    <w:rsid w:val="63A0514C"/>
    <w:rsid w:val="63A2520E"/>
    <w:rsid w:val="63A44B67"/>
    <w:rsid w:val="63A6046B"/>
    <w:rsid w:val="63A63014"/>
    <w:rsid w:val="63A759EE"/>
    <w:rsid w:val="63A80DB4"/>
    <w:rsid w:val="63A94DAB"/>
    <w:rsid w:val="63AB4186"/>
    <w:rsid w:val="63AD1701"/>
    <w:rsid w:val="63AE1EC8"/>
    <w:rsid w:val="63AF718C"/>
    <w:rsid w:val="63B0099E"/>
    <w:rsid w:val="63B079EF"/>
    <w:rsid w:val="63B219B9"/>
    <w:rsid w:val="63B227B1"/>
    <w:rsid w:val="63B23767"/>
    <w:rsid w:val="63B25199"/>
    <w:rsid w:val="63B35731"/>
    <w:rsid w:val="63B84AF5"/>
    <w:rsid w:val="63B868A3"/>
    <w:rsid w:val="63BA1CA3"/>
    <w:rsid w:val="63BC2837"/>
    <w:rsid w:val="63BC76D1"/>
    <w:rsid w:val="63BD1AFD"/>
    <w:rsid w:val="63BD2DDA"/>
    <w:rsid w:val="63BE4957"/>
    <w:rsid w:val="63C139AA"/>
    <w:rsid w:val="63C27722"/>
    <w:rsid w:val="63C36769"/>
    <w:rsid w:val="63C4708C"/>
    <w:rsid w:val="63C66F64"/>
    <w:rsid w:val="63C85D79"/>
    <w:rsid w:val="63C92918"/>
    <w:rsid w:val="63CB2A6E"/>
    <w:rsid w:val="63CC234F"/>
    <w:rsid w:val="63CD67F3"/>
    <w:rsid w:val="63CE1306"/>
    <w:rsid w:val="63D0686F"/>
    <w:rsid w:val="63D23E09"/>
    <w:rsid w:val="63D40888"/>
    <w:rsid w:val="63D538F9"/>
    <w:rsid w:val="63D97A6C"/>
    <w:rsid w:val="63DB1915"/>
    <w:rsid w:val="63DD6F3C"/>
    <w:rsid w:val="63E05A07"/>
    <w:rsid w:val="63E31B72"/>
    <w:rsid w:val="63E32064"/>
    <w:rsid w:val="63E36016"/>
    <w:rsid w:val="63E37DC4"/>
    <w:rsid w:val="63E458EA"/>
    <w:rsid w:val="63E547BF"/>
    <w:rsid w:val="63E562C2"/>
    <w:rsid w:val="63E57DDF"/>
    <w:rsid w:val="63E613E7"/>
    <w:rsid w:val="63E87188"/>
    <w:rsid w:val="63E9223E"/>
    <w:rsid w:val="63EA4354"/>
    <w:rsid w:val="63EA73A4"/>
    <w:rsid w:val="63ED201F"/>
    <w:rsid w:val="63EF49BB"/>
    <w:rsid w:val="63F03E5A"/>
    <w:rsid w:val="63F068E5"/>
    <w:rsid w:val="63F126AC"/>
    <w:rsid w:val="63F172BF"/>
    <w:rsid w:val="63F32822"/>
    <w:rsid w:val="63F35B2D"/>
    <w:rsid w:val="63F773CC"/>
    <w:rsid w:val="63F8145E"/>
    <w:rsid w:val="63F85CD2"/>
    <w:rsid w:val="63F96C30"/>
    <w:rsid w:val="63FA6EBC"/>
    <w:rsid w:val="63FB3A00"/>
    <w:rsid w:val="63FB7E15"/>
    <w:rsid w:val="63FC040C"/>
    <w:rsid w:val="63FF5EE3"/>
    <w:rsid w:val="64002DAD"/>
    <w:rsid w:val="64030466"/>
    <w:rsid w:val="640404F9"/>
    <w:rsid w:val="64040EB7"/>
    <w:rsid w:val="640B10C9"/>
    <w:rsid w:val="640D6BEF"/>
    <w:rsid w:val="640E5DD6"/>
    <w:rsid w:val="640F0BB9"/>
    <w:rsid w:val="640F3F59"/>
    <w:rsid w:val="64116D46"/>
    <w:rsid w:val="64127D09"/>
    <w:rsid w:val="641317AF"/>
    <w:rsid w:val="64137F7D"/>
    <w:rsid w:val="64167605"/>
    <w:rsid w:val="64167B1A"/>
    <w:rsid w:val="641779A5"/>
    <w:rsid w:val="64192B68"/>
    <w:rsid w:val="64194552"/>
    <w:rsid w:val="641A1389"/>
    <w:rsid w:val="6421269A"/>
    <w:rsid w:val="642301C1"/>
    <w:rsid w:val="64265F03"/>
    <w:rsid w:val="64267CB1"/>
    <w:rsid w:val="64283A29"/>
    <w:rsid w:val="6428605E"/>
    <w:rsid w:val="64291235"/>
    <w:rsid w:val="6429154F"/>
    <w:rsid w:val="642945AE"/>
    <w:rsid w:val="642B0757"/>
    <w:rsid w:val="642B2D3A"/>
    <w:rsid w:val="642C3481"/>
    <w:rsid w:val="642C3B84"/>
    <w:rsid w:val="642D103F"/>
    <w:rsid w:val="642D54E3"/>
    <w:rsid w:val="642D69C8"/>
    <w:rsid w:val="64300D8E"/>
    <w:rsid w:val="64306D81"/>
    <w:rsid w:val="64314722"/>
    <w:rsid w:val="6432641A"/>
    <w:rsid w:val="643434D4"/>
    <w:rsid w:val="643543D4"/>
    <w:rsid w:val="64356146"/>
    <w:rsid w:val="64357EF4"/>
    <w:rsid w:val="64371EBE"/>
    <w:rsid w:val="64373C6C"/>
    <w:rsid w:val="6439570E"/>
    <w:rsid w:val="643B1602"/>
    <w:rsid w:val="643B7C00"/>
    <w:rsid w:val="643C0D03"/>
    <w:rsid w:val="643C633A"/>
    <w:rsid w:val="643D0406"/>
    <w:rsid w:val="64405216"/>
    <w:rsid w:val="64414AEB"/>
    <w:rsid w:val="64432FC3"/>
    <w:rsid w:val="64442593"/>
    <w:rsid w:val="64444FF8"/>
    <w:rsid w:val="6444511D"/>
    <w:rsid w:val="6446254B"/>
    <w:rsid w:val="644834DC"/>
    <w:rsid w:val="644839B3"/>
    <w:rsid w:val="644A7E43"/>
    <w:rsid w:val="644C47B2"/>
    <w:rsid w:val="644D3982"/>
    <w:rsid w:val="644D7933"/>
    <w:rsid w:val="64507CAB"/>
    <w:rsid w:val="64524D3D"/>
    <w:rsid w:val="64542A70"/>
    <w:rsid w:val="64550596"/>
    <w:rsid w:val="64591E34"/>
    <w:rsid w:val="6459629F"/>
    <w:rsid w:val="645A5B77"/>
    <w:rsid w:val="645A795A"/>
    <w:rsid w:val="645C7B76"/>
    <w:rsid w:val="645C7D4C"/>
    <w:rsid w:val="645E569D"/>
    <w:rsid w:val="64603A41"/>
    <w:rsid w:val="64610CE9"/>
    <w:rsid w:val="64624D5D"/>
    <w:rsid w:val="64631A7D"/>
    <w:rsid w:val="646523D2"/>
    <w:rsid w:val="64654C7D"/>
    <w:rsid w:val="6466598A"/>
    <w:rsid w:val="6468651B"/>
    <w:rsid w:val="646957EA"/>
    <w:rsid w:val="646B4D15"/>
    <w:rsid w:val="646B7484"/>
    <w:rsid w:val="646D1D84"/>
    <w:rsid w:val="646D7614"/>
    <w:rsid w:val="646F3406"/>
    <w:rsid w:val="646F78AA"/>
    <w:rsid w:val="64720294"/>
    <w:rsid w:val="64740A1C"/>
    <w:rsid w:val="64761DA1"/>
    <w:rsid w:val="64764029"/>
    <w:rsid w:val="64777168"/>
    <w:rsid w:val="647B624F"/>
    <w:rsid w:val="647C5B23"/>
    <w:rsid w:val="647D1BD4"/>
    <w:rsid w:val="647D3BAE"/>
    <w:rsid w:val="647E51B4"/>
    <w:rsid w:val="647E75FB"/>
    <w:rsid w:val="64800AF2"/>
    <w:rsid w:val="64801AB7"/>
    <w:rsid w:val="6480384A"/>
    <w:rsid w:val="64805613"/>
    <w:rsid w:val="64813139"/>
    <w:rsid w:val="64833355"/>
    <w:rsid w:val="64847F47"/>
    <w:rsid w:val="648669A1"/>
    <w:rsid w:val="64867564"/>
    <w:rsid w:val="64874BF3"/>
    <w:rsid w:val="64875FB1"/>
    <w:rsid w:val="648779F8"/>
    <w:rsid w:val="64882719"/>
    <w:rsid w:val="648857BF"/>
    <w:rsid w:val="64895B0D"/>
    <w:rsid w:val="64897A59"/>
    <w:rsid w:val="648A6492"/>
    <w:rsid w:val="648B12DD"/>
    <w:rsid w:val="648C220A"/>
    <w:rsid w:val="648C375E"/>
    <w:rsid w:val="648D1ADE"/>
    <w:rsid w:val="648D4E83"/>
    <w:rsid w:val="648F03F5"/>
    <w:rsid w:val="648F3AA8"/>
    <w:rsid w:val="64904C10"/>
    <w:rsid w:val="6490538D"/>
    <w:rsid w:val="64947310"/>
    <w:rsid w:val="64960A56"/>
    <w:rsid w:val="64971200"/>
    <w:rsid w:val="649A3863"/>
    <w:rsid w:val="649B069F"/>
    <w:rsid w:val="649B4C85"/>
    <w:rsid w:val="649D3433"/>
    <w:rsid w:val="649D632F"/>
    <w:rsid w:val="649D6BC2"/>
    <w:rsid w:val="649E33E6"/>
    <w:rsid w:val="649F7038"/>
    <w:rsid w:val="64A169B3"/>
    <w:rsid w:val="64A17D6F"/>
    <w:rsid w:val="64A21A2D"/>
    <w:rsid w:val="64A34AB0"/>
    <w:rsid w:val="64A42E07"/>
    <w:rsid w:val="64A502A1"/>
    <w:rsid w:val="64A5151D"/>
    <w:rsid w:val="64A62BA0"/>
    <w:rsid w:val="64AA6B34"/>
    <w:rsid w:val="64AC465A"/>
    <w:rsid w:val="64AD2180"/>
    <w:rsid w:val="64AD32E3"/>
    <w:rsid w:val="64AD6970"/>
    <w:rsid w:val="64B0503B"/>
    <w:rsid w:val="64B52B48"/>
    <w:rsid w:val="64B5748D"/>
    <w:rsid w:val="64B67C88"/>
    <w:rsid w:val="64B74DAD"/>
    <w:rsid w:val="64B85A8B"/>
    <w:rsid w:val="64BB489D"/>
    <w:rsid w:val="64BE394E"/>
    <w:rsid w:val="64BF14E5"/>
    <w:rsid w:val="64C03C61"/>
    <w:rsid w:val="64C056AD"/>
    <w:rsid w:val="64C17C5F"/>
    <w:rsid w:val="64C5008F"/>
    <w:rsid w:val="64C53799"/>
    <w:rsid w:val="64C54571"/>
    <w:rsid w:val="64C8305A"/>
    <w:rsid w:val="64CA0F84"/>
    <w:rsid w:val="64CB61D7"/>
    <w:rsid w:val="64CC072B"/>
    <w:rsid w:val="64CC6EF2"/>
    <w:rsid w:val="64CD637E"/>
    <w:rsid w:val="64CE2619"/>
    <w:rsid w:val="64D176A3"/>
    <w:rsid w:val="64D237AB"/>
    <w:rsid w:val="64D25334"/>
    <w:rsid w:val="64D26C8E"/>
    <w:rsid w:val="64D27AC2"/>
    <w:rsid w:val="64D46717"/>
    <w:rsid w:val="64D56443"/>
    <w:rsid w:val="64D5744C"/>
    <w:rsid w:val="64D61F15"/>
    <w:rsid w:val="64D63056"/>
    <w:rsid w:val="64D67FEA"/>
    <w:rsid w:val="64D70FAB"/>
    <w:rsid w:val="64D72050"/>
    <w:rsid w:val="64D97FE6"/>
    <w:rsid w:val="64DB3FEB"/>
    <w:rsid w:val="64DD2A65"/>
    <w:rsid w:val="64DE058B"/>
    <w:rsid w:val="64E156EC"/>
    <w:rsid w:val="64E21E2A"/>
    <w:rsid w:val="64E37662"/>
    <w:rsid w:val="64E41E18"/>
    <w:rsid w:val="64E54BFB"/>
    <w:rsid w:val="64E84043"/>
    <w:rsid w:val="64E92EE4"/>
    <w:rsid w:val="64EA5D49"/>
    <w:rsid w:val="64EF4547"/>
    <w:rsid w:val="64F0785F"/>
    <w:rsid w:val="64F21887"/>
    <w:rsid w:val="64F60EC2"/>
    <w:rsid w:val="64F73A3F"/>
    <w:rsid w:val="64F948F3"/>
    <w:rsid w:val="64FC400C"/>
    <w:rsid w:val="64FD3107"/>
    <w:rsid w:val="64FE29DC"/>
    <w:rsid w:val="64FE574A"/>
    <w:rsid w:val="6502071E"/>
    <w:rsid w:val="65024C7C"/>
    <w:rsid w:val="650545D5"/>
    <w:rsid w:val="65055521"/>
    <w:rsid w:val="650648C1"/>
    <w:rsid w:val="650731BD"/>
    <w:rsid w:val="650812D1"/>
    <w:rsid w:val="65086116"/>
    <w:rsid w:val="650C50F9"/>
    <w:rsid w:val="650E70C3"/>
    <w:rsid w:val="65102E3B"/>
    <w:rsid w:val="651075EF"/>
    <w:rsid w:val="651144BD"/>
    <w:rsid w:val="65115C43"/>
    <w:rsid w:val="65124FB7"/>
    <w:rsid w:val="651421FF"/>
    <w:rsid w:val="65150451"/>
    <w:rsid w:val="65160BAD"/>
    <w:rsid w:val="65164BED"/>
    <w:rsid w:val="65165F77"/>
    <w:rsid w:val="6517172B"/>
    <w:rsid w:val="65171B39"/>
    <w:rsid w:val="65197815"/>
    <w:rsid w:val="651A36E6"/>
    <w:rsid w:val="651B4212"/>
    <w:rsid w:val="651B6927"/>
    <w:rsid w:val="651B74E4"/>
    <w:rsid w:val="651E5789"/>
    <w:rsid w:val="651E6BDA"/>
    <w:rsid w:val="651F307E"/>
    <w:rsid w:val="651F63A7"/>
    <w:rsid w:val="65200BA4"/>
    <w:rsid w:val="65212A73"/>
    <w:rsid w:val="652310DA"/>
    <w:rsid w:val="652511AB"/>
    <w:rsid w:val="652534C9"/>
    <w:rsid w:val="65256017"/>
    <w:rsid w:val="6528059A"/>
    <w:rsid w:val="65282352"/>
    <w:rsid w:val="652B1445"/>
    <w:rsid w:val="652B69C4"/>
    <w:rsid w:val="652F7A19"/>
    <w:rsid w:val="65303C11"/>
    <w:rsid w:val="6530528B"/>
    <w:rsid w:val="653308D7"/>
    <w:rsid w:val="65331BA8"/>
    <w:rsid w:val="65366619"/>
    <w:rsid w:val="653B3C30"/>
    <w:rsid w:val="653E2677"/>
    <w:rsid w:val="653E4B93"/>
    <w:rsid w:val="65402FF4"/>
    <w:rsid w:val="65424FBE"/>
    <w:rsid w:val="65442AE4"/>
    <w:rsid w:val="654523B9"/>
    <w:rsid w:val="65472703"/>
    <w:rsid w:val="65474383"/>
    <w:rsid w:val="6548625D"/>
    <w:rsid w:val="654943D9"/>
    <w:rsid w:val="654A79CF"/>
    <w:rsid w:val="654B64F1"/>
    <w:rsid w:val="654E0D86"/>
    <w:rsid w:val="65503EC1"/>
    <w:rsid w:val="65505DDA"/>
    <w:rsid w:val="65507AC7"/>
    <w:rsid w:val="65554CF2"/>
    <w:rsid w:val="65562818"/>
    <w:rsid w:val="655820EC"/>
    <w:rsid w:val="655851C7"/>
    <w:rsid w:val="655B7A69"/>
    <w:rsid w:val="655E1860"/>
    <w:rsid w:val="655F791E"/>
    <w:rsid w:val="65605444"/>
    <w:rsid w:val="6561082F"/>
    <w:rsid w:val="65610A4C"/>
    <w:rsid w:val="656211BC"/>
    <w:rsid w:val="65636C5C"/>
    <w:rsid w:val="6565067D"/>
    <w:rsid w:val="6565085D"/>
    <w:rsid w:val="656A4F30"/>
    <w:rsid w:val="656B66C6"/>
    <w:rsid w:val="656C0F06"/>
    <w:rsid w:val="656C5B5F"/>
    <w:rsid w:val="656E1B1E"/>
    <w:rsid w:val="656E7BE6"/>
    <w:rsid w:val="656F50DC"/>
    <w:rsid w:val="656F7CD8"/>
    <w:rsid w:val="657038D9"/>
    <w:rsid w:val="65731720"/>
    <w:rsid w:val="65744EEB"/>
    <w:rsid w:val="65754F0C"/>
    <w:rsid w:val="657643F5"/>
    <w:rsid w:val="65772C72"/>
    <w:rsid w:val="657746BE"/>
    <w:rsid w:val="657A5681"/>
    <w:rsid w:val="657B5DDA"/>
    <w:rsid w:val="657E2654"/>
    <w:rsid w:val="65823145"/>
    <w:rsid w:val="65836FC4"/>
    <w:rsid w:val="65847385"/>
    <w:rsid w:val="658565C0"/>
    <w:rsid w:val="658579FE"/>
    <w:rsid w:val="65870C23"/>
    <w:rsid w:val="658C06CC"/>
    <w:rsid w:val="658E1B03"/>
    <w:rsid w:val="658E5388"/>
    <w:rsid w:val="6592548C"/>
    <w:rsid w:val="65965D83"/>
    <w:rsid w:val="659772A6"/>
    <w:rsid w:val="659B1574"/>
    <w:rsid w:val="659D36B6"/>
    <w:rsid w:val="659D498D"/>
    <w:rsid w:val="659D7BB1"/>
    <w:rsid w:val="659F7D1B"/>
    <w:rsid w:val="65A05841"/>
    <w:rsid w:val="65A07D07"/>
    <w:rsid w:val="65A10DFB"/>
    <w:rsid w:val="65A13A93"/>
    <w:rsid w:val="65A24BCD"/>
    <w:rsid w:val="65A25C12"/>
    <w:rsid w:val="65A41C23"/>
    <w:rsid w:val="65A6262A"/>
    <w:rsid w:val="65A66598"/>
    <w:rsid w:val="65A81AA0"/>
    <w:rsid w:val="65A823AD"/>
    <w:rsid w:val="65A92947"/>
    <w:rsid w:val="65AA0FBB"/>
    <w:rsid w:val="65AA6513"/>
    <w:rsid w:val="65AB27D4"/>
    <w:rsid w:val="65AB639C"/>
    <w:rsid w:val="65AB6F91"/>
    <w:rsid w:val="65AC27E1"/>
    <w:rsid w:val="65AE016F"/>
    <w:rsid w:val="65AE7F5E"/>
    <w:rsid w:val="65AF1C6B"/>
    <w:rsid w:val="65B006F3"/>
    <w:rsid w:val="65B137CE"/>
    <w:rsid w:val="65B15B45"/>
    <w:rsid w:val="65B25CA0"/>
    <w:rsid w:val="65B33144"/>
    <w:rsid w:val="65B55790"/>
    <w:rsid w:val="65B672AF"/>
    <w:rsid w:val="65B724FF"/>
    <w:rsid w:val="65B744E4"/>
    <w:rsid w:val="65B752FD"/>
    <w:rsid w:val="65BD406C"/>
    <w:rsid w:val="65C11C9B"/>
    <w:rsid w:val="65C14135"/>
    <w:rsid w:val="65C16D06"/>
    <w:rsid w:val="65C21C5B"/>
    <w:rsid w:val="65C23A09"/>
    <w:rsid w:val="65C36624"/>
    <w:rsid w:val="65C37EAD"/>
    <w:rsid w:val="65C63B99"/>
    <w:rsid w:val="65C75029"/>
    <w:rsid w:val="65C86CB8"/>
    <w:rsid w:val="65C94D98"/>
    <w:rsid w:val="65CC6636"/>
    <w:rsid w:val="65CF416A"/>
    <w:rsid w:val="65D01B2D"/>
    <w:rsid w:val="65D06126"/>
    <w:rsid w:val="65D11E9E"/>
    <w:rsid w:val="65D3619D"/>
    <w:rsid w:val="65D47417"/>
    <w:rsid w:val="65D5198E"/>
    <w:rsid w:val="65D526AC"/>
    <w:rsid w:val="65D6368E"/>
    <w:rsid w:val="65D73958"/>
    <w:rsid w:val="65D74B1E"/>
    <w:rsid w:val="65D75707"/>
    <w:rsid w:val="65D8147F"/>
    <w:rsid w:val="65D91D99"/>
    <w:rsid w:val="65D966CF"/>
    <w:rsid w:val="65DB44D0"/>
    <w:rsid w:val="65DB52CA"/>
    <w:rsid w:val="65DC4ACB"/>
    <w:rsid w:val="65DD0843"/>
    <w:rsid w:val="65DF6369"/>
    <w:rsid w:val="65E05465"/>
    <w:rsid w:val="65E120E6"/>
    <w:rsid w:val="65E240AB"/>
    <w:rsid w:val="65E258D7"/>
    <w:rsid w:val="65E41908"/>
    <w:rsid w:val="65E762DB"/>
    <w:rsid w:val="65E92714"/>
    <w:rsid w:val="65EC266E"/>
    <w:rsid w:val="65F20A3D"/>
    <w:rsid w:val="65F4293E"/>
    <w:rsid w:val="65F43351"/>
    <w:rsid w:val="65F500A7"/>
    <w:rsid w:val="65F511BB"/>
    <w:rsid w:val="65F74891"/>
    <w:rsid w:val="65F773B0"/>
    <w:rsid w:val="65F83E57"/>
    <w:rsid w:val="65FC65E7"/>
    <w:rsid w:val="65FC6F1B"/>
    <w:rsid w:val="65FE1159"/>
    <w:rsid w:val="65FE2B84"/>
    <w:rsid w:val="65FE7137"/>
    <w:rsid w:val="660247A5"/>
    <w:rsid w:val="660364FC"/>
    <w:rsid w:val="660404C6"/>
    <w:rsid w:val="66061B48"/>
    <w:rsid w:val="66065E8D"/>
    <w:rsid w:val="66067A74"/>
    <w:rsid w:val="66092364"/>
    <w:rsid w:val="6609788A"/>
    <w:rsid w:val="660A3036"/>
    <w:rsid w:val="660B53B0"/>
    <w:rsid w:val="660C6084"/>
    <w:rsid w:val="660D411E"/>
    <w:rsid w:val="660D49BC"/>
    <w:rsid w:val="660D737A"/>
    <w:rsid w:val="66122742"/>
    <w:rsid w:val="66135466"/>
    <w:rsid w:val="66157FDD"/>
    <w:rsid w:val="661701F9"/>
    <w:rsid w:val="66171FA7"/>
    <w:rsid w:val="661758CC"/>
    <w:rsid w:val="66187B52"/>
    <w:rsid w:val="661A1A97"/>
    <w:rsid w:val="661C580F"/>
    <w:rsid w:val="661C67E7"/>
    <w:rsid w:val="661E3335"/>
    <w:rsid w:val="66216982"/>
    <w:rsid w:val="662203B3"/>
    <w:rsid w:val="66246472"/>
    <w:rsid w:val="66262A83"/>
    <w:rsid w:val="662704FC"/>
    <w:rsid w:val="662C3382"/>
    <w:rsid w:val="662D42F5"/>
    <w:rsid w:val="662E2A4A"/>
    <w:rsid w:val="662F6008"/>
    <w:rsid w:val="6630667E"/>
    <w:rsid w:val="66307A8B"/>
    <w:rsid w:val="66334247"/>
    <w:rsid w:val="66334E5F"/>
    <w:rsid w:val="66342B59"/>
    <w:rsid w:val="66363869"/>
    <w:rsid w:val="66372A2B"/>
    <w:rsid w:val="6638454D"/>
    <w:rsid w:val="6638520C"/>
    <w:rsid w:val="663C7C5F"/>
    <w:rsid w:val="663F14FE"/>
    <w:rsid w:val="663F7A7C"/>
    <w:rsid w:val="66401FA8"/>
    <w:rsid w:val="6640680E"/>
    <w:rsid w:val="664468EB"/>
    <w:rsid w:val="66476B75"/>
    <w:rsid w:val="66486604"/>
    <w:rsid w:val="66491A5B"/>
    <w:rsid w:val="664A1A2C"/>
    <w:rsid w:val="664F47B8"/>
    <w:rsid w:val="664F6A90"/>
    <w:rsid w:val="66523154"/>
    <w:rsid w:val="6655119C"/>
    <w:rsid w:val="6655487D"/>
    <w:rsid w:val="665C5C0C"/>
    <w:rsid w:val="665D7AEB"/>
    <w:rsid w:val="665E4931"/>
    <w:rsid w:val="666024CC"/>
    <w:rsid w:val="6662369D"/>
    <w:rsid w:val="66636F9A"/>
    <w:rsid w:val="666420E2"/>
    <w:rsid w:val="66652D12"/>
    <w:rsid w:val="6666694C"/>
    <w:rsid w:val="66691187"/>
    <w:rsid w:val="66691D80"/>
    <w:rsid w:val="666A5C9C"/>
    <w:rsid w:val="666B182A"/>
    <w:rsid w:val="666B58FB"/>
    <w:rsid w:val="666C3901"/>
    <w:rsid w:val="666F1DE3"/>
    <w:rsid w:val="66747DFB"/>
    <w:rsid w:val="66751798"/>
    <w:rsid w:val="667733BA"/>
    <w:rsid w:val="6678210A"/>
    <w:rsid w:val="6679056C"/>
    <w:rsid w:val="66794A10"/>
    <w:rsid w:val="667A42E4"/>
    <w:rsid w:val="667A7536"/>
    <w:rsid w:val="667B13A2"/>
    <w:rsid w:val="667D0AE2"/>
    <w:rsid w:val="667E2026"/>
    <w:rsid w:val="667E7FC4"/>
    <w:rsid w:val="66822AB6"/>
    <w:rsid w:val="66846F11"/>
    <w:rsid w:val="66855A07"/>
    <w:rsid w:val="6686712D"/>
    <w:rsid w:val="66875134"/>
    <w:rsid w:val="66880016"/>
    <w:rsid w:val="668B53AE"/>
    <w:rsid w:val="668F16AA"/>
    <w:rsid w:val="668F2BF0"/>
    <w:rsid w:val="66910CCF"/>
    <w:rsid w:val="6692162D"/>
    <w:rsid w:val="66925704"/>
    <w:rsid w:val="66926769"/>
    <w:rsid w:val="66943154"/>
    <w:rsid w:val="66955030"/>
    <w:rsid w:val="66965F26"/>
    <w:rsid w:val="669A6BB4"/>
    <w:rsid w:val="669A7595"/>
    <w:rsid w:val="669C2243"/>
    <w:rsid w:val="669F72A0"/>
    <w:rsid w:val="66A023ED"/>
    <w:rsid w:val="66A03D4A"/>
    <w:rsid w:val="66A15D14"/>
    <w:rsid w:val="66A17198"/>
    <w:rsid w:val="66A22C31"/>
    <w:rsid w:val="66A56C29"/>
    <w:rsid w:val="66A575B3"/>
    <w:rsid w:val="66A6332B"/>
    <w:rsid w:val="66A75698"/>
    <w:rsid w:val="66AA6977"/>
    <w:rsid w:val="66AB26EF"/>
    <w:rsid w:val="66AB2A9B"/>
    <w:rsid w:val="66AF0431"/>
    <w:rsid w:val="66AF3F8D"/>
    <w:rsid w:val="66B07D06"/>
    <w:rsid w:val="66B127A6"/>
    <w:rsid w:val="66B26720"/>
    <w:rsid w:val="66B43C9A"/>
    <w:rsid w:val="66B506E4"/>
    <w:rsid w:val="66B522DA"/>
    <w:rsid w:val="66B934EE"/>
    <w:rsid w:val="66BA201C"/>
    <w:rsid w:val="66BC0B99"/>
    <w:rsid w:val="66BC2B4E"/>
    <w:rsid w:val="66BC5FE0"/>
    <w:rsid w:val="66BC66AA"/>
    <w:rsid w:val="66BD3F88"/>
    <w:rsid w:val="66BE420B"/>
    <w:rsid w:val="66C0363A"/>
    <w:rsid w:val="66C043ED"/>
    <w:rsid w:val="66C0619B"/>
    <w:rsid w:val="66C32A08"/>
    <w:rsid w:val="66CA14AF"/>
    <w:rsid w:val="66CA26DF"/>
    <w:rsid w:val="66CA6E00"/>
    <w:rsid w:val="66CB4B3F"/>
    <w:rsid w:val="66CD2666"/>
    <w:rsid w:val="66CD4D5B"/>
    <w:rsid w:val="66D0358C"/>
    <w:rsid w:val="66D165FA"/>
    <w:rsid w:val="66D260B8"/>
    <w:rsid w:val="66D4239C"/>
    <w:rsid w:val="66D43BCA"/>
    <w:rsid w:val="66D505DD"/>
    <w:rsid w:val="66D51FC7"/>
    <w:rsid w:val="66D52158"/>
    <w:rsid w:val="66D659BE"/>
    <w:rsid w:val="66D71E96"/>
    <w:rsid w:val="66D734E4"/>
    <w:rsid w:val="66D843D0"/>
    <w:rsid w:val="66D91E4E"/>
    <w:rsid w:val="66D92742"/>
    <w:rsid w:val="66DA1205"/>
    <w:rsid w:val="66DD6DAA"/>
    <w:rsid w:val="66DE0DC2"/>
    <w:rsid w:val="66DF3174"/>
    <w:rsid w:val="66E02E1B"/>
    <w:rsid w:val="66E0695B"/>
    <w:rsid w:val="66E40AD6"/>
    <w:rsid w:val="66E612EE"/>
    <w:rsid w:val="66E704E6"/>
    <w:rsid w:val="66E71979"/>
    <w:rsid w:val="66E73D5E"/>
    <w:rsid w:val="66EB246B"/>
    <w:rsid w:val="66ED1A86"/>
    <w:rsid w:val="66ED3867"/>
    <w:rsid w:val="66EE2D63"/>
    <w:rsid w:val="66EE3541"/>
    <w:rsid w:val="66EE6F97"/>
    <w:rsid w:val="66F128EF"/>
    <w:rsid w:val="66F13DA0"/>
    <w:rsid w:val="66F61DD2"/>
    <w:rsid w:val="66F916AD"/>
    <w:rsid w:val="66FB4691"/>
    <w:rsid w:val="66FB4E2C"/>
    <w:rsid w:val="66FC400E"/>
    <w:rsid w:val="66FD6AD2"/>
    <w:rsid w:val="66FE0793"/>
    <w:rsid w:val="66FF7B7B"/>
    <w:rsid w:val="67002056"/>
    <w:rsid w:val="67010C05"/>
    <w:rsid w:val="67016963"/>
    <w:rsid w:val="67040E5E"/>
    <w:rsid w:val="670649FB"/>
    <w:rsid w:val="6709462E"/>
    <w:rsid w:val="67097593"/>
    <w:rsid w:val="670A1318"/>
    <w:rsid w:val="670A525B"/>
    <w:rsid w:val="67105719"/>
    <w:rsid w:val="67123841"/>
    <w:rsid w:val="671273F1"/>
    <w:rsid w:val="67164C20"/>
    <w:rsid w:val="67177D85"/>
    <w:rsid w:val="67185FD7"/>
    <w:rsid w:val="671B0BBB"/>
    <w:rsid w:val="671B6B13"/>
    <w:rsid w:val="671D19E4"/>
    <w:rsid w:val="671E3435"/>
    <w:rsid w:val="671E44FE"/>
    <w:rsid w:val="671F55B7"/>
    <w:rsid w:val="67204B6C"/>
    <w:rsid w:val="672111F0"/>
    <w:rsid w:val="67236CF2"/>
    <w:rsid w:val="67241800"/>
    <w:rsid w:val="672C3830"/>
    <w:rsid w:val="672F3320"/>
    <w:rsid w:val="67307AD1"/>
    <w:rsid w:val="6732696D"/>
    <w:rsid w:val="67332E10"/>
    <w:rsid w:val="673348C9"/>
    <w:rsid w:val="6737127A"/>
    <w:rsid w:val="673913B2"/>
    <w:rsid w:val="67392596"/>
    <w:rsid w:val="673A0261"/>
    <w:rsid w:val="673B1534"/>
    <w:rsid w:val="673B33CB"/>
    <w:rsid w:val="673C7AEF"/>
    <w:rsid w:val="673E3563"/>
    <w:rsid w:val="673F160B"/>
    <w:rsid w:val="673F17B5"/>
    <w:rsid w:val="67401F36"/>
    <w:rsid w:val="6740562C"/>
    <w:rsid w:val="67437403"/>
    <w:rsid w:val="67452B44"/>
    <w:rsid w:val="67472418"/>
    <w:rsid w:val="674C7A59"/>
    <w:rsid w:val="674D08F9"/>
    <w:rsid w:val="674D7D2D"/>
    <w:rsid w:val="674E7C4A"/>
    <w:rsid w:val="675039C2"/>
    <w:rsid w:val="67505147"/>
    <w:rsid w:val="6751773B"/>
    <w:rsid w:val="675656AD"/>
    <w:rsid w:val="67567134"/>
    <w:rsid w:val="6757469C"/>
    <w:rsid w:val="67575DF4"/>
    <w:rsid w:val="67583964"/>
    <w:rsid w:val="6759126B"/>
    <w:rsid w:val="675A65EF"/>
    <w:rsid w:val="675C3383"/>
    <w:rsid w:val="675D539A"/>
    <w:rsid w:val="675E6BB3"/>
    <w:rsid w:val="675F35C8"/>
    <w:rsid w:val="6760172C"/>
    <w:rsid w:val="67632B84"/>
    <w:rsid w:val="6763447F"/>
    <w:rsid w:val="67634DBC"/>
    <w:rsid w:val="67654F94"/>
    <w:rsid w:val="67662894"/>
    <w:rsid w:val="67670D0C"/>
    <w:rsid w:val="67694F1E"/>
    <w:rsid w:val="67695573"/>
    <w:rsid w:val="676A1537"/>
    <w:rsid w:val="676A6106"/>
    <w:rsid w:val="676B3410"/>
    <w:rsid w:val="676B40F0"/>
    <w:rsid w:val="676D4C8B"/>
    <w:rsid w:val="67737BA8"/>
    <w:rsid w:val="67742764"/>
    <w:rsid w:val="677451B8"/>
    <w:rsid w:val="67797CFF"/>
    <w:rsid w:val="677C2186"/>
    <w:rsid w:val="677E783A"/>
    <w:rsid w:val="677F5616"/>
    <w:rsid w:val="67803808"/>
    <w:rsid w:val="6781042B"/>
    <w:rsid w:val="67822796"/>
    <w:rsid w:val="6782772E"/>
    <w:rsid w:val="67841F6B"/>
    <w:rsid w:val="67874F0A"/>
    <w:rsid w:val="67876CB8"/>
    <w:rsid w:val="678A0557"/>
    <w:rsid w:val="678B06C9"/>
    <w:rsid w:val="678B52EF"/>
    <w:rsid w:val="678C42CF"/>
    <w:rsid w:val="678E1D9F"/>
    <w:rsid w:val="678E44EB"/>
    <w:rsid w:val="678F707E"/>
    <w:rsid w:val="679035FD"/>
    <w:rsid w:val="67917B37"/>
    <w:rsid w:val="6798320E"/>
    <w:rsid w:val="679A4982"/>
    <w:rsid w:val="679A4C3E"/>
    <w:rsid w:val="679D472E"/>
    <w:rsid w:val="679F2254"/>
    <w:rsid w:val="67A27F96"/>
    <w:rsid w:val="67A4786A"/>
    <w:rsid w:val="67A535E2"/>
    <w:rsid w:val="67A5779D"/>
    <w:rsid w:val="67A63985"/>
    <w:rsid w:val="67A930D3"/>
    <w:rsid w:val="67A96C2F"/>
    <w:rsid w:val="67AA3C86"/>
    <w:rsid w:val="67AC6406"/>
    <w:rsid w:val="67AE7E91"/>
    <w:rsid w:val="67B10EDE"/>
    <w:rsid w:val="67B331D4"/>
    <w:rsid w:val="67B5000C"/>
    <w:rsid w:val="67B760BD"/>
    <w:rsid w:val="67B8761B"/>
    <w:rsid w:val="67BA708E"/>
    <w:rsid w:val="67BB1FE4"/>
    <w:rsid w:val="67BC3B09"/>
    <w:rsid w:val="67C00951"/>
    <w:rsid w:val="67C25F42"/>
    <w:rsid w:val="67C35D7B"/>
    <w:rsid w:val="67C60ADE"/>
    <w:rsid w:val="67C63C85"/>
    <w:rsid w:val="67C85E2A"/>
    <w:rsid w:val="67C9160F"/>
    <w:rsid w:val="67CA180A"/>
    <w:rsid w:val="67CA1DA4"/>
    <w:rsid w:val="67CB129B"/>
    <w:rsid w:val="67CE2B39"/>
    <w:rsid w:val="67CF602F"/>
    <w:rsid w:val="67D143D7"/>
    <w:rsid w:val="67D16185"/>
    <w:rsid w:val="67D5211A"/>
    <w:rsid w:val="67D6379C"/>
    <w:rsid w:val="67D6668D"/>
    <w:rsid w:val="67D7784B"/>
    <w:rsid w:val="67D97198"/>
    <w:rsid w:val="67DF5BC9"/>
    <w:rsid w:val="67E043D4"/>
    <w:rsid w:val="67E16738"/>
    <w:rsid w:val="67E22067"/>
    <w:rsid w:val="67E22987"/>
    <w:rsid w:val="67E275B3"/>
    <w:rsid w:val="67E73BFB"/>
    <w:rsid w:val="67E75502"/>
    <w:rsid w:val="67E81E4D"/>
    <w:rsid w:val="67E85E64"/>
    <w:rsid w:val="67E97973"/>
    <w:rsid w:val="67EA0D64"/>
    <w:rsid w:val="67EC1211"/>
    <w:rsid w:val="67EE53A2"/>
    <w:rsid w:val="67EE6D37"/>
    <w:rsid w:val="67EE6F14"/>
    <w:rsid w:val="67EE77D3"/>
    <w:rsid w:val="67EF5603"/>
    <w:rsid w:val="67F00D02"/>
    <w:rsid w:val="67F0485E"/>
    <w:rsid w:val="67F36F53"/>
    <w:rsid w:val="67F43143"/>
    <w:rsid w:val="67F70B21"/>
    <w:rsid w:val="67F73252"/>
    <w:rsid w:val="67F73E3E"/>
    <w:rsid w:val="67F80FAB"/>
    <w:rsid w:val="67F811E7"/>
    <w:rsid w:val="67F920C3"/>
    <w:rsid w:val="67F971AD"/>
    <w:rsid w:val="67FA3AAC"/>
    <w:rsid w:val="67FA56DC"/>
    <w:rsid w:val="67FB61A0"/>
    <w:rsid w:val="67FC1454"/>
    <w:rsid w:val="67FC7E66"/>
    <w:rsid w:val="67FD3C53"/>
    <w:rsid w:val="68030A35"/>
    <w:rsid w:val="68060525"/>
    <w:rsid w:val="680904E4"/>
    <w:rsid w:val="6809591F"/>
    <w:rsid w:val="68097099"/>
    <w:rsid w:val="680B72D0"/>
    <w:rsid w:val="680C3022"/>
    <w:rsid w:val="680C4CB4"/>
    <w:rsid w:val="6810701C"/>
    <w:rsid w:val="68112A26"/>
    <w:rsid w:val="681211A7"/>
    <w:rsid w:val="6818021F"/>
    <w:rsid w:val="68190258"/>
    <w:rsid w:val="68192B8D"/>
    <w:rsid w:val="681A2338"/>
    <w:rsid w:val="681A3612"/>
    <w:rsid w:val="681A75C3"/>
    <w:rsid w:val="681A7B2C"/>
    <w:rsid w:val="68212C69"/>
    <w:rsid w:val="68270BBD"/>
    <w:rsid w:val="6827206B"/>
    <w:rsid w:val="68272709"/>
    <w:rsid w:val="68282192"/>
    <w:rsid w:val="68297D70"/>
    <w:rsid w:val="682B3395"/>
    <w:rsid w:val="682B3B74"/>
    <w:rsid w:val="682D3D04"/>
    <w:rsid w:val="682E5386"/>
    <w:rsid w:val="68306E82"/>
    <w:rsid w:val="683171EB"/>
    <w:rsid w:val="6832131A"/>
    <w:rsid w:val="68336E40"/>
    <w:rsid w:val="6834542E"/>
    <w:rsid w:val="683741F8"/>
    <w:rsid w:val="6839235A"/>
    <w:rsid w:val="683A01CF"/>
    <w:rsid w:val="683A1C7D"/>
    <w:rsid w:val="683A1F7D"/>
    <w:rsid w:val="683B1650"/>
    <w:rsid w:val="683B5B69"/>
    <w:rsid w:val="683C0A1E"/>
    <w:rsid w:val="684007D1"/>
    <w:rsid w:val="6840306D"/>
    <w:rsid w:val="684061FE"/>
    <w:rsid w:val="684140AE"/>
    <w:rsid w:val="68420E31"/>
    <w:rsid w:val="68436992"/>
    <w:rsid w:val="68446A19"/>
    <w:rsid w:val="68447269"/>
    <w:rsid w:val="68447EF6"/>
    <w:rsid w:val="68455C2C"/>
    <w:rsid w:val="68466B73"/>
    <w:rsid w:val="684828EC"/>
    <w:rsid w:val="684B5F38"/>
    <w:rsid w:val="684E58FA"/>
    <w:rsid w:val="68501C42"/>
    <w:rsid w:val="685226D3"/>
    <w:rsid w:val="68530749"/>
    <w:rsid w:val="68566863"/>
    <w:rsid w:val="68570199"/>
    <w:rsid w:val="685748DD"/>
    <w:rsid w:val="68582403"/>
    <w:rsid w:val="685A1294"/>
    <w:rsid w:val="685B24CD"/>
    <w:rsid w:val="685D2839"/>
    <w:rsid w:val="685F4EAA"/>
    <w:rsid w:val="68607DBB"/>
    <w:rsid w:val="686239C2"/>
    <w:rsid w:val="68647BCC"/>
    <w:rsid w:val="68660FC4"/>
    <w:rsid w:val="68662D72"/>
    <w:rsid w:val="686731DD"/>
    <w:rsid w:val="6867496A"/>
    <w:rsid w:val="68680898"/>
    <w:rsid w:val="68684D3A"/>
    <w:rsid w:val="6869675F"/>
    <w:rsid w:val="686A409C"/>
    <w:rsid w:val="686B65DA"/>
    <w:rsid w:val="686F3609"/>
    <w:rsid w:val="68701E42"/>
    <w:rsid w:val="687235E4"/>
    <w:rsid w:val="6873723D"/>
    <w:rsid w:val="687436E1"/>
    <w:rsid w:val="68744D12"/>
    <w:rsid w:val="687609EF"/>
    <w:rsid w:val="68776F7E"/>
    <w:rsid w:val="68792AA5"/>
    <w:rsid w:val="687946E6"/>
    <w:rsid w:val="687A4A6F"/>
    <w:rsid w:val="687B6A71"/>
    <w:rsid w:val="687C3178"/>
    <w:rsid w:val="687D1CB4"/>
    <w:rsid w:val="687D4930"/>
    <w:rsid w:val="687D6CA0"/>
    <w:rsid w:val="687F7DF0"/>
    <w:rsid w:val="688049B3"/>
    <w:rsid w:val="68807BD1"/>
    <w:rsid w:val="68821A66"/>
    <w:rsid w:val="68833924"/>
    <w:rsid w:val="68836951"/>
    <w:rsid w:val="68884D62"/>
    <w:rsid w:val="688D069B"/>
    <w:rsid w:val="688E0268"/>
    <w:rsid w:val="688E3749"/>
    <w:rsid w:val="689120D1"/>
    <w:rsid w:val="68914F30"/>
    <w:rsid w:val="68926C75"/>
    <w:rsid w:val="68945B31"/>
    <w:rsid w:val="689722E6"/>
    <w:rsid w:val="68994715"/>
    <w:rsid w:val="689B5E52"/>
    <w:rsid w:val="689E42BA"/>
    <w:rsid w:val="68A114BD"/>
    <w:rsid w:val="68A550EB"/>
    <w:rsid w:val="68A613C0"/>
    <w:rsid w:val="68A9257D"/>
    <w:rsid w:val="68A95B40"/>
    <w:rsid w:val="68AA323C"/>
    <w:rsid w:val="68AB55D8"/>
    <w:rsid w:val="68AC37F1"/>
    <w:rsid w:val="68AD09A1"/>
    <w:rsid w:val="68AE4433"/>
    <w:rsid w:val="68AE4524"/>
    <w:rsid w:val="68B16DE2"/>
    <w:rsid w:val="68B32820"/>
    <w:rsid w:val="68B60BB5"/>
    <w:rsid w:val="68B72EDA"/>
    <w:rsid w:val="68B735CD"/>
    <w:rsid w:val="68B919F9"/>
    <w:rsid w:val="68B97345"/>
    <w:rsid w:val="68BA0C4C"/>
    <w:rsid w:val="68BB130F"/>
    <w:rsid w:val="68BD2F4C"/>
    <w:rsid w:val="68C030F7"/>
    <w:rsid w:val="68C06926"/>
    <w:rsid w:val="68C27148"/>
    <w:rsid w:val="68C4111D"/>
    <w:rsid w:val="68C42F9F"/>
    <w:rsid w:val="68C724CB"/>
    <w:rsid w:val="68C7256E"/>
    <w:rsid w:val="68C92E83"/>
    <w:rsid w:val="68CD2E71"/>
    <w:rsid w:val="68CF0917"/>
    <w:rsid w:val="68CF159A"/>
    <w:rsid w:val="68D157BD"/>
    <w:rsid w:val="68D5110C"/>
    <w:rsid w:val="68D51CA5"/>
    <w:rsid w:val="68DC1D7B"/>
    <w:rsid w:val="68DC4339"/>
    <w:rsid w:val="68DE07FF"/>
    <w:rsid w:val="68DE5BD6"/>
    <w:rsid w:val="68E00D99"/>
    <w:rsid w:val="68E05976"/>
    <w:rsid w:val="68E27BD2"/>
    <w:rsid w:val="68E343C2"/>
    <w:rsid w:val="68E63EB3"/>
    <w:rsid w:val="68E70B75"/>
    <w:rsid w:val="68E80759"/>
    <w:rsid w:val="68EA5751"/>
    <w:rsid w:val="68EA68C2"/>
    <w:rsid w:val="68EC23C5"/>
    <w:rsid w:val="68ED244F"/>
    <w:rsid w:val="68ED5241"/>
    <w:rsid w:val="68EF2D67"/>
    <w:rsid w:val="68F00A23"/>
    <w:rsid w:val="68F23A4E"/>
    <w:rsid w:val="68F24605"/>
    <w:rsid w:val="68F465CF"/>
    <w:rsid w:val="68F71C1C"/>
    <w:rsid w:val="68F81E1C"/>
    <w:rsid w:val="68F86732"/>
    <w:rsid w:val="68F90EFE"/>
    <w:rsid w:val="68F93287"/>
    <w:rsid w:val="68FC51DA"/>
    <w:rsid w:val="68FC7232"/>
    <w:rsid w:val="68FE11FC"/>
    <w:rsid w:val="68FE77B0"/>
    <w:rsid w:val="68FF0055"/>
    <w:rsid w:val="690059E8"/>
    <w:rsid w:val="690061F6"/>
    <w:rsid w:val="6903064C"/>
    <w:rsid w:val="69035A27"/>
    <w:rsid w:val="69036813"/>
    <w:rsid w:val="690456E0"/>
    <w:rsid w:val="690600B1"/>
    <w:rsid w:val="69076AC3"/>
    <w:rsid w:val="690861D7"/>
    <w:rsid w:val="690A194F"/>
    <w:rsid w:val="690A1E52"/>
    <w:rsid w:val="690C1B6B"/>
    <w:rsid w:val="690D1439"/>
    <w:rsid w:val="690E31B6"/>
    <w:rsid w:val="69102A40"/>
    <w:rsid w:val="691128AE"/>
    <w:rsid w:val="691225DD"/>
    <w:rsid w:val="69125A96"/>
    <w:rsid w:val="69136FDE"/>
    <w:rsid w:val="69140A20"/>
    <w:rsid w:val="691427CE"/>
    <w:rsid w:val="69156018"/>
    <w:rsid w:val="69160588"/>
    <w:rsid w:val="6917241F"/>
    <w:rsid w:val="69194288"/>
    <w:rsid w:val="691A6D6F"/>
    <w:rsid w:val="691C6844"/>
    <w:rsid w:val="6922138F"/>
    <w:rsid w:val="692228EA"/>
    <w:rsid w:val="692549DB"/>
    <w:rsid w:val="69270753"/>
    <w:rsid w:val="692933D9"/>
    <w:rsid w:val="692B0A88"/>
    <w:rsid w:val="692D388F"/>
    <w:rsid w:val="692D68E8"/>
    <w:rsid w:val="692E7D33"/>
    <w:rsid w:val="6931512E"/>
    <w:rsid w:val="693278B2"/>
    <w:rsid w:val="6937600B"/>
    <w:rsid w:val="693764BC"/>
    <w:rsid w:val="69390486"/>
    <w:rsid w:val="69392234"/>
    <w:rsid w:val="693B75A9"/>
    <w:rsid w:val="693C09A9"/>
    <w:rsid w:val="693E784B"/>
    <w:rsid w:val="69421988"/>
    <w:rsid w:val="69421D5E"/>
    <w:rsid w:val="69436D71"/>
    <w:rsid w:val="6945507D"/>
    <w:rsid w:val="69456E2B"/>
    <w:rsid w:val="694603DC"/>
    <w:rsid w:val="69460A1B"/>
    <w:rsid w:val="694766FF"/>
    <w:rsid w:val="694974FD"/>
    <w:rsid w:val="694A1469"/>
    <w:rsid w:val="694A1FE2"/>
    <w:rsid w:val="694A354D"/>
    <w:rsid w:val="694C0F2C"/>
    <w:rsid w:val="694D7A8E"/>
    <w:rsid w:val="694E0E9C"/>
    <w:rsid w:val="694F26CB"/>
    <w:rsid w:val="694F6680"/>
    <w:rsid w:val="695157D0"/>
    <w:rsid w:val="695452C0"/>
    <w:rsid w:val="69564B03"/>
    <w:rsid w:val="695739A8"/>
    <w:rsid w:val="69584DB0"/>
    <w:rsid w:val="69586875"/>
    <w:rsid w:val="695B03FD"/>
    <w:rsid w:val="695B21AB"/>
    <w:rsid w:val="695B5C9A"/>
    <w:rsid w:val="695B664F"/>
    <w:rsid w:val="695D4175"/>
    <w:rsid w:val="695E7EED"/>
    <w:rsid w:val="69605A13"/>
    <w:rsid w:val="69605E3A"/>
    <w:rsid w:val="6965127B"/>
    <w:rsid w:val="69660E78"/>
    <w:rsid w:val="69666C5E"/>
    <w:rsid w:val="69667335"/>
    <w:rsid w:val="69674FF3"/>
    <w:rsid w:val="69692996"/>
    <w:rsid w:val="696A1A4E"/>
    <w:rsid w:val="696C2247"/>
    <w:rsid w:val="696C3DC2"/>
    <w:rsid w:val="696E6382"/>
    <w:rsid w:val="6971484A"/>
    <w:rsid w:val="69747710"/>
    <w:rsid w:val="69752715"/>
    <w:rsid w:val="69765236"/>
    <w:rsid w:val="6976722C"/>
    <w:rsid w:val="69770116"/>
    <w:rsid w:val="697A2B08"/>
    <w:rsid w:val="697B17DF"/>
    <w:rsid w:val="697F058F"/>
    <w:rsid w:val="697F48A2"/>
    <w:rsid w:val="697F5E1B"/>
    <w:rsid w:val="698060B5"/>
    <w:rsid w:val="69817394"/>
    <w:rsid w:val="698336F8"/>
    <w:rsid w:val="6985204A"/>
    <w:rsid w:val="69872FA0"/>
    <w:rsid w:val="69877093"/>
    <w:rsid w:val="698A2A90"/>
    <w:rsid w:val="698C4A5A"/>
    <w:rsid w:val="698C6808"/>
    <w:rsid w:val="698D7239"/>
    <w:rsid w:val="698E2B71"/>
    <w:rsid w:val="698E3A2E"/>
    <w:rsid w:val="698F0596"/>
    <w:rsid w:val="6990791A"/>
    <w:rsid w:val="69911DD0"/>
    <w:rsid w:val="69922572"/>
    <w:rsid w:val="69936754"/>
    <w:rsid w:val="699833FF"/>
    <w:rsid w:val="699851AD"/>
    <w:rsid w:val="699863FA"/>
    <w:rsid w:val="699933EF"/>
    <w:rsid w:val="699B1804"/>
    <w:rsid w:val="699C2263"/>
    <w:rsid w:val="699D0A15"/>
    <w:rsid w:val="69A209A3"/>
    <w:rsid w:val="69A46042"/>
    <w:rsid w:val="69A47FF6"/>
    <w:rsid w:val="69A578CA"/>
    <w:rsid w:val="69A753F0"/>
    <w:rsid w:val="69A83295"/>
    <w:rsid w:val="69A84119"/>
    <w:rsid w:val="69A9428C"/>
    <w:rsid w:val="69AA15F0"/>
    <w:rsid w:val="69AA4EE0"/>
    <w:rsid w:val="69AA6F85"/>
    <w:rsid w:val="69AB2D12"/>
    <w:rsid w:val="69AB49DB"/>
    <w:rsid w:val="69B07BF6"/>
    <w:rsid w:val="69B10365"/>
    <w:rsid w:val="69B108F4"/>
    <w:rsid w:val="69B11CDD"/>
    <w:rsid w:val="69B144C0"/>
    <w:rsid w:val="69B25066"/>
    <w:rsid w:val="69B47BDE"/>
    <w:rsid w:val="69B50F2B"/>
    <w:rsid w:val="69B55D5F"/>
    <w:rsid w:val="69B61AD7"/>
    <w:rsid w:val="69B6389A"/>
    <w:rsid w:val="69B664CA"/>
    <w:rsid w:val="69B66C5B"/>
    <w:rsid w:val="69B67D29"/>
    <w:rsid w:val="69B76E56"/>
    <w:rsid w:val="69BC5074"/>
    <w:rsid w:val="69BD2E65"/>
    <w:rsid w:val="69BD4C13"/>
    <w:rsid w:val="69BE1C78"/>
    <w:rsid w:val="69BF2327"/>
    <w:rsid w:val="69C41DE7"/>
    <w:rsid w:val="69C56E2D"/>
    <w:rsid w:val="69C62DD3"/>
    <w:rsid w:val="69C64F25"/>
    <w:rsid w:val="69CC6D31"/>
    <w:rsid w:val="69CC6D87"/>
    <w:rsid w:val="69CD0CF9"/>
    <w:rsid w:val="69CE0BCF"/>
    <w:rsid w:val="69CE5072"/>
    <w:rsid w:val="69D02B99"/>
    <w:rsid w:val="69D245FB"/>
    <w:rsid w:val="69D32689"/>
    <w:rsid w:val="69D56401"/>
    <w:rsid w:val="69D61FD5"/>
    <w:rsid w:val="69D65C6C"/>
    <w:rsid w:val="69D80603"/>
    <w:rsid w:val="69D81A4D"/>
    <w:rsid w:val="69D87D83"/>
    <w:rsid w:val="69DA2213"/>
    <w:rsid w:val="69DB63B6"/>
    <w:rsid w:val="69DC778F"/>
    <w:rsid w:val="69E17EED"/>
    <w:rsid w:val="69E46644"/>
    <w:rsid w:val="69E75AE7"/>
    <w:rsid w:val="69EC54F9"/>
    <w:rsid w:val="69EC72A7"/>
    <w:rsid w:val="69EE07EF"/>
    <w:rsid w:val="69EE78DD"/>
    <w:rsid w:val="69F11830"/>
    <w:rsid w:val="69F12B0F"/>
    <w:rsid w:val="69F148BD"/>
    <w:rsid w:val="69F21D41"/>
    <w:rsid w:val="69F60125"/>
    <w:rsid w:val="69F61ED3"/>
    <w:rsid w:val="69F65C23"/>
    <w:rsid w:val="69F73D5B"/>
    <w:rsid w:val="69F84472"/>
    <w:rsid w:val="69F858DF"/>
    <w:rsid w:val="69FB2F29"/>
    <w:rsid w:val="69FD14B4"/>
    <w:rsid w:val="69FD3262"/>
    <w:rsid w:val="6A010FA4"/>
    <w:rsid w:val="6A0171F6"/>
    <w:rsid w:val="6A0445F0"/>
    <w:rsid w:val="6A061647"/>
    <w:rsid w:val="6A06480C"/>
    <w:rsid w:val="6A070584"/>
    <w:rsid w:val="6A072332"/>
    <w:rsid w:val="6A077A31"/>
    <w:rsid w:val="6A0953F7"/>
    <w:rsid w:val="6A0A3DB5"/>
    <w:rsid w:val="6A0B5038"/>
    <w:rsid w:val="6A0B7982"/>
    <w:rsid w:val="6A0C30C9"/>
    <w:rsid w:val="6A0D5B9B"/>
    <w:rsid w:val="6A0E36C1"/>
    <w:rsid w:val="6A0F46ED"/>
    <w:rsid w:val="6A101D19"/>
    <w:rsid w:val="6A107AA3"/>
    <w:rsid w:val="6A116D0D"/>
    <w:rsid w:val="6A161408"/>
    <w:rsid w:val="6A164324"/>
    <w:rsid w:val="6A16503C"/>
    <w:rsid w:val="6A1709C7"/>
    <w:rsid w:val="6A17613B"/>
    <w:rsid w:val="6A18009C"/>
    <w:rsid w:val="6A1872F5"/>
    <w:rsid w:val="6A19165D"/>
    <w:rsid w:val="6A1B14C6"/>
    <w:rsid w:val="6A1C750D"/>
    <w:rsid w:val="6A1D1B56"/>
    <w:rsid w:val="6A1F21B5"/>
    <w:rsid w:val="6A23174D"/>
    <w:rsid w:val="6A2373AF"/>
    <w:rsid w:val="6A243D9B"/>
    <w:rsid w:val="6A2475B2"/>
    <w:rsid w:val="6A260A0B"/>
    <w:rsid w:val="6A272229"/>
    <w:rsid w:val="6A292A7E"/>
    <w:rsid w:val="6A292C42"/>
    <w:rsid w:val="6A294057"/>
    <w:rsid w:val="6A2D0798"/>
    <w:rsid w:val="6A3220F4"/>
    <w:rsid w:val="6A3A1C45"/>
    <w:rsid w:val="6A3A2708"/>
    <w:rsid w:val="6A3A6DF5"/>
    <w:rsid w:val="6A3B3D8A"/>
    <w:rsid w:val="6A40194C"/>
    <w:rsid w:val="6A4148B3"/>
    <w:rsid w:val="6A435FF0"/>
    <w:rsid w:val="6A48145B"/>
    <w:rsid w:val="6A486BD3"/>
    <w:rsid w:val="6A4C6609"/>
    <w:rsid w:val="6A4D41E9"/>
    <w:rsid w:val="6A4D6E6C"/>
    <w:rsid w:val="6A51641B"/>
    <w:rsid w:val="6A553BF7"/>
    <w:rsid w:val="6A55517C"/>
    <w:rsid w:val="6A5573E8"/>
    <w:rsid w:val="6A574FAB"/>
    <w:rsid w:val="6A582B8E"/>
    <w:rsid w:val="6A5F4F63"/>
    <w:rsid w:val="6A610186"/>
    <w:rsid w:val="6A6148D6"/>
    <w:rsid w:val="6A614F81"/>
    <w:rsid w:val="6A624B72"/>
    <w:rsid w:val="6A641B27"/>
    <w:rsid w:val="6A676E1B"/>
    <w:rsid w:val="6A6B0B13"/>
    <w:rsid w:val="6A6B16CC"/>
    <w:rsid w:val="6A6B28C1"/>
    <w:rsid w:val="6A6E2E24"/>
    <w:rsid w:val="6A6E7A5F"/>
    <w:rsid w:val="6A6F28B7"/>
    <w:rsid w:val="6A7154B9"/>
    <w:rsid w:val="6A7450C2"/>
    <w:rsid w:val="6A773014"/>
    <w:rsid w:val="6A7E623D"/>
    <w:rsid w:val="6A7F056F"/>
    <w:rsid w:val="6A7F75FD"/>
    <w:rsid w:val="6A814C52"/>
    <w:rsid w:val="6A8375BA"/>
    <w:rsid w:val="6A851CDB"/>
    <w:rsid w:val="6A857F0C"/>
    <w:rsid w:val="6A876F17"/>
    <w:rsid w:val="6A8A218E"/>
    <w:rsid w:val="6A8A4858"/>
    <w:rsid w:val="6A8B2B69"/>
    <w:rsid w:val="6A8F588A"/>
    <w:rsid w:val="6A914238"/>
    <w:rsid w:val="6A92332A"/>
    <w:rsid w:val="6A9508D7"/>
    <w:rsid w:val="6A9525EC"/>
    <w:rsid w:val="6A965FDC"/>
    <w:rsid w:val="6A9736B6"/>
    <w:rsid w:val="6A975464"/>
    <w:rsid w:val="6A9875AD"/>
    <w:rsid w:val="6A995680"/>
    <w:rsid w:val="6A9A4F55"/>
    <w:rsid w:val="6A9C2A7B"/>
    <w:rsid w:val="6AA231AD"/>
    <w:rsid w:val="6AA24659"/>
    <w:rsid w:val="6AA45DD3"/>
    <w:rsid w:val="6AA52131"/>
    <w:rsid w:val="6AA608A5"/>
    <w:rsid w:val="6AA61B4B"/>
    <w:rsid w:val="6AA64A85"/>
    <w:rsid w:val="6AA665FD"/>
    <w:rsid w:val="6AA67D9D"/>
    <w:rsid w:val="6AA725FD"/>
    <w:rsid w:val="6AAA7D24"/>
    <w:rsid w:val="6AAD2EDA"/>
    <w:rsid w:val="6AAD425D"/>
    <w:rsid w:val="6AAE5152"/>
    <w:rsid w:val="6AAF2002"/>
    <w:rsid w:val="6AB029CA"/>
    <w:rsid w:val="6AB07D7B"/>
    <w:rsid w:val="6AB161C1"/>
    <w:rsid w:val="6AB278EE"/>
    <w:rsid w:val="6AB46BFC"/>
    <w:rsid w:val="6AB53B3C"/>
    <w:rsid w:val="6AB73D58"/>
    <w:rsid w:val="6AB853DB"/>
    <w:rsid w:val="6AB9046E"/>
    <w:rsid w:val="6ABB171C"/>
    <w:rsid w:val="6ABB63D7"/>
    <w:rsid w:val="6ABC311D"/>
    <w:rsid w:val="6ABE0726"/>
    <w:rsid w:val="6ABF604C"/>
    <w:rsid w:val="6AC055C1"/>
    <w:rsid w:val="6AC22747"/>
    <w:rsid w:val="6AC30630"/>
    <w:rsid w:val="6AC53082"/>
    <w:rsid w:val="6AC5539F"/>
    <w:rsid w:val="6AC55556"/>
    <w:rsid w:val="6AC63F9C"/>
    <w:rsid w:val="6AC67AF8"/>
    <w:rsid w:val="6AC70973"/>
    <w:rsid w:val="6AC83870"/>
    <w:rsid w:val="6AC87D14"/>
    <w:rsid w:val="6AC87F53"/>
    <w:rsid w:val="6AC94191"/>
    <w:rsid w:val="6AC951B0"/>
    <w:rsid w:val="6AC95643"/>
    <w:rsid w:val="6AC9687A"/>
    <w:rsid w:val="6ACB0AD0"/>
    <w:rsid w:val="6ACB15B2"/>
    <w:rsid w:val="6ACD0E86"/>
    <w:rsid w:val="6ACD72A8"/>
    <w:rsid w:val="6ACE0429"/>
    <w:rsid w:val="6ACE0BE2"/>
    <w:rsid w:val="6ACE4BFE"/>
    <w:rsid w:val="6ACF10A2"/>
    <w:rsid w:val="6ACF2E50"/>
    <w:rsid w:val="6AD074B0"/>
    <w:rsid w:val="6AD24675"/>
    <w:rsid w:val="6AD36967"/>
    <w:rsid w:val="6AD41C54"/>
    <w:rsid w:val="6AD42215"/>
    <w:rsid w:val="6AD439D8"/>
    <w:rsid w:val="6AD51D12"/>
    <w:rsid w:val="6AD66324"/>
    <w:rsid w:val="6AD71338"/>
    <w:rsid w:val="6AD8182A"/>
    <w:rsid w:val="6AD849BB"/>
    <w:rsid w:val="6AD90006"/>
    <w:rsid w:val="6AD92E55"/>
    <w:rsid w:val="6AD9782B"/>
    <w:rsid w:val="6ADD0406"/>
    <w:rsid w:val="6ADF0BB9"/>
    <w:rsid w:val="6ADF428C"/>
    <w:rsid w:val="6AE10DD5"/>
    <w:rsid w:val="6AE12B83"/>
    <w:rsid w:val="6AE14931"/>
    <w:rsid w:val="6AE368FC"/>
    <w:rsid w:val="6AE43640"/>
    <w:rsid w:val="6AE920D5"/>
    <w:rsid w:val="6AEA5EDC"/>
    <w:rsid w:val="6AEB548E"/>
    <w:rsid w:val="6AF05745"/>
    <w:rsid w:val="6AF1726A"/>
    <w:rsid w:val="6AF27A70"/>
    <w:rsid w:val="6AF50DCC"/>
    <w:rsid w:val="6AF52D3C"/>
    <w:rsid w:val="6AFA3FDD"/>
    <w:rsid w:val="6AFA571E"/>
    <w:rsid w:val="6AFB1F55"/>
    <w:rsid w:val="6AFC003E"/>
    <w:rsid w:val="6AFC41EC"/>
    <w:rsid w:val="6AFE0D75"/>
    <w:rsid w:val="6B00532F"/>
    <w:rsid w:val="6B0074AE"/>
    <w:rsid w:val="6B011F97"/>
    <w:rsid w:val="6B0223CE"/>
    <w:rsid w:val="6B032AFA"/>
    <w:rsid w:val="6B03334B"/>
    <w:rsid w:val="6B040620"/>
    <w:rsid w:val="6B080110"/>
    <w:rsid w:val="6B080A49"/>
    <w:rsid w:val="6B086362"/>
    <w:rsid w:val="6B0869DC"/>
    <w:rsid w:val="6B0A032C"/>
    <w:rsid w:val="6B0A15CE"/>
    <w:rsid w:val="6B0A20DA"/>
    <w:rsid w:val="6B0B0913"/>
    <w:rsid w:val="6B0B19AE"/>
    <w:rsid w:val="6B0C237E"/>
    <w:rsid w:val="6B0C7B33"/>
    <w:rsid w:val="6B0D317B"/>
    <w:rsid w:val="6B100568"/>
    <w:rsid w:val="6B1139A5"/>
    <w:rsid w:val="6B14628C"/>
    <w:rsid w:val="6B172843"/>
    <w:rsid w:val="6B175D95"/>
    <w:rsid w:val="6B182A49"/>
    <w:rsid w:val="6B1860D6"/>
    <w:rsid w:val="6B1B7E43"/>
    <w:rsid w:val="6B1C0BCE"/>
    <w:rsid w:val="6B1C2AE1"/>
    <w:rsid w:val="6B1D005F"/>
    <w:rsid w:val="6B1E0CAA"/>
    <w:rsid w:val="6B1F47BF"/>
    <w:rsid w:val="6B24048F"/>
    <w:rsid w:val="6B244066"/>
    <w:rsid w:val="6B24724A"/>
    <w:rsid w:val="6B252D96"/>
    <w:rsid w:val="6B27444D"/>
    <w:rsid w:val="6B297532"/>
    <w:rsid w:val="6B2A1CD2"/>
    <w:rsid w:val="6B2B3DFF"/>
    <w:rsid w:val="6B2B5108"/>
    <w:rsid w:val="6B2C6821"/>
    <w:rsid w:val="6B2F38EF"/>
    <w:rsid w:val="6B301F55"/>
    <w:rsid w:val="6B30297D"/>
    <w:rsid w:val="6B304CFA"/>
    <w:rsid w:val="6B3158B9"/>
    <w:rsid w:val="6B32149E"/>
    <w:rsid w:val="6B321631"/>
    <w:rsid w:val="6B3453A9"/>
    <w:rsid w:val="6B356837"/>
    <w:rsid w:val="6B357A33"/>
    <w:rsid w:val="6B362ECF"/>
    <w:rsid w:val="6B364190"/>
    <w:rsid w:val="6B380692"/>
    <w:rsid w:val="6B395D51"/>
    <w:rsid w:val="6B3A2BB1"/>
    <w:rsid w:val="6B3A7A5D"/>
    <w:rsid w:val="6B3B2900"/>
    <w:rsid w:val="6B3C600C"/>
    <w:rsid w:val="6B3C7DBA"/>
    <w:rsid w:val="6B3D6961"/>
    <w:rsid w:val="6B3E7FD6"/>
    <w:rsid w:val="6B405AFC"/>
    <w:rsid w:val="6B421D41"/>
    <w:rsid w:val="6B432AA4"/>
    <w:rsid w:val="6B4B5506"/>
    <w:rsid w:val="6B4B624F"/>
    <w:rsid w:val="6B4C26F3"/>
    <w:rsid w:val="6B4C508F"/>
    <w:rsid w:val="6B4D30C6"/>
    <w:rsid w:val="6B4E7E6F"/>
    <w:rsid w:val="6B4F7C12"/>
    <w:rsid w:val="6B527557"/>
    <w:rsid w:val="6B533758"/>
    <w:rsid w:val="6B5475B6"/>
    <w:rsid w:val="6B5579EE"/>
    <w:rsid w:val="6B563571"/>
    <w:rsid w:val="6B5720B5"/>
    <w:rsid w:val="6B575EAD"/>
    <w:rsid w:val="6B583569"/>
    <w:rsid w:val="6B5A26B9"/>
    <w:rsid w:val="6B5C4ABB"/>
    <w:rsid w:val="6B5D4AE2"/>
    <w:rsid w:val="6B5E41D4"/>
    <w:rsid w:val="6B5E4ECB"/>
    <w:rsid w:val="6B6031EC"/>
    <w:rsid w:val="6B61222A"/>
    <w:rsid w:val="6B646900"/>
    <w:rsid w:val="6B657311"/>
    <w:rsid w:val="6B682EF1"/>
    <w:rsid w:val="6B6A2B79"/>
    <w:rsid w:val="6B6C0DA2"/>
    <w:rsid w:val="6B6D2669"/>
    <w:rsid w:val="6B6D36C9"/>
    <w:rsid w:val="6B6E1AAF"/>
    <w:rsid w:val="6B6E2E3F"/>
    <w:rsid w:val="6B6F1F3D"/>
    <w:rsid w:val="6B726DFF"/>
    <w:rsid w:val="6B730AA4"/>
    <w:rsid w:val="6B73213B"/>
    <w:rsid w:val="6B737C7F"/>
    <w:rsid w:val="6B741C85"/>
    <w:rsid w:val="6B747200"/>
    <w:rsid w:val="6B750D31"/>
    <w:rsid w:val="6B752677"/>
    <w:rsid w:val="6B797F1B"/>
    <w:rsid w:val="6B7A6DB6"/>
    <w:rsid w:val="6B7B1AB7"/>
    <w:rsid w:val="6B7B6B34"/>
    <w:rsid w:val="6B7C3FFB"/>
    <w:rsid w:val="6B7C4678"/>
    <w:rsid w:val="6B7E03D2"/>
    <w:rsid w:val="6B7F4ADF"/>
    <w:rsid w:val="6B811C71"/>
    <w:rsid w:val="6B8974A3"/>
    <w:rsid w:val="6B8A6D77"/>
    <w:rsid w:val="6B91421F"/>
    <w:rsid w:val="6B926FB7"/>
    <w:rsid w:val="6B930BEB"/>
    <w:rsid w:val="6B934AE2"/>
    <w:rsid w:val="6B935963"/>
    <w:rsid w:val="6B9419A4"/>
    <w:rsid w:val="6B972E34"/>
    <w:rsid w:val="6B974819"/>
    <w:rsid w:val="6B9863F2"/>
    <w:rsid w:val="6B990422"/>
    <w:rsid w:val="6B993F21"/>
    <w:rsid w:val="6B9C504C"/>
    <w:rsid w:val="6B9D6663"/>
    <w:rsid w:val="6B9E04A2"/>
    <w:rsid w:val="6B9E0A74"/>
    <w:rsid w:val="6BA02A3F"/>
    <w:rsid w:val="6BA142B6"/>
    <w:rsid w:val="6BA256A2"/>
    <w:rsid w:val="6BA61325"/>
    <w:rsid w:val="6BA77061"/>
    <w:rsid w:val="6BA8358E"/>
    <w:rsid w:val="6BA94DF4"/>
    <w:rsid w:val="6BA97D41"/>
    <w:rsid w:val="6BAA429E"/>
    <w:rsid w:val="6BAD0172"/>
    <w:rsid w:val="6BB12BB4"/>
    <w:rsid w:val="6BB169FA"/>
    <w:rsid w:val="6BB5158B"/>
    <w:rsid w:val="6BB55449"/>
    <w:rsid w:val="6BB6020E"/>
    <w:rsid w:val="6BB94218"/>
    <w:rsid w:val="6BB9765C"/>
    <w:rsid w:val="6BBA4CAB"/>
    <w:rsid w:val="6BBA6FE6"/>
    <w:rsid w:val="6BBB06E7"/>
    <w:rsid w:val="6BBC0FB0"/>
    <w:rsid w:val="6BBD463B"/>
    <w:rsid w:val="6BBF0117"/>
    <w:rsid w:val="6BBF3C17"/>
    <w:rsid w:val="6BC009EB"/>
    <w:rsid w:val="6BC30A2F"/>
    <w:rsid w:val="6BC32289"/>
    <w:rsid w:val="6BC41FB0"/>
    <w:rsid w:val="6BC73B27"/>
    <w:rsid w:val="6BC76017"/>
    <w:rsid w:val="6BC77FCB"/>
    <w:rsid w:val="6BC85392"/>
    <w:rsid w:val="6BC86563"/>
    <w:rsid w:val="6BCB514F"/>
    <w:rsid w:val="6BCC6F50"/>
    <w:rsid w:val="6BCE135A"/>
    <w:rsid w:val="6BD02406"/>
    <w:rsid w:val="6BD06545"/>
    <w:rsid w:val="6BD2397F"/>
    <w:rsid w:val="6BD3071E"/>
    <w:rsid w:val="6BD334AD"/>
    <w:rsid w:val="6BD36970"/>
    <w:rsid w:val="6BD6020E"/>
    <w:rsid w:val="6BD72563"/>
    <w:rsid w:val="6BD91AAD"/>
    <w:rsid w:val="6BDA1B01"/>
    <w:rsid w:val="6BDD159D"/>
    <w:rsid w:val="6BDF3567"/>
    <w:rsid w:val="6BDF70C3"/>
    <w:rsid w:val="6BE0108D"/>
    <w:rsid w:val="6BE02E3B"/>
    <w:rsid w:val="6BE45B95"/>
    <w:rsid w:val="6BE47003"/>
    <w:rsid w:val="6BE6558D"/>
    <w:rsid w:val="6BE80A4C"/>
    <w:rsid w:val="6BE857E9"/>
    <w:rsid w:val="6BE96135"/>
    <w:rsid w:val="6BE96194"/>
    <w:rsid w:val="6BF06B43"/>
    <w:rsid w:val="6BF52F17"/>
    <w:rsid w:val="6BF749CB"/>
    <w:rsid w:val="6BFC3B49"/>
    <w:rsid w:val="6BFC7966"/>
    <w:rsid w:val="6C001354"/>
    <w:rsid w:val="6C0135EE"/>
    <w:rsid w:val="6C033A1C"/>
    <w:rsid w:val="6C040F0E"/>
    <w:rsid w:val="6C066D46"/>
    <w:rsid w:val="6C0A2376"/>
    <w:rsid w:val="6C0C6146"/>
    <w:rsid w:val="6C0D6B20"/>
    <w:rsid w:val="6C0E1756"/>
    <w:rsid w:val="6C110C52"/>
    <w:rsid w:val="6C111246"/>
    <w:rsid w:val="6C11464E"/>
    <w:rsid w:val="6C11795F"/>
    <w:rsid w:val="6C136D6D"/>
    <w:rsid w:val="6C156F89"/>
    <w:rsid w:val="6C1672C1"/>
    <w:rsid w:val="6C1825D5"/>
    <w:rsid w:val="6C184383"/>
    <w:rsid w:val="6C186A79"/>
    <w:rsid w:val="6C1A00FB"/>
    <w:rsid w:val="6C1A01F8"/>
    <w:rsid w:val="6C1B0562"/>
    <w:rsid w:val="6C1D5D72"/>
    <w:rsid w:val="6C1E7194"/>
    <w:rsid w:val="6C215487"/>
    <w:rsid w:val="6C222D83"/>
    <w:rsid w:val="6C225202"/>
    <w:rsid w:val="6C262F44"/>
    <w:rsid w:val="6C271881"/>
    <w:rsid w:val="6C2A0DA5"/>
    <w:rsid w:val="6C2A4B84"/>
    <w:rsid w:val="6C2A55F0"/>
    <w:rsid w:val="6C2B34CD"/>
    <w:rsid w:val="6C2C42D2"/>
    <w:rsid w:val="6C2E5151"/>
    <w:rsid w:val="6C316D02"/>
    <w:rsid w:val="6C3205E4"/>
    <w:rsid w:val="6C3439C0"/>
    <w:rsid w:val="6C3573FF"/>
    <w:rsid w:val="6C360CAD"/>
    <w:rsid w:val="6C375151"/>
    <w:rsid w:val="6C383D9C"/>
    <w:rsid w:val="6C3948C0"/>
    <w:rsid w:val="6C3A69EF"/>
    <w:rsid w:val="6C3B1211"/>
    <w:rsid w:val="6C3B53BD"/>
    <w:rsid w:val="6C3C2767"/>
    <w:rsid w:val="6C3D246C"/>
    <w:rsid w:val="6C3F1329"/>
    <w:rsid w:val="6C3F5DB4"/>
    <w:rsid w:val="6C4320B0"/>
    <w:rsid w:val="6C4433CA"/>
    <w:rsid w:val="6C446244"/>
    <w:rsid w:val="6C467142"/>
    <w:rsid w:val="6C471E85"/>
    <w:rsid w:val="6C4760EF"/>
    <w:rsid w:val="6C494E84"/>
    <w:rsid w:val="6C4A61B1"/>
    <w:rsid w:val="6C4B44C7"/>
    <w:rsid w:val="6C4D329F"/>
    <w:rsid w:val="6C4D6DBA"/>
    <w:rsid w:val="6C4E4249"/>
    <w:rsid w:val="6C4E5FF7"/>
    <w:rsid w:val="6C4F7452"/>
    <w:rsid w:val="6C506213"/>
    <w:rsid w:val="6C507FC1"/>
    <w:rsid w:val="6C512F5A"/>
    <w:rsid w:val="6C525203"/>
    <w:rsid w:val="6C53185F"/>
    <w:rsid w:val="6C537AB1"/>
    <w:rsid w:val="6C557385"/>
    <w:rsid w:val="6C5B0466"/>
    <w:rsid w:val="6C5B7090"/>
    <w:rsid w:val="6C5D26DE"/>
    <w:rsid w:val="6C5E257D"/>
    <w:rsid w:val="6C5E2742"/>
    <w:rsid w:val="6C5E50EA"/>
    <w:rsid w:val="6C5E5AB6"/>
    <w:rsid w:val="6C5F3CBB"/>
    <w:rsid w:val="6C604A90"/>
    <w:rsid w:val="6C625DD2"/>
    <w:rsid w:val="6C6358C7"/>
    <w:rsid w:val="6C6367AC"/>
    <w:rsid w:val="6C644217"/>
    <w:rsid w:val="6C650911"/>
    <w:rsid w:val="6C657A16"/>
    <w:rsid w:val="6C6A134C"/>
    <w:rsid w:val="6C6B7BC0"/>
    <w:rsid w:val="6C6C20FF"/>
    <w:rsid w:val="6C6C46CF"/>
    <w:rsid w:val="6C6E1A81"/>
    <w:rsid w:val="6C6F66D5"/>
    <w:rsid w:val="6C7041BF"/>
    <w:rsid w:val="6C710554"/>
    <w:rsid w:val="6C71397E"/>
    <w:rsid w:val="6C714464"/>
    <w:rsid w:val="6C7216FC"/>
    <w:rsid w:val="6C733CAF"/>
    <w:rsid w:val="6C742890"/>
    <w:rsid w:val="6C754FBA"/>
    <w:rsid w:val="6C756BFF"/>
    <w:rsid w:val="6C762AAB"/>
    <w:rsid w:val="6C7705DE"/>
    <w:rsid w:val="6C77626C"/>
    <w:rsid w:val="6C783CDF"/>
    <w:rsid w:val="6C78404A"/>
    <w:rsid w:val="6C792A11"/>
    <w:rsid w:val="6C7C2A4C"/>
    <w:rsid w:val="6C7E58EA"/>
    <w:rsid w:val="6C8163CC"/>
    <w:rsid w:val="6C8456D5"/>
    <w:rsid w:val="6C870A40"/>
    <w:rsid w:val="6C875C09"/>
    <w:rsid w:val="6C880260"/>
    <w:rsid w:val="6C8853C9"/>
    <w:rsid w:val="6C891725"/>
    <w:rsid w:val="6C895281"/>
    <w:rsid w:val="6C89702F"/>
    <w:rsid w:val="6C8A005A"/>
    <w:rsid w:val="6C8C4AAA"/>
    <w:rsid w:val="6C8C6B1F"/>
    <w:rsid w:val="6C8E0AE9"/>
    <w:rsid w:val="6C8E61E8"/>
    <w:rsid w:val="6C9003BD"/>
    <w:rsid w:val="6C904861"/>
    <w:rsid w:val="6C9067C9"/>
    <w:rsid w:val="6C907116"/>
    <w:rsid w:val="6C942C8D"/>
    <w:rsid w:val="6C943714"/>
    <w:rsid w:val="6C9858E3"/>
    <w:rsid w:val="6C9C1458"/>
    <w:rsid w:val="6C9D2ADA"/>
    <w:rsid w:val="6CA03A56"/>
    <w:rsid w:val="6CA65E33"/>
    <w:rsid w:val="6CA83959"/>
    <w:rsid w:val="6CA83F0D"/>
    <w:rsid w:val="6CA976D1"/>
    <w:rsid w:val="6CAA4EF5"/>
    <w:rsid w:val="6CAE2F39"/>
    <w:rsid w:val="6CAF118B"/>
    <w:rsid w:val="6CAF75BB"/>
    <w:rsid w:val="6CB040AA"/>
    <w:rsid w:val="6CB1287D"/>
    <w:rsid w:val="6CB22A29"/>
    <w:rsid w:val="6CB3110E"/>
    <w:rsid w:val="6CB74F5B"/>
    <w:rsid w:val="6CBB3DE1"/>
    <w:rsid w:val="6CBB7AB5"/>
    <w:rsid w:val="6CBC2133"/>
    <w:rsid w:val="6CBC5656"/>
    <w:rsid w:val="6CBD49A9"/>
    <w:rsid w:val="6CBE482D"/>
    <w:rsid w:val="6CBF1EA6"/>
    <w:rsid w:val="6CC16191"/>
    <w:rsid w:val="6CC3531E"/>
    <w:rsid w:val="6CC42CD0"/>
    <w:rsid w:val="6CC54C64"/>
    <w:rsid w:val="6CC82894"/>
    <w:rsid w:val="6CCA1DA6"/>
    <w:rsid w:val="6CCB3AEB"/>
    <w:rsid w:val="6CCB5291"/>
    <w:rsid w:val="6CCC0825"/>
    <w:rsid w:val="6CCE55C4"/>
    <w:rsid w:val="6CCF314E"/>
    <w:rsid w:val="6CD02EB0"/>
    <w:rsid w:val="6CD04C5E"/>
    <w:rsid w:val="6CD23218"/>
    <w:rsid w:val="6CD234F8"/>
    <w:rsid w:val="6CD81D64"/>
    <w:rsid w:val="6CD858B4"/>
    <w:rsid w:val="6CD95450"/>
    <w:rsid w:val="6CDA449C"/>
    <w:rsid w:val="6CDA788A"/>
    <w:rsid w:val="6CDC1854"/>
    <w:rsid w:val="6CDE55CC"/>
    <w:rsid w:val="6CDF01E5"/>
    <w:rsid w:val="6CDF2AE4"/>
    <w:rsid w:val="6CDF30F3"/>
    <w:rsid w:val="6CE02CFC"/>
    <w:rsid w:val="6CE32BE3"/>
    <w:rsid w:val="6CE6555F"/>
    <w:rsid w:val="6CE73E36"/>
    <w:rsid w:val="6CE77FFE"/>
    <w:rsid w:val="6CE8644B"/>
    <w:rsid w:val="6CE873CC"/>
    <w:rsid w:val="6CEA54EF"/>
    <w:rsid w:val="6CEC361C"/>
    <w:rsid w:val="6CED5810"/>
    <w:rsid w:val="6CEF645C"/>
    <w:rsid w:val="6CF0213F"/>
    <w:rsid w:val="6CF03323"/>
    <w:rsid w:val="6CF15EB6"/>
    <w:rsid w:val="6CF22E26"/>
    <w:rsid w:val="6CF4154E"/>
    <w:rsid w:val="6CF45AD8"/>
    <w:rsid w:val="6CF501FE"/>
    <w:rsid w:val="6CF52916"/>
    <w:rsid w:val="6CFA128D"/>
    <w:rsid w:val="6CFA7642"/>
    <w:rsid w:val="6CFC3CA5"/>
    <w:rsid w:val="6CFE27CF"/>
    <w:rsid w:val="6CFE7A1D"/>
    <w:rsid w:val="6D013069"/>
    <w:rsid w:val="6D015823"/>
    <w:rsid w:val="6D021A36"/>
    <w:rsid w:val="6D073943"/>
    <w:rsid w:val="6D077FD9"/>
    <w:rsid w:val="6D083B00"/>
    <w:rsid w:val="6D0847B1"/>
    <w:rsid w:val="6D0938B4"/>
    <w:rsid w:val="6D0F1701"/>
    <w:rsid w:val="6D11251F"/>
    <w:rsid w:val="6D1246FB"/>
    <w:rsid w:val="6D18386D"/>
    <w:rsid w:val="6D18512F"/>
    <w:rsid w:val="6D1B05CF"/>
    <w:rsid w:val="6D1C4347"/>
    <w:rsid w:val="6D1E3613"/>
    <w:rsid w:val="6D25480D"/>
    <w:rsid w:val="6D2A25C0"/>
    <w:rsid w:val="6D2B458A"/>
    <w:rsid w:val="6D2C1471"/>
    <w:rsid w:val="6D2C63EC"/>
    <w:rsid w:val="6D2D10CA"/>
    <w:rsid w:val="6D2E0651"/>
    <w:rsid w:val="6D2F407A"/>
    <w:rsid w:val="6D3050B3"/>
    <w:rsid w:val="6D356985"/>
    <w:rsid w:val="6D3671B7"/>
    <w:rsid w:val="6D372F2F"/>
    <w:rsid w:val="6D374CDD"/>
    <w:rsid w:val="6D377250"/>
    <w:rsid w:val="6D380010"/>
    <w:rsid w:val="6D385B2C"/>
    <w:rsid w:val="6D3C6797"/>
    <w:rsid w:val="6D3E250F"/>
    <w:rsid w:val="6D3E2558"/>
    <w:rsid w:val="6D4232F2"/>
    <w:rsid w:val="6D423B36"/>
    <w:rsid w:val="6D4242F3"/>
    <w:rsid w:val="6D463172"/>
    <w:rsid w:val="6D464F20"/>
    <w:rsid w:val="6D465F63"/>
    <w:rsid w:val="6D47709B"/>
    <w:rsid w:val="6D486939"/>
    <w:rsid w:val="6D49468E"/>
    <w:rsid w:val="6D4A4A10"/>
    <w:rsid w:val="6D4C7DD0"/>
    <w:rsid w:val="6D4E4603"/>
    <w:rsid w:val="6D4F40E1"/>
    <w:rsid w:val="6D50327F"/>
    <w:rsid w:val="6D505D9E"/>
    <w:rsid w:val="6D511FF0"/>
    <w:rsid w:val="6D52044D"/>
    <w:rsid w:val="6D5238C5"/>
    <w:rsid w:val="6D527259"/>
    <w:rsid w:val="6D541E34"/>
    <w:rsid w:val="6D5453A1"/>
    <w:rsid w:val="6D556AAD"/>
    <w:rsid w:val="6D5626C1"/>
    <w:rsid w:val="6D567859"/>
    <w:rsid w:val="6D5B38AF"/>
    <w:rsid w:val="6D5C29B8"/>
    <w:rsid w:val="6D5C551F"/>
    <w:rsid w:val="6D5E0586"/>
    <w:rsid w:val="6D5E2BAD"/>
    <w:rsid w:val="6D5E4080"/>
    <w:rsid w:val="6D5E71F6"/>
    <w:rsid w:val="6D602485"/>
    <w:rsid w:val="6D604C3A"/>
    <w:rsid w:val="6D616C89"/>
    <w:rsid w:val="6D62276C"/>
    <w:rsid w:val="6D633D24"/>
    <w:rsid w:val="6D6504CA"/>
    <w:rsid w:val="6D667901"/>
    <w:rsid w:val="6D673814"/>
    <w:rsid w:val="6D695244"/>
    <w:rsid w:val="6D69718E"/>
    <w:rsid w:val="6D6A3304"/>
    <w:rsid w:val="6D6B4986"/>
    <w:rsid w:val="6D6C0F80"/>
    <w:rsid w:val="6D6C73C3"/>
    <w:rsid w:val="6D6D6950"/>
    <w:rsid w:val="6D6F26C8"/>
    <w:rsid w:val="6D7035E4"/>
    <w:rsid w:val="6D707BE8"/>
    <w:rsid w:val="6D714693"/>
    <w:rsid w:val="6D7154A2"/>
    <w:rsid w:val="6D7662CE"/>
    <w:rsid w:val="6D77157D"/>
    <w:rsid w:val="6D777848"/>
    <w:rsid w:val="6D7970A3"/>
    <w:rsid w:val="6D7A0FBD"/>
    <w:rsid w:val="6D7B2E1B"/>
    <w:rsid w:val="6D7C7E63"/>
    <w:rsid w:val="6D8002DC"/>
    <w:rsid w:val="6D806684"/>
    <w:rsid w:val="6D852042"/>
    <w:rsid w:val="6D853C9A"/>
    <w:rsid w:val="6D8617C0"/>
    <w:rsid w:val="6D864406"/>
    <w:rsid w:val="6D8675D4"/>
    <w:rsid w:val="6D8A305E"/>
    <w:rsid w:val="6D8B090B"/>
    <w:rsid w:val="6D8C6446"/>
    <w:rsid w:val="6D910891"/>
    <w:rsid w:val="6D922457"/>
    <w:rsid w:val="6D937175"/>
    <w:rsid w:val="6D943EDD"/>
    <w:rsid w:val="6D976DC8"/>
    <w:rsid w:val="6D995269"/>
    <w:rsid w:val="6D997745"/>
    <w:rsid w:val="6D9A4A8C"/>
    <w:rsid w:val="6D9A6DE4"/>
    <w:rsid w:val="6D9A79D3"/>
    <w:rsid w:val="6D9B170F"/>
    <w:rsid w:val="6D9F775B"/>
    <w:rsid w:val="6DA07A76"/>
    <w:rsid w:val="6DA52838"/>
    <w:rsid w:val="6DA5433C"/>
    <w:rsid w:val="6DA55245"/>
    <w:rsid w:val="6DA63D6E"/>
    <w:rsid w:val="6DA700B4"/>
    <w:rsid w:val="6DA854AB"/>
    <w:rsid w:val="6DA94B4F"/>
    <w:rsid w:val="6DA953DB"/>
    <w:rsid w:val="6DA9581A"/>
    <w:rsid w:val="6DAA1B0C"/>
    <w:rsid w:val="6DAB603C"/>
    <w:rsid w:val="6DAC1F0A"/>
    <w:rsid w:val="6DAD1058"/>
    <w:rsid w:val="6DAD601D"/>
    <w:rsid w:val="6DAE5F31"/>
    <w:rsid w:val="6DAF37B1"/>
    <w:rsid w:val="6DB04B77"/>
    <w:rsid w:val="6DB12942"/>
    <w:rsid w:val="6DB12CE1"/>
    <w:rsid w:val="6DB57457"/>
    <w:rsid w:val="6DB71556"/>
    <w:rsid w:val="6DB73862"/>
    <w:rsid w:val="6DB74F1E"/>
    <w:rsid w:val="6DB77BB8"/>
    <w:rsid w:val="6DB95988"/>
    <w:rsid w:val="6DC249BF"/>
    <w:rsid w:val="6DC25BD3"/>
    <w:rsid w:val="6DC30C08"/>
    <w:rsid w:val="6DC56001"/>
    <w:rsid w:val="6DC72505"/>
    <w:rsid w:val="6DC870F0"/>
    <w:rsid w:val="6DC91221"/>
    <w:rsid w:val="6DCF4F15"/>
    <w:rsid w:val="6DD07C1D"/>
    <w:rsid w:val="6DD23D56"/>
    <w:rsid w:val="6DD63CD0"/>
    <w:rsid w:val="6DD662A4"/>
    <w:rsid w:val="6DD778D7"/>
    <w:rsid w:val="6DD864C0"/>
    <w:rsid w:val="6DDE1315"/>
    <w:rsid w:val="6DDE7219"/>
    <w:rsid w:val="6DDF7C7F"/>
    <w:rsid w:val="6DE035C6"/>
    <w:rsid w:val="6DE20811"/>
    <w:rsid w:val="6DE210EC"/>
    <w:rsid w:val="6DE25509"/>
    <w:rsid w:val="6DE27C6E"/>
    <w:rsid w:val="6DE4135F"/>
    <w:rsid w:val="6DE52B9B"/>
    <w:rsid w:val="6DE57DCF"/>
    <w:rsid w:val="6DE677B8"/>
    <w:rsid w:val="6DEB13CD"/>
    <w:rsid w:val="6DEC3D19"/>
    <w:rsid w:val="6DED426D"/>
    <w:rsid w:val="6DEE4EB4"/>
    <w:rsid w:val="6DEE4FF3"/>
    <w:rsid w:val="6DF130DE"/>
    <w:rsid w:val="6DF162FB"/>
    <w:rsid w:val="6DF378FC"/>
    <w:rsid w:val="6DF55946"/>
    <w:rsid w:val="6DF5784D"/>
    <w:rsid w:val="6DF606F4"/>
    <w:rsid w:val="6DF6676A"/>
    <w:rsid w:val="6DF6759C"/>
    <w:rsid w:val="6DF826BE"/>
    <w:rsid w:val="6DF861CE"/>
    <w:rsid w:val="6DF9383B"/>
    <w:rsid w:val="6DF93E88"/>
    <w:rsid w:val="6DFA650F"/>
    <w:rsid w:val="6E01724F"/>
    <w:rsid w:val="6E0252EB"/>
    <w:rsid w:val="6E0312C1"/>
    <w:rsid w:val="6E032E11"/>
    <w:rsid w:val="6E053030"/>
    <w:rsid w:val="6E055C01"/>
    <w:rsid w:val="6E0607D2"/>
    <w:rsid w:val="6E070B53"/>
    <w:rsid w:val="6E072901"/>
    <w:rsid w:val="6E0948CB"/>
    <w:rsid w:val="6E097188"/>
    <w:rsid w:val="6E0B694A"/>
    <w:rsid w:val="6E0B7442"/>
    <w:rsid w:val="6E0C084E"/>
    <w:rsid w:val="6E0C2F03"/>
    <w:rsid w:val="6E0C4177"/>
    <w:rsid w:val="6E0C43BB"/>
    <w:rsid w:val="6E103E75"/>
    <w:rsid w:val="6E114E80"/>
    <w:rsid w:val="6E125634"/>
    <w:rsid w:val="6E13574A"/>
    <w:rsid w:val="6E1512E5"/>
    <w:rsid w:val="6E157015"/>
    <w:rsid w:val="6E161E3D"/>
    <w:rsid w:val="6E1A20B1"/>
    <w:rsid w:val="6E1B2439"/>
    <w:rsid w:val="6E1B25FD"/>
    <w:rsid w:val="6E1D2C4F"/>
    <w:rsid w:val="6E1D4F8A"/>
    <w:rsid w:val="6E1D71DA"/>
    <w:rsid w:val="6E1E6EDE"/>
    <w:rsid w:val="6E2214E9"/>
    <w:rsid w:val="6E2255D4"/>
    <w:rsid w:val="6E22598D"/>
    <w:rsid w:val="6E2434B3"/>
    <w:rsid w:val="6E252894"/>
    <w:rsid w:val="6E25722B"/>
    <w:rsid w:val="6E2A3072"/>
    <w:rsid w:val="6E2A65EF"/>
    <w:rsid w:val="6E2B0912"/>
    <w:rsid w:val="6E2B60EC"/>
    <w:rsid w:val="6E2C20FC"/>
    <w:rsid w:val="6E2C2368"/>
    <w:rsid w:val="6E2C3DCE"/>
    <w:rsid w:val="6E2F4EA0"/>
    <w:rsid w:val="6E3117E8"/>
    <w:rsid w:val="6E315BD0"/>
    <w:rsid w:val="6E3163FF"/>
    <w:rsid w:val="6E330C7F"/>
    <w:rsid w:val="6E341EFF"/>
    <w:rsid w:val="6E3632F3"/>
    <w:rsid w:val="6E385050"/>
    <w:rsid w:val="6E3851B0"/>
    <w:rsid w:val="6E3A4A84"/>
    <w:rsid w:val="6E3F611F"/>
    <w:rsid w:val="6E4006B2"/>
    <w:rsid w:val="6E401887"/>
    <w:rsid w:val="6E414065"/>
    <w:rsid w:val="6E44354C"/>
    <w:rsid w:val="6E445F0F"/>
    <w:rsid w:val="6E4656D8"/>
    <w:rsid w:val="6E472E51"/>
    <w:rsid w:val="6E477BCA"/>
    <w:rsid w:val="6E481A15"/>
    <w:rsid w:val="6E49116B"/>
    <w:rsid w:val="6E4B6C92"/>
    <w:rsid w:val="6E4C0C5C"/>
    <w:rsid w:val="6E4E136A"/>
    <w:rsid w:val="6E511DCE"/>
    <w:rsid w:val="6E521560"/>
    <w:rsid w:val="6E531FEA"/>
    <w:rsid w:val="6E550908"/>
    <w:rsid w:val="6E565636"/>
    <w:rsid w:val="6E5813AF"/>
    <w:rsid w:val="6E5A1D25"/>
    <w:rsid w:val="6E5A5127"/>
    <w:rsid w:val="6E5A7A44"/>
    <w:rsid w:val="6E5B49FB"/>
    <w:rsid w:val="6E5C0E9F"/>
    <w:rsid w:val="6E5D69C5"/>
    <w:rsid w:val="6E5F098F"/>
    <w:rsid w:val="6E600383"/>
    <w:rsid w:val="6E606A70"/>
    <w:rsid w:val="6E61112C"/>
    <w:rsid w:val="6E637F0C"/>
    <w:rsid w:val="6E647D14"/>
    <w:rsid w:val="6E66618C"/>
    <w:rsid w:val="6E684EF4"/>
    <w:rsid w:val="6E6935BC"/>
    <w:rsid w:val="6E6B47F7"/>
    <w:rsid w:val="6E6C09B6"/>
    <w:rsid w:val="6E6F4BC0"/>
    <w:rsid w:val="6E700D11"/>
    <w:rsid w:val="6E712470"/>
    <w:rsid w:val="6E755580"/>
    <w:rsid w:val="6E7837FF"/>
    <w:rsid w:val="6E7B0238"/>
    <w:rsid w:val="6E80181D"/>
    <w:rsid w:val="6E802F39"/>
    <w:rsid w:val="6E803ADA"/>
    <w:rsid w:val="6E812CF0"/>
    <w:rsid w:val="6E8201DA"/>
    <w:rsid w:val="6E82467D"/>
    <w:rsid w:val="6E825D78"/>
    <w:rsid w:val="6E84650A"/>
    <w:rsid w:val="6E857444"/>
    <w:rsid w:val="6E865F1C"/>
    <w:rsid w:val="6E8912E4"/>
    <w:rsid w:val="6E8937F7"/>
    <w:rsid w:val="6E8B3532"/>
    <w:rsid w:val="6E8B3D8C"/>
    <w:rsid w:val="6E8C1D6D"/>
    <w:rsid w:val="6E8D3A60"/>
    <w:rsid w:val="6E8E36E5"/>
    <w:rsid w:val="6E8E4DD0"/>
    <w:rsid w:val="6E91666F"/>
    <w:rsid w:val="6E9522E5"/>
    <w:rsid w:val="6E967D6B"/>
    <w:rsid w:val="6E973359"/>
    <w:rsid w:val="6E9A5A4E"/>
    <w:rsid w:val="6E9D1838"/>
    <w:rsid w:val="6E9E07BA"/>
    <w:rsid w:val="6EA23008"/>
    <w:rsid w:val="6EA3670A"/>
    <w:rsid w:val="6EA445F4"/>
    <w:rsid w:val="6EA629F5"/>
    <w:rsid w:val="6EA650A5"/>
    <w:rsid w:val="6EA77C40"/>
    <w:rsid w:val="6EAA039C"/>
    <w:rsid w:val="6EAA776F"/>
    <w:rsid w:val="6EAB6BCF"/>
    <w:rsid w:val="6EAC4B8D"/>
    <w:rsid w:val="6EAE5FF2"/>
    <w:rsid w:val="6EB165E4"/>
    <w:rsid w:val="6EB22BCB"/>
    <w:rsid w:val="6EB26201"/>
    <w:rsid w:val="6EB31C00"/>
    <w:rsid w:val="6EB32A89"/>
    <w:rsid w:val="6EB32EAB"/>
    <w:rsid w:val="6EB5599A"/>
    <w:rsid w:val="6EB56801"/>
    <w:rsid w:val="6EB90D41"/>
    <w:rsid w:val="6EBA5BC5"/>
    <w:rsid w:val="6EBC6885"/>
    <w:rsid w:val="6EBC7B8F"/>
    <w:rsid w:val="6EBF78EC"/>
    <w:rsid w:val="6EBF7C57"/>
    <w:rsid w:val="6EBF7E0D"/>
    <w:rsid w:val="6EC559BA"/>
    <w:rsid w:val="6EC627BC"/>
    <w:rsid w:val="6EC6450E"/>
    <w:rsid w:val="6EC7064B"/>
    <w:rsid w:val="6EC71234"/>
    <w:rsid w:val="6EC81378"/>
    <w:rsid w:val="6EC82EAB"/>
    <w:rsid w:val="6EC85F3C"/>
    <w:rsid w:val="6EC93824"/>
    <w:rsid w:val="6ECB0F91"/>
    <w:rsid w:val="6ECB402E"/>
    <w:rsid w:val="6ECF78C3"/>
    <w:rsid w:val="6ED022D0"/>
    <w:rsid w:val="6ED02D70"/>
    <w:rsid w:val="6ED1310B"/>
    <w:rsid w:val="6ED33422"/>
    <w:rsid w:val="6ED342CF"/>
    <w:rsid w:val="6ED529FF"/>
    <w:rsid w:val="6ED76777"/>
    <w:rsid w:val="6ED8429D"/>
    <w:rsid w:val="6ED96943"/>
    <w:rsid w:val="6EDB4DC7"/>
    <w:rsid w:val="6EDB7C7C"/>
    <w:rsid w:val="6EDC1FE0"/>
    <w:rsid w:val="6EDC3D8E"/>
    <w:rsid w:val="6EDF1C33"/>
    <w:rsid w:val="6EDF695F"/>
    <w:rsid w:val="6EDF73DA"/>
    <w:rsid w:val="6EDF7EC6"/>
    <w:rsid w:val="6EE113A4"/>
    <w:rsid w:val="6EE80984"/>
    <w:rsid w:val="6EEB3FD1"/>
    <w:rsid w:val="6EEC1F11"/>
    <w:rsid w:val="6EED4B84"/>
    <w:rsid w:val="6EEE18DD"/>
    <w:rsid w:val="6EF06C9C"/>
    <w:rsid w:val="6EF2300D"/>
    <w:rsid w:val="6EF235B1"/>
    <w:rsid w:val="6EF41EE0"/>
    <w:rsid w:val="6EF54E4F"/>
    <w:rsid w:val="6EF7681F"/>
    <w:rsid w:val="6EF870FE"/>
    <w:rsid w:val="6EF966EE"/>
    <w:rsid w:val="6EFB1BC9"/>
    <w:rsid w:val="6EFC17EB"/>
    <w:rsid w:val="6EFC4FCE"/>
    <w:rsid w:val="6EFE3B7D"/>
    <w:rsid w:val="6EFF5CCE"/>
    <w:rsid w:val="6F005C39"/>
    <w:rsid w:val="6F044EAD"/>
    <w:rsid w:val="6F045092"/>
    <w:rsid w:val="6F0521AC"/>
    <w:rsid w:val="6F052754"/>
    <w:rsid w:val="6F052E95"/>
    <w:rsid w:val="6F062BB9"/>
    <w:rsid w:val="6F0648CA"/>
    <w:rsid w:val="6F073A86"/>
    <w:rsid w:val="6F082FF2"/>
    <w:rsid w:val="6F0A08FB"/>
    <w:rsid w:val="6F0C1BBE"/>
    <w:rsid w:val="6F0D64AE"/>
    <w:rsid w:val="6F0D7E1B"/>
    <w:rsid w:val="6F0F1D22"/>
    <w:rsid w:val="6F1001C8"/>
    <w:rsid w:val="6F116467"/>
    <w:rsid w:val="6F117BDB"/>
    <w:rsid w:val="6F12155D"/>
    <w:rsid w:val="6F1352D6"/>
    <w:rsid w:val="6F135AF0"/>
    <w:rsid w:val="6F1403AD"/>
    <w:rsid w:val="6F15104E"/>
    <w:rsid w:val="6F15211F"/>
    <w:rsid w:val="6F152DFC"/>
    <w:rsid w:val="6F173018"/>
    <w:rsid w:val="6F1C23DC"/>
    <w:rsid w:val="6F1C7A8B"/>
    <w:rsid w:val="6F1F399F"/>
    <w:rsid w:val="6F1F3C7A"/>
    <w:rsid w:val="6F2264B6"/>
    <w:rsid w:val="6F2319BD"/>
    <w:rsid w:val="6F234F46"/>
    <w:rsid w:val="6F245233"/>
    <w:rsid w:val="6F255735"/>
    <w:rsid w:val="6F2614AD"/>
    <w:rsid w:val="6F267CFE"/>
    <w:rsid w:val="6F282B2F"/>
    <w:rsid w:val="6F284AA6"/>
    <w:rsid w:val="6F2860B3"/>
    <w:rsid w:val="6F2A0B07"/>
    <w:rsid w:val="6F2B261F"/>
    <w:rsid w:val="6F2C4C83"/>
    <w:rsid w:val="6F2C5328"/>
    <w:rsid w:val="6F2D283B"/>
    <w:rsid w:val="6F2D6397"/>
    <w:rsid w:val="6F2E492E"/>
    <w:rsid w:val="6F300347"/>
    <w:rsid w:val="6F310257"/>
    <w:rsid w:val="6F321C00"/>
    <w:rsid w:val="6F35349E"/>
    <w:rsid w:val="6F35524C"/>
    <w:rsid w:val="6F361C95"/>
    <w:rsid w:val="6F3652F2"/>
    <w:rsid w:val="6F38357B"/>
    <w:rsid w:val="6F395A2B"/>
    <w:rsid w:val="6F3A2ED5"/>
    <w:rsid w:val="6F3A592B"/>
    <w:rsid w:val="6F3B465D"/>
    <w:rsid w:val="6F3B5DB5"/>
    <w:rsid w:val="6F3B6FBD"/>
    <w:rsid w:val="6F3C2A7E"/>
    <w:rsid w:val="6F3C6291"/>
    <w:rsid w:val="6F3F135B"/>
    <w:rsid w:val="6F3F5052"/>
    <w:rsid w:val="6F4003BF"/>
    <w:rsid w:val="6F403AA7"/>
    <w:rsid w:val="6F411E43"/>
    <w:rsid w:val="6F424265"/>
    <w:rsid w:val="6F43235A"/>
    <w:rsid w:val="6F433BCC"/>
    <w:rsid w:val="6F444811"/>
    <w:rsid w:val="6F484F7F"/>
    <w:rsid w:val="6F493D21"/>
    <w:rsid w:val="6F4C3EA0"/>
    <w:rsid w:val="6F4D3531"/>
    <w:rsid w:val="6F4D6A39"/>
    <w:rsid w:val="6F4F22ED"/>
    <w:rsid w:val="6F5079E2"/>
    <w:rsid w:val="6F54601A"/>
    <w:rsid w:val="6F54640F"/>
    <w:rsid w:val="6F562C47"/>
    <w:rsid w:val="6F56569E"/>
    <w:rsid w:val="6F572C2C"/>
    <w:rsid w:val="6F575F91"/>
    <w:rsid w:val="6F5778B8"/>
    <w:rsid w:val="6F581532"/>
    <w:rsid w:val="6F59436A"/>
    <w:rsid w:val="6F594B85"/>
    <w:rsid w:val="6F59718C"/>
    <w:rsid w:val="6F5A4CB2"/>
    <w:rsid w:val="6F5A4D44"/>
    <w:rsid w:val="6F5D3607"/>
    <w:rsid w:val="6F60051B"/>
    <w:rsid w:val="6F6126BA"/>
    <w:rsid w:val="6F616377"/>
    <w:rsid w:val="6F65531E"/>
    <w:rsid w:val="6F6563A0"/>
    <w:rsid w:val="6F6618A9"/>
    <w:rsid w:val="6F690481"/>
    <w:rsid w:val="6F697C94"/>
    <w:rsid w:val="6F6B0C0B"/>
    <w:rsid w:val="6F6C1F70"/>
    <w:rsid w:val="6F6D491A"/>
    <w:rsid w:val="6F6F3CAE"/>
    <w:rsid w:val="6F704DD5"/>
    <w:rsid w:val="6F712728"/>
    <w:rsid w:val="6F7154AE"/>
    <w:rsid w:val="6F745D74"/>
    <w:rsid w:val="6F755C7D"/>
    <w:rsid w:val="6F760B43"/>
    <w:rsid w:val="6F780769"/>
    <w:rsid w:val="6F78316E"/>
    <w:rsid w:val="6F78417D"/>
    <w:rsid w:val="6F791447"/>
    <w:rsid w:val="6F795A80"/>
    <w:rsid w:val="6F7A7103"/>
    <w:rsid w:val="6F7B39AF"/>
    <w:rsid w:val="6F7B5355"/>
    <w:rsid w:val="6F7C61DB"/>
    <w:rsid w:val="6F826472"/>
    <w:rsid w:val="6F826DF1"/>
    <w:rsid w:val="6F834209"/>
    <w:rsid w:val="6F855772"/>
    <w:rsid w:val="6F860D65"/>
    <w:rsid w:val="6F87292C"/>
    <w:rsid w:val="6F891280"/>
    <w:rsid w:val="6F89488A"/>
    <w:rsid w:val="6F8A37EA"/>
    <w:rsid w:val="6F8D5088"/>
    <w:rsid w:val="6F8F13F5"/>
    <w:rsid w:val="6F8F2BAE"/>
    <w:rsid w:val="6F8F6E20"/>
    <w:rsid w:val="6F8F7052"/>
    <w:rsid w:val="6F924300"/>
    <w:rsid w:val="6F936B31"/>
    <w:rsid w:val="6F96218E"/>
    <w:rsid w:val="6F9876B9"/>
    <w:rsid w:val="6F99049D"/>
    <w:rsid w:val="6F9A2108"/>
    <w:rsid w:val="6F9B4DC7"/>
    <w:rsid w:val="6F9E54E7"/>
    <w:rsid w:val="6F9E7295"/>
    <w:rsid w:val="6FA04DBB"/>
    <w:rsid w:val="6FA06B69"/>
    <w:rsid w:val="6FA11151"/>
    <w:rsid w:val="6FA26D85"/>
    <w:rsid w:val="6FA56B6C"/>
    <w:rsid w:val="6FA64AAB"/>
    <w:rsid w:val="6FA83C70"/>
    <w:rsid w:val="6FAB776F"/>
    <w:rsid w:val="6FAD1286"/>
    <w:rsid w:val="6FAD74D8"/>
    <w:rsid w:val="6FAF3250"/>
    <w:rsid w:val="6FB0729E"/>
    <w:rsid w:val="6FB10D76"/>
    <w:rsid w:val="6FB22D40"/>
    <w:rsid w:val="6FB31EBB"/>
    <w:rsid w:val="6FB409BE"/>
    <w:rsid w:val="6FB563EA"/>
    <w:rsid w:val="6FB66A1C"/>
    <w:rsid w:val="6FBC381A"/>
    <w:rsid w:val="6FBC771B"/>
    <w:rsid w:val="6FBD0423"/>
    <w:rsid w:val="6FBD79DA"/>
    <w:rsid w:val="6FC00223"/>
    <w:rsid w:val="6FC00FB9"/>
    <w:rsid w:val="6FC30C3C"/>
    <w:rsid w:val="6FC50568"/>
    <w:rsid w:val="6FC5169B"/>
    <w:rsid w:val="6FC772D4"/>
    <w:rsid w:val="6FCA008A"/>
    <w:rsid w:val="6FCC795E"/>
    <w:rsid w:val="6FCF744E"/>
    <w:rsid w:val="6FD0340F"/>
    <w:rsid w:val="6FD111A8"/>
    <w:rsid w:val="6FD30698"/>
    <w:rsid w:val="6FD32C38"/>
    <w:rsid w:val="6FD44A65"/>
    <w:rsid w:val="6FD47029"/>
    <w:rsid w:val="6FD5763E"/>
    <w:rsid w:val="6FD66A2F"/>
    <w:rsid w:val="6FD84D69"/>
    <w:rsid w:val="6FD902CD"/>
    <w:rsid w:val="6FDB5DF3"/>
    <w:rsid w:val="6FDD4CDB"/>
    <w:rsid w:val="6FDD600F"/>
    <w:rsid w:val="6FDE3B35"/>
    <w:rsid w:val="6FE2212D"/>
    <w:rsid w:val="6FE50A20"/>
    <w:rsid w:val="6FE5261E"/>
    <w:rsid w:val="6FE5305E"/>
    <w:rsid w:val="6FE705AF"/>
    <w:rsid w:val="6FE739A7"/>
    <w:rsid w:val="6FE80510"/>
    <w:rsid w:val="6FE85F9F"/>
    <w:rsid w:val="6FE938A9"/>
    <w:rsid w:val="6FEB002F"/>
    <w:rsid w:val="6FEB5C15"/>
    <w:rsid w:val="6FEC0A99"/>
    <w:rsid w:val="6FED3D79"/>
    <w:rsid w:val="6FEE1FCA"/>
    <w:rsid w:val="6FF21C22"/>
    <w:rsid w:val="6FF24F26"/>
    <w:rsid w:val="6FF330B2"/>
    <w:rsid w:val="6FF369BE"/>
    <w:rsid w:val="6FF505A3"/>
    <w:rsid w:val="6FF65770"/>
    <w:rsid w:val="6FF9096F"/>
    <w:rsid w:val="6FF965B8"/>
    <w:rsid w:val="6FF97215"/>
    <w:rsid w:val="6FFB5C1B"/>
    <w:rsid w:val="6FFB6495"/>
    <w:rsid w:val="6FFD045F"/>
    <w:rsid w:val="70000B6F"/>
    <w:rsid w:val="70003AAC"/>
    <w:rsid w:val="700215D2"/>
    <w:rsid w:val="70044D71"/>
    <w:rsid w:val="70047F8B"/>
    <w:rsid w:val="70057314"/>
    <w:rsid w:val="70066701"/>
    <w:rsid w:val="700B1339"/>
    <w:rsid w:val="700C27C9"/>
    <w:rsid w:val="700D22AE"/>
    <w:rsid w:val="700D7F77"/>
    <w:rsid w:val="70102D06"/>
    <w:rsid w:val="70130B70"/>
    <w:rsid w:val="70182405"/>
    <w:rsid w:val="701A2DBF"/>
    <w:rsid w:val="701B05B9"/>
    <w:rsid w:val="701B321F"/>
    <w:rsid w:val="701D465E"/>
    <w:rsid w:val="701D640C"/>
    <w:rsid w:val="701E1890"/>
    <w:rsid w:val="701E3C66"/>
    <w:rsid w:val="70205B1C"/>
    <w:rsid w:val="70215C2C"/>
    <w:rsid w:val="70231548"/>
    <w:rsid w:val="7023759F"/>
    <w:rsid w:val="70241EE0"/>
    <w:rsid w:val="70254AB1"/>
    <w:rsid w:val="702552C0"/>
    <w:rsid w:val="702739E6"/>
    <w:rsid w:val="702A5D52"/>
    <w:rsid w:val="702A7370"/>
    <w:rsid w:val="702B124D"/>
    <w:rsid w:val="702D024A"/>
    <w:rsid w:val="702E686B"/>
    <w:rsid w:val="702F7EED"/>
    <w:rsid w:val="70393B5E"/>
    <w:rsid w:val="703A06F5"/>
    <w:rsid w:val="703B7E4E"/>
    <w:rsid w:val="703C6146"/>
    <w:rsid w:val="703E6382"/>
    <w:rsid w:val="70416FE8"/>
    <w:rsid w:val="70433998"/>
    <w:rsid w:val="70436C5E"/>
    <w:rsid w:val="70440FD4"/>
    <w:rsid w:val="70442563"/>
    <w:rsid w:val="70447E3C"/>
    <w:rsid w:val="70453900"/>
    <w:rsid w:val="704812DB"/>
    <w:rsid w:val="7048463F"/>
    <w:rsid w:val="70495916"/>
    <w:rsid w:val="704A516B"/>
    <w:rsid w:val="704B67CC"/>
    <w:rsid w:val="704F058F"/>
    <w:rsid w:val="70521B10"/>
    <w:rsid w:val="7053303C"/>
    <w:rsid w:val="705339AF"/>
    <w:rsid w:val="705617C0"/>
    <w:rsid w:val="7056191E"/>
    <w:rsid w:val="70580DD0"/>
    <w:rsid w:val="705904C9"/>
    <w:rsid w:val="705A7C83"/>
    <w:rsid w:val="705D0C74"/>
    <w:rsid w:val="705D2CAC"/>
    <w:rsid w:val="705D4A5A"/>
    <w:rsid w:val="705F2A36"/>
    <w:rsid w:val="70623AE7"/>
    <w:rsid w:val="70626515"/>
    <w:rsid w:val="706406DD"/>
    <w:rsid w:val="70673123"/>
    <w:rsid w:val="706A0EAE"/>
    <w:rsid w:val="706A3251"/>
    <w:rsid w:val="706B0F3C"/>
    <w:rsid w:val="706B15E0"/>
    <w:rsid w:val="706C4D3B"/>
    <w:rsid w:val="706D0989"/>
    <w:rsid w:val="706E4EB9"/>
    <w:rsid w:val="707253E8"/>
    <w:rsid w:val="70733469"/>
    <w:rsid w:val="70741DA4"/>
    <w:rsid w:val="70751619"/>
    <w:rsid w:val="70755745"/>
    <w:rsid w:val="70765B1C"/>
    <w:rsid w:val="70785216"/>
    <w:rsid w:val="707903FB"/>
    <w:rsid w:val="7079173E"/>
    <w:rsid w:val="707A385E"/>
    <w:rsid w:val="707A560C"/>
    <w:rsid w:val="707B1384"/>
    <w:rsid w:val="707C2004"/>
    <w:rsid w:val="707F5456"/>
    <w:rsid w:val="7082580C"/>
    <w:rsid w:val="708446DD"/>
    <w:rsid w:val="7084521C"/>
    <w:rsid w:val="70881895"/>
    <w:rsid w:val="70891CF3"/>
    <w:rsid w:val="70892C7C"/>
    <w:rsid w:val="708B5A6B"/>
    <w:rsid w:val="708C3591"/>
    <w:rsid w:val="708D13B9"/>
    <w:rsid w:val="709011B0"/>
    <w:rsid w:val="70910F61"/>
    <w:rsid w:val="70921CB5"/>
    <w:rsid w:val="7093076C"/>
    <w:rsid w:val="70934920"/>
    <w:rsid w:val="70936354"/>
    <w:rsid w:val="709366CE"/>
    <w:rsid w:val="70944183"/>
    <w:rsid w:val="7098054B"/>
    <w:rsid w:val="70982959"/>
    <w:rsid w:val="709C09E2"/>
    <w:rsid w:val="709D12FB"/>
    <w:rsid w:val="709E4A5F"/>
    <w:rsid w:val="709F2893"/>
    <w:rsid w:val="709F32C5"/>
    <w:rsid w:val="70A03B9F"/>
    <w:rsid w:val="70A10254"/>
    <w:rsid w:val="70A15E85"/>
    <w:rsid w:val="70A17D74"/>
    <w:rsid w:val="70A703CB"/>
    <w:rsid w:val="70A84568"/>
    <w:rsid w:val="70AB06C0"/>
    <w:rsid w:val="70AB1B08"/>
    <w:rsid w:val="70AC59E2"/>
    <w:rsid w:val="70AE175A"/>
    <w:rsid w:val="70AE3DF5"/>
    <w:rsid w:val="70AF3E88"/>
    <w:rsid w:val="70B02A6A"/>
    <w:rsid w:val="70B05C73"/>
    <w:rsid w:val="70B07280"/>
    <w:rsid w:val="70B52AE8"/>
    <w:rsid w:val="70B70FFC"/>
    <w:rsid w:val="70B766E5"/>
    <w:rsid w:val="70BA3694"/>
    <w:rsid w:val="70BB79D3"/>
    <w:rsid w:val="70BD7BEF"/>
    <w:rsid w:val="70BF3385"/>
    <w:rsid w:val="70C3502C"/>
    <w:rsid w:val="70C536AB"/>
    <w:rsid w:val="70C8271B"/>
    <w:rsid w:val="70C87ECB"/>
    <w:rsid w:val="70CA35FF"/>
    <w:rsid w:val="70CA4E9C"/>
    <w:rsid w:val="70CB019F"/>
    <w:rsid w:val="70CB2754"/>
    <w:rsid w:val="70CC45E4"/>
    <w:rsid w:val="70CD7E32"/>
    <w:rsid w:val="70CE5958"/>
    <w:rsid w:val="70D016D0"/>
    <w:rsid w:val="70D10A62"/>
    <w:rsid w:val="70D434ED"/>
    <w:rsid w:val="70D50A94"/>
    <w:rsid w:val="70D770AA"/>
    <w:rsid w:val="70DA5D42"/>
    <w:rsid w:val="70DA6015"/>
    <w:rsid w:val="70DD3FC2"/>
    <w:rsid w:val="70DE2439"/>
    <w:rsid w:val="70DF13D1"/>
    <w:rsid w:val="70DF2FD7"/>
    <w:rsid w:val="70E1568B"/>
    <w:rsid w:val="70E27394"/>
    <w:rsid w:val="70E2757C"/>
    <w:rsid w:val="70E34865"/>
    <w:rsid w:val="70E5048C"/>
    <w:rsid w:val="70E6061C"/>
    <w:rsid w:val="70E837EB"/>
    <w:rsid w:val="70E84C6C"/>
    <w:rsid w:val="70E879C2"/>
    <w:rsid w:val="70E91431"/>
    <w:rsid w:val="70E9415A"/>
    <w:rsid w:val="70EB6F9A"/>
    <w:rsid w:val="70EF10D2"/>
    <w:rsid w:val="70EF40E2"/>
    <w:rsid w:val="70EF67C2"/>
    <w:rsid w:val="70F514DC"/>
    <w:rsid w:val="70F548AB"/>
    <w:rsid w:val="70F96386"/>
    <w:rsid w:val="70FA19B0"/>
    <w:rsid w:val="70FA7430"/>
    <w:rsid w:val="70FB534E"/>
    <w:rsid w:val="70FD5BFF"/>
    <w:rsid w:val="70FF7809"/>
    <w:rsid w:val="71022650"/>
    <w:rsid w:val="7103525E"/>
    <w:rsid w:val="71035E4D"/>
    <w:rsid w:val="71070C41"/>
    <w:rsid w:val="7107121A"/>
    <w:rsid w:val="7107536F"/>
    <w:rsid w:val="71094BE2"/>
    <w:rsid w:val="710A2D55"/>
    <w:rsid w:val="710B44B6"/>
    <w:rsid w:val="710B56DB"/>
    <w:rsid w:val="710C63D8"/>
    <w:rsid w:val="710D46D2"/>
    <w:rsid w:val="710E21F8"/>
    <w:rsid w:val="710F1020"/>
    <w:rsid w:val="710F56D1"/>
    <w:rsid w:val="71107825"/>
    <w:rsid w:val="71107FA0"/>
    <w:rsid w:val="711205DD"/>
    <w:rsid w:val="71123A97"/>
    <w:rsid w:val="71155335"/>
    <w:rsid w:val="7117348B"/>
    <w:rsid w:val="711E068D"/>
    <w:rsid w:val="711E19CD"/>
    <w:rsid w:val="711E24EB"/>
    <w:rsid w:val="711E68DF"/>
    <w:rsid w:val="7121017E"/>
    <w:rsid w:val="7121200D"/>
    <w:rsid w:val="71220721"/>
    <w:rsid w:val="71220EF5"/>
    <w:rsid w:val="71221842"/>
    <w:rsid w:val="71224625"/>
    <w:rsid w:val="71267542"/>
    <w:rsid w:val="71290DE0"/>
    <w:rsid w:val="71291C67"/>
    <w:rsid w:val="71296F3C"/>
    <w:rsid w:val="712B33A4"/>
    <w:rsid w:val="712B6906"/>
    <w:rsid w:val="71325EE7"/>
    <w:rsid w:val="713559D7"/>
    <w:rsid w:val="71385C9A"/>
    <w:rsid w:val="713925E8"/>
    <w:rsid w:val="713971BD"/>
    <w:rsid w:val="713A4D9B"/>
    <w:rsid w:val="713B6F26"/>
    <w:rsid w:val="713F0A11"/>
    <w:rsid w:val="714025F2"/>
    <w:rsid w:val="714300F4"/>
    <w:rsid w:val="71434477"/>
    <w:rsid w:val="71446C0F"/>
    <w:rsid w:val="714479C8"/>
    <w:rsid w:val="71462BA9"/>
    <w:rsid w:val="71463740"/>
    <w:rsid w:val="714742E1"/>
    <w:rsid w:val="7147742F"/>
    <w:rsid w:val="71477B07"/>
    <w:rsid w:val="71495199"/>
    <w:rsid w:val="714A3A2F"/>
    <w:rsid w:val="714B67BB"/>
    <w:rsid w:val="714C3197"/>
    <w:rsid w:val="714D7563"/>
    <w:rsid w:val="714E016F"/>
    <w:rsid w:val="714F52AF"/>
    <w:rsid w:val="7150485D"/>
    <w:rsid w:val="7151085E"/>
    <w:rsid w:val="71543810"/>
    <w:rsid w:val="71564A6C"/>
    <w:rsid w:val="715670DA"/>
    <w:rsid w:val="715721C1"/>
    <w:rsid w:val="71592AD0"/>
    <w:rsid w:val="715A650F"/>
    <w:rsid w:val="715C0B78"/>
    <w:rsid w:val="715F23C5"/>
    <w:rsid w:val="71600CA6"/>
    <w:rsid w:val="716061FF"/>
    <w:rsid w:val="71611811"/>
    <w:rsid w:val="716245B3"/>
    <w:rsid w:val="716532B0"/>
    <w:rsid w:val="71663DE2"/>
    <w:rsid w:val="71691805"/>
    <w:rsid w:val="716918AE"/>
    <w:rsid w:val="716B764B"/>
    <w:rsid w:val="716C6DC1"/>
    <w:rsid w:val="716D0AB4"/>
    <w:rsid w:val="716F0EE9"/>
    <w:rsid w:val="716F6B00"/>
    <w:rsid w:val="717056C7"/>
    <w:rsid w:val="71706A0F"/>
    <w:rsid w:val="717268BD"/>
    <w:rsid w:val="71734E15"/>
    <w:rsid w:val="71752277"/>
    <w:rsid w:val="71754026"/>
    <w:rsid w:val="71763EDA"/>
    <w:rsid w:val="717670E7"/>
    <w:rsid w:val="7179414C"/>
    <w:rsid w:val="717C53B4"/>
    <w:rsid w:val="717E7E33"/>
    <w:rsid w:val="717F53C3"/>
    <w:rsid w:val="717F65F5"/>
    <w:rsid w:val="71810C1C"/>
    <w:rsid w:val="71826B5A"/>
    <w:rsid w:val="71842B0A"/>
    <w:rsid w:val="7184767E"/>
    <w:rsid w:val="71853292"/>
    <w:rsid w:val="7187323E"/>
    <w:rsid w:val="718766C1"/>
    <w:rsid w:val="718A6675"/>
    <w:rsid w:val="718A7AD1"/>
    <w:rsid w:val="718C1A9B"/>
    <w:rsid w:val="718D2D18"/>
    <w:rsid w:val="718F50E7"/>
    <w:rsid w:val="71912BB1"/>
    <w:rsid w:val="71916974"/>
    <w:rsid w:val="71926897"/>
    <w:rsid w:val="71950224"/>
    <w:rsid w:val="71956476"/>
    <w:rsid w:val="7196718A"/>
    <w:rsid w:val="719752D9"/>
    <w:rsid w:val="7199701D"/>
    <w:rsid w:val="719B18E2"/>
    <w:rsid w:val="719B1CDE"/>
    <w:rsid w:val="71A22E1F"/>
    <w:rsid w:val="71A339C3"/>
    <w:rsid w:val="71A50E8A"/>
    <w:rsid w:val="71A5284B"/>
    <w:rsid w:val="71A52E08"/>
    <w:rsid w:val="71A566B9"/>
    <w:rsid w:val="71A633FF"/>
    <w:rsid w:val="71A75801"/>
    <w:rsid w:val="71AA1F21"/>
    <w:rsid w:val="71AF7537"/>
    <w:rsid w:val="71B047FB"/>
    <w:rsid w:val="71B15270"/>
    <w:rsid w:val="71B46975"/>
    <w:rsid w:val="71B52674"/>
    <w:rsid w:val="71B66B18"/>
    <w:rsid w:val="71B72363"/>
    <w:rsid w:val="71B92164"/>
    <w:rsid w:val="71B97C16"/>
    <w:rsid w:val="71BC3766"/>
    <w:rsid w:val="71BD32DF"/>
    <w:rsid w:val="71BE148D"/>
    <w:rsid w:val="71BE3C1E"/>
    <w:rsid w:val="71BF6659"/>
    <w:rsid w:val="71C2292A"/>
    <w:rsid w:val="71C254BD"/>
    <w:rsid w:val="71C31235"/>
    <w:rsid w:val="71C343C1"/>
    <w:rsid w:val="71C34D91"/>
    <w:rsid w:val="71C42A1A"/>
    <w:rsid w:val="71C4397A"/>
    <w:rsid w:val="71C56D5B"/>
    <w:rsid w:val="71C66819"/>
    <w:rsid w:val="71C668D2"/>
    <w:rsid w:val="71C7125F"/>
    <w:rsid w:val="71CA4371"/>
    <w:rsid w:val="71CB5825"/>
    <w:rsid w:val="71CB5AA2"/>
    <w:rsid w:val="71CD20B4"/>
    <w:rsid w:val="71CE309C"/>
    <w:rsid w:val="71CF24E6"/>
    <w:rsid w:val="71D022E5"/>
    <w:rsid w:val="71D207BD"/>
    <w:rsid w:val="71D5602A"/>
    <w:rsid w:val="71D61633"/>
    <w:rsid w:val="71D62EFF"/>
    <w:rsid w:val="71D652AD"/>
    <w:rsid w:val="71D92C5E"/>
    <w:rsid w:val="71D97200"/>
    <w:rsid w:val="71DB5158"/>
    <w:rsid w:val="71DD0E59"/>
    <w:rsid w:val="71DE64B7"/>
    <w:rsid w:val="71DE6D28"/>
    <w:rsid w:val="71E116BB"/>
    <w:rsid w:val="71E35433"/>
    <w:rsid w:val="71E371E1"/>
    <w:rsid w:val="71E755E1"/>
    <w:rsid w:val="71E82A49"/>
    <w:rsid w:val="71EA1CB0"/>
    <w:rsid w:val="71EB06FF"/>
    <w:rsid w:val="71EC06D0"/>
    <w:rsid w:val="71ED2B06"/>
    <w:rsid w:val="71EF1365"/>
    <w:rsid w:val="71F47640"/>
    <w:rsid w:val="71F66F14"/>
    <w:rsid w:val="71F82718"/>
    <w:rsid w:val="71F879F0"/>
    <w:rsid w:val="71FA6539"/>
    <w:rsid w:val="71FB277D"/>
    <w:rsid w:val="71FB452B"/>
    <w:rsid w:val="71FC2504"/>
    <w:rsid w:val="71FC36C2"/>
    <w:rsid w:val="71FD4747"/>
    <w:rsid w:val="71FE6305"/>
    <w:rsid w:val="7202125E"/>
    <w:rsid w:val="72023EDE"/>
    <w:rsid w:val="7202741E"/>
    <w:rsid w:val="720535FB"/>
    <w:rsid w:val="72085364"/>
    <w:rsid w:val="720A137D"/>
    <w:rsid w:val="720A714F"/>
    <w:rsid w:val="720C58E5"/>
    <w:rsid w:val="720E2CF2"/>
    <w:rsid w:val="72120FA8"/>
    <w:rsid w:val="72146CC5"/>
    <w:rsid w:val="721655C9"/>
    <w:rsid w:val="721C0167"/>
    <w:rsid w:val="721C461A"/>
    <w:rsid w:val="721C4765"/>
    <w:rsid w:val="721D68C1"/>
    <w:rsid w:val="72203CCC"/>
    <w:rsid w:val="72210DBE"/>
    <w:rsid w:val="722241AD"/>
    <w:rsid w:val="72227D09"/>
    <w:rsid w:val="72233A82"/>
    <w:rsid w:val="722424F4"/>
    <w:rsid w:val="72266C97"/>
    <w:rsid w:val="72292A73"/>
    <w:rsid w:val="722A12B4"/>
    <w:rsid w:val="722A3ED7"/>
    <w:rsid w:val="722B2DE5"/>
    <w:rsid w:val="722B70F5"/>
    <w:rsid w:val="722C0832"/>
    <w:rsid w:val="722C5BB6"/>
    <w:rsid w:val="722F68CA"/>
    <w:rsid w:val="72303324"/>
    <w:rsid w:val="723034E9"/>
    <w:rsid w:val="72312642"/>
    <w:rsid w:val="723301EC"/>
    <w:rsid w:val="7234129A"/>
    <w:rsid w:val="72345348"/>
    <w:rsid w:val="72356ABA"/>
    <w:rsid w:val="72370434"/>
    <w:rsid w:val="72391C56"/>
    <w:rsid w:val="723D2D95"/>
    <w:rsid w:val="723E08BB"/>
    <w:rsid w:val="723E589A"/>
    <w:rsid w:val="72404633"/>
    <w:rsid w:val="724265FE"/>
    <w:rsid w:val="72436665"/>
    <w:rsid w:val="72441C31"/>
    <w:rsid w:val="72473C14"/>
    <w:rsid w:val="72491374"/>
    <w:rsid w:val="724D7835"/>
    <w:rsid w:val="724E0393"/>
    <w:rsid w:val="724E4FA2"/>
    <w:rsid w:val="724E6D50"/>
    <w:rsid w:val="724F267B"/>
    <w:rsid w:val="724F4877"/>
    <w:rsid w:val="72501AA2"/>
    <w:rsid w:val="72507619"/>
    <w:rsid w:val="72510F42"/>
    <w:rsid w:val="7252722B"/>
    <w:rsid w:val="72531363"/>
    <w:rsid w:val="72531AE1"/>
    <w:rsid w:val="72534367"/>
    <w:rsid w:val="72562CD2"/>
    <w:rsid w:val="72572EF3"/>
    <w:rsid w:val="72577050"/>
    <w:rsid w:val="725C6020"/>
    <w:rsid w:val="72600832"/>
    <w:rsid w:val="72605BCB"/>
    <w:rsid w:val="7262438C"/>
    <w:rsid w:val="726245AA"/>
    <w:rsid w:val="72633795"/>
    <w:rsid w:val="72634067"/>
    <w:rsid w:val="72640322"/>
    <w:rsid w:val="72643174"/>
    <w:rsid w:val="72651EBC"/>
    <w:rsid w:val="72673B98"/>
    <w:rsid w:val="726A2AAA"/>
    <w:rsid w:val="726C524E"/>
    <w:rsid w:val="726C5429"/>
    <w:rsid w:val="726F772A"/>
    <w:rsid w:val="72710C91"/>
    <w:rsid w:val="72714BAA"/>
    <w:rsid w:val="7273672B"/>
    <w:rsid w:val="72746662"/>
    <w:rsid w:val="72757DB1"/>
    <w:rsid w:val="727813E9"/>
    <w:rsid w:val="72784469"/>
    <w:rsid w:val="72786E47"/>
    <w:rsid w:val="727918F3"/>
    <w:rsid w:val="727A5D97"/>
    <w:rsid w:val="727C377E"/>
    <w:rsid w:val="727E0E37"/>
    <w:rsid w:val="72802C82"/>
    <w:rsid w:val="72821BB0"/>
    <w:rsid w:val="728335E8"/>
    <w:rsid w:val="7283457B"/>
    <w:rsid w:val="72841B17"/>
    <w:rsid w:val="72850298"/>
    <w:rsid w:val="728564EA"/>
    <w:rsid w:val="72860AAC"/>
    <w:rsid w:val="72861963"/>
    <w:rsid w:val="728A45F4"/>
    <w:rsid w:val="728B1D53"/>
    <w:rsid w:val="728B4C4F"/>
    <w:rsid w:val="728C471B"/>
    <w:rsid w:val="728C6641"/>
    <w:rsid w:val="728D396E"/>
    <w:rsid w:val="728E1843"/>
    <w:rsid w:val="728E539F"/>
    <w:rsid w:val="729055BB"/>
    <w:rsid w:val="72934D39"/>
    <w:rsid w:val="7294480E"/>
    <w:rsid w:val="72960637"/>
    <w:rsid w:val="729843E7"/>
    <w:rsid w:val="729A1756"/>
    <w:rsid w:val="729B5674"/>
    <w:rsid w:val="729B7350"/>
    <w:rsid w:val="729C5DE0"/>
    <w:rsid w:val="729D1A86"/>
    <w:rsid w:val="729E6841"/>
    <w:rsid w:val="72A03324"/>
    <w:rsid w:val="72A4298A"/>
    <w:rsid w:val="72A43501"/>
    <w:rsid w:val="72A4786C"/>
    <w:rsid w:val="72A526E9"/>
    <w:rsid w:val="72A57DCD"/>
    <w:rsid w:val="72A7312D"/>
    <w:rsid w:val="72A80EC2"/>
    <w:rsid w:val="72A83B07"/>
    <w:rsid w:val="72AA0ADE"/>
    <w:rsid w:val="72AB21A5"/>
    <w:rsid w:val="72AC7C6E"/>
    <w:rsid w:val="72AF0710"/>
    <w:rsid w:val="72AF3B15"/>
    <w:rsid w:val="72B34E05"/>
    <w:rsid w:val="72B4247F"/>
    <w:rsid w:val="72B506A1"/>
    <w:rsid w:val="72B50B7E"/>
    <w:rsid w:val="72B8241C"/>
    <w:rsid w:val="72B853C3"/>
    <w:rsid w:val="72BA0B6E"/>
    <w:rsid w:val="72BA6194"/>
    <w:rsid w:val="72BD5C84"/>
    <w:rsid w:val="72BE604A"/>
    <w:rsid w:val="72C04E41"/>
    <w:rsid w:val="72C2329A"/>
    <w:rsid w:val="72C23716"/>
    <w:rsid w:val="72C27654"/>
    <w:rsid w:val="72C2773E"/>
    <w:rsid w:val="72C377FA"/>
    <w:rsid w:val="72C62D8B"/>
    <w:rsid w:val="72C6534F"/>
    <w:rsid w:val="72C6583F"/>
    <w:rsid w:val="72C71ECD"/>
    <w:rsid w:val="72C90909"/>
    <w:rsid w:val="72CB7A20"/>
    <w:rsid w:val="72CD6775"/>
    <w:rsid w:val="72CE1C3F"/>
    <w:rsid w:val="72CE60E3"/>
    <w:rsid w:val="72D00293"/>
    <w:rsid w:val="72D11266"/>
    <w:rsid w:val="72D24ACF"/>
    <w:rsid w:val="72D325AA"/>
    <w:rsid w:val="72D32AB9"/>
    <w:rsid w:val="72D336FA"/>
    <w:rsid w:val="72D52FCE"/>
    <w:rsid w:val="72D57472"/>
    <w:rsid w:val="72D60001"/>
    <w:rsid w:val="72DA6836"/>
    <w:rsid w:val="72DD0D6F"/>
    <w:rsid w:val="72DD6326"/>
    <w:rsid w:val="72DD66F5"/>
    <w:rsid w:val="72DF62E0"/>
    <w:rsid w:val="72E17BC5"/>
    <w:rsid w:val="72E256EB"/>
    <w:rsid w:val="72E26D08"/>
    <w:rsid w:val="72E41463"/>
    <w:rsid w:val="72E42010"/>
    <w:rsid w:val="72E476B5"/>
    <w:rsid w:val="72E6342D"/>
    <w:rsid w:val="72E74AAF"/>
    <w:rsid w:val="72E8027E"/>
    <w:rsid w:val="72E871A5"/>
    <w:rsid w:val="72EB6860"/>
    <w:rsid w:val="72EC007F"/>
    <w:rsid w:val="72EC0727"/>
    <w:rsid w:val="72EC1491"/>
    <w:rsid w:val="72EF731F"/>
    <w:rsid w:val="72F01BB6"/>
    <w:rsid w:val="72F028D5"/>
    <w:rsid w:val="72F1649D"/>
    <w:rsid w:val="72F53670"/>
    <w:rsid w:val="72F71196"/>
    <w:rsid w:val="72F77D07"/>
    <w:rsid w:val="72F97723"/>
    <w:rsid w:val="72FA0103"/>
    <w:rsid w:val="72FA493A"/>
    <w:rsid w:val="72FD0776"/>
    <w:rsid w:val="72FD189E"/>
    <w:rsid w:val="730218E9"/>
    <w:rsid w:val="73023DF9"/>
    <w:rsid w:val="73040267"/>
    <w:rsid w:val="730613D9"/>
    <w:rsid w:val="730B69EF"/>
    <w:rsid w:val="730E028E"/>
    <w:rsid w:val="730E404D"/>
    <w:rsid w:val="731178E3"/>
    <w:rsid w:val="7313699F"/>
    <w:rsid w:val="731421C6"/>
    <w:rsid w:val="7315161C"/>
    <w:rsid w:val="73162BB4"/>
    <w:rsid w:val="73180126"/>
    <w:rsid w:val="731B0BDB"/>
    <w:rsid w:val="731D383A"/>
    <w:rsid w:val="731D6723"/>
    <w:rsid w:val="731F249B"/>
    <w:rsid w:val="73221F8B"/>
    <w:rsid w:val="73223CEC"/>
    <w:rsid w:val="732301DD"/>
    <w:rsid w:val="73245D03"/>
    <w:rsid w:val="73283969"/>
    <w:rsid w:val="73284916"/>
    <w:rsid w:val="73284FC8"/>
    <w:rsid w:val="732B24E8"/>
    <w:rsid w:val="732B52E4"/>
    <w:rsid w:val="732C0596"/>
    <w:rsid w:val="732E1563"/>
    <w:rsid w:val="732F21D8"/>
    <w:rsid w:val="732F669B"/>
    <w:rsid w:val="73307239"/>
    <w:rsid w:val="73332318"/>
    <w:rsid w:val="73334198"/>
    <w:rsid w:val="73337E12"/>
    <w:rsid w:val="73346738"/>
    <w:rsid w:val="733608CC"/>
    <w:rsid w:val="733817AF"/>
    <w:rsid w:val="73383726"/>
    <w:rsid w:val="73395BAF"/>
    <w:rsid w:val="733E5017"/>
    <w:rsid w:val="733F48EB"/>
    <w:rsid w:val="734168B5"/>
    <w:rsid w:val="73426189"/>
    <w:rsid w:val="7347308A"/>
    <w:rsid w:val="73475952"/>
    <w:rsid w:val="734819F2"/>
    <w:rsid w:val="73487C44"/>
    <w:rsid w:val="734939BC"/>
    <w:rsid w:val="734B1B9C"/>
    <w:rsid w:val="734C360E"/>
    <w:rsid w:val="734E2977"/>
    <w:rsid w:val="734E2D80"/>
    <w:rsid w:val="734E4B2E"/>
    <w:rsid w:val="734F503A"/>
    <w:rsid w:val="734F50AE"/>
    <w:rsid w:val="734F7FB8"/>
    <w:rsid w:val="73507F24"/>
    <w:rsid w:val="735320A9"/>
    <w:rsid w:val="73542C1A"/>
    <w:rsid w:val="73591E51"/>
    <w:rsid w:val="735A0609"/>
    <w:rsid w:val="735C2E4B"/>
    <w:rsid w:val="735C4F2D"/>
    <w:rsid w:val="735E1215"/>
    <w:rsid w:val="735F4A72"/>
    <w:rsid w:val="73610D05"/>
    <w:rsid w:val="736312B3"/>
    <w:rsid w:val="736342A3"/>
    <w:rsid w:val="73642743"/>
    <w:rsid w:val="736451A1"/>
    <w:rsid w:val="73655C2D"/>
    <w:rsid w:val="73665103"/>
    <w:rsid w:val="73681D7A"/>
    <w:rsid w:val="73683E42"/>
    <w:rsid w:val="73696397"/>
    <w:rsid w:val="73697BBA"/>
    <w:rsid w:val="736B3932"/>
    <w:rsid w:val="736C1266"/>
    <w:rsid w:val="736D1458"/>
    <w:rsid w:val="736E0C22"/>
    <w:rsid w:val="736F3422"/>
    <w:rsid w:val="736F7822"/>
    <w:rsid w:val="73722F12"/>
    <w:rsid w:val="737231D6"/>
    <w:rsid w:val="73726706"/>
    <w:rsid w:val="73731315"/>
    <w:rsid w:val="73740A39"/>
    <w:rsid w:val="7376359C"/>
    <w:rsid w:val="73765D11"/>
    <w:rsid w:val="7377050D"/>
    <w:rsid w:val="73772D8B"/>
    <w:rsid w:val="73793384"/>
    <w:rsid w:val="73794114"/>
    <w:rsid w:val="737B4D98"/>
    <w:rsid w:val="737C77CB"/>
    <w:rsid w:val="737D1AF3"/>
    <w:rsid w:val="737E0D44"/>
    <w:rsid w:val="73834F01"/>
    <w:rsid w:val="73843460"/>
    <w:rsid w:val="7385118A"/>
    <w:rsid w:val="73861D54"/>
    <w:rsid w:val="7386251A"/>
    <w:rsid w:val="738844E4"/>
    <w:rsid w:val="73895904"/>
    <w:rsid w:val="738B5D82"/>
    <w:rsid w:val="738B6471"/>
    <w:rsid w:val="738C30F5"/>
    <w:rsid w:val="738F5872"/>
    <w:rsid w:val="73927CFE"/>
    <w:rsid w:val="73934B26"/>
    <w:rsid w:val="739437DC"/>
    <w:rsid w:val="7397233B"/>
    <w:rsid w:val="7399049F"/>
    <w:rsid w:val="739A351D"/>
    <w:rsid w:val="739B24E3"/>
    <w:rsid w:val="739B53E3"/>
    <w:rsid w:val="739E7864"/>
    <w:rsid w:val="739F538A"/>
    <w:rsid w:val="73A0182E"/>
    <w:rsid w:val="73A0234B"/>
    <w:rsid w:val="73A11056"/>
    <w:rsid w:val="73A62BBC"/>
    <w:rsid w:val="73AA26AC"/>
    <w:rsid w:val="73AC3271"/>
    <w:rsid w:val="73AC5567"/>
    <w:rsid w:val="73AC7AA8"/>
    <w:rsid w:val="73AD70AD"/>
    <w:rsid w:val="73AF35B5"/>
    <w:rsid w:val="73B34DAA"/>
    <w:rsid w:val="73B40E35"/>
    <w:rsid w:val="73B6668D"/>
    <w:rsid w:val="73B70495"/>
    <w:rsid w:val="73B726D3"/>
    <w:rsid w:val="73B928EF"/>
    <w:rsid w:val="73B9469D"/>
    <w:rsid w:val="73B974DB"/>
    <w:rsid w:val="73BA4DD1"/>
    <w:rsid w:val="73BC23E0"/>
    <w:rsid w:val="73BD03A9"/>
    <w:rsid w:val="73BE4993"/>
    <w:rsid w:val="73BF77DA"/>
    <w:rsid w:val="73C06168"/>
    <w:rsid w:val="73C25C8F"/>
    <w:rsid w:val="73C35D2F"/>
    <w:rsid w:val="73C36AF8"/>
    <w:rsid w:val="73C44343"/>
    <w:rsid w:val="73C450C7"/>
    <w:rsid w:val="73C61077"/>
    <w:rsid w:val="73C7661F"/>
    <w:rsid w:val="73C978F4"/>
    <w:rsid w:val="73CA1111"/>
    <w:rsid w:val="73CB43D1"/>
    <w:rsid w:val="73CD2B97"/>
    <w:rsid w:val="73CE2E79"/>
    <w:rsid w:val="73CE6BCB"/>
    <w:rsid w:val="73CF2113"/>
    <w:rsid w:val="73CF3EC1"/>
    <w:rsid w:val="73D174F2"/>
    <w:rsid w:val="73D17C39"/>
    <w:rsid w:val="73D414D7"/>
    <w:rsid w:val="73D4233E"/>
    <w:rsid w:val="73D4523C"/>
    <w:rsid w:val="73D47729"/>
    <w:rsid w:val="73D555E2"/>
    <w:rsid w:val="73D62817"/>
    <w:rsid w:val="73D74B24"/>
    <w:rsid w:val="73DA3A6B"/>
    <w:rsid w:val="73DA4614"/>
    <w:rsid w:val="73DA4BFF"/>
    <w:rsid w:val="73DC038C"/>
    <w:rsid w:val="73DC4504"/>
    <w:rsid w:val="73DF45AA"/>
    <w:rsid w:val="73E01C2A"/>
    <w:rsid w:val="73E21412"/>
    <w:rsid w:val="73E21E46"/>
    <w:rsid w:val="73E223A7"/>
    <w:rsid w:val="73E47E00"/>
    <w:rsid w:val="73E624A4"/>
    <w:rsid w:val="73E747FE"/>
    <w:rsid w:val="73E76F23"/>
    <w:rsid w:val="73E84F83"/>
    <w:rsid w:val="73E86F94"/>
    <w:rsid w:val="73EF7B88"/>
    <w:rsid w:val="73F01250"/>
    <w:rsid w:val="73F12089"/>
    <w:rsid w:val="73F13E37"/>
    <w:rsid w:val="73F16C50"/>
    <w:rsid w:val="73F263EC"/>
    <w:rsid w:val="73F41B79"/>
    <w:rsid w:val="73F5341C"/>
    <w:rsid w:val="73F64BC3"/>
    <w:rsid w:val="73F82EA2"/>
    <w:rsid w:val="73F84386"/>
    <w:rsid w:val="73F85B5B"/>
    <w:rsid w:val="73F92CB4"/>
    <w:rsid w:val="73F97190"/>
    <w:rsid w:val="73FA23D6"/>
    <w:rsid w:val="73FA7A1C"/>
    <w:rsid w:val="73FE47A6"/>
    <w:rsid w:val="74000C22"/>
    <w:rsid w:val="740161E0"/>
    <w:rsid w:val="74024296"/>
    <w:rsid w:val="74026030"/>
    <w:rsid w:val="74035919"/>
    <w:rsid w:val="740578E3"/>
    <w:rsid w:val="74065409"/>
    <w:rsid w:val="74097195"/>
    <w:rsid w:val="740A314B"/>
    <w:rsid w:val="740B04E1"/>
    <w:rsid w:val="740B27B8"/>
    <w:rsid w:val="740C5415"/>
    <w:rsid w:val="740D49E9"/>
    <w:rsid w:val="740E3D5D"/>
    <w:rsid w:val="74102BF5"/>
    <w:rsid w:val="74104FB0"/>
    <w:rsid w:val="74105F84"/>
    <w:rsid w:val="74130252"/>
    <w:rsid w:val="741331F4"/>
    <w:rsid w:val="741403F2"/>
    <w:rsid w:val="74160DED"/>
    <w:rsid w:val="741619FD"/>
    <w:rsid w:val="74166A12"/>
    <w:rsid w:val="74177616"/>
    <w:rsid w:val="7419513C"/>
    <w:rsid w:val="741B7D08"/>
    <w:rsid w:val="741C5549"/>
    <w:rsid w:val="741C662A"/>
    <w:rsid w:val="741E09A4"/>
    <w:rsid w:val="741E7762"/>
    <w:rsid w:val="741F45B7"/>
    <w:rsid w:val="7420296E"/>
    <w:rsid w:val="74202F0F"/>
    <w:rsid w:val="74223F88"/>
    <w:rsid w:val="742324DB"/>
    <w:rsid w:val="7426442E"/>
    <w:rsid w:val="74273CFD"/>
    <w:rsid w:val="742835D1"/>
    <w:rsid w:val="7428537F"/>
    <w:rsid w:val="74292334"/>
    <w:rsid w:val="742A10F7"/>
    <w:rsid w:val="742A6E1A"/>
    <w:rsid w:val="742B55EC"/>
    <w:rsid w:val="742C1313"/>
    <w:rsid w:val="742C4E6F"/>
    <w:rsid w:val="742D0BBB"/>
    <w:rsid w:val="742F6AF6"/>
    <w:rsid w:val="743106C6"/>
    <w:rsid w:val="74321DEE"/>
    <w:rsid w:val="74332958"/>
    <w:rsid w:val="74343D24"/>
    <w:rsid w:val="74347A9E"/>
    <w:rsid w:val="74363F40"/>
    <w:rsid w:val="74364910"/>
    <w:rsid w:val="74365CEE"/>
    <w:rsid w:val="74370FB5"/>
    <w:rsid w:val="74381E70"/>
    <w:rsid w:val="743946A8"/>
    <w:rsid w:val="7439633A"/>
    <w:rsid w:val="743A1908"/>
    <w:rsid w:val="743B4BF5"/>
    <w:rsid w:val="743C0E2B"/>
    <w:rsid w:val="744043A2"/>
    <w:rsid w:val="74411F41"/>
    <w:rsid w:val="74422066"/>
    <w:rsid w:val="74424693"/>
    <w:rsid w:val="7443040B"/>
    <w:rsid w:val="74433216"/>
    <w:rsid w:val="74446AC0"/>
    <w:rsid w:val="74454183"/>
    <w:rsid w:val="74457419"/>
    <w:rsid w:val="74460B07"/>
    <w:rsid w:val="74485B23"/>
    <w:rsid w:val="744966C1"/>
    <w:rsid w:val="744A2189"/>
    <w:rsid w:val="744A6ED7"/>
    <w:rsid w:val="744C2A60"/>
    <w:rsid w:val="744C72C0"/>
    <w:rsid w:val="744F0B5E"/>
    <w:rsid w:val="745052AB"/>
    <w:rsid w:val="74524843"/>
    <w:rsid w:val="745258D8"/>
    <w:rsid w:val="74533E38"/>
    <w:rsid w:val="74550C50"/>
    <w:rsid w:val="7456334D"/>
    <w:rsid w:val="74564AE7"/>
    <w:rsid w:val="745967C2"/>
    <w:rsid w:val="745A3E4A"/>
    <w:rsid w:val="745B1903"/>
    <w:rsid w:val="745B7503"/>
    <w:rsid w:val="745C7671"/>
    <w:rsid w:val="745F6DB9"/>
    <w:rsid w:val="74600FBD"/>
    <w:rsid w:val="74604B19"/>
    <w:rsid w:val="74611D80"/>
    <w:rsid w:val="7461716C"/>
    <w:rsid w:val="74663DF1"/>
    <w:rsid w:val="74674E7F"/>
    <w:rsid w:val="74687E72"/>
    <w:rsid w:val="746C518B"/>
    <w:rsid w:val="746C5BB4"/>
    <w:rsid w:val="746D5B87"/>
    <w:rsid w:val="746D7236"/>
    <w:rsid w:val="746D75B0"/>
    <w:rsid w:val="746F5D9E"/>
    <w:rsid w:val="747009E3"/>
    <w:rsid w:val="747138B7"/>
    <w:rsid w:val="7472358F"/>
    <w:rsid w:val="747405C4"/>
    <w:rsid w:val="74744A68"/>
    <w:rsid w:val="74745CE3"/>
    <w:rsid w:val="74753ED5"/>
    <w:rsid w:val="747607E0"/>
    <w:rsid w:val="747671D2"/>
    <w:rsid w:val="747800B5"/>
    <w:rsid w:val="74795BDB"/>
    <w:rsid w:val="747A7072"/>
    <w:rsid w:val="747D56CB"/>
    <w:rsid w:val="74820F33"/>
    <w:rsid w:val="74830E88"/>
    <w:rsid w:val="74850A24"/>
    <w:rsid w:val="748526D5"/>
    <w:rsid w:val="74874A8B"/>
    <w:rsid w:val="74880144"/>
    <w:rsid w:val="74894EF3"/>
    <w:rsid w:val="74895648"/>
    <w:rsid w:val="748A0351"/>
    <w:rsid w:val="748A18D8"/>
    <w:rsid w:val="748A7DE8"/>
    <w:rsid w:val="748B71CF"/>
    <w:rsid w:val="748C2B39"/>
    <w:rsid w:val="748F408B"/>
    <w:rsid w:val="74904342"/>
    <w:rsid w:val="74920CF6"/>
    <w:rsid w:val="749302E4"/>
    <w:rsid w:val="749312B1"/>
    <w:rsid w:val="749347B2"/>
    <w:rsid w:val="749649DF"/>
    <w:rsid w:val="74966E06"/>
    <w:rsid w:val="74970563"/>
    <w:rsid w:val="749731C9"/>
    <w:rsid w:val="74977B39"/>
    <w:rsid w:val="74980757"/>
    <w:rsid w:val="749842ED"/>
    <w:rsid w:val="7499002B"/>
    <w:rsid w:val="749A60CA"/>
    <w:rsid w:val="749B74FC"/>
    <w:rsid w:val="749C0762"/>
    <w:rsid w:val="749D5D6D"/>
    <w:rsid w:val="749F55EB"/>
    <w:rsid w:val="74A42250"/>
    <w:rsid w:val="74A536E0"/>
    <w:rsid w:val="74A54E21"/>
    <w:rsid w:val="74A569D0"/>
    <w:rsid w:val="74A72014"/>
    <w:rsid w:val="74A964C0"/>
    <w:rsid w:val="74A9781D"/>
    <w:rsid w:val="74AA048A"/>
    <w:rsid w:val="74AC4202"/>
    <w:rsid w:val="74AC5FB0"/>
    <w:rsid w:val="74AC7D5E"/>
    <w:rsid w:val="74AE3AD6"/>
    <w:rsid w:val="74AE59DA"/>
    <w:rsid w:val="74B022AC"/>
    <w:rsid w:val="74B11819"/>
    <w:rsid w:val="74B160DE"/>
    <w:rsid w:val="74B26768"/>
    <w:rsid w:val="74B310ED"/>
    <w:rsid w:val="74B530B7"/>
    <w:rsid w:val="74B63C57"/>
    <w:rsid w:val="74B75C4E"/>
    <w:rsid w:val="74B76CA4"/>
    <w:rsid w:val="74B968D5"/>
    <w:rsid w:val="74BA0FD5"/>
    <w:rsid w:val="74BB57B5"/>
    <w:rsid w:val="74BD1F6B"/>
    <w:rsid w:val="74C13EEB"/>
    <w:rsid w:val="74C55B4B"/>
    <w:rsid w:val="74C9421C"/>
    <w:rsid w:val="74CA5026"/>
    <w:rsid w:val="74CA5788"/>
    <w:rsid w:val="74CA7DE7"/>
    <w:rsid w:val="74CB0B2C"/>
    <w:rsid w:val="74CB1E7D"/>
    <w:rsid w:val="74CB28DA"/>
    <w:rsid w:val="74CC659F"/>
    <w:rsid w:val="74CE36AA"/>
    <w:rsid w:val="74CE5F27"/>
    <w:rsid w:val="74D34EAF"/>
    <w:rsid w:val="74D40C1C"/>
    <w:rsid w:val="74D478E6"/>
    <w:rsid w:val="74D55507"/>
    <w:rsid w:val="74D56200"/>
    <w:rsid w:val="74D96132"/>
    <w:rsid w:val="74DA0B15"/>
    <w:rsid w:val="74DA2B1D"/>
    <w:rsid w:val="74DB5323"/>
    <w:rsid w:val="74DB62F0"/>
    <w:rsid w:val="74DB6895"/>
    <w:rsid w:val="74DD3606"/>
    <w:rsid w:val="74DD6508"/>
    <w:rsid w:val="74DE21B8"/>
    <w:rsid w:val="74DF6386"/>
    <w:rsid w:val="74DF6C21"/>
    <w:rsid w:val="74E0215D"/>
    <w:rsid w:val="74E03EAC"/>
    <w:rsid w:val="74E131DB"/>
    <w:rsid w:val="74E4399C"/>
    <w:rsid w:val="74E724EC"/>
    <w:rsid w:val="74E74BD4"/>
    <w:rsid w:val="74E90FB2"/>
    <w:rsid w:val="74E92D60"/>
    <w:rsid w:val="74EA4FC7"/>
    <w:rsid w:val="74EA6A4F"/>
    <w:rsid w:val="74EB4160"/>
    <w:rsid w:val="74F141CA"/>
    <w:rsid w:val="74F23177"/>
    <w:rsid w:val="74F31E31"/>
    <w:rsid w:val="74F6543C"/>
    <w:rsid w:val="74F6722B"/>
    <w:rsid w:val="74F76F03"/>
    <w:rsid w:val="74F83DEE"/>
    <w:rsid w:val="74F94BA3"/>
    <w:rsid w:val="74FD05BA"/>
    <w:rsid w:val="74FD086C"/>
    <w:rsid w:val="74FD1921"/>
    <w:rsid w:val="74FD2A1F"/>
    <w:rsid w:val="74FE7C75"/>
    <w:rsid w:val="750162FC"/>
    <w:rsid w:val="75022074"/>
    <w:rsid w:val="750220FC"/>
    <w:rsid w:val="75041948"/>
    <w:rsid w:val="75046A40"/>
    <w:rsid w:val="75047B9A"/>
    <w:rsid w:val="75063912"/>
    <w:rsid w:val="750676B8"/>
    <w:rsid w:val="75080A92"/>
    <w:rsid w:val="750A0CB1"/>
    <w:rsid w:val="750A2943"/>
    <w:rsid w:val="750A2CD7"/>
    <w:rsid w:val="750D2EF3"/>
    <w:rsid w:val="75114065"/>
    <w:rsid w:val="7512507B"/>
    <w:rsid w:val="75133BF1"/>
    <w:rsid w:val="75143CB6"/>
    <w:rsid w:val="75150730"/>
    <w:rsid w:val="75153B55"/>
    <w:rsid w:val="751635E7"/>
    <w:rsid w:val="75175143"/>
    <w:rsid w:val="75175B20"/>
    <w:rsid w:val="751865D3"/>
    <w:rsid w:val="75190078"/>
    <w:rsid w:val="751A01C1"/>
    <w:rsid w:val="751B5A58"/>
    <w:rsid w:val="751C68C3"/>
    <w:rsid w:val="751F42D8"/>
    <w:rsid w:val="7521699E"/>
    <w:rsid w:val="7522622B"/>
    <w:rsid w:val="75232716"/>
    <w:rsid w:val="752403DF"/>
    <w:rsid w:val="75253016"/>
    <w:rsid w:val="752A3168"/>
    <w:rsid w:val="752A7E05"/>
    <w:rsid w:val="752F3886"/>
    <w:rsid w:val="75306588"/>
    <w:rsid w:val="7531117B"/>
    <w:rsid w:val="75312C9B"/>
    <w:rsid w:val="75314D2C"/>
    <w:rsid w:val="75315CE9"/>
    <w:rsid w:val="75323B2E"/>
    <w:rsid w:val="75330480"/>
    <w:rsid w:val="7533150D"/>
    <w:rsid w:val="75331EE9"/>
    <w:rsid w:val="7533222E"/>
    <w:rsid w:val="753328B9"/>
    <w:rsid w:val="75334E74"/>
    <w:rsid w:val="7533674F"/>
    <w:rsid w:val="753A0622"/>
    <w:rsid w:val="753A2B30"/>
    <w:rsid w:val="753A6D9B"/>
    <w:rsid w:val="753C37D8"/>
    <w:rsid w:val="753C676E"/>
    <w:rsid w:val="753C7334"/>
    <w:rsid w:val="75426C6E"/>
    <w:rsid w:val="7545449B"/>
    <w:rsid w:val="75460907"/>
    <w:rsid w:val="75496A2B"/>
    <w:rsid w:val="75497CA3"/>
    <w:rsid w:val="754B401C"/>
    <w:rsid w:val="754B7577"/>
    <w:rsid w:val="754C28F1"/>
    <w:rsid w:val="754C6448"/>
    <w:rsid w:val="75526E59"/>
    <w:rsid w:val="755338AD"/>
    <w:rsid w:val="755475E5"/>
    <w:rsid w:val="755503F6"/>
    <w:rsid w:val="75555C41"/>
    <w:rsid w:val="75574EA5"/>
    <w:rsid w:val="75575526"/>
    <w:rsid w:val="75581C94"/>
    <w:rsid w:val="75585F01"/>
    <w:rsid w:val="75596138"/>
    <w:rsid w:val="755D0E15"/>
    <w:rsid w:val="755E78D7"/>
    <w:rsid w:val="755F6203"/>
    <w:rsid w:val="756039B7"/>
    <w:rsid w:val="75616D9B"/>
    <w:rsid w:val="75622B13"/>
    <w:rsid w:val="75642436"/>
    <w:rsid w:val="7564688B"/>
    <w:rsid w:val="75657AA9"/>
    <w:rsid w:val="756602CF"/>
    <w:rsid w:val="75660855"/>
    <w:rsid w:val="75662603"/>
    <w:rsid w:val="756643B1"/>
    <w:rsid w:val="75666C71"/>
    <w:rsid w:val="75672EFA"/>
    <w:rsid w:val="75675427"/>
    <w:rsid w:val="75690ED6"/>
    <w:rsid w:val="7569498A"/>
    <w:rsid w:val="756D1BE3"/>
    <w:rsid w:val="756D2843"/>
    <w:rsid w:val="756D573F"/>
    <w:rsid w:val="756D649C"/>
    <w:rsid w:val="757012D6"/>
    <w:rsid w:val="75702F73"/>
    <w:rsid w:val="75765FF3"/>
    <w:rsid w:val="7577036C"/>
    <w:rsid w:val="757765BE"/>
    <w:rsid w:val="7579116A"/>
    <w:rsid w:val="75795EB8"/>
    <w:rsid w:val="757A0E29"/>
    <w:rsid w:val="757A422E"/>
    <w:rsid w:val="757C1E26"/>
    <w:rsid w:val="757D070F"/>
    <w:rsid w:val="757D4E96"/>
    <w:rsid w:val="75811BDF"/>
    <w:rsid w:val="75824BE5"/>
    <w:rsid w:val="75826D11"/>
    <w:rsid w:val="758A62EE"/>
    <w:rsid w:val="758B285A"/>
    <w:rsid w:val="758D3D9D"/>
    <w:rsid w:val="758F6705"/>
    <w:rsid w:val="75915376"/>
    <w:rsid w:val="75915FDB"/>
    <w:rsid w:val="75917CED"/>
    <w:rsid w:val="75941DE4"/>
    <w:rsid w:val="759727BC"/>
    <w:rsid w:val="75976C60"/>
    <w:rsid w:val="75986535"/>
    <w:rsid w:val="759A405B"/>
    <w:rsid w:val="759A6860"/>
    <w:rsid w:val="759B0AE7"/>
    <w:rsid w:val="759B75AD"/>
    <w:rsid w:val="759D13B8"/>
    <w:rsid w:val="759D16D5"/>
    <w:rsid w:val="759D1E72"/>
    <w:rsid w:val="75A1363B"/>
    <w:rsid w:val="75A27994"/>
    <w:rsid w:val="75A3343A"/>
    <w:rsid w:val="75A35605"/>
    <w:rsid w:val="75A40319"/>
    <w:rsid w:val="75A578BA"/>
    <w:rsid w:val="75A61D5A"/>
    <w:rsid w:val="75A66EA3"/>
    <w:rsid w:val="75A77847"/>
    <w:rsid w:val="75A9073C"/>
    <w:rsid w:val="75A96335"/>
    <w:rsid w:val="75A974DF"/>
    <w:rsid w:val="75AB6268"/>
    <w:rsid w:val="75AF3FAA"/>
    <w:rsid w:val="75B30843"/>
    <w:rsid w:val="75B3511C"/>
    <w:rsid w:val="75B35B00"/>
    <w:rsid w:val="75B40ED9"/>
    <w:rsid w:val="75B55338"/>
    <w:rsid w:val="75B6550E"/>
    <w:rsid w:val="75B74481"/>
    <w:rsid w:val="75BD1783"/>
    <w:rsid w:val="75BD7F3E"/>
    <w:rsid w:val="75BE0ADD"/>
    <w:rsid w:val="75BE42F1"/>
    <w:rsid w:val="75C3416E"/>
    <w:rsid w:val="75C817BE"/>
    <w:rsid w:val="75C94940"/>
    <w:rsid w:val="75D00186"/>
    <w:rsid w:val="75D02172"/>
    <w:rsid w:val="75D03F20"/>
    <w:rsid w:val="75D05CCE"/>
    <w:rsid w:val="75D15981"/>
    <w:rsid w:val="75D166E3"/>
    <w:rsid w:val="75D16E5F"/>
    <w:rsid w:val="75D1773C"/>
    <w:rsid w:val="75D21089"/>
    <w:rsid w:val="75D27AF0"/>
    <w:rsid w:val="75D44B1A"/>
    <w:rsid w:val="75D5598C"/>
    <w:rsid w:val="75D74ABA"/>
    <w:rsid w:val="75D76C91"/>
    <w:rsid w:val="75D82DCB"/>
    <w:rsid w:val="75D8320B"/>
    <w:rsid w:val="75D91BB6"/>
    <w:rsid w:val="75D94C4A"/>
    <w:rsid w:val="75D9781B"/>
    <w:rsid w:val="75DA08FB"/>
    <w:rsid w:val="75DA4AE6"/>
    <w:rsid w:val="75DE03EB"/>
    <w:rsid w:val="75DE663D"/>
    <w:rsid w:val="75E1341E"/>
    <w:rsid w:val="75E21B92"/>
    <w:rsid w:val="75E2400C"/>
    <w:rsid w:val="75E3349E"/>
    <w:rsid w:val="75E33C54"/>
    <w:rsid w:val="75E56B24"/>
    <w:rsid w:val="75E65816"/>
    <w:rsid w:val="75E66401"/>
    <w:rsid w:val="75E66459"/>
    <w:rsid w:val="75E74553"/>
    <w:rsid w:val="75E74C1F"/>
    <w:rsid w:val="75E90354"/>
    <w:rsid w:val="75E91B79"/>
    <w:rsid w:val="75E93EAD"/>
    <w:rsid w:val="75EB0D5A"/>
    <w:rsid w:val="75EC48A9"/>
    <w:rsid w:val="75EE4748"/>
    <w:rsid w:val="75F0011F"/>
    <w:rsid w:val="75F22484"/>
    <w:rsid w:val="75F25C45"/>
    <w:rsid w:val="75F26F32"/>
    <w:rsid w:val="75F45E61"/>
    <w:rsid w:val="75F57C88"/>
    <w:rsid w:val="75F701D3"/>
    <w:rsid w:val="75F81663"/>
    <w:rsid w:val="75F95225"/>
    <w:rsid w:val="75FA5ACB"/>
    <w:rsid w:val="75FB5580"/>
    <w:rsid w:val="75FC4D15"/>
    <w:rsid w:val="75FC6AF9"/>
    <w:rsid w:val="75FD5E24"/>
    <w:rsid w:val="75FE0A8D"/>
    <w:rsid w:val="75FF2C8D"/>
    <w:rsid w:val="75FF4200"/>
    <w:rsid w:val="760017AF"/>
    <w:rsid w:val="76015597"/>
    <w:rsid w:val="76033C93"/>
    <w:rsid w:val="760360A4"/>
    <w:rsid w:val="76036970"/>
    <w:rsid w:val="760454A2"/>
    <w:rsid w:val="760836BA"/>
    <w:rsid w:val="760A11B1"/>
    <w:rsid w:val="760A7432"/>
    <w:rsid w:val="760B4F58"/>
    <w:rsid w:val="760F4A49"/>
    <w:rsid w:val="760F4F2B"/>
    <w:rsid w:val="76133609"/>
    <w:rsid w:val="76157B85"/>
    <w:rsid w:val="76164029"/>
    <w:rsid w:val="76191423"/>
    <w:rsid w:val="76197675"/>
    <w:rsid w:val="761D4C22"/>
    <w:rsid w:val="761E0EAB"/>
    <w:rsid w:val="761F73DF"/>
    <w:rsid w:val="76216828"/>
    <w:rsid w:val="762235CA"/>
    <w:rsid w:val="76236746"/>
    <w:rsid w:val="76277FE4"/>
    <w:rsid w:val="76291BD2"/>
    <w:rsid w:val="762B3D48"/>
    <w:rsid w:val="762C03C9"/>
    <w:rsid w:val="762D2725"/>
    <w:rsid w:val="762F6E99"/>
    <w:rsid w:val="763028C2"/>
    <w:rsid w:val="76307D38"/>
    <w:rsid w:val="763224E5"/>
    <w:rsid w:val="76322C84"/>
    <w:rsid w:val="76342701"/>
    <w:rsid w:val="76361C8F"/>
    <w:rsid w:val="76375A73"/>
    <w:rsid w:val="763846F3"/>
    <w:rsid w:val="76391AC6"/>
    <w:rsid w:val="763A3F76"/>
    <w:rsid w:val="763B7EA7"/>
    <w:rsid w:val="763C54EF"/>
    <w:rsid w:val="763D7EAA"/>
    <w:rsid w:val="763E2D92"/>
    <w:rsid w:val="763E597F"/>
    <w:rsid w:val="763E70DC"/>
    <w:rsid w:val="763F7BCD"/>
    <w:rsid w:val="76402E54"/>
    <w:rsid w:val="7641097A"/>
    <w:rsid w:val="76421559"/>
    <w:rsid w:val="764424B8"/>
    <w:rsid w:val="764519C1"/>
    <w:rsid w:val="7646201B"/>
    <w:rsid w:val="76486598"/>
    <w:rsid w:val="764C557E"/>
    <w:rsid w:val="764D47D1"/>
    <w:rsid w:val="764E30F5"/>
    <w:rsid w:val="764F480F"/>
    <w:rsid w:val="764F64BE"/>
    <w:rsid w:val="764F7206"/>
    <w:rsid w:val="765243AF"/>
    <w:rsid w:val="7653148C"/>
    <w:rsid w:val="76544B51"/>
    <w:rsid w:val="76547324"/>
    <w:rsid w:val="76557746"/>
    <w:rsid w:val="7656089D"/>
    <w:rsid w:val="765661D4"/>
    <w:rsid w:val="76571F4C"/>
    <w:rsid w:val="765762AE"/>
    <w:rsid w:val="765820A3"/>
    <w:rsid w:val="765863F0"/>
    <w:rsid w:val="765B226D"/>
    <w:rsid w:val="765B7F10"/>
    <w:rsid w:val="765D0C6F"/>
    <w:rsid w:val="766052A4"/>
    <w:rsid w:val="76620B69"/>
    <w:rsid w:val="766279CE"/>
    <w:rsid w:val="76634D94"/>
    <w:rsid w:val="76655B13"/>
    <w:rsid w:val="7667475E"/>
    <w:rsid w:val="76680CF1"/>
    <w:rsid w:val="76697065"/>
    <w:rsid w:val="766A7ED1"/>
    <w:rsid w:val="766B6638"/>
    <w:rsid w:val="766E2784"/>
    <w:rsid w:val="76700A71"/>
    <w:rsid w:val="76724FD8"/>
    <w:rsid w:val="76746FA2"/>
    <w:rsid w:val="76752907"/>
    <w:rsid w:val="76765214"/>
    <w:rsid w:val="76767CB6"/>
    <w:rsid w:val="76794E52"/>
    <w:rsid w:val="767B3E8C"/>
    <w:rsid w:val="767B4B32"/>
    <w:rsid w:val="767D0641"/>
    <w:rsid w:val="76805946"/>
    <w:rsid w:val="76814586"/>
    <w:rsid w:val="76817D63"/>
    <w:rsid w:val="7682134D"/>
    <w:rsid w:val="7682521B"/>
    <w:rsid w:val="768533F1"/>
    <w:rsid w:val="76854D0B"/>
    <w:rsid w:val="768604E4"/>
    <w:rsid w:val="7686733F"/>
    <w:rsid w:val="76870A83"/>
    <w:rsid w:val="76876CD5"/>
    <w:rsid w:val="768947FB"/>
    <w:rsid w:val="76897EF9"/>
    <w:rsid w:val="768A2321"/>
    <w:rsid w:val="768D2C66"/>
    <w:rsid w:val="768F2682"/>
    <w:rsid w:val="768F268A"/>
    <w:rsid w:val="769136B0"/>
    <w:rsid w:val="76921006"/>
    <w:rsid w:val="769211D6"/>
    <w:rsid w:val="76936097"/>
    <w:rsid w:val="76940635"/>
    <w:rsid w:val="76957293"/>
    <w:rsid w:val="76962075"/>
    <w:rsid w:val="769709A2"/>
    <w:rsid w:val="76981E32"/>
    <w:rsid w:val="769874C9"/>
    <w:rsid w:val="769907B6"/>
    <w:rsid w:val="769B62DC"/>
    <w:rsid w:val="769E2319"/>
    <w:rsid w:val="769F2A99"/>
    <w:rsid w:val="76A01B45"/>
    <w:rsid w:val="76A13992"/>
    <w:rsid w:val="76A25F09"/>
    <w:rsid w:val="76A74601"/>
    <w:rsid w:val="76AB5888"/>
    <w:rsid w:val="76AB6DEC"/>
    <w:rsid w:val="76AC673B"/>
    <w:rsid w:val="76AE0EDE"/>
    <w:rsid w:val="76AE0F04"/>
    <w:rsid w:val="76AE24B4"/>
    <w:rsid w:val="76B0642C"/>
    <w:rsid w:val="76B92C06"/>
    <w:rsid w:val="76B949B4"/>
    <w:rsid w:val="76BA4A98"/>
    <w:rsid w:val="76BA7FAB"/>
    <w:rsid w:val="76BC535E"/>
    <w:rsid w:val="76BD26F7"/>
    <w:rsid w:val="76BD3E54"/>
    <w:rsid w:val="76BD5FA4"/>
    <w:rsid w:val="76BF7B13"/>
    <w:rsid w:val="76C021E7"/>
    <w:rsid w:val="76C03F95"/>
    <w:rsid w:val="76C05D43"/>
    <w:rsid w:val="76C06CCE"/>
    <w:rsid w:val="76C174E4"/>
    <w:rsid w:val="76C20247"/>
    <w:rsid w:val="76C21ABB"/>
    <w:rsid w:val="76C375E1"/>
    <w:rsid w:val="76C5315F"/>
    <w:rsid w:val="76C53359"/>
    <w:rsid w:val="76C80E8A"/>
    <w:rsid w:val="76C93B58"/>
    <w:rsid w:val="76CC293A"/>
    <w:rsid w:val="76CC3D0D"/>
    <w:rsid w:val="76CC4B2A"/>
    <w:rsid w:val="76CD29F0"/>
    <w:rsid w:val="76CF7746"/>
    <w:rsid w:val="76D21D3E"/>
    <w:rsid w:val="76D50D6E"/>
    <w:rsid w:val="76D534E5"/>
    <w:rsid w:val="76D637B8"/>
    <w:rsid w:val="76D70DF5"/>
    <w:rsid w:val="76D80004"/>
    <w:rsid w:val="76D812DE"/>
    <w:rsid w:val="76DB7386"/>
    <w:rsid w:val="76DD06A3"/>
    <w:rsid w:val="76DE43A6"/>
    <w:rsid w:val="76E06E8B"/>
    <w:rsid w:val="76E25746"/>
    <w:rsid w:val="76E41B79"/>
    <w:rsid w:val="76E43BB8"/>
    <w:rsid w:val="76E557A9"/>
    <w:rsid w:val="76E56E2D"/>
    <w:rsid w:val="76E83614"/>
    <w:rsid w:val="76E94E08"/>
    <w:rsid w:val="76EC01D5"/>
    <w:rsid w:val="76EC46EF"/>
    <w:rsid w:val="76EC61DE"/>
    <w:rsid w:val="76EF1037"/>
    <w:rsid w:val="76F10C98"/>
    <w:rsid w:val="76F85475"/>
    <w:rsid w:val="76FB1516"/>
    <w:rsid w:val="76FB321F"/>
    <w:rsid w:val="77072CA8"/>
    <w:rsid w:val="770937CE"/>
    <w:rsid w:val="770A30FC"/>
    <w:rsid w:val="770D0D85"/>
    <w:rsid w:val="770D2649"/>
    <w:rsid w:val="770E6AAE"/>
    <w:rsid w:val="770E74AA"/>
    <w:rsid w:val="771213DC"/>
    <w:rsid w:val="77126911"/>
    <w:rsid w:val="77131AFC"/>
    <w:rsid w:val="77132317"/>
    <w:rsid w:val="7718792D"/>
    <w:rsid w:val="771A36A5"/>
    <w:rsid w:val="771A4456"/>
    <w:rsid w:val="771C566F"/>
    <w:rsid w:val="771D13E7"/>
    <w:rsid w:val="771D4568"/>
    <w:rsid w:val="771D7139"/>
    <w:rsid w:val="7720462A"/>
    <w:rsid w:val="77212C85"/>
    <w:rsid w:val="77230C98"/>
    <w:rsid w:val="772327F8"/>
    <w:rsid w:val="77252ACD"/>
    <w:rsid w:val="77253DF8"/>
    <w:rsid w:val="772622B3"/>
    <w:rsid w:val="77266343"/>
    <w:rsid w:val="77277D4B"/>
    <w:rsid w:val="77286DE9"/>
    <w:rsid w:val="772B58B2"/>
    <w:rsid w:val="772D571E"/>
    <w:rsid w:val="772D7053"/>
    <w:rsid w:val="772E0EFE"/>
    <w:rsid w:val="772F0D1E"/>
    <w:rsid w:val="77302EC9"/>
    <w:rsid w:val="77306AB7"/>
    <w:rsid w:val="77343F30"/>
    <w:rsid w:val="7735228D"/>
    <w:rsid w:val="77366005"/>
    <w:rsid w:val="77370326"/>
    <w:rsid w:val="77374BED"/>
    <w:rsid w:val="77375D74"/>
    <w:rsid w:val="773A0865"/>
    <w:rsid w:val="773B361B"/>
    <w:rsid w:val="773D55E5"/>
    <w:rsid w:val="773E400F"/>
    <w:rsid w:val="773E6472"/>
    <w:rsid w:val="773E7BB3"/>
    <w:rsid w:val="774424D0"/>
    <w:rsid w:val="77444BC6"/>
    <w:rsid w:val="7746111D"/>
    <w:rsid w:val="77461551"/>
    <w:rsid w:val="7746449A"/>
    <w:rsid w:val="774825A7"/>
    <w:rsid w:val="774A0D27"/>
    <w:rsid w:val="774A6156"/>
    <w:rsid w:val="774B52CF"/>
    <w:rsid w:val="774B6117"/>
    <w:rsid w:val="774B7285"/>
    <w:rsid w:val="774B730C"/>
    <w:rsid w:val="774C7410"/>
    <w:rsid w:val="774F5310"/>
    <w:rsid w:val="7750356B"/>
    <w:rsid w:val="7751062B"/>
    <w:rsid w:val="775363CA"/>
    <w:rsid w:val="77551288"/>
    <w:rsid w:val="775733EC"/>
    <w:rsid w:val="775748F9"/>
    <w:rsid w:val="775766A7"/>
    <w:rsid w:val="77585C18"/>
    <w:rsid w:val="7759426C"/>
    <w:rsid w:val="775B0138"/>
    <w:rsid w:val="775B1CAC"/>
    <w:rsid w:val="775D016B"/>
    <w:rsid w:val="775D19FB"/>
    <w:rsid w:val="775D3592"/>
    <w:rsid w:val="775E402C"/>
    <w:rsid w:val="775E5C88"/>
    <w:rsid w:val="775F555C"/>
    <w:rsid w:val="7762482A"/>
    <w:rsid w:val="776460C1"/>
    <w:rsid w:val="77660698"/>
    <w:rsid w:val="77665075"/>
    <w:rsid w:val="77674410"/>
    <w:rsid w:val="77691CC9"/>
    <w:rsid w:val="77695D86"/>
    <w:rsid w:val="776C7C79"/>
    <w:rsid w:val="776D76CE"/>
    <w:rsid w:val="776F461F"/>
    <w:rsid w:val="77702A42"/>
    <w:rsid w:val="777032C5"/>
    <w:rsid w:val="77707769"/>
    <w:rsid w:val="77752853"/>
    <w:rsid w:val="777803CC"/>
    <w:rsid w:val="777917F3"/>
    <w:rsid w:val="777A0BD9"/>
    <w:rsid w:val="777B0502"/>
    <w:rsid w:val="777C2BFC"/>
    <w:rsid w:val="777C33B2"/>
    <w:rsid w:val="777C610E"/>
    <w:rsid w:val="777C6CD1"/>
    <w:rsid w:val="777D1E86"/>
    <w:rsid w:val="777E28EC"/>
    <w:rsid w:val="777E6238"/>
    <w:rsid w:val="777F5BFE"/>
    <w:rsid w:val="778154D2"/>
    <w:rsid w:val="77820A6F"/>
    <w:rsid w:val="77822FF8"/>
    <w:rsid w:val="778356EE"/>
    <w:rsid w:val="7783749C"/>
    <w:rsid w:val="77840F89"/>
    <w:rsid w:val="77844FC2"/>
    <w:rsid w:val="77846CDF"/>
    <w:rsid w:val="7785279A"/>
    <w:rsid w:val="77881F42"/>
    <w:rsid w:val="778960A9"/>
    <w:rsid w:val="778C3E77"/>
    <w:rsid w:val="778D0B76"/>
    <w:rsid w:val="778D6294"/>
    <w:rsid w:val="778D7747"/>
    <w:rsid w:val="778D78FD"/>
    <w:rsid w:val="778E33FA"/>
    <w:rsid w:val="778E5349"/>
    <w:rsid w:val="778E6C38"/>
    <w:rsid w:val="77903967"/>
    <w:rsid w:val="77905715"/>
    <w:rsid w:val="779171C4"/>
    <w:rsid w:val="77985E5E"/>
    <w:rsid w:val="7798639C"/>
    <w:rsid w:val="779C1231"/>
    <w:rsid w:val="779C230C"/>
    <w:rsid w:val="779C40BA"/>
    <w:rsid w:val="779D4095"/>
    <w:rsid w:val="779F39A0"/>
    <w:rsid w:val="77A354C5"/>
    <w:rsid w:val="77A36141"/>
    <w:rsid w:val="77A37E61"/>
    <w:rsid w:val="77A64F39"/>
    <w:rsid w:val="77AA4336"/>
    <w:rsid w:val="77AB4063"/>
    <w:rsid w:val="77AC67CC"/>
    <w:rsid w:val="77AD4FDD"/>
    <w:rsid w:val="77AD665D"/>
    <w:rsid w:val="77B07B65"/>
    <w:rsid w:val="77B07F3B"/>
    <w:rsid w:val="77B22134"/>
    <w:rsid w:val="77B22DCD"/>
    <w:rsid w:val="77B27C24"/>
    <w:rsid w:val="77B70DCC"/>
    <w:rsid w:val="77BB0B67"/>
    <w:rsid w:val="77BB3C0E"/>
    <w:rsid w:val="77BD7EA5"/>
    <w:rsid w:val="77BF0D29"/>
    <w:rsid w:val="77C0555A"/>
    <w:rsid w:val="77C2362B"/>
    <w:rsid w:val="77C83CDC"/>
    <w:rsid w:val="77CA3210"/>
    <w:rsid w:val="77CA4EC1"/>
    <w:rsid w:val="77CC08B5"/>
    <w:rsid w:val="77CC4224"/>
    <w:rsid w:val="77CC5C78"/>
    <w:rsid w:val="77CE649F"/>
    <w:rsid w:val="77D221D2"/>
    <w:rsid w:val="77D5581E"/>
    <w:rsid w:val="77D704AF"/>
    <w:rsid w:val="77D73344"/>
    <w:rsid w:val="77D777E8"/>
    <w:rsid w:val="77DA0EB7"/>
    <w:rsid w:val="77DB1E79"/>
    <w:rsid w:val="77DB7D95"/>
    <w:rsid w:val="77DD6610"/>
    <w:rsid w:val="77DE262B"/>
    <w:rsid w:val="77DF669D"/>
    <w:rsid w:val="77E02B9B"/>
    <w:rsid w:val="77E048EF"/>
    <w:rsid w:val="77E10838"/>
    <w:rsid w:val="77E32D64"/>
    <w:rsid w:val="77E43CB3"/>
    <w:rsid w:val="77E5555E"/>
    <w:rsid w:val="77E64D5C"/>
    <w:rsid w:val="77E777A4"/>
    <w:rsid w:val="77E85551"/>
    <w:rsid w:val="77EA669B"/>
    <w:rsid w:val="77EB5041"/>
    <w:rsid w:val="77EB6DF0"/>
    <w:rsid w:val="77EE53F1"/>
    <w:rsid w:val="77F008AA"/>
    <w:rsid w:val="77F11C9F"/>
    <w:rsid w:val="77F34167"/>
    <w:rsid w:val="77F37D3B"/>
    <w:rsid w:val="77F46E9A"/>
    <w:rsid w:val="77F51A1C"/>
    <w:rsid w:val="77F779FD"/>
    <w:rsid w:val="77F80C6B"/>
    <w:rsid w:val="77F923B9"/>
    <w:rsid w:val="77F96AC5"/>
    <w:rsid w:val="77FA119B"/>
    <w:rsid w:val="77FB0ECD"/>
    <w:rsid w:val="77FB2E6A"/>
    <w:rsid w:val="77FB70C4"/>
    <w:rsid w:val="77FF666B"/>
    <w:rsid w:val="780037E6"/>
    <w:rsid w:val="78006D3F"/>
    <w:rsid w:val="78012A39"/>
    <w:rsid w:val="78026BE5"/>
    <w:rsid w:val="78040D1A"/>
    <w:rsid w:val="78050364"/>
    <w:rsid w:val="78054355"/>
    <w:rsid w:val="78066D81"/>
    <w:rsid w:val="780953D7"/>
    <w:rsid w:val="78096F14"/>
    <w:rsid w:val="780B1240"/>
    <w:rsid w:val="780B56E4"/>
    <w:rsid w:val="780B7492"/>
    <w:rsid w:val="780C1D0B"/>
    <w:rsid w:val="780D1F41"/>
    <w:rsid w:val="780D320A"/>
    <w:rsid w:val="780D41B1"/>
    <w:rsid w:val="780E4529"/>
    <w:rsid w:val="780E7D94"/>
    <w:rsid w:val="78106856"/>
    <w:rsid w:val="78110F88"/>
    <w:rsid w:val="78127E64"/>
    <w:rsid w:val="781A1483"/>
    <w:rsid w:val="781C3334"/>
    <w:rsid w:val="781D00C9"/>
    <w:rsid w:val="781D20A0"/>
    <w:rsid w:val="781E4B10"/>
    <w:rsid w:val="781E71C5"/>
    <w:rsid w:val="78202F3D"/>
    <w:rsid w:val="782234E4"/>
    <w:rsid w:val="78236AB5"/>
    <w:rsid w:val="782377C2"/>
    <w:rsid w:val="78252301"/>
    <w:rsid w:val="78267E28"/>
    <w:rsid w:val="78276B74"/>
    <w:rsid w:val="78280044"/>
    <w:rsid w:val="782B18E2"/>
    <w:rsid w:val="782B7E07"/>
    <w:rsid w:val="782C6EB1"/>
    <w:rsid w:val="782C7B34"/>
    <w:rsid w:val="782D7408"/>
    <w:rsid w:val="782F049B"/>
    <w:rsid w:val="782F0FA6"/>
    <w:rsid w:val="7830139F"/>
    <w:rsid w:val="78311AB8"/>
    <w:rsid w:val="78322D3B"/>
    <w:rsid w:val="783469E8"/>
    <w:rsid w:val="7835260B"/>
    <w:rsid w:val="7836235A"/>
    <w:rsid w:val="783C61CC"/>
    <w:rsid w:val="78411105"/>
    <w:rsid w:val="78422750"/>
    <w:rsid w:val="78426447"/>
    <w:rsid w:val="78436C0F"/>
    <w:rsid w:val="7844198D"/>
    <w:rsid w:val="78484242"/>
    <w:rsid w:val="784862A4"/>
    <w:rsid w:val="78491F11"/>
    <w:rsid w:val="78496FD5"/>
    <w:rsid w:val="784C6F42"/>
    <w:rsid w:val="784D1364"/>
    <w:rsid w:val="784F3A2A"/>
    <w:rsid w:val="784F55D0"/>
    <w:rsid w:val="7852300F"/>
    <w:rsid w:val="78544995"/>
    <w:rsid w:val="78551B30"/>
    <w:rsid w:val="78556EF6"/>
    <w:rsid w:val="785735A0"/>
    <w:rsid w:val="7857488E"/>
    <w:rsid w:val="785901FD"/>
    <w:rsid w:val="78591FAB"/>
    <w:rsid w:val="785B3F75"/>
    <w:rsid w:val="78624008"/>
    <w:rsid w:val="78632E2A"/>
    <w:rsid w:val="78640748"/>
    <w:rsid w:val="786471CD"/>
    <w:rsid w:val="78654DF4"/>
    <w:rsid w:val="78670B6C"/>
    <w:rsid w:val="786848E4"/>
    <w:rsid w:val="786872CE"/>
    <w:rsid w:val="786A5B72"/>
    <w:rsid w:val="786B761E"/>
    <w:rsid w:val="786C3B6A"/>
    <w:rsid w:val="786F6850"/>
    <w:rsid w:val="78705A85"/>
    <w:rsid w:val="787068ED"/>
    <w:rsid w:val="78714A90"/>
    <w:rsid w:val="78727E6D"/>
    <w:rsid w:val="78740CB0"/>
    <w:rsid w:val="78747525"/>
    <w:rsid w:val="787571CB"/>
    <w:rsid w:val="78762B5D"/>
    <w:rsid w:val="78770683"/>
    <w:rsid w:val="78793749"/>
    <w:rsid w:val="787943FB"/>
    <w:rsid w:val="787A654A"/>
    <w:rsid w:val="787D6697"/>
    <w:rsid w:val="787E7C64"/>
    <w:rsid w:val="788075B7"/>
    <w:rsid w:val="7882517F"/>
    <w:rsid w:val="788274D1"/>
    <w:rsid w:val="788465FD"/>
    <w:rsid w:val="78846F19"/>
    <w:rsid w:val="78880AE2"/>
    <w:rsid w:val="788A0834"/>
    <w:rsid w:val="788A2AAC"/>
    <w:rsid w:val="788C4B6A"/>
    <w:rsid w:val="788C5047"/>
    <w:rsid w:val="78915BE9"/>
    <w:rsid w:val="7892260E"/>
    <w:rsid w:val="78922A10"/>
    <w:rsid w:val="789254BD"/>
    <w:rsid w:val="7893146B"/>
    <w:rsid w:val="78954206"/>
    <w:rsid w:val="789607FB"/>
    <w:rsid w:val="789631FF"/>
    <w:rsid w:val="78970D25"/>
    <w:rsid w:val="78981BAF"/>
    <w:rsid w:val="789A6BE8"/>
    <w:rsid w:val="789D304F"/>
    <w:rsid w:val="789D7429"/>
    <w:rsid w:val="789F47A8"/>
    <w:rsid w:val="78A000BA"/>
    <w:rsid w:val="78A0516A"/>
    <w:rsid w:val="78A06406"/>
    <w:rsid w:val="78A1153F"/>
    <w:rsid w:val="78A1403E"/>
    <w:rsid w:val="78A305F6"/>
    <w:rsid w:val="78A30BD9"/>
    <w:rsid w:val="78A31322"/>
    <w:rsid w:val="78A376CA"/>
    <w:rsid w:val="78A51ACC"/>
    <w:rsid w:val="78A5543C"/>
    <w:rsid w:val="78A6597F"/>
    <w:rsid w:val="78A94DBA"/>
    <w:rsid w:val="78AA77B7"/>
    <w:rsid w:val="78AB4800"/>
    <w:rsid w:val="78B10039"/>
    <w:rsid w:val="78B21166"/>
    <w:rsid w:val="78B45559"/>
    <w:rsid w:val="78B56487"/>
    <w:rsid w:val="78B56A45"/>
    <w:rsid w:val="78B638A1"/>
    <w:rsid w:val="78B73537"/>
    <w:rsid w:val="78B813C8"/>
    <w:rsid w:val="78BC77A1"/>
    <w:rsid w:val="78BE1364"/>
    <w:rsid w:val="78BF0401"/>
    <w:rsid w:val="78C102AD"/>
    <w:rsid w:val="78C1440E"/>
    <w:rsid w:val="78C47284"/>
    <w:rsid w:val="78C65643"/>
    <w:rsid w:val="78C7785D"/>
    <w:rsid w:val="78CA4C57"/>
    <w:rsid w:val="78CB1F87"/>
    <w:rsid w:val="78CC4207"/>
    <w:rsid w:val="78CF66CA"/>
    <w:rsid w:val="78D1399C"/>
    <w:rsid w:val="78D405F9"/>
    <w:rsid w:val="78D4396D"/>
    <w:rsid w:val="78D43D28"/>
    <w:rsid w:val="78D5702C"/>
    <w:rsid w:val="78D6422C"/>
    <w:rsid w:val="78D65BEF"/>
    <w:rsid w:val="78D75080"/>
    <w:rsid w:val="78DB37EF"/>
    <w:rsid w:val="78DD2BDC"/>
    <w:rsid w:val="78DE2F23"/>
    <w:rsid w:val="78E20DFA"/>
    <w:rsid w:val="78E311AF"/>
    <w:rsid w:val="78E565E6"/>
    <w:rsid w:val="78E748E0"/>
    <w:rsid w:val="78E84C32"/>
    <w:rsid w:val="78E86D7F"/>
    <w:rsid w:val="78E953A8"/>
    <w:rsid w:val="78E96619"/>
    <w:rsid w:val="78EC3915"/>
    <w:rsid w:val="78EC3D17"/>
    <w:rsid w:val="78EE4DE9"/>
    <w:rsid w:val="78F10355"/>
    <w:rsid w:val="78F72A63"/>
    <w:rsid w:val="78F8252B"/>
    <w:rsid w:val="78FF53A5"/>
    <w:rsid w:val="79002D6F"/>
    <w:rsid w:val="79023435"/>
    <w:rsid w:val="7904460D"/>
    <w:rsid w:val="79053EE1"/>
    <w:rsid w:val="79060E41"/>
    <w:rsid w:val="790617B5"/>
    <w:rsid w:val="79061C08"/>
    <w:rsid w:val="79065074"/>
    <w:rsid w:val="79073098"/>
    <w:rsid w:val="790775B9"/>
    <w:rsid w:val="79086474"/>
    <w:rsid w:val="790879ED"/>
    <w:rsid w:val="79091C23"/>
    <w:rsid w:val="790939D1"/>
    <w:rsid w:val="790B45EA"/>
    <w:rsid w:val="790E2B9A"/>
    <w:rsid w:val="791111A4"/>
    <w:rsid w:val="79112F30"/>
    <w:rsid w:val="79122DEB"/>
    <w:rsid w:val="79183C14"/>
    <w:rsid w:val="7919798C"/>
    <w:rsid w:val="791B4726"/>
    <w:rsid w:val="791E4FA3"/>
    <w:rsid w:val="791E61D1"/>
    <w:rsid w:val="79211986"/>
    <w:rsid w:val="79213C3F"/>
    <w:rsid w:val="79224A93"/>
    <w:rsid w:val="792348AC"/>
    <w:rsid w:val="792355C5"/>
    <w:rsid w:val="79235A13"/>
    <w:rsid w:val="792427A7"/>
    <w:rsid w:val="79243966"/>
    <w:rsid w:val="792532AC"/>
    <w:rsid w:val="7925751A"/>
    <w:rsid w:val="792859B1"/>
    <w:rsid w:val="792866E3"/>
    <w:rsid w:val="792C3B64"/>
    <w:rsid w:val="792C76C0"/>
    <w:rsid w:val="79311061"/>
    <w:rsid w:val="79335E8C"/>
    <w:rsid w:val="79366790"/>
    <w:rsid w:val="793712FB"/>
    <w:rsid w:val="79385410"/>
    <w:rsid w:val="793A1DDD"/>
    <w:rsid w:val="793B065C"/>
    <w:rsid w:val="793D18CD"/>
    <w:rsid w:val="793D3ADF"/>
    <w:rsid w:val="793F04FE"/>
    <w:rsid w:val="793F73F3"/>
    <w:rsid w:val="79407F8D"/>
    <w:rsid w:val="7943071A"/>
    <w:rsid w:val="79442C5B"/>
    <w:rsid w:val="794644CA"/>
    <w:rsid w:val="794744F9"/>
    <w:rsid w:val="794762A8"/>
    <w:rsid w:val="794909BC"/>
    <w:rsid w:val="79492020"/>
    <w:rsid w:val="794E7636"/>
    <w:rsid w:val="79501600"/>
    <w:rsid w:val="795051C3"/>
    <w:rsid w:val="79505710"/>
    <w:rsid w:val="79565B55"/>
    <w:rsid w:val="795804B5"/>
    <w:rsid w:val="79584684"/>
    <w:rsid w:val="7958499B"/>
    <w:rsid w:val="795A2CF9"/>
    <w:rsid w:val="795C5B4A"/>
    <w:rsid w:val="795D771D"/>
    <w:rsid w:val="795F1A52"/>
    <w:rsid w:val="796055BB"/>
    <w:rsid w:val="7961380D"/>
    <w:rsid w:val="79615944"/>
    <w:rsid w:val="796208E9"/>
    <w:rsid w:val="79640A60"/>
    <w:rsid w:val="79640E74"/>
    <w:rsid w:val="79642844"/>
    <w:rsid w:val="79647F07"/>
    <w:rsid w:val="796706F8"/>
    <w:rsid w:val="79671C54"/>
    <w:rsid w:val="7968585F"/>
    <w:rsid w:val="796926C2"/>
    <w:rsid w:val="7969375C"/>
    <w:rsid w:val="796A0DDC"/>
    <w:rsid w:val="796A6496"/>
    <w:rsid w:val="796B468C"/>
    <w:rsid w:val="796B646D"/>
    <w:rsid w:val="796C04E5"/>
    <w:rsid w:val="796C5D0E"/>
    <w:rsid w:val="796E26C8"/>
    <w:rsid w:val="796E7CD8"/>
    <w:rsid w:val="79705DEF"/>
    <w:rsid w:val="79711576"/>
    <w:rsid w:val="79715B18"/>
    <w:rsid w:val="7973541D"/>
    <w:rsid w:val="79757C70"/>
    <w:rsid w:val="79786DA9"/>
    <w:rsid w:val="797960A2"/>
    <w:rsid w:val="797A042B"/>
    <w:rsid w:val="797A667D"/>
    <w:rsid w:val="797B7377"/>
    <w:rsid w:val="797E2E7E"/>
    <w:rsid w:val="797E3990"/>
    <w:rsid w:val="797F5A41"/>
    <w:rsid w:val="798017B9"/>
    <w:rsid w:val="798021F2"/>
    <w:rsid w:val="79836B0A"/>
    <w:rsid w:val="79894B12"/>
    <w:rsid w:val="798B075D"/>
    <w:rsid w:val="798B2638"/>
    <w:rsid w:val="798D4602"/>
    <w:rsid w:val="79923C95"/>
    <w:rsid w:val="79952B92"/>
    <w:rsid w:val="79960FDD"/>
    <w:rsid w:val="7997722F"/>
    <w:rsid w:val="79983A7B"/>
    <w:rsid w:val="79984BD1"/>
    <w:rsid w:val="79994543"/>
    <w:rsid w:val="799B65F3"/>
    <w:rsid w:val="799D236B"/>
    <w:rsid w:val="799E27B4"/>
    <w:rsid w:val="799E680F"/>
    <w:rsid w:val="79A4490F"/>
    <w:rsid w:val="79A90B9C"/>
    <w:rsid w:val="79A96F62"/>
    <w:rsid w:val="79AB6C35"/>
    <w:rsid w:val="79AB790B"/>
    <w:rsid w:val="79AC41D4"/>
    <w:rsid w:val="79AD6A52"/>
    <w:rsid w:val="79AF588E"/>
    <w:rsid w:val="79B102D4"/>
    <w:rsid w:val="79B15C6C"/>
    <w:rsid w:val="79B40D24"/>
    <w:rsid w:val="79B416E2"/>
    <w:rsid w:val="79B41C03"/>
    <w:rsid w:val="79B55907"/>
    <w:rsid w:val="79B679D3"/>
    <w:rsid w:val="79B765F5"/>
    <w:rsid w:val="79B80CEF"/>
    <w:rsid w:val="79B9304D"/>
    <w:rsid w:val="79B95C7B"/>
    <w:rsid w:val="79B9785D"/>
    <w:rsid w:val="79BA5AA5"/>
    <w:rsid w:val="79BD26B1"/>
    <w:rsid w:val="79BD46DA"/>
    <w:rsid w:val="79BF63DC"/>
    <w:rsid w:val="79C2046E"/>
    <w:rsid w:val="79C2668F"/>
    <w:rsid w:val="79C30024"/>
    <w:rsid w:val="79C34796"/>
    <w:rsid w:val="79C70B90"/>
    <w:rsid w:val="79C82B10"/>
    <w:rsid w:val="79CB0C87"/>
    <w:rsid w:val="79CD432C"/>
    <w:rsid w:val="79CE1216"/>
    <w:rsid w:val="79D20946"/>
    <w:rsid w:val="79D25E11"/>
    <w:rsid w:val="79D319C8"/>
    <w:rsid w:val="79D33A2B"/>
    <w:rsid w:val="79D43BE1"/>
    <w:rsid w:val="79D510B7"/>
    <w:rsid w:val="79D512B7"/>
    <w:rsid w:val="79D8175C"/>
    <w:rsid w:val="79D9785A"/>
    <w:rsid w:val="79DA35C0"/>
    <w:rsid w:val="79DA711C"/>
    <w:rsid w:val="79DC2E94"/>
    <w:rsid w:val="79DD3184"/>
    <w:rsid w:val="79DF0BD6"/>
    <w:rsid w:val="79DF2801"/>
    <w:rsid w:val="79E17E31"/>
    <w:rsid w:val="79E203AB"/>
    <w:rsid w:val="79E35415"/>
    <w:rsid w:val="79E75F2E"/>
    <w:rsid w:val="79E85CDC"/>
    <w:rsid w:val="79E87A8A"/>
    <w:rsid w:val="79E9735F"/>
    <w:rsid w:val="79EB224B"/>
    <w:rsid w:val="79EC54FB"/>
    <w:rsid w:val="79EC5843"/>
    <w:rsid w:val="79ED369C"/>
    <w:rsid w:val="79EE2959"/>
    <w:rsid w:val="79EF3A4D"/>
    <w:rsid w:val="79EF5956"/>
    <w:rsid w:val="79F200F0"/>
    <w:rsid w:val="79F311AC"/>
    <w:rsid w:val="79F45962"/>
    <w:rsid w:val="79F521A7"/>
    <w:rsid w:val="79F530BD"/>
    <w:rsid w:val="79F53F55"/>
    <w:rsid w:val="79F75F20"/>
    <w:rsid w:val="79F8376D"/>
    <w:rsid w:val="79F9156E"/>
    <w:rsid w:val="79FB7128"/>
    <w:rsid w:val="79FC0C24"/>
    <w:rsid w:val="79FD490D"/>
    <w:rsid w:val="79FE36B6"/>
    <w:rsid w:val="79FE4C10"/>
    <w:rsid w:val="7A0262F6"/>
    <w:rsid w:val="7A031D70"/>
    <w:rsid w:val="7A0B5188"/>
    <w:rsid w:val="7A0B7A1A"/>
    <w:rsid w:val="7A0C1D06"/>
    <w:rsid w:val="7A0E47C7"/>
    <w:rsid w:val="7A13262E"/>
    <w:rsid w:val="7A144DD3"/>
    <w:rsid w:val="7A15123D"/>
    <w:rsid w:val="7A160AD0"/>
    <w:rsid w:val="7A19268B"/>
    <w:rsid w:val="7A1940E8"/>
    <w:rsid w:val="7A1A6B3F"/>
    <w:rsid w:val="7A1C7734"/>
    <w:rsid w:val="7A2111EE"/>
    <w:rsid w:val="7A217FB1"/>
    <w:rsid w:val="7A244624"/>
    <w:rsid w:val="7A252A8D"/>
    <w:rsid w:val="7A262361"/>
    <w:rsid w:val="7A277702"/>
    <w:rsid w:val="7A2860D9"/>
    <w:rsid w:val="7A291E51"/>
    <w:rsid w:val="7A2B2CE9"/>
    <w:rsid w:val="7A2C0B6E"/>
    <w:rsid w:val="7A2E3003"/>
    <w:rsid w:val="7A2F56B9"/>
    <w:rsid w:val="7A304F8E"/>
    <w:rsid w:val="7A33053A"/>
    <w:rsid w:val="7A335A87"/>
    <w:rsid w:val="7A356A48"/>
    <w:rsid w:val="7A361C0C"/>
    <w:rsid w:val="7A3B7C05"/>
    <w:rsid w:val="7A3C3932"/>
    <w:rsid w:val="7A3E0998"/>
    <w:rsid w:val="7A3E2F83"/>
    <w:rsid w:val="7A3E6299"/>
    <w:rsid w:val="7A3E76AA"/>
    <w:rsid w:val="7A4078C7"/>
    <w:rsid w:val="7A423251"/>
    <w:rsid w:val="7A425A38"/>
    <w:rsid w:val="7A434CC1"/>
    <w:rsid w:val="7A461828"/>
    <w:rsid w:val="7A463AB8"/>
    <w:rsid w:val="7A467435"/>
    <w:rsid w:val="7A4836AF"/>
    <w:rsid w:val="7A4864FC"/>
    <w:rsid w:val="7A49604F"/>
    <w:rsid w:val="7A4A38F6"/>
    <w:rsid w:val="7A4C3137"/>
    <w:rsid w:val="7A4D2339"/>
    <w:rsid w:val="7A4E36D2"/>
    <w:rsid w:val="7A4E37FA"/>
    <w:rsid w:val="7A5039A1"/>
    <w:rsid w:val="7A5142FF"/>
    <w:rsid w:val="7A534623"/>
    <w:rsid w:val="7A555F56"/>
    <w:rsid w:val="7A55793A"/>
    <w:rsid w:val="7A572E56"/>
    <w:rsid w:val="7A5769BE"/>
    <w:rsid w:val="7A5C3FD5"/>
    <w:rsid w:val="7A5D3449"/>
    <w:rsid w:val="7A637111"/>
    <w:rsid w:val="7A652E89"/>
    <w:rsid w:val="7A684727"/>
    <w:rsid w:val="7A6C5868"/>
    <w:rsid w:val="7A6D1D3E"/>
    <w:rsid w:val="7A6D4025"/>
    <w:rsid w:val="7A6F3B2A"/>
    <w:rsid w:val="7A6F7EB4"/>
    <w:rsid w:val="7A702DD0"/>
    <w:rsid w:val="7A715CD2"/>
    <w:rsid w:val="7A726EF5"/>
    <w:rsid w:val="7A7452F3"/>
    <w:rsid w:val="7A7607F4"/>
    <w:rsid w:val="7A774405"/>
    <w:rsid w:val="7A7969F7"/>
    <w:rsid w:val="7A7B0AEF"/>
    <w:rsid w:val="7A7B1AF9"/>
    <w:rsid w:val="7A7E2D00"/>
    <w:rsid w:val="7A7E3C2C"/>
    <w:rsid w:val="7A7E7F2D"/>
    <w:rsid w:val="7A810770"/>
    <w:rsid w:val="7A824F2F"/>
    <w:rsid w:val="7A886E2A"/>
    <w:rsid w:val="7A8A0002"/>
    <w:rsid w:val="7A8A01C7"/>
    <w:rsid w:val="7A8A28F0"/>
    <w:rsid w:val="7A8B6668"/>
    <w:rsid w:val="7A8E3B73"/>
    <w:rsid w:val="7A8F3EAF"/>
    <w:rsid w:val="7A9218E7"/>
    <w:rsid w:val="7A94376E"/>
    <w:rsid w:val="7A94551C"/>
    <w:rsid w:val="7A950319"/>
    <w:rsid w:val="7A97325F"/>
    <w:rsid w:val="7A974A40"/>
    <w:rsid w:val="7A9814B1"/>
    <w:rsid w:val="7A9859C2"/>
    <w:rsid w:val="7A9A4E6B"/>
    <w:rsid w:val="7A9D399F"/>
    <w:rsid w:val="7A9D7D73"/>
    <w:rsid w:val="7A9E26DE"/>
    <w:rsid w:val="7A9F4CE9"/>
    <w:rsid w:val="7AA13C93"/>
    <w:rsid w:val="7AA15E8B"/>
    <w:rsid w:val="7AA16381"/>
    <w:rsid w:val="7AA3688D"/>
    <w:rsid w:val="7AA5597C"/>
    <w:rsid w:val="7AA634A2"/>
    <w:rsid w:val="7AA65B01"/>
    <w:rsid w:val="7AA8105B"/>
    <w:rsid w:val="7AA81F42"/>
    <w:rsid w:val="7AA83683"/>
    <w:rsid w:val="7AA86C05"/>
    <w:rsid w:val="7AA913C7"/>
    <w:rsid w:val="7AA92801"/>
    <w:rsid w:val="7AA97EAB"/>
    <w:rsid w:val="7AAB4D1D"/>
    <w:rsid w:val="7AAB500C"/>
    <w:rsid w:val="7AAB7196"/>
    <w:rsid w:val="7AAC0949"/>
    <w:rsid w:val="7AAC35A8"/>
    <w:rsid w:val="7AAF05A8"/>
    <w:rsid w:val="7AAF2356"/>
    <w:rsid w:val="7AB01E15"/>
    <w:rsid w:val="7AB22D86"/>
    <w:rsid w:val="7AB2676A"/>
    <w:rsid w:val="7AB45BBF"/>
    <w:rsid w:val="7AB47064"/>
    <w:rsid w:val="7AB56621"/>
    <w:rsid w:val="7AB60964"/>
    <w:rsid w:val="7AB7745D"/>
    <w:rsid w:val="7AB827E0"/>
    <w:rsid w:val="7AB83901"/>
    <w:rsid w:val="7AB86A24"/>
    <w:rsid w:val="7AB97E6D"/>
    <w:rsid w:val="7ABE4C8F"/>
    <w:rsid w:val="7AC17647"/>
    <w:rsid w:val="7AC25D8D"/>
    <w:rsid w:val="7AC2652D"/>
    <w:rsid w:val="7AC34054"/>
    <w:rsid w:val="7AC357D7"/>
    <w:rsid w:val="7AC43793"/>
    <w:rsid w:val="7AC5146A"/>
    <w:rsid w:val="7AC73B44"/>
    <w:rsid w:val="7AC837A8"/>
    <w:rsid w:val="7AC940BD"/>
    <w:rsid w:val="7ACA3D38"/>
    <w:rsid w:val="7ACB3368"/>
    <w:rsid w:val="7ACC115A"/>
    <w:rsid w:val="7ACC2F08"/>
    <w:rsid w:val="7ACF47A6"/>
    <w:rsid w:val="7ACF4AE6"/>
    <w:rsid w:val="7ACF59E6"/>
    <w:rsid w:val="7AD1051F"/>
    <w:rsid w:val="7AD518F0"/>
    <w:rsid w:val="7AD5266E"/>
    <w:rsid w:val="7AD924B1"/>
    <w:rsid w:val="7AD95625"/>
    <w:rsid w:val="7ADA3D34"/>
    <w:rsid w:val="7ADA6BBB"/>
    <w:rsid w:val="7ADB0C07"/>
    <w:rsid w:val="7ADC6EC3"/>
    <w:rsid w:val="7ADE49EA"/>
    <w:rsid w:val="7AE04C06"/>
    <w:rsid w:val="7AE0544F"/>
    <w:rsid w:val="7AE213CC"/>
    <w:rsid w:val="7AE25F39"/>
    <w:rsid w:val="7AE604B0"/>
    <w:rsid w:val="7AE70F19"/>
    <w:rsid w:val="7AE75F94"/>
    <w:rsid w:val="7AE80FD1"/>
    <w:rsid w:val="7AE83ABA"/>
    <w:rsid w:val="7AE853FE"/>
    <w:rsid w:val="7AE85B0A"/>
    <w:rsid w:val="7AE92ED8"/>
    <w:rsid w:val="7AEC1933"/>
    <w:rsid w:val="7AED182A"/>
    <w:rsid w:val="7AED76A0"/>
    <w:rsid w:val="7AEF2177"/>
    <w:rsid w:val="7AF10EC4"/>
    <w:rsid w:val="7AF15FF9"/>
    <w:rsid w:val="7AF30510"/>
    <w:rsid w:val="7AF34939"/>
    <w:rsid w:val="7AF366E7"/>
    <w:rsid w:val="7AF406B1"/>
    <w:rsid w:val="7AF4420D"/>
    <w:rsid w:val="7AFB1A3F"/>
    <w:rsid w:val="7AFC0863"/>
    <w:rsid w:val="7AFE016B"/>
    <w:rsid w:val="7B0216BD"/>
    <w:rsid w:val="7B036ACB"/>
    <w:rsid w:val="7B05003E"/>
    <w:rsid w:val="7B063024"/>
    <w:rsid w:val="7B066FB2"/>
    <w:rsid w:val="7B095F8D"/>
    <w:rsid w:val="7B0A57DF"/>
    <w:rsid w:val="7B0E3521"/>
    <w:rsid w:val="7B1041D5"/>
    <w:rsid w:val="7B111571"/>
    <w:rsid w:val="7B1342E1"/>
    <w:rsid w:val="7B136D89"/>
    <w:rsid w:val="7B1448AF"/>
    <w:rsid w:val="7B18614D"/>
    <w:rsid w:val="7B191EC6"/>
    <w:rsid w:val="7B197943"/>
    <w:rsid w:val="7B1B79EC"/>
    <w:rsid w:val="7B1D12C2"/>
    <w:rsid w:val="7B1E74DC"/>
    <w:rsid w:val="7B1F336E"/>
    <w:rsid w:val="7B1F5442"/>
    <w:rsid w:val="7B2014A6"/>
    <w:rsid w:val="7B213C70"/>
    <w:rsid w:val="7B23395F"/>
    <w:rsid w:val="7B2368A0"/>
    <w:rsid w:val="7B243380"/>
    <w:rsid w:val="7B252618"/>
    <w:rsid w:val="7B2745E3"/>
    <w:rsid w:val="7B2C02A2"/>
    <w:rsid w:val="7B2C48D6"/>
    <w:rsid w:val="7B2E3D1F"/>
    <w:rsid w:val="7B2E5971"/>
    <w:rsid w:val="7B2F680A"/>
    <w:rsid w:val="7B302FF9"/>
    <w:rsid w:val="7B3040C7"/>
    <w:rsid w:val="7B315B6D"/>
    <w:rsid w:val="7B3411CB"/>
    <w:rsid w:val="7B3D01B3"/>
    <w:rsid w:val="7B3E4214"/>
    <w:rsid w:val="7B3F0E5E"/>
    <w:rsid w:val="7B3F0F4B"/>
    <w:rsid w:val="7B3F192C"/>
    <w:rsid w:val="7B3F492D"/>
    <w:rsid w:val="7B3F72C3"/>
    <w:rsid w:val="7B405FC3"/>
    <w:rsid w:val="7B42141C"/>
    <w:rsid w:val="7B430CF1"/>
    <w:rsid w:val="7B43462F"/>
    <w:rsid w:val="7B4354D1"/>
    <w:rsid w:val="7B4707E1"/>
    <w:rsid w:val="7B477DF0"/>
    <w:rsid w:val="7B4952E1"/>
    <w:rsid w:val="7B4A3551"/>
    <w:rsid w:val="7B4B4DA3"/>
    <w:rsid w:val="7B4F7695"/>
    <w:rsid w:val="7B513A73"/>
    <w:rsid w:val="7B521D46"/>
    <w:rsid w:val="7B553327"/>
    <w:rsid w:val="7B5573A2"/>
    <w:rsid w:val="7B566C76"/>
    <w:rsid w:val="7B593278"/>
    <w:rsid w:val="7B593826"/>
    <w:rsid w:val="7B5A3695"/>
    <w:rsid w:val="7B5C534E"/>
    <w:rsid w:val="7B5D6256"/>
    <w:rsid w:val="7B5E6AE3"/>
    <w:rsid w:val="7B62561B"/>
    <w:rsid w:val="7B626777"/>
    <w:rsid w:val="7B630A59"/>
    <w:rsid w:val="7B655B06"/>
    <w:rsid w:val="7B661813"/>
    <w:rsid w:val="7B687274"/>
    <w:rsid w:val="7B6E2211"/>
    <w:rsid w:val="7B7403A9"/>
    <w:rsid w:val="7B7517F2"/>
    <w:rsid w:val="7B75534E"/>
    <w:rsid w:val="7B780D38"/>
    <w:rsid w:val="7B7913C9"/>
    <w:rsid w:val="7B7A5A18"/>
    <w:rsid w:val="7B7B063B"/>
    <w:rsid w:val="7B7B1CB4"/>
    <w:rsid w:val="7B7E1668"/>
    <w:rsid w:val="7B7E3E42"/>
    <w:rsid w:val="7B7F124A"/>
    <w:rsid w:val="7B7F5186"/>
    <w:rsid w:val="7B7F7F7B"/>
    <w:rsid w:val="7B841A35"/>
    <w:rsid w:val="7B8657AD"/>
    <w:rsid w:val="7B875283"/>
    <w:rsid w:val="7B876E2F"/>
    <w:rsid w:val="7B8A244D"/>
    <w:rsid w:val="7B8D2885"/>
    <w:rsid w:val="7B8D7605"/>
    <w:rsid w:val="7B8E01BE"/>
    <w:rsid w:val="7B8E2F52"/>
    <w:rsid w:val="7B9041FB"/>
    <w:rsid w:val="7B9164E3"/>
    <w:rsid w:val="7B931C78"/>
    <w:rsid w:val="7B937ECA"/>
    <w:rsid w:val="7B95779E"/>
    <w:rsid w:val="7B964C3D"/>
    <w:rsid w:val="7B9854E0"/>
    <w:rsid w:val="7B98728E"/>
    <w:rsid w:val="7B9C50BE"/>
    <w:rsid w:val="7B9D59FC"/>
    <w:rsid w:val="7B9E5F90"/>
    <w:rsid w:val="7BA05373"/>
    <w:rsid w:val="7BA07EF1"/>
    <w:rsid w:val="7BA1088A"/>
    <w:rsid w:val="7BA162FE"/>
    <w:rsid w:val="7BA20143"/>
    <w:rsid w:val="7BA371AD"/>
    <w:rsid w:val="7BA63759"/>
    <w:rsid w:val="7BA77ADB"/>
    <w:rsid w:val="7BA934F5"/>
    <w:rsid w:val="7BA95789"/>
    <w:rsid w:val="7BAB4A6E"/>
    <w:rsid w:val="7BAB5214"/>
    <w:rsid w:val="7BAE4972"/>
    <w:rsid w:val="7BB00C9D"/>
    <w:rsid w:val="7BB07D9F"/>
    <w:rsid w:val="7BB120FE"/>
    <w:rsid w:val="7BB20851"/>
    <w:rsid w:val="7BB265A2"/>
    <w:rsid w:val="7BB340C8"/>
    <w:rsid w:val="7BB3768A"/>
    <w:rsid w:val="7BB37C24"/>
    <w:rsid w:val="7BB536A5"/>
    <w:rsid w:val="7BB5399C"/>
    <w:rsid w:val="7BB72427"/>
    <w:rsid w:val="7BBA02FB"/>
    <w:rsid w:val="7BBA0FB3"/>
    <w:rsid w:val="7BBB4405"/>
    <w:rsid w:val="7BBC19FB"/>
    <w:rsid w:val="7BBC256C"/>
    <w:rsid w:val="7BBD197E"/>
    <w:rsid w:val="7BBD4F47"/>
    <w:rsid w:val="7BBF0CD4"/>
    <w:rsid w:val="7BC03B5B"/>
    <w:rsid w:val="7BC049B4"/>
    <w:rsid w:val="7BC13C07"/>
    <w:rsid w:val="7BC13CD3"/>
    <w:rsid w:val="7BC171A5"/>
    <w:rsid w:val="7BC203DF"/>
    <w:rsid w:val="7BC40083"/>
    <w:rsid w:val="7BC819EB"/>
    <w:rsid w:val="7BCB1412"/>
    <w:rsid w:val="7BCC5788"/>
    <w:rsid w:val="7BCE2CB0"/>
    <w:rsid w:val="7BD125D7"/>
    <w:rsid w:val="7BD302C6"/>
    <w:rsid w:val="7BD42D6C"/>
    <w:rsid w:val="7BD4780C"/>
    <w:rsid w:val="7BD52290"/>
    <w:rsid w:val="7BDE0A0C"/>
    <w:rsid w:val="7BDE57E8"/>
    <w:rsid w:val="7BDE62A8"/>
    <w:rsid w:val="7BDF310F"/>
    <w:rsid w:val="7BE02E34"/>
    <w:rsid w:val="7BE206D9"/>
    <w:rsid w:val="7BE35048"/>
    <w:rsid w:val="7BE40725"/>
    <w:rsid w:val="7BE44DAE"/>
    <w:rsid w:val="7BE517D5"/>
    <w:rsid w:val="7BE67FFA"/>
    <w:rsid w:val="7BE75B20"/>
    <w:rsid w:val="7BEA7D4F"/>
    <w:rsid w:val="7BED2CC8"/>
    <w:rsid w:val="7BED5740"/>
    <w:rsid w:val="7BEE611A"/>
    <w:rsid w:val="7BF0326C"/>
    <w:rsid w:val="7BF22E42"/>
    <w:rsid w:val="7BF63B38"/>
    <w:rsid w:val="7BF73FB5"/>
    <w:rsid w:val="7BF74863"/>
    <w:rsid w:val="7BF85F7F"/>
    <w:rsid w:val="7BF87D2D"/>
    <w:rsid w:val="7BF9690A"/>
    <w:rsid w:val="7BFA69D2"/>
    <w:rsid w:val="7BFC1355"/>
    <w:rsid w:val="7BFC6208"/>
    <w:rsid w:val="7BFD2E3B"/>
    <w:rsid w:val="7BFD3595"/>
    <w:rsid w:val="7BFD5343"/>
    <w:rsid w:val="7BFE3CD9"/>
    <w:rsid w:val="7BFF2E69"/>
    <w:rsid w:val="7BFF3DDF"/>
    <w:rsid w:val="7C0252A9"/>
    <w:rsid w:val="7C04450D"/>
    <w:rsid w:val="7C044924"/>
    <w:rsid w:val="7C0526B8"/>
    <w:rsid w:val="7C0A3B9C"/>
    <w:rsid w:val="7C0B1D1A"/>
    <w:rsid w:val="7C0B3F04"/>
    <w:rsid w:val="7C105077"/>
    <w:rsid w:val="7C122B9D"/>
    <w:rsid w:val="7C1510B8"/>
    <w:rsid w:val="7C152E9F"/>
    <w:rsid w:val="7C171BC6"/>
    <w:rsid w:val="7C174C26"/>
    <w:rsid w:val="7C18217D"/>
    <w:rsid w:val="7C186883"/>
    <w:rsid w:val="7C195B55"/>
    <w:rsid w:val="7C1A66F4"/>
    <w:rsid w:val="7C1B48DE"/>
    <w:rsid w:val="7C1D4129"/>
    <w:rsid w:val="7C1E1D84"/>
    <w:rsid w:val="7C1E6545"/>
    <w:rsid w:val="7C200809"/>
    <w:rsid w:val="7C2103AE"/>
    <w:rsid w:val="7C211032"/>
    <w:rsid w:val="7C2154D6"/>
    <w:rsid w:val="7C225600"/>
    <w:rsid w:val="7C232E7D"/>
    <w:rsid w:val="7C236C3C"/>
    <w:rsid w:val="7C29201E"/>
    <w:rsid w:val="7C2A4222"/>
    <w:rsid w:val="7C2B0102"/>
    <w:rsid w:val="7C2B21FA"/>
    <w:rsid w:val="7C2B6866"/>
    <w:rsid w:val="7C2C0434"/>
    <w:rsid w:val="7C2C3544"/>
    <w:rsid w:val="7C2C4F72"/>
    <w:rsid w:val="7C2C5832"/>
    <w:rsid w:val="7C2D3E7B"/>
    <w:rsid w:val="7C2E374F"/>
    <w:rsid w:val="7C32323F"/>
    <w:rsid w:val="7C372603"/>
    <w:rsid w:val="7C38637B"/>
    <w:rsid w:val="7C39281F"/>
    <w:rsid w:val="7C393F9F"/>
    <w:rsid w:val="7C395444"/>
    <w:rsid w:val="7C3A6597"/>
    <w:rsid w:val="7C3E6ED5"/>
    <w:rsid w:val="7C3F3B33"/>
    <w:rsid w:val="7C3F3BAE"/>
    <w:rsid w:val="7C3F3CD9"/>
    <w:rsid w:val="7C3F770A"/>
    <w:rsid w:val="7C400E8E"/>
    <w:rsid w:val="7C414C95"/>
    <w:rsid w:val="7C41507A"/>
    <w:rsid w:val="7C433E0A"/>
    <w:rsid w:val="7C4371FA"/>
    <w:rsid w:val="7C454036"/>
    <w:rsid w:val="7C46607D"/>
    <w:rsid w:val="7C475D65"/>
    <w:rsid w:val="7C492337"/>
    <w:rsid w:val="7C4A0CA0"/>
    <w:rsid w:val="7C4A67DB"/>
    <w:rsid w:val="7C4D6B63"/>
    <w:rsid w:val="7C4E0D5F"/>
    <w:rsid w:val="7C4E4C8C"/>
    <w:rsid w:val="7C5113ED"/>
    <w:rsid w:val="7C5146AA"/>
    <w:rsid w:val="7C574A54"/>
    <w:rsid w:val="7C5950EA"/>
    <w:rsid w:val="7C5A4544"/>
    <w:rsid w:val="7C5F1B5A"/>
    <w:rsid w:val="7C5F3142"/>
    <w:rsid w:val="7C607FF3"/>
    <w:rsid w:val="7C621B09"/>
    <w:rsid w:val="7C6303BA"/>
    <w:rsid w:val="7C634F26"/>
    <w:rsid w:val="7C635F3A"/>
    <w:rsid w:val="7C696F46"/>
    <w:rsid w:val="7C6B04FF"/>
    <w:rsid w:val="7C6B0CED"/>
    <w:rsid w:val="7C6D24C9"/>
    <w:rsid w:val="7C6E49D8"/>
    <w:rsid w:val="7C6E5257"/>
    <w:rsid w:val="7C6F1157"/>
    <w:rsid w:val="7C6F50F1"/>
    <w:rsid w:val="7C71068B"/>
    <w:rsid w:val="7C773348"/>
    <w:rsid w:val="7C7A7109"/>
    <w:rsid w:val="7C7C095E"/>
    <w:rsid w:val="7C7E2011"/>
    <w:rsid w:val="7C7E6484"/>
    <w:rsid w:val="7C7E6FA2"/>
    <w:rsid w:val="7C7F0D44"/>
    <w:rsid w:val="7C7F248F"/>
    <w:rsid w:val="7C801EEB"/>
    <w:rsid w:val="7C843B4D"/>
    <w:rsid w:val="7C8617DD"/>
    <w:rsid w:val="7C8810B1"/>
    <w:rsid w:val="7C88221D"/>
    <w:rsid w:val="7C8A7F20"/>
    <w:rsid w:val="7C8C0B9E"/>
    <w:rsid w:val="7C8E77D0"/>
    <w:rsid w:val="7C8F156E"/>
    <w:rsid w:val="7C9331C9"/>
    <w:rsid w:val="7C947A56"/>
    <w:rsid w:val="7C95557C"/>
    <w:rsid w:val="7C9613F6"/>
    <w:rsid w:val="7C9619C8"/>
    <w:rsid w:val="7C962743"/>
    <w:rsid w:val="7C975798"/>
    <w:rsid w:val="7C99467F"/>
    <w:rsid w:val="7C99522A"/>
    <w:rsid w:val="7C9A4F8D"/>
    <w:rsid w:val="7C9B5288"/>
    <w:rsid w:val="7C9B6015"/>
    <w:rsid w:val="7C9B7036"/>
    <w:rsid w:val="7C9C690A"/>
    <w:rsid w:val="7C9D00EC"/>
    <w:rsid w:val="7C9F1E9F"/>
    <w:rsid w:val="7CA31E39"/>
    <w:rsid w:val="7CA35237"/>
    <w:rsid w:val="7CA53A11"/>
    <w:rsid w:val="7CA83501"/>
    <w:rsid w:val="7CAA0983"/>
    <w:rsid w:val="7CAA3E05"/>
    <w:rsid w:val="7CAB4D9F"/>
    <w:rsid w:val="7CAD41E9"/>
    <w:rsid w:val="7CB023B6"/>
    <w:rsid w:val="7CB06842"/>
    <w:rsid w:val="7CB3005B"/>
    <w:rsid w:val="7CB3343B"/>
    <w:rsid w:val="7CB50DE1"/>
    <w:rsid w:val="7CB56BBF"/>
    <w:rsid w:val="7CB63E70"/>
    <w:rsid w:val="7CB65C1E"/>
    <w:rsid w:val="7CB974BC"/>
    <w:rsid w:val="7CBA3C1C"/>
    <w:rsid w:val="7CBC27B6"/>
    <w:rsid w:val="7CBC6FAC"/>
    <w:rsid w:val="7CBE012E"/>
    <w:rsid w:val="7CC0265F"/>
    <w:rsid w:val="7CC16371"/>
    <w:rsid w:val="7CC23DFD"/>
    <w:rsid w:val="7CC25031"/>
    <w:rsid w:val="7CC540B3"/>
    <w:rsid w:val="7CC84945"/>
    <w:rsid w:val="7CCA1DE0"/>
    <w:rsid w:val="7CD14C41"/>
    <w:rsid w:val="7CD24A22"/>
    <w:rsid w:val="7CD36E45"/>
    <w:rsid w:val="7CD37E3E"/>
    <w:rsid w:val="7CD4702A"/>
    <w:rsid w:val="7CD51E1C"/>
    <w:rsid w:val="7CD60753"/>
    <w:rsid w:val="7CD62485"/>
    <w:rsid w:val="7CD653B4"/>
    <w:rsid w:val="7CD6707B"/>
    <w:rsid w:val="7CD90186"/>
    <w:rsid w:val="7CD95DB0"/>
    <w:rsid w:val="7CDD1B87"/>
    <w:rsid w:val="7CE00F5A"/>
    <w:rsid w:val="7CE0713F"/>
    <w:rsid w:val="7CE15036"/>
    <w:rsid w:val="7CE309DD"/>
    <w:rsid w:val="7CE420E4"/>
    <w:rsid w:val="7CE65DD7"/>
    <w:rsid w:val="7CE8438C"/>
    <w:rsid w:val="7CE86B63"/>
    <w:rsid w:val="7CEA3B1A"/>
    <w:rsid w:val="7CEC561B"/>
    <w:rsid w:val="7CEE1CDF"/>
    <w:rsid w:val="7CEF1130"/>
    <w:rsid w:val="7CEF76C0"/>
    <w:rsid w:val="7CF30438"/>
    <w:rsid w:val="7CF3630F"/>
    <w:rsid w:val="7CF36E72"/>
    <w:rsid w:val="7CF404F4"/>
    <w:rsid w:val="7CF71406"/>
    <w:rsid w:val="7CF76237"/>
    <w:rsid w:val="7CF92AA5"/>
    <w:rsid w:val="7CFA56EB"/>
    <w:rsid w:val="7CFB24BA"/>
    <w:rsid w:val="7CFB5D27"/>
    <w:rsid w:val="7CFD4042"/>
    <w:rsid w:val="7CFE5817"/>
    <w:rsid w:val="7D00333D"/>
    <w:rsid w:val="7D032E2D"/>
    <w:rsid w:val="7D0366B0"/>
    <w:rsid w:val="7D0419F7"/>
    <w:rsid w:val="7D056BA5"/>
    <w:rsid w:val="7D06498E"/>
    <w:rsid w:val="7D07647A"/>
    <w:rsid w:val="7D09797F"/>
    <w:rsid w:val="7D0A056B"/>
    <w:rsid w:val="7D0A41BC"/>
    <w:rsid w:val="7D0A5EA3"/>
    <w:rsid w:val="7D0B2004"/>
    <w:rsid w:val="7D0B583E"/>
    <w:rsid w:val="7D0C3A90"/>
    <w:rsid w:val="7D0C7F34"/>
    <w:rsid w:val="7D0F3523"/>
    <w:rsid w:val="7D0F3580"/>
    <w:rsid w:val="7D0F595A"/>
    <w:rsid w:val="7D0F6CD1"/>
    <w:rsid w:val="7D100C84"/>
    <w:rsid w:val="7D123619"/>
    <w:rsid w:val="7D133CEC"/>
    <w:rsid w:val="7D142945"/>
    <w:rsid w:val="7D1437F1"/>
    <w:rsid w:val="7D174097"/>
    <w:rsid w:val="7D17636B"/>
    <w:rsid w:val="7D185A54"/>
    <w:rsid w:val="7D1B37C8"/>
    <w:rsid w:val="7D1C7A4B"/>
    <w:rsid w:val="7D1D6077"/>
    <w:rsid w:val="7D1F2D8B"/>
    <w:rsid w:val="7D1F5685"/>
    <w:rsid w:val="7D2012E9"/>
    <w:rsid w:val="7D225061"/>
    <w:rsid w:val="7D2863F0"/>
    <w:rsid w:val="7D287F30"/>
    <w:rsid w:val="7D2A72F5"/>
    <w:rsid w:val="7D2C5EE0"/>
    <w:rsid w:val="7D2D046E"/>
    <w:rsid w:val="7D2D7187"/>
    <w:rsid w:val="7D2E685E"/>
    <w:rsid w:val="7D2F59D0"/>
    <w:rsid w:val="7D31799A"/>
    <w:rsid w:val="7D32101D"/>
    <w:rsid w:val="7D3361D6"/>
    <w:rsid w:val="7D343275"/>
    <w:rsid w:val="7D3445AB"/>
    <w:rsid w:val="7D3468FC"/>
    <w:rsid w:val="7D356CC5"/>
    <w:rsid w:val="7D365042"/>
    <w:rsid w:val="7D366731"/>
    <w:rsid w:val="7D380D29"/>
    <w:rsid w:val="7D3905FD"/>
    <w:rsid w:val="7D391A22"/>
    <w:rsid w:val="7D3A47AA"/>
    <w:rsid w:val="7D3B041C"/>
    <w:rsid w:val="7D3B72F3"/>
    <w:rsid w:val="7D3C0E62"/>
    <w:rsid w:val="7D3C5D3E"/>
    <w:rsid w:val="7D401CB4"/>
    <w:rsid w:val="7D40373A"/>
    <w:rsid w:val="7D4274B2"/>
    <w:rsid w:val="7D43322A"/>
    <w:rsid w:val="7D44308A"/>
    <w:rsid w:val="7D447364"/>
    <w:rsid w:val="7D450BB5"/>
    <w:rsid w:val="7D456A79"/>
    <w:rsid w:val="7D4704B1"/>
    <w:rsid w:val="7D476486"/>
    <w:rsid w:val="7D4A0B2A"/>
    <w:rsid w:val="7D4A0F45"/>
    <w:rsid w:val="7D4A21B7"/>
    <w:rsid w:val="7D4B31AF"/>
    <w:rsid w:val="7D4C0002"/>
    <w:rsid w:val="7D4C7496"/>
    <w:rsid w:val="7D4D0BA1"/>
    <w:rsid w:val="7D4D649F"/>
    <w:rsid w:val="7D4E40A8"/>
    <w:rsid w:val="7D4E4A25"/>
    <w:rsid w:val="7D4F1BCF"/>
    <w:rsid w:val="7D4F7E21"/>
    <w:rsid w:val="7D517982"/>
    <w:rsid w:val="7D536839"/>
    <w:rsid w:val="7D537911"/>
    <w:rsid w:val="7D5564EA"/>
    <w:rsid w:val="7D574369"/>
    <w:rsid w:val="7D592A4D"/>
    <w:rsid w:val="7D59352B"/>
    <w:rsid w:val="7D597C0A"/>
    <w:rsid w:val="7D5B0573"/>
    <w:rsid w:val="7D5B22F4"/>
    <w:rsid w:val="7D5B4A17"/>
    <w:rsid w:val="7D5C0E68"/>
    <w:rsid w:val="7D5D5FC6"/>
    <w:rsid w:val="7D612765"/>
    <w:rsid w:val="7D620317"/>
    <w:rsid w:val="7D631B46"/>
    <w:rsid w:val="7D63574E"/>
    <w:rsid w:val="7D641B1E"/>
    <w:rsid w:val="7D6438CC"/>
    <w:rsid w:val="7D6531A0"/>
    <w:rsid w:val="7D667F1E"/>
    <w:rsid w:val="7D6733BC"/>
    <w:rsid w:val="7D676E06"/>
    <w:rsid w:val="7D6A07B6"/>
    <w:rsid w:val="7D6C2781"/>
    <w:rsid w:val="7D6D13D1"/>
    <w:rsid w:val="7D6E0BCF"/>
    <w:rsid w:val="7D6F401F"/>
    <w:rsid w:val="7D704948"/>
    <w:rsid w:val="7D7358BD"/>
    <w:rsid w:val="7D7366D3"/>
    <w:rsid w:val="7D747887"/>
    <w:rsid w:val="7D754155"/>
    <w:rsid w:val="7D761278"/>
    <w:rsid w:val="7D761851"/>
    <w:rsid w:val="7D7635FF"/>
    <w:rsid w:val="7D781125"/>
    <w:rsid w:val="7D7963D5"/>
    <w:rsid w:val="7D7C7A36"/>
    <w:rsid w:val="7D7D2BE0"/>
    <w:rsid w:val="7D7D498E"/>
    <w:rsid w:val="7D7F51E6"/>
    <w:rsid w:val="7D821FA4"/>
    <w:rsid w:val="7D881A1A"/>
    <w:rsid w:val="7D8950E1"/>
    <w:rsid w:val="7D8E7B5B"/>
    <w:rsid w:val="7D8F476B"/>
    <w:rsid w:val="7D8F646F"/>
    <w:rsid w:val="7D902913"/>
    <w:rsid w:val="7D910439"/>
    <w:rsid w:val="7D9121E7"/>
    <w:rsid w:val="7D913835"/>
    <w:rsid w:val="7D934365"/>
    <w:rsid w:val="7D935F5F"/>
    <w:rsid w:val="7D93730F"/>
    <w:rsid w:val="7D9509FF"/>
    <w:rsid w:val="7D951CD7"/>
    <w:rsid w:val="7D955315"/>
    <w:rsid w:val="7D967BE4"/>
    <w:rsid w:val="7D9A3DCA"/>
    <w:rsid w:val="7D9A6D34"/>
    <w:rsid w:val="7D9A72EE"/>
    <w:rsid w:val="7D9B3066"/>
    <w:rsid w:val="7D9B5E77"/>
    <w:rsid w:val="7D9C78AD"/>
    <w:rsid w:val="7D9D008E"/>
    <w:rsid w:val="7D9D3EBF"/>
    <w:rsid w:val="7D9F2260"/>
    <w:rsid w:val="7DA21434"/>
    <w:rsid w:val="7DA2758C"/>
    <w:rsid w:val="7DA500D2"/>
    <w:rsid w:val="7DA513CC"/>
    <w:rsid w:val="7DA70F9A"/>
    <w:rsid w:val="7DA737B9"/>
    <w:rsid w:val="7DA74661"/>
    <w:rsid w:val="7DAA5057"/>
    <w:rsid w:val="7DAB1AA8"/>
    <w:rsid w:val="7DAB2199"/>
    <w:rsid w:val="7DAB4937"/>
    <w:rsid w:val="7DAF3C2E"/>
    <w:rsid w:val="7DB13D21"/>
    <w:rsid w:val="7DB14637"/>
    <w:rsid w:val="7DB36682"/>
    <w:rsid w:val="7DB4166D"/>
    <w:rsid w:val="7DB54128"/>
    <w:rsid w:val="7DBC3708"/>
    <w:rsid w:val="7DBD122E"/>
    <w:rsid w:val="7DBE59C9"/>
    <w:rsid w:val="7DBF4546"/>
    <w:rsid w:val="7DBF45B6"/>
    <w:rsid w:val="7DC01584"/>
    <w:rsid w:val="7DC37CA5"/>
    <w:rsid w:val="7DC46119"/>
    <w:rsid w:val="7DC66335"/>
    <w:rsid w:val="7DC85FE4"/>
    <w:rsid w:val="7DC94B90"/>
    <w:rsid w:val="7DC97124"/>
    <w:rsid w:val="7DCA72FC"/>
    <w:rsid w:val="7DCC1471"/>
    <w:rsid w:val="7DCC76C3"/>
    <w:rsid w:val="7DCD7244"/>
    <w:rsid w:val="7DCE170A"/>
    <w:rsid w:val="7DCE5884"/>
    <w:rsid w:val="7DCE69B8"/>
    <w:rsid w:val="7DD00C54"/>
    <w:rsid w:val="7DD047CF"/>
    <w:rsid w:val="7DD120F0"/>
    <w:rsid w:val="7DD22877"/>
    <w:rsid w:val="7DD32D8D"/>
    <w:rsid w:val="7DD520D4"/>
    <w:rsid w:val="7DD523BC"/>
    <w:rsid w:val="7DD63A00"/>
    <w:rsid w:val="7DD81BC4"/>
    <w:rsid w:val="7DD86068"/>
    <w:rsid w:val="7DDA1DE0"/>
    <w:rsid w:val="7DDA593C"/>
    <w:rsid w:val="7DDA5A6B"/>
    <w:rsid w:val="7DDB1BD7"/>
    <w:rsid w:val="7DDF73F6"/>
    <w:rsid w:val="7DDF77C5"/>
    <w:rsid w:val="7DE41651"/>
    <w:rsid w:val="7DE42994"/>
    <w:rsid w:val="7DE62533"/>
    <w:rsid w:val="7DE653B4"/>
    <w:rsid w:val="7DE74C5E"/>
    <w:rsid w:val="7DEB18F7"/>
    <w:rsid w:val="7DEC4EFA"/>
    <w:rsid w:val="7DEC566F"/>
    <w:rsid w:val="7DEE3196"/>
    <w:rsid w:val="7DEF37C6"/>
    <w:rsid w:val="7DF06067"/>
    <w:rsid w:val="7DF06F0E"/>
    <w:rsid w:val="7DF12C86"/>
    <w:rsid w:val="7DF22173"/>
    <w:rsid w:val="7DF24E2F"/>
    <w:rsid w:val="7DF32EA2"/>
    <w:rsid w:val="7DF331DB"/>
    <w:rsid w:val="7DF34C50"/>
    <w:rsid w:val="7DF5264F"/>
    <w:rsid w:val="7DF84743"/>
    <w:rsid w:val="7DF931E0"/>
    <w:rsid w:val="7DF956FF"/>
    <w:rsid w:val="7DF9614F"/>
    <w:rsid w:val="7DFA2306"/>
    <w:rsid w:val="7DFA5D55"/>
    <w:rsid w:val="7DFD7110"/>
    <w:rsid w:val="7DFF1847"/>
    <w:rsid w:val="7E000943"/>
    <w:rsid w:val="7E02596F"/>
    <w:rsid w:val="7E026C41"/>
    <w:rsid w:val="7E046552"/>
    <w:rsid w:val="7E052DBB"/>
    <w:rsid w:val="7E05340D"/>
    <w:rsid w:val="7E060754"/>
    <w:rsid w:val="7E060918"/>
    <w:rsid w:val="7E074257"/>
    <w:rsid w:val="7E0A1D1D"/>
    <w:rsid w:val="7E0A340A"/>
    <w:rsid w:val="7E0B46AE"/>
    <w:rsid w:val="7E0C7AC0"/>
    <w:rsid w:val="7E0E3E08"/>
    <w:rsid w:val="7E0E64D2"/>
    <w:rsid w:val="7E122E40"/>
    <w:rsid w:val="7E127D82"/>
    <w:rsid w:val="7E132854"/>
    <w:rsid w:val="7E15202D"/>
    <w:rsid w:val="7E156AA6"/>
    <w:rsid w:val="7E161957"/>
    <w:rsid w:val="7E164242"/>
    <w:rsid w:val="7E192DC5"/>
    <w:rsid w:val="7E1A2A46"/>
    <w:rsid w:val="7E1B3E9D"/>
    <w:rsid w:val="7E1C3341"/>
    <w:rsid w:val="7E1C5D81"/>
    <w:rsid w:val="7E1D1CCD"/>
    <w:rsid w:val="7E1E56F5"/>
    <w:rsid w:val="7E1E7F1F"/>
    <w:rsid w:val="7E223CBB"/>
    <w:rsid w:val="7E237E00"/>
    <w:rsid w:val="7E24305B"/>
    <w:rsid w:val="7E257E26"/>
    <w:rsid w:val="7E266DD3"/>
    <w:rsid w:val="7E271DD0"/>
    <w:rsid w:val="7E2748F9"/>
    <w:rsid w:val="7E292823"/>
    <w:rsid w:val="7E2A0282"/>
    <w:rsid w:val="7E2C3CBE"/>
    <w:rsid w:val="7E2C54CD"/>
    <w:rsid w:val="7E2D569D"/>
    <w:rsid w:val="7E300297"/>
    <w:rsid w:val="7E300507"/>
    <w:rsid w:val="7E303A3B"/>
    <w:rsid w:val="7E304D7A"/>
    <w:rsid w:val="7E322DFD"/>
    <w:rsid w:val="7E3239CA"/>
    <w:rsid w:val="7E3314F0"/>
    <w:rsid w:val="7E372D8F"/>
    <w:rsid w:val="7E3837EC"/>
    <w:rsid w:val="7E385A44"/>
    <w:rsid w:val="7E394D59"/>
    <w:rsid w:val="7E3A5E1C"/>
    <w:rsid w:val="7E3C65F7"/>
    <w:rsid w:val="7E3E1799"/>
    <w:rsid w:val="7E3F4209"/>
    <w:rsid w:val="7E3F7E95"/>
    <w:rsid w:val="7E411AF4"/>
    <w:rsid w:val="7E413C0D"/>
    <w:rsid w:val="7E491E00"/>
    <w:rsid w:val="7E492973"/>
    <w:rsid w:val="7E492AC2"/>
    <w:rsid w:val="7E4A39A0"/>
    <w:rsid w:val="7E4A495D"/>
    <w:rsid w:val="7E4A749A"/>
    <w:rsid w:val="7E4B75C9"/>
    <w:rsid w:val="7E4C610E"/>
    <w:rsid w:val="7E4D4AB6"/>
    <w:rsid w:val="7E4E00D8"/>
    <w:rsid w:val="7E50388F"/>
    <w:rsid w:val="7E503E50"/>
    <w:rsid w:val="7E50553E"/>
    <w:rsid w:val="7E505BFE"/>
    <w:rsid w:val="7E516100"/>
    <w:rsid w:val="7E5202D3"/>
    <w:rsid w:val="7E5271F2"/>
    <w:rsid w:val="7E532EA4"/>
    <w:rsid w:val="7E54766F"/>
    <w:rsid w:val="7E575BD6"/>
    <w:rsid w:val="7E5772D6"/>
    <w:rsid w:val="7E584AB3"/>
    <w:rsid w:val="7E590F57"/>
    <w:rsid w:val="7E5C727A"/>
    <w:rsid w:val="7E5D03E0"/>
    <w:rsid w:val="7E5E5C24"/>
    <w:rsid w:val="7E5E656D"/>
    <w:rsid w:val="7E5F4093"/>
    <w:rsid w:val="7E5F57A9"/>
    <w:rsid w:val="7E5F6E9E"/>
    <w:rsid w:val="7E602C44"/>
    <w:rsid w:val="7E615414"/>
    <w:rsid w:val="7E624D08"/>
    <w:rsid w:val="7E641A25"/>
    <w:rsid w:val="7E650781"/>
    <w:rsid w:val="7E663674"/>
    <w:rsid w:val="7E666465"/>
    <w:rsid w:val="7E68119A"/>
    <w:rsid w:val="7E6873EC"/>
    <w:rsid w:val="7E68780B"/>
    <w:rsid w:val="7E6A3164"/>
    <w:rsid w:val="7E6A7295"/>
    <w:rsid w:val="7E6B2A38"/>
    <w:rsid w:val="7E6C5545"/>
    <w:rsid w:val="7E6D055E"/>
    <w:rsid w:val="7E723DC7"/>
    <w:rsid w:val="7E724215"/>
    <w:rsid w:val="7E74391E"/>
    <w:rsid w:val="7E745D91"/>
    <w:rsid w:val="7E750E92"/>
    <w:rsid w:val="7E762DB4"/>
    <w:rsid w:val="7E765BA9"/>
    <w:rsid w:val="7E785CB9"/>
    <w:rsid w:val="7E795155"/>
    <w:rsid w:val="7E7A0ECD"/>
    <w:rsid w:val="7E7A604F"/>
    <w:rsid w:val="7E7E09BD"/>
    <w:rsid w:val="7E7E0F36"/>
    <w:rsid w:val="7E7E3CF9"/>
    <w:rsid w:val="7E7E6C0F"/>
    <w:rsid w:val="7E7E75A1"/>
    <w:rsid w:val="7E800A2D"/>
    <w:rsid w:val="7E815E0D"/>
    <w:rsid w:val="7E835E22"/>
    <w:rsid w:val="7E835FD4"/>
    <w:rsid w:val="7E8458A8"/>
    <w:rsid w:val="7E875989"/>
    <w:rsid w:val="7E885398"/>
    <w:rsid w:val="7E8853C3"/>
    <w:rsid w:val="7E8A5121"/>
    <w:rsid w:val="7E8A6760"/>
    <w:rsid w:val="7E8A77B1"/>
    <w:rsid w:val="7E8F4979"/>
    <w:rsid w:val="7E8F5012"/>
    <w:rsid w:val="7E8F7BAA"/>
    <w:rsid w:val="7E9006F1"/>
    <w:rsid w:val="7E91532C"/>
    <w:rsid w:val="7E925484"/>
    <w:rsid w:val="7E9262B9"/>
    <w:rsid w:val="7E9271C8"/>
    <w:rsid w:val="7E933D3D"/>
    <w:rsid w:val="7E945BAE"/>
    <w:rsid w:val="7E9649D7"/>
    <w:rsid w:val="7E966C18"/>
    <w:rsid w:val="7E97382D"/>
    <w:rsid w:val="7E9755DB"/>
    <w:rsid w:val="7E9800F5"/>
    <w:rsid w:val="7E9957F7"/>
    <w:rsid w:val="7E9A50CB"/>
    <w:rsid w:val="7E9B6AC9"/>
    <w:rsid w:val="7EA06B86"/>
    <w:rsid w:val="7EA1645A"/>
    <w:rsid w:val="7EA30424"/>
    <w:rsid w:val="7EA37E2C"/>
    <w:rsid w:val="7EA56780"/>
    <w:rsid w:val="7EA61CC2"/>
    <w:rsid w:val="7EA6685A"/>
    <w:rsid w:val="7EA67F14"/>
    <w:rsid w:val="7EA76F1D"/>
    <w:rsid w:val="7EA83C8C"/>
    <w:rsid w:val="7EA84765"/>
    <w:rsid w:val="7EA90030"/>
    <w:rsid w:val="7EAA7A04"/>
    <w:rsid w:val="7EAB58F4"/>
    <w:rsid w:val="7EAC4E84"/>
    <w:rsid w:val="7EAD0CDE"/>
    <w:rsid w:val="7EAD3051"/>
    <w:rsid w:val="7EAD40CE"/>
    <w:rsid w:val="7EAD4DFF"/>
    <w:rsid w:val="7EAD7ACB"/>
    <w:rsid w:val="7EAF0B77"/>
    <w:rsid w:val="7EB07398"/>
    <w:rsid w:val="7EB268B9"/>
    <w:rsid w:val="7EB40DB1"/>
    <w:rsid w:val="7EB4546C"/>
    <w:rsid w:val="7EB571E3"/>
    <w:rsid w:val="7EB60DD0"/>
    <w:rsid w:val="7EB63962"/>
    <w:rsid w:val="7EB663A9"/>
    <w:rsid w:val="7EB807C8"/>
    <w:rsid w:val="7EB838C2"/>
    <w:rsid w:val="7EBB1694"/>
    <w:rsid w:val="7EBE32F3"/>
    <w:rsid w:val="7EBE525E"/>
    <w:rsid w:val="7EBF37C9"/>
    <w:rsid w:val="7EC31FF2"/>
    <w:rsid w:val="7EC3792E"/>
    <w:rsid w:val="7EC439C6"/>
    <w:rsid w:val="7EC5039A"/>
    <w:rsid w:val="7EC55DD4"/>
    <w:rsid w:val="7EC576BA"/>
    <w:rsid w:val="7EC64C74"/>
    <w:rsid w:val="7EC65EC0"/>
    <w:rsid w:val="7EC6688B"/>
    <w:rsid w:val="7EC75C50"/>
    <w:rsid w:val="7EC85C6D"/>
    <w:rsid w:val="7EC873B0"/>
    <w:rsid w:val="7EC87E8B"/>
    <w:rsid w:val="7ECB4904"/>
    <w:rsid w:val="7ECC7863"/>
    <w:rsid w:val="7ECE16D3"/>
    <w:rsid w:val="7ED30AD2"/>
    <w:rsid w:val="7ED30E3D"/>
    <w:rsid w:val="7ED405DD"/>
    <w:rsid w:val="7ED54355"/>
    <w:rsid w:val="7ED6157A"/>
    <w:rsid w:val="7ED77A07"/>
    <w:rsid w:val="7ED90A98"/>
    <w:rsid w:val="7EDC644C"/>
    <w:rsid w:val="7EDC7492"/>
    <w:rsid w:val="7EDE320A"/>
    <w:rsid w:val="7EE051D4"/>
    <w:rsid w:val="7EE36A72"/>
    <w:rsid w:val="7EE467F9"/>
    <w:rsid w:val="7EE60311"/>
    <w:rsid w:val="7EE7398F"/>
    <w:rsid w:val="7EE84089"/>
    <w:rsid w:val="7EE86C9A"/>
    <w:rsid w:val="7EE97D42"/>
    <w:rsid w:val="7EEA0399"/>
    <w:rsid w:val="7EEA2F2C"/>
    <w:rsid w:val="7EEB1E36"/>
    <w:rsid w:val="7EEB70A0"/>
    <w:rsid w:val="7EEF18BB"/>
    <w:rsid w:val="7EEF7C44"/>
    <w:rsid w:val="7EF0118F"/>
    <w:rsid w:val="7EF078C3"/>
    <w:rsid w:val="7EF14CDF"/>
    <w:rsid w:val="7EF201E7"/>
    <w:rsid w:val="7EF339A5"/>
    <w:rsid w:val="7EF40C80"/>
    <w:rsid w:val="7EF449A9"/>
    <w:rsid w:val="7EF46244"/>
    <w:rsid w:val="7EF46ED2"/>
    <w:rsid w:val="7EF556C3"/>
    <w:rsid w:val="7EF649F8"/>
    <w:rsid w:val="7EF65C63"/>
    <w:rsid w:val="7EF766B6"/>
    <w:rsid w:val="7EF96936"/>
    <w:rsid w:val="7EFB4C90"/>
    <w:rsid w:val="7EFD2986"/>
    <w:rsid w:val="7EFD72F6"/>
    <w:rsid w:val="7EFF3357"/>
    <w:rsid w:val="7F004D42"/>
    <w:rsid w:val="7F005876"/>
    <w:rsid w:val="7F010262"/>
    <w:rsid w:val="7F0215EE"/>
    <w:rsid w:val="7F027226"/>
    <w:rsid w:val="7F062761"/>
    <w:rsid w:val="7F0703A8"/>
    <w:rsid w:val="7F0709B3"/>
    <w:rsid w:val="7F075EAB"/>
    <w:rsid w:val="7F08472B"/>
    <w:rsid w:val="7F0864D9"/>
    <w:rsid w:val="7F094F08"/>
    <w:rsid w:val="7F095899"/>
    <w:rsid w:val="7F0A434B"/>
    <w:rsid w:val="7F0B0A5C"/>
    <w:rsid w:val="7F0D4600"/>
    <w:rsid w:val="7F0E4495"/>
    <w:rsid w:val="7F0F5AB9"/>
    <w:rsid w:val="7F101EAE"/>
    <w:rsid w:val="7F111F11"/>
    <w:rsid w:val="7F11402B"/>
    <w:rsid w:val="7F137627"/>
    <w:rsid w:val="7F160BF6"/>
    <w:rsid w:val="7F17534F"/>
    <w:rsid w:val="7F17671C"/>
    <w:rsid w:val="7F181AE4"/>
    <w:rsid w:val="7F190287"/>
    <w:rsid w:val="7F19333A"/>
    <w:rsid w:val="7F1B5896"/>
    <w:rsid w:val="7F1D09E6"/>
    <w:rsid w:val="7F1D5900"/>
    <w:rsid w:val="7F1D7A39"/>
    <w:rsid w:val="7F1E1436"/>
    <w:rsid w:val="7F201138"/>
    <w:rsid w:val="7F207CC7"/>
    <w:rsid w:val="7F210A14"/>
    <w:rsid w:val="7F2240AA"/>
    <w:rsid w:val="7F234754"/>
    <w:rsid w:val="7F254A59"/>
    <w:rsid w:val="7F271FCF"/>
    <w:rsid w:val="7F29749B"/>
    <w:rsid w:val="7F2A0615"/>
    <w:rsid w:val="7F2B2374"/>
    <w:rsid w:val="7F2D4191"/>
    <w:rsid w:val="7F314A7F"/>
    <w:rsid w:val="7F323556"/>
    <w:rsid w:val="7F3429F4"/>
    <w:rsid w:val="7F372876"/>
    <w:rsid w:val="7F386644"/>
    <w:rsid w:val="7F38756D"/>
    <w:rsid w:val="7F3A26F2"/>
    <w:rsid w:val="7F3C2C5F"/>
    <w:rsid w:val="7F3C6183"/>
    <w:rsid w:val="7F3E014D"/>
    <w:rsid w:val="7F3E6355"/>
    <w:rsid w:val="7F3F684F"/>
    <w:rsid w:val="7F41277A"/>
    <w:rsid w:val="7F435763"/>
    <w:rsid w:val="7F456183"/>
    <w:rsid w:val="7F467B2C"/>
    <w:rsid w:val="7F47583B"/>
    <w:rsid w:val="7F477001"/>
    <w:rsid w:val="7F480AB5"/>
    <w:rsid w:val="7F4877D4"/>
    <w:rsid w:val="7F4A6AF1"/>
    <w:rsid w:val="7F4C0ABC"/>
    <w:rsid w:val="7F4D0390"/>
    <w:rsid w:val="7F4D213E"/>
    <w:rsid w:val="7F504C24"/>
    <w:rsid w:val="7F515ACF"/>
    <w:rsid w:val="7F5259A6"/>
    <w:rsid w:val="7F552C9C"/>
    <w:rsid w:val="7F58120E"/>
    <w:rsid w:val="7F593EE9"/>
    <w:rsid w:val="7F597C55"/>
    <w:rsid w:val="7F5B0CFF"/>
    <w:rsid w:val="7F5B5D7F"/>
    <w:rsid w:val="7F5C551F"/>
    <w:rsid w:val="7F5D66F3"/>
    <w:rsid w:val="7F5D7F57"/>
    <w:rsid w:val="7F5F7E25"/>
    <w:rsid w:val="7F6206BF"/>
    <w:rsid w:val="7F62208D"/>
    <w:rsid w:val="7F643C19"/>
    <w:rsid w:val="7F65392B"/>
    <w:rsid w:val="7F6556D9"/>
    <w:rsid w:val="7F682C72"/>
    <w:rsid w:val="7F693CB9"/>
    <w:rsid w:val="7F6A37A6"/>
    <w:rsid w:val="7F6C7FA9"/>
    <w:rsid w:val="7F6D38A9"/>
    <w:rsid w:val="7F6F0E63"/>
    <w:rsid w:val="7F6F433B"/>
    <w:rsid w:val="7F707FB0"/>
    <w:rsid w:val="7F724BB2"/>
    <w:rsid w:val="7F761695"/>
    <w:rsid w:val="7F775037"/>
    <w:rsid w:val="7F78540D"/>
    <w:rsid w:val="7F7F2700"/>
    <w:rsid w:val="7F807128"/>
    <w:rsid w:val="7F814A6A"/>
    <w:rsid w:val="7F820039"/>
    <w:rsid w:val="7F8216E2"/>
    <w:rsid w:val="7F855D7C"/>
    <w:rsid w:val="7F873D31"/>
    <w:rsid w:val="7F875650"/>
    <w:rsid w:val="7F8F09A8"/>
    <w:rsid w:val="7F920790"/>
    <w:rsid w:val="7F931616"/>
    <w:rsid w:val="7F957552"/>
    <w:rsid w:val="7F9704E0"/>
    <w:rsid w:val="7F995383"/>
    <w:rsid w:val="7F9A10B7"/>
    <w:rsid w:val="7F9A5E58"/>
    <w:rsid w:val="7F9E12A2"/>
    <w:rsid w:val="7F9F797B"/>
    <w:rsid w:val="7FA135F0"/>
    <w:rsid w:val="7FA1528B"/>
    <w:rsid w:val="7FA426A6"/>
    <w:rsid w:val="7FA51F7A"/>
    <w:rsid w:val="7FA773CD"/>
    <w:rsid w:val="7FA77AA0"/>
    <w:rsid w:val="7FA94392"/>
    <w:rsid w:val="7FAA57E2"/>
    <w:rsid w:val="7FAB3A34"/>
    <w:rsid w:val="7FAE329F"/>
    <w:rsid w:val="7FB05AA5"/>
    <w:rsid w:val="7FB14B97"/>
    <w:rsid w:val="7FB34FD7"/>
    <w:rsid w:val="7FB5196B"/>
    <w:rsid w:val="7FB5461B"/>
    <w:rsid w:val="7FB607EA"/>
    <w:rsid w:val="7FB623F3"/>
    <w:rsid w:val="7FBD3767"/>
    <w:rsid w:val="7FBD72C3"/>
    <w:rsid w:val="7FC27A71"/>
    <w:rsid w:val="7FC44AF6"/>
    <w:rsid w:val="7FC5065E"/>
    <w:rsid w:val="7FC55D23"/>
    <w:rsid w:val="7FC63C6D"/>
    <w:rsid w:val="7FC66D63"/>
    <w:rsid w:val="7FC77CA9"/>
    <w:rsid w:val="7FC82489"/>
    <w:rsid w:val="7FC86EA0"/>
    <w:rsid w:val="7FC87497"/>
    <w:rsid w:val="7FC91153"/>
    <w:rsid w:val="7FCB5E84"/>
    <w:rsid w:val="7FCE1433"/>
    <w:rsid w:val="7FCE327F"/>
    <w:rsid w:val="7FCE7723"/>
    <w:rsid w:val="7FD032FB"/>
    <w:rsid w:val="7FD129FF"/>
    <w:rsid w:val="7FD269B4"/>
    <w:rsid w:val="7FD350D8"/>
    <w:rsid w:val="7FD42D0C"/>
    <w:rsid w:val="7FD5285F"/>
    <w:rsid w:val="7FD92A36"/>
    <w:rsid w:val="7FDA60C7"/>
    <w:rsid w:val="7FDD02DE"/>
    <w:rsid w:val="7FDD1769"/>
    <w:rsid w:val="7FDD5BB8"/>
    <w:rsid w:val="7FDD6547"/>
    <w:rsid w:val="7FDD7966"/>
    <w:rsid w:val="7FE17456"/>
    <w:rsid w:val="7FE20769"/>
    <w:rsid w:val="7FE40CF4"/>
    <w:rsid w:val="7FE630FB"/>
    <w:rsid w:val="7FE657FB"/>
    <w:rsid w:val="7FE65FC0"/>
    <w:rsid w:val="7FE661CF"/>
    <w:rsid w:val="7FE70C11"/>
    <w:rsid w:val="7FE7774A"/>
    <w:rsid w:val="7FE8226B"/>
    <w:rsid w:val="7FE84467"/>
    <w:rsid w:val="7FE84E34"/>
    <w:rsid w:val="7FEC5DFB"/>
    <w:rsid w:val="7FEE03A6"/>
    <w:rsid w:val="7FEE2F94"/>
    <w:rsid w:val="7FF12F08"/>
    <w:rsid w:val="7FF16F6D"/>
    <w:rsid w:val="7FF2346F"/>
    <w:rsid w:val="7FF37189"/>
    <w:rsid w:val="7FF40953"/>
    <w:rsid w:val="7FF476AA"/>
    <w:rsid w:val="7FF64583"/>
    <w:rsid w:val="7FFB0761"/>
    <w:rsid w:val="7FFB7413"/>
    <w:rsid w:val="7FFE411D"/>
    <w:rsid w:val="DBEF22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99"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keepNext/>
      <w:spacing w:line="400" w:lineRule="exact"/>
      <w:jc w:val="center"/>
      <w:outlineLvl w:val="0"/>
    </w:pPr>
    <w:rPr>
      <w:sz w:val="28"/>
    </w:rPr>
  </w:style>
  <w:style w:type="paragraph" w:styleId="4">
    <w:name w:val="heading 2"/>
    <w:basedOn w:val="1"/>
    <w:next w:val="1"/>
    <w:autoRedefine/>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paragraph" w:styleId="5">
    <w:name w:val="heading 3"/>
    <w:basedOn w:val="1"/>
    <w:next w:val="1"/>
    <w:autoRedefine/>
    <w:qFormat/>
    <w:uiPriority w:val="0"/>
    <w:pPr>
      <w:keepNext/>
      <w:keepLines/>
      <w:spacing w:before="260" w:after="260" w:line="416" w:lineRule="auto"/>
      <w:outlineLvl w:val="2"/>
    </w:pPr>
    <w:rPr>
      <w:b/>
      <w:bCs/>
      <w:sz w:val="32"/>
      <w:szCs w:val="32"/>
    </w:rPr>
  </w:style>
  <w:style w:type="paragraph" w:styleId="2">
    <w:name w:val="heading 4"/>
    <w:basedOn w:val="1"/>
    <w:next w:val="1"/>
    <w:autoRedefine/>
    <w:qFormat/>
    <w:uiPriority w:val="9"/>
    <w:pPr>
      <w:keepNext/>
      <w:keepLines/>
      <w:spacing w:before="240" w:after="120"/>
      <w:jc w:val="center"/>
      <w:outlineLvl w:val="3"/>
    </w:pPr>
    <w:rPr>
      <w:rFonts w:ascii="Arial" w:hAnsi="Arial" w:eastAsia="仿宋_GB2312"/>
      <w:b/>
      <w:sz w:val="24"/>
      <w:szCs w:val="20"/>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6">
    <w:name w:val="List 3"/>
    <w:basedOn w:val="1"/>
    <w:next w:val="1"/>
    <w:autoRedefine/>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7">
    <w:name w:val="Normal Indent"/>
    <w:basedOn w:val="1"/>
    <w:next w:val="2"/>
    <w:autoRedefine/>
    <w:unhideWhenUsed/>
    <w:qFormat/>
    <w:uiPriority w:val="99"/>
    <w:pPr>
      <w:ind w:firstLine="420" w:firstLineChars="200"/>
    </w:pPr>
  </w:style>
  <w:style w:type="paragraph" w:styleId="8">
    <w:name w:val="caption"/>
    <w:basedOn w:val="1"/>
    <w:next w:val="1"/>
    <w:autoRedefine/>
    <w:qFormat/>
    <w:uiPriority w:val="0"/>
    <w:pPr>
      <w:jc w:val="center"/>
    </w:pPr>
    <w:rPr>
      <w:rFonts w:ascii="Cambria" w:hAnsi="Cambria"/>
      <w:b/>
      <w:sz w:val="24"/>
      <w:szCs w:val="20"/>
    </w:rPr>
  </w:style>
  <w:style w:type="paragraph" w:styleId="9">
    <w:name w:val="annotation text"/>
    <w:basedOn w:val="1"/>
    <w:link w:val="77"/>
    <w:autoRedefine/>
    <w:qFormat/>
    <w:uiPriority w:val="0"/>
    <w:pPr>
      <w:jc w:val="left"/>
    </w:pPr>
  </w:style>
  <w:style w:type="paragraph" w:styleId="10">
    <w:name w:val="Salutation"/>
    <w:basedOn w:val="1"/>
    <w:next w:val="1"/>
    <w:autoRedefine/>
    <w:qFormat/>
    <w:uiPriority w:val="0"/>
    <w:rPr>
      <w:sz w:val="28"/>
      <w:szCs w:val="20"/>
    </w:rPr>
  </w:style>
  <w:style w:type="paragraph" w:styleId="11">
    <w:name w:val="Body Text"/>
    <w:basedOn w:val="1"/>
    <w:next w:val="1"/>
    <w:autoRedefine/>
    <w:qFormat/>
    <w:uiPriority w:val="0"/>
    <w:pPr>
      <w:spacing w:after="120"/>
    </w:pPr>
    <w:rPr>
      <w:rFonts w:ascii="Calibri" w:hAnsi="Calibri" w:eastAsia="宋体" w:cs="Times New Roman"/>
    </w:rPr>
  </w:style>
  <w:style w:type="paragraph" w:styleId="12">
    <w:name w:val="Body Text Indent"/>
    <w:basedOn w:val="1"/>
    <w:next w:val="13"/>
    <w:autoRedefine/>
    <w:qFormat/>
    <w:uiPriority w:val="0"/>
    <w:pPr>
      <w:spacing w:after="120"/>
      <w:ind w:left="420" w:leftChars="200"/>
    </w:pPr>
    <w:rPr>
      <w:kern w:val="0"/>
      <w:sz w:val="24"/>
      <w:szCs w:val="20"/>
    </w:rPr>
  </w:style>
  <w:style w:type="paragraph" w:styleId="13">
    <w:name w:val="Body Text Indent 2"/>
    <w:basedOn w:val="1"/>
    <w:next w:val="14"/>
    <w:autoRedefine/>
    <w:unhideWhenUsed/>
    <w:qFormat/>
    <w:uiPriority w:val="99"/>
    <w:pPr>
      <w:spacing w:after="120" w:line="480" w:lineRule="auto"/>
      <w:ind w:left="420" w:leftChars="200"/>
    </w:pPr>
  </w:style>
  <w:style w:type="paragraph" w:styleId="14">
    <w:name w:val="Body Text First Indent 2"/>
    <w:basedOn w:val="12"/>
    <w:next w:val="1"/>
    <w:autoRedefine/>
    <w:qFormat/>
    <w:uiPriority w:val="0"/>
    <w:pPr>
      <w:ind w:firstLine="420" w:firstLineChars="200"/>
    </w:pPr>
    <w:rPr>
      <w:sz w:val="21"/>
    </w:rPr>
  </w:style>
  <w:style w:type="paragraph" w:styleId="15">
    <w:name w:val="Plain Text"/>
    <w:basedOn w:val="1"/>
    <w:next w:val="10"/>
    <w:autoRedefine/>
    <w:qFormat/>
    <w:uiPriority w:val="0"/>
    <w:rPr>
      <w:rFonts w:ascii="宋体" w:hAnsi="Courier New"/>
    </w:rPr>
  </w:style>
  <w:style w:type="paragraph" w:styleId="16">
    <w:name w:val="List Bullet 5"/>
    <w:basedOn w:val="1"/>
    <w:autoRedefine/>
    <w:qFormat/>
    <w:uiPriority w:val="0"/>
    <w:pPr>
      <w:numPr>
        <w:ilvl w:val="0"/>
        <w:numId w:val="1"/>
      </w:numPr>
    </w:pPr>
  </w:style>
  <w:style w:type="paragraph" w:styleId="17">
    <w:name w:val="footer"/>
    <w:basedOn w:val="1"/>
    <w:autoRedefine/>
    <w:qFormat/>
    <w:uiPriority w:val="0"/>
    <w:pPr>
      <w:tabs>
        <w:tab w:val="center" w:pos="4153"/>
        <w:tab w:val="right" w:pos="8306"/>
      </w:tabs>
      <w:snapToGrid w:val="0"/>
      <w:jc w:val="left"/>
    </w:pPr>
    <w:rPr>
      <w:sz w:val="18"/>
    </w:rPr>
  </w:style>
  <w:style w:type="paragraph" w:styleId="18">
    <w:name w:val="envelope return"/>
    <w:basedOn w:val="1"/>
    <w:autoRedefine/>
    <w:unhideWhenUsed/>
    <w:qFormat/>
    <w:uiPriority w:val="99"/>
    <w:pPr>
      <w:snapToGrid w:val="0"/>
      <w:ind w:firstLine="723"/>
      <w:jc w:val="left"/>
    </w:pPr>
    <w:rPr>
      <w:rFonts w:ascii="Arial" w:hAnsi="Arial" w:cs="宋体"/>
    </w:rPr>
  </w:style>
  <w:style w:type="paragraph" w:styleId="19">
    <w:name w:val="header"/>
    <w:basedOn w:val="1"/>
    <w:next w:val="20"/>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20">
    <w:name w:val="样式5"/>
    <w:basedOn w:val="21"/>
    <w:autoRedefine/>
    <w:qFormat/>
    <w:uiPriority w:val="0"/>
    <w:pPr>
      <w:snapToGrid w:val="0"/>
      <w:spacing w:before="62" w:beforeLines="20" w:after="62" w:afterLines="20" w:line="480" w:lineRule="exact"/>
      <w:ind w:firstLine="523" w:firstLineChars="218"/>
      <w:jc w:val="both"/>
    </w:pPr>
    <w:rPr>
      <w:i/>
      <w:iCs/>
      <w:sz w:val="24"/>
      <w:szCs w:val="20"/>
    </w:rPr>
  </w:style>
  <w:style w:type="paragraph" w:customStyle="1" w:styleId="21">
    <w:name w:val="正文1"/>
    <w:basedOn w:val="1"/>
    <w:next w:val="1"/>
    <w:autoRedefine/>
    <w:qFormat/>
    <w:uiPriority w:val="0"/>
    <w:pPr>
      <w:spacing w:line="360" w:lineRule="auto"/>
      <w:ind w:firstLine="567"/>
      <w:jc w:val="center"/>
    </w:pPr>
    <w:rPr>
      <w:sz w:val="28"/>
    </w:rPr>
  </w:style>
  <w:style w:type="paragraph" w:styleId="22">
    <w:name w:val="toc 1"/>
    <w:basedOn w:val="1"/>
    <w:next w:val="1"/>
    <w:autoRedefine/>
    <w:qFormat/>
    <w:uiPriority w:val="39"/>
    <w:pPr>
      <w:spacing w:before="120" w:after="120" w:line="240" w:lineRule="auto"/>
      <w:ind w:firstLine="0" w:firstLineChars="0"/>
    </w:pPr>
    <w:rPr>
      <w:b/>
      <w:bCs/>
      <w:caps/>
      <w:sz w:val="20"/>
    </w:rPr>
  </w:style>
  <w:style w:type="paragraph" w:styleId="23">
    <w:name w:val="index heading"/>
    <w:basedOn w:val="1"/>
    <w:next w:val="24"/>
    <w:autoRedefine/>
    <w:qFormat/>
    <w:uiPriority w:val="0"/>
    <w:rPr>
      <w:rFonts w:ascii="Arial" w:hAnsi="Arial"/>
      <w:b/>
    </w:rPr>
  </w:style>
  <w:style w:type="paragraph" w:styleId="24">
    <w:name w:val="index 1"/>
    <w:basedOn w:val="1"/>
    <w:next w:val="1"/>
    <w:autoRedefine/>
    <w:qFormat/>
    <w:uiPriority w:val="0"/>
  </w:style>
  <w:style w:type="paragraph" w:styleId="25">
    <w:name w:val="Body Text Indent 3"/>
    <w:basedOn w:val="1"/>
    <w:qFormat/>
    <w:uiPriority w:val="0"/>
    <w:pPr>
      <w:spacing w:afterLines="200" w:line="240" w:lineRule="atLeast"/>
      <w:ind w:firstLine="560" w:firstLineChars="200"/>
    </w:pPr>
    <w:rPr>
      <w:sz w:val="28"/>
    </w:rPr>
  </w:style>
  <w:style w:type="paragraph" w:styleId="26">
    <w:name w:val="Body Text 2"/>
    <w:basedOn w:val="1"/>
    <w:next w:val="1"/>
    <w:autoRedefine/>
    <w:qFormat/>
    <w:uiPriority w:val="0"/>
    <w:pPr>
      <w:spacing w:after="120" w:line="480" w:lineRule="auto"/>
    </w:pPr>
    <w:rPr>
      <w:rFonts w:ascii="Times New Roman" w:hAnsi="Times New Roman"/>
    </w:rPr>
  </w:style>
  <w:style w:type="paragraph" w:styleId="27">
    <w:name w:val="Normal (Web)"/>
    <w:basedOn w:val="1"/>
    <w:autoRedefine/>
    <w:qFormat/>
    <w:uiPriority w:val="0"/>
    <w:pPr>
      <w:widowControl/>
      <w:spacing w:before="100" w:beforeAutospacing="1" w:after="100" w:afterAutospacing="1"/>
      <w:jc w:val="left"/>
    </w:pPr>
    <w:rPr>
      <w:rFonts w:ascii="宋体" w:hAnsi="宋体" w:eastAsia="宋体" w:cs="宋体"/>
      <w:kern w:val="0"/>
      <w:sz w:val="24"/>
    </w:rPr>
  </w:style>
  <w:style w:type="paragraph" w:styleId="28">
    <w:name w:val="Title"/>
    <w:basedOn w:val="1"/>
    <w:next w:val="1"/>
    <w:autoRedefine/>
    <w:qFormat/>
    <w:uiPriority w:val="0"/>
    <w:pPr>
      <w:jc w:val="center"/>
      <w:outlineLvl w:val="3"/>
    </w:pPr>
    <w:rPr>
      <w:bCs/>
      <w:szCs w:val="32"/>
    </w:rPr>
  </w:style>
  <w:style w:type="paragraph" w:styleId="29">
    <w:name w:val="annotation subject"/>
    <w:basedOn w:val="9"/>
    <w:next w:val="9"/>
    <w:link w:val="78"/>
    <w:autoRedefine/>
    <w:qFormat/>
    <w:uiPriority w:val="0"/>
    <w:rPr>
      <w:b/>
      <w:bCs/>
    </w:rPr>
  </w:style>
  <w:style w:type="paragraph" w:styleId="30">
    <w:name w:val="Body Text First Indent"/>
    <w:basedOn w:val="11"/>
    <w:next w:val="1"/>
    <w:autoRedefine/>
    <w:qFormat/>
    <w:uiPriority w:val="0"/>
    <w:pPr>
      <w:ind w:firstLine="420" w:firstLineChars="100"/>
    </w:pPr>
  </w:style>
  <w:style w:type="table" w:styleId="32">
    <w:name w:val="Table Grid"/>
    <w:basedOn w:val="3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autoRedefine/>
    <w:qFormat/>
    <w:uiPriority w:val="0"/>
    <w:rPr>
      <w:b/>
    </w:rPr>
  </w:style>
  <w:style w:type="character" w:styleId="35">
    <w:name w:val="Hyperlink"/>
    <w:basedOn w:val="33"/>
    <w:autoRedefine/>
    <w:qFormat/>
    <w:uiPriority w:val="0"/>
    <w:rPr>
      <w:color w:val="0000FF"/>
      <w:u w:val="single"/>
    </w:rPr>
  </w:style>
  <w:style w:type="character" w:styleId="36">
    <w:name w:val="annotation reference"/>
    <w:autoRedefine/>
    <w:semiHidden/>
    <w:qFormat/>
    <w:uiPriority w:val="0"/>
    <w:rPr>
      <w:sz w:val="21"/>
    </w:rPr>
  </w:style>
  <w:style w:type="paragraph" w:customStyle="1" w:styleId="37">
    <w:name w:val="Default2"/>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8">
    <w:name w:val="Default"/>
    <w:basedOn w:val="39"/>
    <w:autoRedefine/>
    <w:qFormat/>
    <w:uiPriority w:val="0"/>
    <w:pPr>
      <w:autoSpaceDE w:val="0"/>
      <w:autoSpaceDN w:val="0"/>
    </w:pPr>
    <w:rPr>
      <w:rFonts w:ascii="Times New Roman" w:hAnsi="Times New Roman" w:eastAsia="宋体" w:cs="Times New Roman"/>
      <w:color w:val="000000"/>
      <w:sz w:val="24"/>
      <w:szCs w:val="24"/>
    </w:rPr>
  </w:style>
  <w:style w:type="paragraph" w:customStyle="1" w:styleId="39">
    <w:name w:val="正文_15"/>
    <w:qFormat/>
    <w:uiPriority w:val="0"/>
    <w:pPr>
      <w:widowControl w:val="0"/>
      <w:jc w:val="both"/>
    </w:pPr>
    <w:rPr>
      <w:rFonts w:ascii="Calibri" w:hAnsi="Calibri" w:eastAsia="宋体" w:cs="Times New Roman"/>
      <w:kern w:val="2"/>
      <w:sz w:val="21"/>
      <w:lang w:val="en-US" w:eastAsia="zh-CN" w:bidi="ar-SA"/>
    </w:rPr>
  </w:style>
  <w:style w:type="paragraph" w:customStyle="1" w:styleId="40">
    <w:name w:val="纯文本1"/>
    <w:basedOn w:val="1"/>
    <w:autoRedefine/>
    <w:qFormat/>
    <w:uiPriority w:val="0"/>
    <w:pPr>
      <w:adjustRightInd w:val="0"/>
    </w:pPr>
    <w:rPr>
      <w:rFonts w:ascii="宋体" w:hAnsi="Courier New"/>
      <w:szCs w:val="20"/>
    </w:rPr>
  </w:style>
  <w:style w:type="paragraph" w:customStyle="1" w:styleId="41">
    <w:name w:val="Char Char Char Char Char Char1 Char Char Char Char"/>
    <w:basedOn w:val="1"/>
    <w:next w:val="1"/>
    <w:autoRedefine/>
    <w:semiHidden/>
    <w:qFormat/>
    <w:uiPriority w:val="0"/>
    <w:pPr>
      <w:spacing w:line="360" w:lineRule="auto"/>
      <w:ind w:firstLine="200" w:firstLineChars="200"/>
    </w:pPr>
    <w:rPr>
      <w:rFonts w:ascii="宋体" w:hAnsi="宋体" w:cs="宋体"/>
      <w:szCs w:val="21"/>
    </w:rPr>
  </w:style>
  <w:style w:type="paragraph" w:customStyle="1" w:styleId="42">
    <w:name w:val="标题2"/>
    <w:basedOn w:val="1"/>
    <w:next w:val="1"/>
    <w:autoRedefine/>
    <w:qFormat/>
    <w:uiPriority w:val="0"/>
    <w:rPr>
      <w:rFonts w:ascii="宋体" w:hAnsi="宋体"/>
      <w:b/>
      <w:kern w:val="0"/>
      <w:sz w:val="24"/>
      <w:szCs w:val="24"/>
    </w:rPr>
  </w:style>
  <w:style w:type="paragraph" w:customStyle="1" w:styleId="43">
    <w:name w:val="xl27"/>
    <w:basedOn w:val="1"/>
    <w:next w:val="44"/>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44">
    <w:name w:val="A正文"/>
    <w:basedOn w:val="1"/>
    <w:next w:val="11"/>
    <w:autoRedefine/>
    <w:qFormat/>
    <w:uiPriority w:val="0"/>
    <w:pPr>
      <w:widowControl/>
      <w:overflowPunct w:val="0"/>
      <w:autoSpaceDE w:val="0"/>
      <w:autoSpaceDN w:val="0"/>
      <w:jc w:val="left"/>
      <w:textAlignment w:val="baseline"/>
    </w:pPr>
  </w:style>
  <w:style w:type="paragraph" w:customStyle="1" w:styleId="45">
    <w:name w:val="1正文段落"/>
    <w:basedOn w:val="1"/>
    <w:autoRedefine/>
    <w:qFormat/>
    <w:uiPriority w:val="0"/>
    <w:pPr>
      <w:spacing w:line="360" w:lineRule="auto"/>
      <w:ind w:firstLine="480" w:firstLineChars="200"/>
      <w:jc w:val="left"/>
    </w:pPr>
    <w:rPr>
      <w:snapToGrid w:val="0"/>
      <w:kern w:val="0"/>
      <w:sz w:val="24"/>
    </w:rPr>
  </w:style>
  <w:style w:type="paragraph" w:customStyle="1" w:styleId="46">
    <w:name w:val="li_正文"/>
    <w:basedOn w:val="1"/>
    <w:autoRedefine/>
    <w:qFormat/>
    <w:uiPriority w:val="0"/>
    <w:pPr>
      <w:tabs>
        <w:tab w:val="left" w:pos="2340"/>
        <w:tab w:val="left" w:pos="4320"/>
      </w:tabs>
      <w:ind w:firstLine="530" w:firstLineChars="200"/>
      <w:jc w:val="left"/>
    </w:pPr>
    <w:rPr>
      <w:rFonts w:ascii="Calibri" w:hAnsi="Calibri"/>
      <w:sz w:val="28"/>
      <w:szCs w:val="28"/>
    </w:rPr>
  </w:style>
  <w:style w:type="paragraph" w:customStyle="1" w:styleId="47">
    <w:name w:val="0正文"/>
    <w:basedOn w:val="27"/>
    <w:autoRedefine/>
    <w:qFormat/>
    <w:uiPriority w:val="0"/>
    <w:pPr>
      <w:spacing w:before="0" w:beforeAutospacing="0" w:after="0" w:afterAutospacing="0" w:line="360" w:lineRule="auto"/>
      <w:ind w:firstLine="482"/>
      <w:jc w:val="both"/>
    </w:pPr>
    <w:rPr>
      <w:rFonts w:ascii="Calibri" w:hAnsi="Calibri" w:eastAsia="Arial Unicode MS"/>
      <w:kern w:val="2"/>
    </w:rPr>
  </w:style>
  <w:style w:type="paragraph" w:customStyle="1" w:styleId="48">
    <w:name w:val="表格内容"/>
    <w:basedOn w:val="49"/>
    <w:next w:val="1"/>
    <w:autoRedefine/>
    <w:qFormat/>
    <w:uiPriority w:val="0"/>
    <w:pPr>
      <w:spacing w:line="240" w:lineRule="atLeast"/>
    </w:pPr>
    <w:rPr>
      <w:rFonts w:eastAsia="宋体"/>
      <w:sz w:val="21"/>
    </w:rPr>
  </w:style>
  <w:style w:type="paragraph" w:customStyle="1" w:styleId="49">
    <w:name w:val="表格标题"/>
    <w:basedOn w:val="1"/>
    <w:next w:val="48"/>
    <w:autoRedefine/>
    <w:qFormat/>
    <w:uiPriority w:val="0"/>
    <w:pPr>
      <w:spacing w:line="360" w:lineRule="auto"/>
      <w:jc w:val="center"/>
    </w:pPr>
    <w:rPr>
      <w:rFonts w:ascii="Times New Roman" w:hAnsi="Times New Roman" w:eastAsia="黑体"/>
      <w:sz w:val="24"/>
      <w:szCs w:val="20"/>
    </w:rPr>
  </w:style>
  <w:style w:type="paragraph" w:customStyle="1" w:styleId="50">
    <w:name w:val="列表段落1"/>
    <w:basedOn w:val="1"/>
    <w:autoRedefine/>
    <w:qFormat/>
    <w:uiPriority w:val="0"/>
    <w:pPr>
      <w:ind w:firstLine="420" w:firstLineChars="200"/>
    </w:pPr>
    <w:rPr>
      <w:rFonts w:ascii="Calibri" w:hAnsi="Calibri" w:eastAsia="宋体" w:cs="Times New Roman"/>
    </w:rPr>
  </w:style>
  <w:style w:type="character" w:customStyle="1" w:styleId="51">
    <w:name w:val="font11"/>
    <w:basedOn w:val="33"/>
    <w:autoRedefine/>
    <w:qFormat/>
    <w:uiPriority w:val="0"/>
    <w:rPr>
      <w:rFonts w:hint="eastAsia" w:ascii="宋体" w:hAnsi="宋体" w:eastAsia="宋体" w:cs="宋体"/>
      <w:color w:val="000000"/>
      <w:sz w:val="22"/>
      <w:szCs w:val="22"/>
      <w:u w:val="none"/>
    </w:rPr>
  </w:style>
  <w:style w:type="paragraph" w:customStyle="1" w:styleId="52">
    <w:name w:val="表内容"/>
    <w:basedOn w:val="53"/>
    <w:autoRedefine/>
    <w:qFormat/>
    <w:uiPriority w:val="0"/>
    <w:pPr>
      <w:spacing w:line="360" w:lineRule="exact"/>
      <w:ind w:firstLine="0" w:firstLineChars="0"/>
      <w:jc w:val="center"/>
    </w:pPr>
    <w:rPr>
      <w:szCs w:val="21"/>
    </w:rPr>
  </w:style>
  <w:style w:type="paragraph" w:customStyle="1" w:styleId="53">
    <w:name w:val="24磅正文"/>
    <w:basedOn w:val="1"/>
    <w:autoRedefine/>
    <w:qFormat/>
    <w:uiPriority w:val="0"/>
    <w:pPr>
      <w:spacing w:line="480" w:lineRule="exact"/>
      <w:ind w:firstLine="480" w:firstLineChars="200"/>
    </w:pPr>
    <w:rPr>
      <w:rFonts w:eastAsia="宋体"/>
    </w:rPr>
  </w:style>
  <w:style w:type="paragraph" w:customStyle="1" w:styleId="54">
    <w:name w:val="正文 + 仿宋_GB2312"/>
    <w:basedOn w:val="1"/>
    <w:autoRedefine/>
    <w:qFormat/>
    <w:uiPriority w:val="99"/>
    <w:pPr>
      <w:ind w:firstLine="480" w:firstLineChars="200"/>
    </w:pPr>
    <w:rPr>
      <w:rFonts w:ascii="仿宋_GB2312" w:hAnsi="Calibri" w:eastAsia="仿宋_GB2312" w:cs="Times New Roman"/>
      <w:sz w:val="24"/>
    </w:rPr>
  </w:style>
  <w:style w:type="paragraph" w:customStyle="1" w:styleId="55">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56">
    <w:name w:val="胡正文"/>
    <w:basedOn w:val="1"/>
    <w:autoRedefine/>
    <w:qFormat/>
    <w:uiPriority w:val="0"/>
    <w:pPr>
      <w:spacing w:line="360" w:lineRule="auto"/>
      <w:ind w:firstLine="200" w:firstLineChars="200"/>
      <w:jc w:val="left"/>
    </w:pPr>
    <w:rPr>
      <w:rFonts w:ascii="宋体" w:hAnsi="宋体"/>
      <w:sz w:val="24"/>
      <w:szCs w:val="28"/>
    </w:rPr>
  </w:style>
  <w:style w:type="paragraph" w:customStyle="1" w:styleId="57">
    <w:name w:val="表格"/>
    <w:basedOn w:val="58"/>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58">
    <w:name w:val="报告正文"/>
    <w:basedOn w:val="1"/>
    <w:autoRedefine/>
    <w:qFormat/>
    <w:uiPriority w:val="0"/>
    <w:pPr>
      <w:adjustRightInd w:val="0"/>
      <w:snapToGrid w:val="0"/>
      <w:spacing w:after="20" w:afterLines="20" w:line="288" w:lineRule="auto"/>
      <w:ind w:firstLine="560" w:firstLineChars="200"/>
    </w:pPr>
    <w:rPr>
      <w:rFonts w:hint="default" w:ascii="Times New Roman" w:hAnsi="Times New Roman" w:eastAsia="宋体" w:cs="宋体"/>
      <w:snapToGrid w:val="0"/>
      <w:color w:val="auto"/>
      <w:kern w:val="0"/>
      <w:sz w:val="28"/>
      <w:szCs w:val="22"/>
    </w:rPr>
  </w:style>
  <w:style w:type="paragraph" w:customStyle="1" w:styleId="59">
    <w:name w:val="我的正文"/>
    <w:basedOn w:val="1"/>
    <w:autoRedefine/>
    <w:qFormat/>
    <w:uiPriority w:val="0"/>
    <w:pPr>
      <w:spacing w:line="360" w:lineRule="auto"/>
      <w:ind w:firstLine="480" w:firstLineChars="200"/>
      <w:jc w:val="left"/>
    </w:pPr>
    <w:rPr>
      <w:rFonts w:hAnsi="宋体"/>
      <w:bCs/>
      <w:kern w:val="44"/>
      <w:sz w:val="24"/>
    </w:rPr>
  </w:style>
  <w:style w:type="paragraph" w:customStyle="1" w:styleId="60">
    <w:name w:val="环科院正文"/>
    <w:basedOn w:val="1"/>
    <w:autoRedefine/>
    <w:semiHidden/>
    <w:qFormat/>
    <w:uiPriority w:val="0"/>
    <w:pPr>
      <w:tabs>
        <w:tab w:val="left" w:pos="5760"/>
      </w:tabs>
      <w:spacing w:line="500" w:lineRule="exact"/>
      <w:ind w:firstLine="480" w:firstLineChars="200"/>
    </w:pPr>
    <w:rPr>
      <w:rFonts w:hAnsi="宋体"/>
      <w:bCs/>
      <w:snapToGrid w:val="0"/>
      <w:kern w:val="0"/>
      <w:sz w:val="24"/>
      <w:u w:color="000000"/>
      <w:lang w:val="zh-CN"/>
    </w:rPr>
  </w:style>
  <w:style w:type="paragraph" w:customStyle="1" w:styleId="61">
    <w:name w:val="文字"/>
    <w:basedOn w:val="1"/>
    <w:autoRedefine/>
    <w:qFormat/>
    <w:uiPriority w:val="0"/>
    <w:pPr>
      <w:spacing w:line="360" w:lineRule="auto"/>
    </w:pPr>
  </w:style>
  <w:style w:type="paragraph" w:customStyle="1" w:styleId="62">
    <w:name w:val="fu正文"/>
    <w:basedOn w:val="1"/>
    <w:autoRedefine/>
    <w:qFormat/>
    <w:uiPriority w:val="0"/>
    <w:pPr>
      <w:spacing w:line="360" w:lineRule="auto"/>
      <w:ind w:firstLine="200" w:firstLineChars="200"/>
    </w:pPr>
    <w:rPr>
      <w:rFonts w:ascii="宋体" w:hAnsi="宋体" w:eastAsia="宋体" w:cs="Times New Roman"/>
      <w:color w:val="000000"/>
      <w:sz w:val="24"/>
    </w:rPr>
  </w:style>
  <w:style w:type="paragraph" w:customStyle="1" w:styleId="63">
    <w:name w:val="正文修改"/>
    <w:basedOn w:val="1"/>
    <w:autoRedefine/>
    <w:qFormat/>
    <w:uiPriority w:val="0"/>
    <w:pPr>
      <w:spacing w:line="360" w:lineRule="auto"/>
      <w:ind w:firstLine="480" w:firstLineChars="200"/>
    </w:pPr>
    <w:rPr>
      <w:rFonts w:cs="宋体"/>
      <w:kern w:val="0"/>
      <w:sz w:val="24"/>
    </w:rPr>
  </w:style>
  <w:style w:type="paragraph" w:customStyle="1" w:styleId="64">
    <w:name w:val="正本文字"/>
    <w:basedOn w:val="1"/>
    <w:autoRedefine/>
    <w:qFormat/>
    <w:uiPriority w:val="0"/>
    <w:pPr>
      <w:adjustRightInd w:val="0"/>
      <w:snapToGrid w:val="0"/>
      <w:spacing w:line="360" w:lineRule="auto"/>
      <w:ind w:firstLine="480" w:firstLineChars="200"/>
      <w:jc w:val="left"/>
    </w:pPr>
    <w:rPr>
      <w:rFonts w:cs="宋体"/>
      <w:kern w:val="18"/>
      <w:sz w:val="24"/>
      <w:szCs w:val="20"/>
    </w:rPr>
  </w:style>
  <w:style w:type="paragraph" w:customStyle="1" w:styleId="65">
    <w:name w:val="TH"/>
    <w:basedOn w:val="66"/>
    <w:autoRedefine/>
    <w:qFormat/>
    <w:uiPriority w:val="0"/>
    <w:pPr>
      <w:ind w:firstLine="0"/>
      <w:jc w:val="center"/>
    </w:pPr>
    <w:rPr>
      <w:b/>
    </w:rPr>
  </w:style>
  <w:style w:type="paragraph" w:customStyle="1" w:styleId="66">
    <w:name w:val="TW"/>
    <w:basedOn w:val="1"/>
    <w:autoRedefine/>
    <w:qFormat/>
    <w:uiPriority w:val="0"/>
    <w:pPr>
      <w:ind w:firstLine="480"/>
    </w:pPr>
    <w:rPr>
      <w:rFonts w:cs="Times New Roman"/>
    </w:rPr>
  </w:style>
  <w:style w:type="character" w:customStyle="1" w:styleId="67">
    <w:name w:val="font21"/>
    <w:basedOn w:val="33"/>
    <w:autoRedefine/>
    <w:qFormat/>
    <w:uiPriority w:val="0"/>
    <w:rPr>
      <w:rFonts w:hint="eastAsia" w:ascii="宋体" w:hAnsi="宋体" w:eastAsia="宋体" w:cs="宋体"/>
      <w:color w:val="000000"/>
      <w:sz w:val="21"/>
      <w:szCs w:val="21"/>
      <w:u w:val="none"/>
    </w:rPr>
  </w:style>
  <w:style w:type="paragraph" w:customStyle="1" w:styleId="68">
    <w:name w:val="文本"/>
    <w:basedOn w:val="1"/>
    <w:autoRedefine/>
    <w:qFormat/>
    <w:uiPriority w:val="0"/>
    <w:pPr>
      <w:spacing w:line="360" w:lineRule="auto"/>
      <w:ind w:firstLine="480" w:firstLineChars="200"/>
    </w:pPr>
    <w:rPr>
      <w:sz w:val="24"/>
    </w:rPr>
  </w:style>
  <w:style w:type="paragraph" w:customStyle="1" w:styleId="69">
    <w:name w:val="报告表正文"/>
    <w:basedOn w:val="1"/>
    <w:autoRedefine/>
    <w:qFormat/>
    <w:uiPriority w:val="0"/>
    <w:pPr>
      <w:overflowPunct w:val="0"/>
      <w:adjustRightInd w:val="0"/>
      <w:snapToGrid w:val="0"/>
      <w:spacing w:line="360" w:lineRule="auto"/>
      <w:ind w:firstLine="200" w:firstLineChars="200"/>
    </w:pPr>
    <w:rPr>
      <w:rFonts w:ascii="Times New Roman" w:hAnsi="Times New Roman" w:eastAsia="仿宋_GB2312"/>
      <w:color w:val="000000"/>
      <w:kern w:val="16"/>
      <w:sz w:val="24"/>
    </w:rPr>
  </w:style>
  <w:style w:type="paragraph" w:customStyle="1" w:styleId="70">
    <w:name w:val="*正文"/>
    <w:autoRedefine/>
    <w:qFormat/>
    <w:uiPriority w:val="0"/>
    <w:pPr>
      <w:spacing w:line="360" w:lineRule="auto"/>
      <w:ind w:firstLine="200" w:firstLineChars="200"/>
      <w:jc w:val="both"/>
      <w:textAlignment w:val="baseline"/>
    </w:pPr>
    <w:rPr>
      <w:rFonts w:ascii="Times New Roman" w:hAnsi="Times New Roman" w:eastAsia="宋体" w:cs="Times New Roman"/>
      <w:color w:val="000000"/>
      <w:sz w:val="24"/>
      <w:szCs w:val="22"/>
      <w:lang w:val="en-US" w:eastAsia="zh-CN" w:bidi="ar-SA"/>
    </w:rPr>
  </w:style>
  <w:style w:type="character" w:customStyle="1" w:styleId="71">
    <w:name w:val="font31"/>
    <w:autoRedefine/>
    <w:qFormat/>
    <w:uiPriority w:val="0"/>
    <w:rPr>
      <w:rFonts w:hint="eastAsia" w:ascii="宋体" w:hAnsi="宋体" w:eastAsia="宋体" w:cs="宋体"/>
      <w:color w:val="333333"/>
      <w:sz w:val="18"/>
      <w:szCs w:val="18"/>
    </w:rPr>
  </w:style>
  <w:style w:type="paragraph" w:customStyle="1" w:styleId="72">
    <w:name w:val="Table Paragraph"/>
    <w:basedOn w:val="1"/>
    <w:autoRedefine/>
    <w:qFormat/>
    <w:uiPriority w:val="1"/>
    <w:rPr>
      <w:rFonts w:ascii="宋体" w:hAnsi="宋体" w:eastAsia="宋体" w:cs="宋体"/>
      <w:lang w:val="zh-CN" w:bidi="zh-CN"/>
    </w:rPr>
  </w:style>
  <w:style w:type="paragraph" w:customStyle="1" w:styleId="73">
    <w:name w:val="谏壁正文chen"/>
    <w:basedOn w:val="1"/>
    <w:autoRedefine/>
    <w:qFormat/>
    <w:uiPriority w:val="0"/>
    <w:pPr>
      <w:spacing w:line="360" w:lineRule="auto"/>
      <w:ind w:firstLine="200" w:firstLineChars="200"/>
    </w:pPr>
    <w:rPr>
      <w:rFonts w:ascii="Times New Roman" w:hAnsi="Times New Roman"/>
      <w:sz w:val="24"/>
    </w:rPr>
  </w:style>
  <w:style w:type="paragraph" w:customStyle="1" w:styleId="74">
    <w:name w:val="报告书正文"/>
    <w:basedOn w:val="1"/>
    <w:autoRedefine/>
    <w:qFormat/>
    <w:uiPriority w:val="0"/>
    <w:pPr>
      <w:autoSpaceDE w:val="0"/>
      <w:autoSpaceDN w:val="0"/>
      <w:spacing w:line="520" w:lineRule="exact"/>
      <w:ind w:firstLine="200" w:firstLineChars="200"/>
    </w:pPr>
    <w:rPr>
      <w:sz w:val="28"/>
      <w:szCs w:val="28"/>
    </w:rPr>
  </w:style>
  <w:style w:type="paragraph" w:customStyle="1" w:styleId="75">
    <w:name w:val="表标题"/>
    <w:basedOn w:val="1"/>
    <w:next w:val="48"/>
    <w:autoRedefine/>
    <w:qFormat/>
    <w:uiPriority w:val="0"/>
    <w:pPr>
      <w:jc w:val="center"/>
    </w:pPr>
    <w:rPr>
      <w:rFonts w:eastAsia="黑体"/>
    </w:rPr>
  </w:style>
  <w:style w:type="paragraph" w:customStyle="1" w:styleId="76">
    <w:name w:val="表格正文"/>
    <w:basedOn w:val="7"/>
    <w:autoRedefine/>
    <w:qFormat/>
    <w:uiPriority w:val="0"/>
    <w:pPr>
      <w:widowControl/>
      <w:ind w:firstLine="0" w:firstLineChars="0"/>
      <w:jc w:val="center"/>
    </w:pPr>
  </w:style>
  <w:style w:type="character" w:customStyle="1" w:styleId="77">
    <w:name w:val="批注文字 字符"/>
    <w:basedOn w:val="33"/>
    <w:link w:val="9"/>
    <w:autoRedefine/>
    <w:qFormat/>
    <w:uiPriority w:val="0"/>
    <w:rPr>
      <w:rFonts w:asciiTheme="minorHAnsi" w:hAnsiTheme="minorHAnsi" w:eastAsiaTheme="minorEastAsia" w:cstheme="minorBidi"/>
      <w:kern w:val="2"/>
      <w:sz w:val="21"/>
      <w:szCs w:val="24"/>
    </w:rPr>
  </w:style>
  <w:style w:type="character" w:customStyle="1" w:styleId="78">
    <w:name w:val="批注主题 字符"/>
    <w:basedOn w:val="77"/>
    <w:link w:val="29"/>
    <w:autoRedefine/>
    <w:qFormat/>
    <w:uiPriority w:val="0"/>
    <w:rPr>
      <w:rFonts w:asciiTheme="minorHAnsi" w:hAnsiTheme="minorHAnsi" w:eastAsiaTheme="minorEastAsia" w:cstheme="minorBidi"/>
      <w:b/>
      <w:bCs/>
      <w:kern w:val="2"/>
      <w:sz w:val="21"/>
      <w:szCs w:val="24"/>
    </w:rPr>
  </w:style>
  <w:style w:type="character" w:customStyle="1" w:styleId="79">
    <w:name w:val="font61"/>
    <w:autoRedefine/>
    <w:qFormat/>
    <w:uiPriority w:val="0"/>
    <w:rPr>
      <w:rFonts w:hint="eastAsia" w:ascii="宋体" w:hAnsi="宋体" w:eastAsia="宋体" w:cs="宋体"/>
      <w:color w:val="000000"/>
      <w:sz w:val="22"/>
      <w:szCs w:val="22"/>
      <w:u w:val="none"/>
    </w:rPr>
  </w:style>
  <w:style w:type="character" w:customStyle="1" w:styleId="80">
    <w:name w:val="fontstyle01"/>
    <w:basedOn w:val="33"/>
    <w:autoRedefine/>
    <w:qFormat/>
    <w:uiPriority w:val="0"/>
    <w:rPr>
      <w:rFonts w:ascii="宋体" w:hAnsi="宋体" w:eastAsia="宋体" w:cs="宋体"/>
      <w:color w:val="000000"/>
      <w:sz w:val="24"/>
      <w:szCs w:val="24"/>
    </w:rPr>
  </w:style>
  <w:style w:type="character" w:customStyle="1" w:styleId="81">
    <w:name w:val="fontstyle21"/>
    <w:basedOn w:val="33"/>
    <w:autoRedefine/>
    <w:qFormat/>
    <w:uiPriority w:val="0"/>
    <w:rPr>
      <w:rFonts w:ascii="TimesNewRomanPSMT" w:hAnsi="TimesNewRomanPSMT" w:eastAsia="TimesNewRomanPSMT" w:cs="TimesNewRomanPSMT"/>
      <w:color w:val="000000"/>
      <w:sz w:val="24"/>
      <w:szCs w:val="24"/>
    </w:rPr>
  </w:style>
  <w:style w:type="paragraph" w:customStyle="1" w:styleId="82">
    <w:name w:val="正文（首行缩进） Char"/>
    <w:basedOn w:val="1"/>
    <w:autoRedefine/>
    <w:qFormat/>
    <w:uiPriority w:val="0"/>
    <w:pPr>
      <w:widowControl/>
      <w:overflowPunct w:val="0"/>
      <w:topLinePunct/>
      <w:autoSpaceDE w:val="0"/>
      <w:autoSpaceDN w:val="0"/>
      <w:adjustRightInd w:val="0"/>
      <w:snapToGrid w:val="0"/>
      <w:spacing w:line="360" w:lineRule="auto"/>
      <w:ind w:firstLine="480" w:firstLineChars="200"/>
      <w:textAlignment w:val="baseline"/>
    </w:pPr>
    <w:rPr>
      <w:rFonts w:eastAsia="Times New Roman"/>
      <w:kern w:val="0"/>
      <w:sz w:val="24"/>
      <w:szCs w:val="20"/>
    </w:rPr>
  </w:style>
  <w:style w:type="character" w:customStyle="1" w:styleId="83">
    <w:name w:val="font41"/>
    <w:basedOn w:val="33"/>
    <w:autoRedefine/>
    <w:qFormat/>
    <w:uiPriority w:val="0"/>
    <w:rPr>
      <w:rFonts w:hint="eastAsia" w:ascii="宋体" w:hAnsi="宋体" w:eastAsia="宋体" w:cs="宋体"/>
      <w:color w:val="000000"/>
      <w:sz w:val="21"/>
      <w:szCs w:val="21"/>
      <w:u w:val="none"/>
    </w:rPr>
  </w:style>
  <w:style w:type="character" w:customStyle="1" w:styleId="84">
    <w:name w:val="font51"/>
    <w:basedOn w:val="33"/>
    <w:autoRedefine/>
    <w:qFormat/>
    <w:uiPriority w:val="0"/>
    <w:rPr>
      <w:rFonts w:hint="eastAsia" w:ascii="宋体" w:hAnsi="宋体" w:eastAsia="宋体" w:cs="宋体"/>
      <w:color w:val="000000"/>
      <w:sz w:val="21"/>
      <w:szCs w:val="21"/>
      <w:u w:val="none"/>
    </w:rPr>
  </w:style>
  <w:style w:type="paragraph" w:customStyle="1" w:styleId="85">
    <w:name w:val="样式 正文缩进正文缩进2正文缩进 Char Char正文缩进 Char Char Char Char正文缩进 Char ..."/>
    <w:basedOn w:val="7"/>
    <w:qFormat/>
    <w:uiPriority w:val="0"/>
    <w:pPr>
      <w:tabs>
        <w:tab w:val="left" w:pos="495"/>
      </w:tabs>
      <w:spacing w:line="360" w:lineRule="auto"/>
      <w:ind w:firstLine="200"/>
    </w:pPr>
    <w:rPr>
      <w:rFonts w:cs="宋体"/>
      <w:sz w:val="24"/>
    </w:rPr>
  </w:style>
  <w:style w:type="paragraph" w:customStyle="1" w:styleId="86">
    <w:name w:val="图编号"/>
    <w:basedOn w:val="1"/>
    <w:qFormat/>
    <w:uiPriority w:val="0"/>
    <w:pPr>
      <w:numPr>
        <w:ilvl w:val="0"/>
        <w:numId w:val="2"/>
      </w:numPr>
      <w:ind w:firstLineChars="0"/>
      <w:jc w:val="center"/>
    </w:pPr>
    <w:rPr>
      <w:bCs/>
    </w:rPr>
  </w:style>
  <w:style w:type="paragraph" w:customStyle="1" w:styleId="87">
    <w:name w:val="表格名称"/>
    <w:basedOn w:val="1"/>
    <w:qFormat/>
    <w:uiPriority w:val="0"/>
    <w:pPr>
      <w:spacing w:beforeLines="50" w:line="240" w:lineRule="auto"/>
      <w:ind w:firstLine="0" w:firstLineChars="0"/>
      <w:jc w:val="center"/>
    </w:pPr>
    <w:rPr>
      <w:rFonts w:ascii="Times New Roman" w:hAnsi="Times New Roman" w:eastAsia="宋体" w:cs="Times New Roman"/>
      <w:bCs/>
      <w:sz w:val="21"/>
      <w:szCs w:val="21"/>
    </w:rPr>
  </w:style>
  <w:style w:type="paragraph" w:customStyle="1" w:styleId="88">
    <w:name w:val="Table Text"/>
    <w:basedOn w:val="1"/>
    <w:semiHidden/>
    <w:qFormat/>
    <w:uiPriority w:val="0"/>
    <w:rPr>
      <w:rFonts w:ascii="宋体" w:hAnsi="宋体" w:cs="宋体"/>
      <w:szCs w:val="21"/>
      <w:lang w:eastAsia="en-US"/>
    </w:rPr>
  </w:style>
  <w:style w:type="table" w:customStyle="1" w:styleId="89">
    <w:name w:val="Table Normal"/>
    <w:semiHidden/>
    <w:unhideWhenUsed/>
    <w:qFormat/>
    <w:uiPriority w:val="0"/>
    <w:tblPr>
      <w:tblCellMar>
        <w:top w:w="0" w:type="dxa"/>
        <w:left w:w="0" w:type="dxa"/>
        <w:bottom w:w="0" w:type="dxa"/>
        <w:right w:w="0" w:type="dxa"/>
      </w:tblCellMar>
    </w:tblPr>
  </w:style>
  <w:style w:type="paragraph" w:customStyle="1" w:styleId="90">
    <w:name w:val="表头图尾"/>
    <w:basedOn w:val="1"/>
    <w:qFormat/>
    <w:uiPriority w:val="0"/>
    <w:pPr>
      <w:jc w:val="center"/>
    </w:pPr>
    <w:rPr>
      <w:b/>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emf"/><Relationship Id="rId12" Type="http://schemas.openxmlformats.org/officeDocument/2006/relationships/oleObject" Target="embeddings/oleObject2.bin"/><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90</Pages>
  <Words>24890</Words>
  <Characters>26687</Characters>
  <Lines>545</Lines>
  <Paragraphs>153</Paragraphs>
  <TotalTime>5</TotalTime>
  <ScaleCrop>false</ScaleCrop>
  <LinksUpToDate>false</LinksUpToDate>
  <CharactersWithSpaces>26831</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2021-01-04T22:22:00Z</dcterms:created>
  <dc:creator>秋风落叶</dc:creator>
  <cp:lastModifiedBy>uos</cp:lastModifiedBy>
  <dcterms:modified xsi:type="dcterms:W3CDTF">2026-06-18T10:30:34Z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D1692E1151524FFB2BF9316AD4577B63_43</vt:lpwstr>
  </property>
  <property fmtid="{D5CDD505-2E9C-101B-9397-08002B2CF9AE}" pid="4" name="commondata">
    <vt:lpwstr>eyJoZGlkIjoiMjVjNjExOTA1OTlkNGJkNWRlOTdjYTJlN2U3YWIwZjIifQ==</vt:lpwstr>
  </property>
  <property fmtid="{D5CDD505-2E9C-101B-9397-08002B2CF9AE}" pid="5" name="KSOTemplateDocerSaveRecord">
    <vt:lpwstr>eyJoZGlkIjoiNDQ3MTI4Y2I1ZjIyZTMyYTRhNjY0ZmEyYzAyOTdhYjUiLCJ1c2VySWQiOiI1NjMxMjA0MTkifQ==</vt:lpwstr>
  </property>
</Properties>
</file>