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51E36">
      <w:pPr>
        <w:rPr>
          <w:rFonts w:hint="eastAsia" w:ascii="仿宋_GB2312" w:hAnsi="仿宋_GB2312" w:eastAsia="仿宋_GB2312" w:cs="仿宋_GB2312"/>
          <w:sz w:val="36"/>
          <w:szCs w:val="36"/>
          <w:lang w:val="en-US" w:eastAsia="zh-CN"/>
        </w:rPr>
      </w:pPr>
    </w:p>
    <w:p w14:paraId="18247542">
      <w:pPr>
        <w:rPr>
          <w:rFonts w:ascii="仿宋_GB2312" w:hAnsi="仿宋_GB2312" w:eastAsia="仿宋_GB2312" w:cs="仿宋_GB2312"/>
          <w:sz w:val="36"/>
          <w:szCs w:val="36"/>
        </w:rPr>
      </w:pPr>
    </w:p>
    <w:p w14:paraId="1D7DD738">
      <w:pPr>
        <w:rPr>
          <w:rFonts w:ascii="仿宋_GB2312" w:hAnsi="仿宋_GB2312" w:eastAsia="仿宋_GB2312" w:cs="仿宋_GB2312"/>
          <w:sz w:val="36"/>
          <w:szCs w:val="36"/>
        </w:rPr>
      </w:pPr>
    </w:p>
    <w:p w14:paraId="07268038">
      <w:pPr>
        <w:rPr>
          <w:rFonts w:ascii="仿宋_GB2312" w:hAnsi="仿宋_GB2312" w:eastAsia="仿宋_GB2312" w:cs="仿宋_GB2312"/>
          <w:sz w:val="36"/>
          <w:szCs w:val="36"/>
        </w:rPr>
      </w:pPr>
    </w:p>
    <w:p w14:paraId="2C92D3C5">
      <w:pPr>
        <w:rPr>
          <w:rFonts w:ascii="仿宋_GB2312" w:hAnsi="仿宋_GB2312" w:eastAsia="仿宋_GB2312" w:cs="仿宋_GB2312"/>
          <w:sz w:val="36"/>
          <w:szCs w:val="36"/>
        </w:rPr>
      </w:pPr>
    </w:p>
    <w:p w14:paraId="45D1FD57">
      <w:pPr>
        <w:adjustRightInd w:val="0"/>
        <w:snapToGrid w:val="0"/>
        <w:jc w:val="center"/>
        <w:outlineLvl w:val="0"/>
        <w:rPr>
          <w:rFonts w:ascii="方正小标宋_GBK" w:eastAsia="方正小标宋_GBK"/>
          <w:bCs/>
          <w:sz w:val="72"/>
          <w:szCs w:val="72"/>
        </w:rPr>
      </w:pPr>
      <w:r>
        <w:rPr>
          <w:rFonts w:hint="eastAsia" w:ascii="方正小标宋_GBK" w:eastAsia="方正小标宋_GBK"/>
          <w:bCs/>
          <w:sz w:val="72"/>
          <w:szCs w:val="72"/>
        </w:rPr>
        <w:t>建设项目环境影响报告表</w:t>
      </w:r>
    </w:p>
    <w:p w14:paraId="5507AD8A">
      <w:pPr>
        <w:adjustRightInd w:val="0"/>
        <w:snapToGrid w:val="0"/>
        <w:spacing w:before="192" w:beforeLines="80"/>
        <w:jc w:val="center"/>
        <w:rPr>
          <w:rFonts w:ascii="楷体_GB2312" w:eastAsia="楷体_GB2312"/>
          <w:bCs/>
          <w:sz w:val="48"/>
          <w:szCs w:val="48"/>
        </w:rPr>
      </w:pPr>
      <w:r>
        <w:rPr>
          <w:rFonts w:hint="eastAsia" w:ascii="楷体_GB2312" w:eastAsia="楷体_GB2312"/>
          <w:bCs/>
          <w:sz w:val="48"/>
          <w:szCs w:val="48"/>
        </w:rPr>
        <w:t>（污染影响类）</w:t>
      </w:r>
    </w:p>
    <w:p w14:paraId="6E91E91E">
      <w:pPr>
        <w:adjustRightInd w:val="0"/>
        <w:snapToGrid w:val="0"/>
        <w:spacing w:line="288" w:lineRule="auto"/>
        <w:jc w:val="center"/>
        <w:rPr>
          <w:rFonts w:ascii="华文仿宋" w:hAnsi="华文仿宋" w:eastAsia="华文仿宋" w:cs="华文仿宋"/>
          <w:color w:val="000000"/>
          <w:kern w:val="44"/>
          <w:sz w:val="44"/>
          <w:szCs w:val="44"/>
        </w:rPr>
      </w:pPr>
    </w:p>
    <w:p w14:paraId="51470765">
      <w:pPr>
        <w:jc w:val="center"/>
        <w:rPr>
          <w:rFonts w:eastAsia="仿宋"/>
          <w:sz w:val="52"/>
          <w:szCs w:val="52"/>
        </w:rPr>
      </w:pPr>
    </w:p>
    <w:p w14:paraId="6911A877">
      <w:pPr>
        <w:ind w:firstLine="1040"/>
        <w:rPr>
          <w:rFonts w:eastAsia="仿宋"/>
          <w:sz w:val="44"/>
          <w:szCs w:val="44"/>
        </w:rPr>
      </w:pPr>
    </w:p>
    <w:p w14:paraId="3B72A78B">
      <w:pPr>
        <w:ind w:firstLine="1040"/>
        <w:rPr>
          <w:rFonts w:eastAsia="仿宋"/>
          <w:sz w:val="44"/>
          <w:szCs w:val="44"/>
        </w:rPr>
      </w:pPr>
    </w:p>
    <w:p w14:paraId="3039BB37">
      <w:pPr>
        <w:ind w:firstLine="1040"/>
        <w:rPr>
          <w:rFonts w:eastAsia="仿宋"/>
          <w:sz w:val="44"/>
          <w:szCs w:val="44"/>
        </w:rPr>
      </w:pPr>
    </w:p>
    <w:p w14:paraId="56695EC2">
      <w:pPr>
        <w:ind w:firstLine="1040"/>
        <w:rPr>
          <w:rFonts w:eastAsia="仿宋"/>
          <w:sz w:val="44"/>
          <w:szCs w:val="44"/>
        </w:rPr>
      </w:pPr>
    </w:p>
    <w:p w14:paraId="57D5428A">
      <w:pPr>
        <w:adjustRightInd w:val="0"/>
        <w:snapToGrid w:val="0"/>
        <w:spacing w:line="288" w:lineRule="auto"/>
        <w:ind w:firstLine="360" w:firstLineChars="100"/>
        <w:jc w:val="left"/>
        <w:rPr>
          <w:rFonts w:ascii="仿宋_GB2312" w:eastAsia="仿宋_GB2312"/>
          <w:sz w:val="36"/>
          <w:szCs w:val="36"/>
          <w:u w:val="single"/>
        </w:rPr>
      </w:pPr>
      <w:r>
        <w:rPr>
          <w:rFonts w:hint="eastAsia" w:ascii="仿宋_GB2312" w:eastAsia="仿宋_GB2312"/>
          <w:sz w:val="36"/>
          <w:szCs w:val="36"/>
        </w:rPr>
        <w:t>项目名称：</w:t>
      </w:r>
      <w:r>
        <w:rPr>
          <w:rFonts w:hint="eastAsia" w:ascii="仿宋_GB2312" w:eastAsia="仿宋_GB2312"/>
          <w:sz w:val="36"/>
          <w:szCs w:val="36"/>
          <w:u w:val="single"/>
        </w:rPr>
        <w:t xml:space="preserve">  蚯蚓生态循环产业示范园项目(二期)       </w:t>
      </w:r>
    </w:p>
    <w:p w14:paraId="25F9EBE6">
      <w:pPr>
        <w:adjustRightInd w:val="0"/>
        <w:snapToGrid w:val="0"/>
        <w:spacing w:line="288" w:lineRule="auto"/>
        <w:ind w:firstLine="360" w:firstLineChars="100"/>
        <w:rPr>
          <w:rFonts w:ascii="仿宋_GB2312" w:eastAsia="仿宋_GB2312"/>
          <w:sz w:val="36"/>
          <w:szCs w:val="36"/>
          <w:u w:val="single"/>
        </w:rPr>
      </w:pPr>
      <w:r>
        <w:rPr>
          <w:rFonts w:hint="eastAsia" w:ascii="仿宋_GB2312" w:eastAsia="仿宋_GB2312"/>
          <w:sz w:val="36"/>
          <w:szCs w:val="36"/>
        </w:rPr>
        <w:t>建设单位（盖章）：</w:t>
      </w:r>
      <w:r>
        <w:rPr>
          <w:rFonts w:hint="eastAsia" w:ascii="仿宋_GB2312" w:eastAsia="仿宋_GB2312"/>
          <w:sz w:val="36"/>
          <w:szCs w:val="36"/>
          <w:u w:val="single"/>
        </w:rPr>
        <w:t>泗县法博士生态农业有限公司</w:t>
      </w:r>
    </w:p>
    <w:p w14:paraId="084E4732">
      <w:pPr>
        <w:adjustRightInd w:val="0"/>
        <w:snapToGrid w:val="0"/>
        <w:spacing w:line="288" w:lineRule="auto"/>
        <w:ind w:firstLine="360" w:firstLineChars="100"/>
        <w:rPr>
          <w:rFonts w:ascii="仿宋_GB2312" w:eastAsia="仿宋_GB2312"/>
          <w:sz w:val="36"/>
          <w:szCs w:val="36"/>
          <w:u w:val="single"/>
        </w:rPr>
      </w:pPr>
      <w:r>
        <w:rPr>
          <w:rFonts w:hint="eastAsia" w:ascii="仿宋_GB2312" w:eastAsia="仿宋_GB2312"/>
          <w:sz w:val="36"/>
          <w:szCs w:val="36"/>
        </w:rPr>
        <w:t>编制日期：</w:t>
      </w:r>
      <w:r>
        <w:rPr>
          <w:rFonts w:hint="eastAsia" w:ascii="仿宋_GB2312" w:eastAsia="仿宋_GB2312"/>
          <w:sz w:val="36"/>
          <w:szCs w:val="36"/>
          <w:u w:val="single"/>
        </w:rPr>
        <w:t xml:space="preserve"> </w:t>
      </w:r>
      <w:r>
        <w:rPr>
          <w:rFonts w:ascii="仿宋_GB2312" w:eastAsia="仿宋_GB2312"/>
          <w:sz w:val="36"/>
          <w:szCs w:val="36"/>
          <w:u w:val="single"/>
        </w:rPr>
        <w:t xml:space="preserve"> </w:t>
      </w:r>
      <w:r>
        <w:rPr>
          <w:rFonts w:hint="eastAsia" w:ascii="仿宋_GB2312" w:eastAsia="仿宋_GB2312"/>
          <w:sz w:val="36"/>
          <w:szCs w:val="36"/>
          <w:u w:val="single"/>
        </w:rPr>
        <w:t xml:space="preserve">        二〇二</w:t>
      </w:r>
      <w:r>
        <w:rPr>
          <w:rFonts w:hint="eastAsia" w:ascii="仿宋_GB2312" w:eastAsia="仿宋_GB2312"/>
          <w:sz w:val="36"/>
          <w:szCs w:val="36"/>
          <w:u w:val="single"/>
          <w:lang w:val="en-US" w:eastAsia="zh-CN"/>
        </w:rPr>
        <w:t>六</w:t>
      </w:r>
      <w:r>
        <w:rPr>
          <w:rFonts w:hint="eastAsia" w:ascii="仿宋_GB2312" w:eastAsia="仿宋_GB2312"/>
          <w:sz w:val="36"/>
          <w:szCs w:val="36"/>
          <w:u w:val="single"/>
        </w:rPr>
        <w:t>年</w:t>
      </w:r>
      <w:r>
        <w:rPr>
          <w:rFonts w:hint="eastAsia" w:ascii="仿宋_GB2312" w:eastAsia="仿宋_GB2312"/>
          <w:sz w:val="36"/>
          <w:szCs w:val="36"/>
          <w:u w:val="single"/>
          <w:lang w:val="en-US" w:eastAsia="zh-CN"/>
        </w:rPr>
        <w:t>六</w:t>
      </w:r>
      <w:r>
        <w:rPr>
          <w:rFonts w:hint="eastAsia" w:ascii="仿宋_GB2312" w:eastAsia="仿宋_GB2312"/>
          <w:sz w:val="36"/>
          <w:szCs w:val="36"/>
          <w:u w:val="single"/>
        </w:rPr>
        <w:t>月</w:t>
      </w:r>
      <w:r>
        <w:rPr>
          <w:rFonts w:ascii="仿宋_GB2312" w:eastAsia="仿宋_GB2312"/>
          <w:sz w:val="36"/>
          <w:szCs w:val="36"/>
          <w:u w:val="single"/>
        </w:rPr>
        <w:t xml:space="preserve">   </w:t>
      </w:r>
      <w:r>
        <w:rPr>
          <w:rFonts w:hint="eastAsia" w:ascii="仿宋_GB2312" w:eastAsia="仿宋_GB2312"/>
          <w:sz w:val="36"/>
          <w:szCs w:val="36"/>
          <w:u w:val="single"/>
        </w:rPr>
        <w:t xml:space="preserve"> </w:t>
      </w:r>
      <w:r>
        <w:rPr>
          <w:rFonts w:ascii="仿宋_GB2312" w:eastAsia="仿宋_GB2312"/>
          <w:sz w:val="36"/>
          <w:szCs w:val="36"/>
          <w:u w:val="single"/>
        </w:rPr>
        <w:t xml:space="preserve">   </w:t>
      </w:r>
      <w:r>
        <w:rPr>
          <w:rFonts w:hint="eastAsia" w:ascii="仿宋_GB2312" w:eastAsia="仿宋_GB2312"/>
          <w:sz w:val="36"/>
          <w:szCs w:val="36"/>
          <w:u w:val="single"/>
        </w:rPr>
        <w:t xml:space="preserve">  </w:t>
      </w:r>
    </w:p>
    <w:p w14:paraId="12471430">
      <w:pPr>
        <w:adjustRightInd w:val="0"/>
        <w:snapToGrid w:val="0"/>
        <w:spacing w:line="288" w:lineRule="auto"/>
        <w:ind w:firstLine="1040"/>
        <w:rPr>
          <w:rFonts w:ascii="仿宋_GB2312" w:eastAsia="仿宋_GB2312"/>
          <w:sz w:val="36"/>
          <w:szCs w:val="36"/>
          <w:u w:val="single"/>
        </w:rPr>
      </w:pPr>
      <w:bookmarkStart w:id="0" w:name="_Hlk57884087"/>
    </w:p>
    <w:p w14:paraId="625E0930">
      <w:pPr>
        <w:adjustRightInd w:val="0"/>
        <w:snapToGrid w:val="0"/>
        <w:spacing w:line="288" w:lineRule="auto"/>
        <w:ind w:firstLine="1040"/>
        <w:rPr>
          <w:rFonts w:ascii="仿宋_GB2312" w:eastAsia="仿宋_GB2312"/>
          <w:sz w:val="36"/>
          <w:szCs w:val="36"/>
        </w:rPr>
      </w:pPr>
    </w:p>
    <w:p w14:paraId="51E67752">
      <w:pPr>
        <w:adjustRightInd w:val="0"/>
        <w:snapToGrid w:val="0"/>
        <w:spacing w:line="288" w:lineRule="auto"/>
        <w:ind w:firstLine="1040"/>
        <w:rPr>
          <w:rFonts w:ascii="仿宋_GB2312" w:eastAsia="仿宋_GB2312"/>
          <w:sz w:val="36"/>
          <w:szCs w:val="36"/>
        </w:rPr>
      </w:pPr>
    </w:p>
    <w:p w14:paraId="5CE1FEE4">
      <w:pPr>
        <w:adjustRightInd w:val="0"/>
        <w:snapToGrid w:val="0"/>
        <w:spacing w:line="288" w:lineRule="auto"/>
        <w:ind w:firstLine="1040"/>
        <w:rPr>
          <w:rFonts w:ascii="仿宋_GB2312" w:eastAsia="仿宋_GB2312"/>
          <w:sz w:val="36"/>
          <w:szCs w:val="36"/>
        </w:rPr>
      </w:pPr>
    </w:p>
    <w:p w14:paraId="281FD9BC">
      <w:pPr>
        <w:adjustRightInd w:val="0"/>
        <w:snapToGrid w:val="0"/>
        <w:spacing w:line="288" w:lineRule="auto"/>
        <w:ind w:firstLine="1040"/>
        <w:rPr>
          <w:rFonts w:ascii="仿宋_GB2312" w:eastAsia="仿宋_GB2312"/>
          <w:sz w:val="36"/>
          <w:szCs w:val="36"/>
        </w:rPr>
      </w:pPr>
    </w:p>
    <w:bookmarkEnd w:id="0"/>
    <w:p w14:paraId="10BA674A">
      <w:pPr>
        <w:adjustRightInd w:val="0"/>
        <w:snapToGrid w:val="0"/>
        <w:spacing w:line="288" w:lineRule="auto"/>
        <w:jc w:val="center"/>
        <w:rPr>
          <w:rFonts w:ascii="仿宋_GB2312" w:eastAsia="仿宋_GB2312"/>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r>
        <w:rPr>
          <w:rFonts w:hint="eastAsia" w:ascii="楷体_GB2312" w:eastAsia="楷体_GB2312"/>
          <w:sz w:val="36"/>
          <w:szCs w:val="36"/>
        </w:rPr>
        <w:t>中华人民共和国生态环境部制</w:t>
      </w:r>
    </w:p>
    <w:p w14:paraId="0AD28AF5">
      <w:pPr>
        <w:pStyle w:val="19"/>
        <w:ind w:firstLine="3000" w:firstLineChars="1000"/>
        <w:jc w:val="both"/>
        <w:outlineLvl w:val="0"/>
        <w:rPr>
          <w:rFonts w:ascii="黑体" w:hAnsi="黑体" w:eastAsia="黑体"/>
          <w:snapToGrid w:val="0"/>
          <w:sz w:val="30"/>
          <w:szCs w:val="30"/>
        </w:rPr>
      </w:pPr>
      <w:r>
        <w:rPr>
          <w:rFonts w:hint="eastAsia" w:ascii="黑体" w:hAnsi="黑体" w:eastAsia="黑体"/>
          <w:snapToGrid w:val="0"/>
          <w:sz w:val="30"/>
          <w:szCs w:val="30"/>
        </w:rPr>
        <w:t>一、建设项目基本情况</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82"/>
        <w:gridCol w:w="1637"/>
        <w:gridCol w:w="2212"/>
        <w:gridCol w:w="2639"/>
      </w:tblGrid>
      <w:tr w14:paraId="290114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14:paraId="6418BCBC">
            <w:pPr>
              <w:adjustRightInd w:val="0"/>
              <w:snapToGrid w:val="0"/>
              <w:jc w:val="center"/>
              <w:rPr>
                <w:sz w:val="24"/>
              </w:rPr>
            </w:pPr>
            <w:r>
              <w:rPr>
                <w:sz w:val="24"/>
              </w:rPr>
              <w:t>建设项目名称</w:t>
            </w:r>
          </w:p>
        </w:tc>
        <w:tc>
          <w:tcPr>
            <w:tcW w:w="6488" w:type="dxa"/>
            <w:gridSpan w:val="3"/>
            <w:vAlign w:val="center"/>
          </w:tcPr>
          <w:p w14:paraId="37631118">
            <w:pPr>
              <w:adjustRightInd w:val="0"/>
              <w:snapToGrid w:val="0"/>
              <w:jc w:val="center"/>
              <w:rPr>
                <w:rFonts w:hint="default" w:eastAsia="宋体"/>
                <w:sz w:val="24"/>
                <w:lang w:val="en-US" w:eastAsia="zh-CN"/>
              </w:rPr>
            </w:pPr>
            <w:r>
              <w:rPr>
                <w:rFonts w:hint="eastAsia"/>
                <w:sz w:val="24"/>
                <w:lang w:eastAsia="zh-CN"/>
              </w:rPr>
              <w:t>蚯蚓生态循环产业示范园项目(二期)</w:t>
            </w:r>
          </w:p>
        </w:tc>
      </w:tr>
      <w:tr w14:paraId="1FCBA7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14:paraId="10445076">
            <w:pPr>
              <w:adjustRightInd w:val="0"/>
              <w:snapToGrid w:val="0"/>
              <w:jc w:val="center"/>
              <w:rPr>
                <w:sz w:val="24"/>
              </w:rPr>
            </w:pPr>
            <w:r>
              <w:rPr>
                <w:sz w:val="24"/>
              </w:rPr>
              <w:t>项目代码</w:t>
            </w:r>
          </w:p>
        </w:tc>
        <w:tc>
          <w:tcPr>
            <w:tcW w:w="6488" w:type="dxa"/>
            <w:gridSpan w:val="3"/>
            <w:vAlign w:val="center"/>
          </w:tcPr>
          <w:p w14:paraId="1064FC71">
            <w:pPr>
              <w:adjustRightInd w:val="0"/>
              <w:snapToGrid w:val="0"/>
              <w:jc w:val="center"/>
              <w:rPr>
                <w:color w:val="000000"/>
                <w:sz w:val="24"/>
              </w:rPr>
            </w:pPr>
            <w:r>
              <w:rPr>
                <w:rFonts w:hint="eastAsia"/>
                <w:color w:val="000000"/>
                <w:sz w:val="24"/>
              </w:rPr>
              <w:t>2506-341324-04-01-148992</w:t>
            </w:r>
          </w:p>
        </w:tc>
      </w:tr>
      <w:tr w14:paraId="1EF4AD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14:paraId="4A73A399">
            <w:pPr>
              <w:adjustRightInd w:val="0"/>
              <w:snapToGrid w:val="0"/>
              <w:jc w:val="center"/>
              <w:rPr>
                <w:sz w:val="24"/>
              </w:rPr>
            </w:pPr>
            <w:r>
              <w:rPr>
                <w:sz w:val="24"/>
              </w:rPr>
              <w:t>建设单位联系人</w:t>
            </w:r>
          </w:p>
        </w:tc>
        <w:tc>
          <w:tcPr>
            <w:tcW w:w="1637" w:type="dxa"/>
            <w:vAlign w:val="center"/>
          </w:tcPr>
          <w:p w14:paraId="2F369D58">
            <w:pPr>
              <w:spacing w:line="220" w:lineRule="atLeast"/>
              <w:ind w:firstLine="480" w:firstLineChars="200"/>
              <w:rPr>
                <w:rFonts w:hint="default" w:eastAsia="宋体"/>
                <w:sz w:val="24"/>
                <w:lang w:val="en-US" w:eastAsia="zh-CN"/>
              </w:rPr>
            </w:pPr>
          </w:p>
        </w:tc>
        <w:tc>
          <w:tcPr>
            <w:tcW w:w="2212" w:type="dxa"/>
            <w:vAlign w:val="center"/>
          </w:tcPr>
          <w:p w14:paraId="0021C68A">
            <w:pPr>
              <w:spacing w:line="220" w:lineRule="atLeast"/>
              <w:ind w:firstLine="600" w:firstLineChars="250"/>
              <w:rPr>
                <w:sz w:val="24"/>
              </w:rPr>
            </w:pPr>
            <w:r>
              <w:rPr>
                <w:sz w:val="24"/>
              </w:rPr>
              <w:t>联系方式</w:t>
            </w:r>
          </w:p>
        </w:tc>
        <w:tc>
          <w:tcPr>
            <w:tcW w:w="2639" w:type="dxa"/>
            <w:vAlign w:val="center"/>
          </w:tcPr>
          <w:p w14:paraId="19257A6C">
            <w:pPr>
              <w:spacing w:line="220" w:lineRule="atLeast"/>
              <w:ind w:firstLine="600" w:firstLineChars="250"/>
              <w:rPr>
                <w:rFonts w:hint="default" w:eastAsia="宋体"/>
                <w:color w:val="000000"/>
                <w:sz w:val="24"/>
                <w:lang w:val="en-US" w:eastAsia="zh-CN"/>
              </w:rPr>
            </w:pPr>
            <w:bookmarkStart w:id="5" w:name="_GoBack"/>
            <w:bookmarkEnd w:id="5"/>
          </w:p>
        </w:tc>
      </w:tr>
      <w:tr w14:paraId="7BAD16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14:paraId="7C5B7028">
            <w:pPr>
              <w:adjustRightInd w:val="0"/>
              <w:snapToGrid w:val="0"/>
              <w:jc w:val="center"/>
              <w:rPr>
                <w:sz w:val="24"/>
              </w:rPr>
            </w:pPr>
            <w:r>
              <w:rPr>
                <w:sz w:val="24"/>
              </w:rPr>
              <w:t>建设地点</w:t>
            </w:r>
          </w:p>
        </w:tc>
        <w:tc>
          <w:tcPr>
            <w:tcW w:w="6488" w:type="dxa"/>
            <w:gridSpan w:val="3"/>
            <w:vAlign w:val="center"/>
          </w:tcPr>
          <w:p w14:paraId="659DB4A3">
            <w:pPr>
              <w:adjustRightInd w:val="0"/>
              <w:snapToGrid w:val="0"/>
              <w:jc w:val="center"/>
              <w:rPr>
                <w:color w:val="0000FF"/>
                <w:sz w:val="24"/>
              </w:rPr>
            </w:pPr>
            <w:r>
              <w:rPr>
                <w:rFonts w:hint="eastAsia"/>
                <w:sz w:val="24"/>
              </w:rPr>
              <w:t>泗县虹城街道长三角绿色食品产业园</w:t>
            </w:r>
          </w:p>
        </w:tc>
      </w:tr>
      <w:tr w14:paraId="07227D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14:paraId="6FE7A611">
            <w:pPr>
              <w:adjustRightInd w:val="0"/>
              <w:snapToGrid w:val="0"/>
              <w:jc w:val="center"/>
              <w:rPr>
                <w:sz w:val="24"/>
              </w:rPr>
            </w:pPr>
            <w:r>
              <w:rPr>
                <w:sz w:val="24"/>
              </w:rPr>
              <w:t>地理坐标</w:t>
            </w:r>
          </w:p>
        </w:tc>
        <w:tc>
          <w:tcPr>
            <w:tcW w:w="6488" w:type="dxa"/>
            <w:gridSpan w:val="3"/>
            <w:vAlign w:val="center"/>
          </w:tcPr>
          <w:p w14:paraId="4627995D">
            <w:pPr>
              <w:jc w:val="center"/>
              <w:rPr>
                <w:color w:val="0000FF"/>
                <w:sz w:val="24"/>
              </w:rPr>
            </w:pP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经度：</w:t>
            </w:r>
            <w:r>
              <w:rPr>
                <w:rFonts w:hint="eastAsia"/>
                <w:color w:val="000000" w:themeColor="text1"/>
                <w:sz w:val="24"/>
                <w:u w:val="single"/>
                <w14:textFill>
                  <w14:solidFill>
                    <w14:schemeClr w14:val="tx1"/>
                  </w14:solidFill>
                </w14:textFill>
              </w:rPr>
              <w:t>117</w:t>
            </w:r>
            <w:r>
              <w:rPr>
                <w:color w:val="000000" w:themeColor="text1"/>
                <w:sz w:val="24"/>
                <w14:textFill>
                  <w14:solidFill>
                    <w14:schemeClr w14:val="tx1"/>
                  </w14:solidFill>
                </w14:textFill>
              </w:rPr>
              <w:t>度</w:t>
            </w:r>
            <w:r>
              <w:rPr>
                <w:rFonts w:hint="eastAsia"/>
                <w:color w:val="000000" w:themeColor="text1"/>
                <w:sz w:val="24"/>
                <w:u w:val="single"/>
                <w14:textFill>
                  <w14:solidFill>
                    <w14:schemeClr w14:val="tx1"/>
                  </w14:solidFill>
                </w14:textFill>
              </w:rPr>
              <w:t>5</w:t>
            </w:r>
            <w:r>
              <w:rPr>
                <w:rFonts w:hint="eastAsia"/>
                <w:color w:val="000000" w:themeColor="text1"/>
                <w:sz w:val="24"/>
                <w:u w:val="single"/>
                <w:lang w:val="en-US" w:eastAsia="zh-CN"/>
                <w14:textFill>
                  <w14:solidFill>
                    <w14:schemeClr w14:val="tx1"/>
                  </w14:solidFill>
                </w14:textFill>
              </w:rPr>
              <w:t>0</w:t>
            </w:r>
            <w:r>
              <w:rPr>
                <w:color w:val="000000" w:themeColor="text1"/>
                <w:sz w:val="24"/>
                <w14:textFill>
                  <w14:solidFill>
                    <w14:schemeClr w14:val="tx1"/>
                  </w14:solidFill>
                </w14:textFill>
              </w:rPr>
              <w:t>分</w:t>
            </w:r>
            <w:r>
              <w:rPr>
                <w:rFonts w:hint="eastAsia"/>
                <w:color w:val="000000" w:themeColor="text1"/>
                <w:sz w:val="24"/>
                <w:u w:val="single"/>
                <w:lang w:val="en-US" w:eastAsia="zh-CN"/>
                <w14:textFill>
                  <w14:solidFill>
                    <w14:schemeClr w14:val="tx1"/>
                  </w14:solidFill>
                </w14:textFill>
              </w:rPr>
              <w:t>43.301</w:t>
            </w:r>
            <w:r>
              <w:rPr>
                <w:color w:val="000000" w:themeColor="text1"/>
                <w:sz w:val="24"/>
                <w14:textFill>
                  <w14:solidFill>
                    <w14:schemeClr w14:val="tx1"/>
                  </w14:solidFill>
                </w14:textFill>
              </w:rPr>
              <w:t>秒，</w:t>
            </w:r>
            <w:r>
              <w:rPr>
                <w:rFonts w:hint="eastAsia"/>
                <w:color w:val="000000" w:themeColor="text1"/>
                <w:sz w:val="24"/>
                <w:lang w:val="en-US" w:eastAsia="zh-CN"/>
                <w14:textFill>
                  <w14:solidFill>
                    <w14:schemeClr w14:val="tx1"/>
                  </w14:solidFill>
                </w14:textFill>
              </w:rPr>
              <w:t>纬度：</w:t>
            </w:r>
            <w:r>
              <w:rPr>
                <w:rFonts w:hint="eastAsia"/>
                <w:color w:val="000000" w:themeColor="text1"/>
                <w:sz w:val="24"/>
                <w:u w:val="single"/>
                <w14:textFill>
                  <w14:solidFill>
                    <w14:schemeClr w14:val="tx1"/>
                  </w14:solidFill>
                </w14:textFill>
              </w:rPr>
              <w:t>33</w:t>
            </w:r>
            <w:r>
              <w:rPr>
                <w:color w:val="000000" w:themeColor="text1"/>
                <w:sz w:val="24"/>
                <w14:textFill>
                  <w14:solidFill>
                    <w14:schemeClr w14:val="tx1"/>
                  </w14:solidFill>
                </w14:textFill>
              </w:rPr>
              <w:t>度</w:t>
            </w:r>
            <w:r>
              <w:rPr>
                <w:rFonts w:hint="eastAsia"/>
                <w:color w:val="000000" w:themeColor="text1"/>
                <w:sz w:val="24"/>
                <w:u w:val="single"/>
                <w:lang w:val="en-US" w:eastAsia="zh-CN"/>
                <w14:textFill>
                  <w14:solidFill>
                    <w14:schemeClr w14:val="tx1"/>
                  </w14:solidFill>
                </w14:textFill>
              </w:rPr>
              <w:t>31</w:t>
            </w:r>
            <w:r>
              <w:rPr>
                <w:color w:val="000000" w:themeColor="text1"/>
                <w:sz w:val="24"/>
                <w14:textFill>
                  <w14:solidFill>
                    <w14:schemeClr w14:val="tx1"/>
                  </w14:solidFill>
                </w14:textFill>
              </w:rPr>
              <w:t>分</w:t>
            </w:r>
            <w:r>
              <w:rPr>
                <w:rFonts w:hint="eastAsia"/>
                <w:color w:val="000000" w:themeColor="text1"/>
                <w:sz w:val="24"/>
                <w:u w:val="single"/>
                <w:lang w:val="en-US" w:eastAsia="zh-CN"/>
                <w14:textFill>
                  <w14:solidFill>
                    <w14:schemeClr w14:val="tx1"/>
                  </w14:solidFill>
                </w14:textFill>
              </w:rPr>
              <w:t>42.894</w:t>
            </w:r>
            <w:r>
              <w:rPr>
                <w:color w:val="000000" w:themeColor="text1"/>
                <w:sz w:val="24"/>
                <w14:textFill>
                  <w14:solidFill>
                    <w14:schemeClr w14:val="tx1"/>
                  </w14:solidFill>
                </w14:textFill>
              </w:rPr>
              <w:t>秒）</w:t>
            </w:r>
          </w:p>
        </w:tc>
      </w:tr>
      <w:tr w14:paraId="3FD343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382" w:type="dxa"/>
            <w:tcMar>
              <w:top w:w="16" w:type="dxa"/>
              <w:left w:w="16" w:type="dxa"/>
              <w:right w:w="16" w:type="dxa"/>
            </w:tcMar>
            <w:vAlign w:val="center"/>
          </w:tcPr>
          <w:p w14:paraId="0182BFE5">
            <w:pPr>
              <w:adjustRightInd w:val="0"/>
              <w:snapToGrid w:val="0"/>
              <w:jc w:val="center"/>
              <w:rPr>
                <w:sz w:val="24"/>
              </w:rPr>
            </w:pPr>
            <w:r>
              <w:rPr>
                <w:sz w:val="24"/>
              </w:rPr>
              <w:t>国民经济</w:t>
            </w:r>
          </w:p>
          <w:p w14:paraId="18636138">
            <w:pPr>
              <w:adjustRightInd w:val="0"/>
              <w:snapToGrid w:val="0"/>
              <w:jc w:val="center"/>
              <w:rPr>
                <w:sz w:val="24"/>
              </w:rPr>
            </w:pPr>
            <w:r>
              <w:rPr>
                <w:sz w:val="24"/>
              </w:rPr>
              <w:t>行业类别</w:t>
            </w:r>
          </w:p>
        </w:tc>
        <w:tc>
          <w:tcPr>
            <w:tcW w:w="1637" w:type="dxa"/>
            <w:vAlign w:val="center"/>
          </w:tcPr>
          <w:p w14:paraId="4DD3A344">
            <w:pPr>
              <w:adjustRightInd w:val="0"/>
              <w:snapToGrid w:val="0"/>
              <w:jc w:val="center"/>
              <w:rPr>
                <w:sz w:val="24"/>
              </w:rPr>
            </w:pPr>
            <w:r>
              <w:rPr>
                <w:rFonts w:hint="eastAsia"/>
                <w:sz w:val="24"/>
              </w:rPr>
              <w:t>C149</w:t>
            </w:r>
            <w:r>
              <w:rPr>
                <w:rFonts w:hint="eastAsia"/>
                <w:sz w:val="24"/>
                <w:lang w:val="en-US" w:eastAsia="zh-CN"/>
              </w:rPr>
              <w:t>5</w:t>
            </w:r>
            <w:r>
              <w:rPr>
                <w:rFonts w:hint="eastAsia"/>
                <w:sz w:val="24"/>
              </w:rPr>
              <w:t>食品及饲料添加剂制造</w:t>
            </w:r>
          </w:p>
        </w:tc>
        <w:tc>
          <w:tcPr>
            <w:tcW w:w="2212" w:type="dxa"/>
            <w:vAlign w:val="center"/>
          </w:tcPr>
          <w:p w14:paraId="382850DB">
            <w:pPr>
              <w:adjustRightInd w:val="0"/>
              <w:snapToGrid w:val="0"/>
              <w:jc w:val="center"/>
              <w:rPr>
                <w:sz w:val="24"/>
              </w:rPr>
            </w:pPr>
            <w:bookmarkStart w:id="1" w:name="_Hlk49843745"/>
            <w:r>
              <w:rPr>
                <w:sz w:val="24"/>
              </w:rPr>
              <w:t>建设项目</w:t>
            </w:r>
          </w:p>
          <w:p w14:paraId="33A4F044">
            <w:pPr>
              <w:adjustRightInd w:val="0"/>
              <w:snapToGrid w:val="0"/>
              <w:jc w:val="center"/>
              <w:rPr>
                <w:sz w:val="24"/>
              </w:rPr>
            </w:pPr>
            <w:r>
              <w:rPr>
                <w:sz w:val="24"/>
              </w:rPr>
              <w:t>行业类别</w:t>
            </w:r>
            <w:bookmarkEnd w:id="1"/>
          </w:p>
        </w:tc>
        <w:tc>
          <w:tcPr>
            <w:tcW w:w="2639" w:type="dxa"/>
            <w:vAlign w:val="center"/>
          </w:tcPr>
          <w:p w14:paraId="62295304">
            <w:pPr>
              <w:adjustRightInd w:val="0"/>
              <w:snapToGrid w:val="0"/>
              <w:jc w:val="center"/>
              <w:rPr>
                <w:sz w:val="24"/>
              </w:rPr>
            </w:pPr>
            <w:r>
              <w:rPr>
                <w:rFonts w:hint="eastAsia" w:ascii="宋体" w:hAnsi="宋体" w:cs="宋体"/>
                <w:sz w:val="24"/>
              </w:rPr>
              <w:t>十一、食品制造业</w:t>
            </w:r>
            <w:r>
              <w:rPr>
                <w:sz w:val="24"/>
              </w:rPr>
              <w:t xml:space="preserve"> </w:t>
            </w:r>
            <w:r>
              <w:rPr>
                <w:rFonts w:hint="eastAsia"/>
                <w:sz w:val="24"/>
                <w:lang w:val="en-US" w:eastAsia="zh-CN"/>
              </w:rPr>
              <w:t>24</w:t>
            </w:r>
            <w:r>
              <w:rPr>
                <w:rFonts w:hint="eastAsia"/>
                <w:sz w:val="24"/>
              </w:rPr>
              <w:t>、其他食品制造 149*</w:t>
            </w:r>
          </w:p>
        </w:tc>
      </w:tr>
      <w:tr w14:paraId="4B57FF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382" w:type="dxa"/>
            <w:tcMar>
              <w:top w:w="16" w:type="dxa"/>
              <w:left w:w="16" w:type="dxa"/>
              <w:right w:w="16" w:type="dxa"/>
            </w:tcMar>
            <w:vAlign w:val="center"/>
          </w:tcPr>
          <w:p w14:paraId="29FC3565">
            <w:pPr>
              <w:adjustRightInd w:val="0"/>
              <w:snapToGrid w:val="0"/>
              <w:jc w:val="center"/>
              <w:rPr>
                <w:sz w:val="24"/>
              </w:rPr>
            </w:pPr>
            <w:r>
              <w:rPr>
                <w:sz w:val="24"/>
              </w:rPr>
              <w:t>建设性质</w:t>
            </w:r>
          </w:p>
        </w:tc>
        <w:tc>
          <w:tcPr>
            <w:tcW w:w="1637" w:type="dxa"/>
            <w:vAlign w:val="center"/>
          </w:tcPr>
          <w:p w14:paraId="30B64512">
            <w:pPr>
              <w:jc w:val="left"/>
              <w:rPr>
                <w:sz w:val="24"/>
              </w:rPr>
            </w:pPr>
            <w:r>
              <w:rPr>
                <w:sz w:val="24"/>
              </w:rPr>
              <w:sym w:font="Wingdings 2" w:char="0052"/>
            </w:r>
            <w:r>
              <w:rPr>
                <w:sz w:val="24"/>
              </w:rPr>
              <w:t>新建（迁建）</w:t>
            </w:r>
          </w:p>
          <w:p w14:paraId="10DB2834">
            <w:pPr>
              <w:jc w:val="left"/>
              <w:rPr>
                <w:sz w:val="24"/>
              </w:rPr>
            </w:pPr>
            <w:r>
              <w:rPr>
                <w:sz w:val="24"/>
              </w:rPr>
              <w:sym w:font="Wingdings 2" w:char="00A3"/>
            </w:r>
            <w:r>
              <w:rPr>
                <w:sz w:val="24"/>
              </w:rPr>
              <w:t>改建</w:t>
            </w:r>
          </w:p>
          <w:p w14:paraId="0CC3B40D">
            <w:pPr>
              <w:jc w:val="left"/>
              <w:rPr>
                <w:sz w:val="24"/>
              </w:rPr>
            </w:pPr>
            <w:r>
              <w:rPr>
                <w:sz w:val="24"/>
              </w:rPr>
              <w:sym w:font="Wingdings 2" w:char="00A3"/>
            </w:r>
            <w:r>
              <w:rPr>
                <w:sz w:val="24"/>
              </w:rPr>
              <w:t>扩建</w:t>
            </w:r>
          </w:p>
          <w:p w14:paraId="05070756">
            <w:pPr>
              <w:jc w:val="left"/>
              <w:rPr>
                <w:sz w:val="24"/>
              </w:rPr>
            </w:pPr>
            <w:r>
              <w:rPr>
                <w:rFonts w:hint="eastAsia"/>
                <w:sz w:val="24"/>
                <w:lang w:eastAsia="zh-CN"/>
              </w:rPr>
              <w:t>□</w:t>
            </w:r>
            <w:r>
              <w:rPr>
                <w:sz w:val="24"/>
              </w:rPr>
              <w:t>技术改造</w:t>
            </w:r>
          </w:p>
        </w:tc>
        <w:tc>
          <w:tcPr>
            <w:tcW w:w="2212" w:type="dxa"/>
            <w:vAlign w:val="center"/>
          </w:tcPr>
          <w:p w14:paraId="4C486C70">
            <w:pPr>
              <w:adjustRightInd w:val="0"/>
              <w:snapToGrid w:val="0"/>
              <w:jc w:val="center"/>
              <w:rPr>
                <w:sz w:val="24"/>
              </w:rPr>
            </w:pPr>
            <w:r>
              <w:rPr>
                <w:sz w:val="24"/>
              </w:rPr>
              <w:t>建设项目</w:t>
            </w:r>
          </w:p>
          <w:p w14:paraId="1666FCC8">
            <w:pPr>
              <w:adjustRightInd w:val="0"/>
              <w:snapToGrid w:val="0"/>
              <w:jc w:val="center"/>
              <w:rPr>
                <w:sz w:val="24"/>
              </w:rPr>
            </w:pPr>
            <w:r>
              <w:rPr>
                <w:sz w:val="24"/>
              </w:rPr>
              <w:t>申报情形</w:t>
            </w:r>
          </w:p>
        </w:tc>
        <w:tc>
          <w:tcPr>
            <w:tcW w:w="2639" w:type="dxa"/>
            <w:vAlign w:val="center"/>
          </w:tcPr>
          <w:p w14:paraId="1D1B8FD1">
            <w:pPr>
              <w:jc w:val="left"/>
              <w:rPr>
                <w:sz w:val="24"/>
              </w:rPr>
            </w:pPr>
            <w:r>
              <w:rPr>
                <w:sz w:val="24"/>
              </w:rPr>
              <w:sym w:font="Wingdings 2" w:char="0052"/>
            </w:r>
            <w:r>
              <w:rPr>
                <w:sz w:val="24"/>
              </w:rPr>
              <w:t xml:space="preserve">首次申报项目             </w:t>
            </w:r>
          </w:p>
          <w:p w14:paraId="2A65F59C">
            <w:pPr>
              <w:jc w:val="left"/>
              <w:rPr>
                <w:sz w:val="24"/>
              </w:rPr>
            </w:pPr>
            <w:r>
              <w:rPr>
                <w:sz w:val="24"/>
              </w:rPr>
              <w:sym w:font="Wingdings 2" w:char="00A3"/>
            </w:r>
            <w:r>
              <w:rPr>
                <w:sz w:val="24"/>
              </w:rPr>
              <w:t>不予批准后再次申报项目</w:t>
            </w:r>
          </w:p>
          <w:p w14:paraId="41817EC0">
            <w:pPr>
              <w:jc w:val="left"/>
              <w:rPr>
                <w:sz w:val="24"/>
              </w:rPr>
            </w:pPr>
            <w:r>
              <w:rPr>
                <w:sz w:val="24"/>
              </w:rPr>
              <w:sym w:font="Wingdings 2" w:char="00A3"/>
            </w:r>
            <w:r>
              <w:rPr>
                <w:sz w:val="24"/>
              </w:rPr>
              <w:t xml:space="preserve">超五年重新审核项目     </w:t>
            </w:r>
          </w:p>
          <w:p w14:paraId="45017E35">
            <w:pPr>
              <w:jc w:val="left"/>
              <w:rPr>
                <w:sz w:val="24"/>
              </w:rPr>
            </w:pPr>
            <w:r>
              <w:rPr>
                <w:sz w:val="24"/>
              </w:rPr>
              <w:sym w:font="Wingdings 2" w:char="00A3"/>
            </w:r>
            <w:r>
              <w:rPr>
                <w:sz w:val="24"/>
              </w:rPr>
              <w:t>重大变动重新报批项目</w:t>
            </w:r>
          </w:p>
        </w:tc>
      </w:tr>
      <w:tr w14:paraId="0C8DAF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382" w:type="dxa"/>
            <w:tcMar>
              <w:top w:w="16" w:type="dxa"/>
              <w:left w:w="16" w:type="dxa"/>
              <w:right w:w="16" w:type="dxa"/>
            </w:tcMar>
            <w:vAlign w:val="center"/>
          </w:tcPr>
          <w:p w14:paraId="2B00A43D">
            <w:pPr>
              <w:adjustRightInd w:val="0"/>
              <w:snapToGrid w:val="0"/>
              <w:jc w:val="center"/>
              <w:rPr>
                <w:sz w:val="24"/>
              </w:rPr>
            </w:pPr>
            <w:r>
              <w:rPr>
                <w:sz w:val="24"/>
              </w:rPr>
              <w:t>项目审批（核准/</w:t>
            </w:r>
          </w:p>
          <w:p w14:paraId="51B3EA3D">
            <w:pPr>
              <w:adjustRightInd w:val="0"/>
              <w:snapToGrid w:val="0"/>
              <w:jc w:val="center"/>
              <w:rPr>
                <w:sz w:val="24"/>
              </w:rPr>
            </w:pPr>
            <w:r>
              <w:rPr>
                <w:sz w:val="24"/>
              </w:rPr>
              <w:t>备案）部门（选填）</w:t>
            </w:r>
          </w:p>
        </w:tc>
        <w:tc>
          <w:tcPr>
            <w:tcW w:w="1637" w:type="dxa"/>
            <w:vAlign w:val="center"/>
          </w:tcPr>
          <w:p w14:paraId="21C13200">
            <w:pPr>
              <w:adjustRightInd w:val="0"/>
              <w:snapToGrid w:val="0"/>
              <w:jc w:val="center"/>
              <w:rPr>
                <w:sz w:val="24"/>
              </w:rPr>
            </w:pPr>
            <w:r>
              <w:rPr>
                <w:sz w:val="24"/>
              </w:rPr>
              <w:t>泗县发展和改革委员会</w:t>
            </w:r>
          </w:p>
        </w:tc>
        <w:tc>
          <w:tcPr>
            <w:tcW w:w="2212" w:type="dxa"/>
            <w:vAlign w:val="center"/>
          </w:tcPr>
          <w:p w14:paraId="481FAED5">
            <w:pPr>
              <w:adjustRightInd w:val="0"/>
              <w:snapToGrid w:val="0"/>
              <w:jc w:val="center"/>
              <w:rPr>
                <w:sz w:val="24"/>
              </w:rPr>
            </w:pPr>
            <w:r>
              <w:rPr>
                <w:sz w:val="24"/>
              </w:rPr>
              <w:t>项目审批（核准/</w:t>
            </w:r>
          </w:p>
          <w:p w14:paraId="3D03559B">
            <w:pPr>
              <w:adjustRightInd w:val="0"/>
              <w:snapToGrid w:val="0"/>
              <w:jc w:val="center"/>
              <w:rPr>
                <w:sz w:val="24"/>
              </w:rPr>
            </w:pPr>
            <w:r>
              <w:rPr>
                <w:sz w:val="24"/>
              </w:rPr>
              <w:t>备案）文号（选填）</w:t>
            </w:r>
          </w:p>
        </w:tc>
        <w:tc>
          <w:tcPr>
            <w:tcW w:w="2639" w:type="dxa"/>
            <w:vAlign w:val="center"/>
          </w:tcPr>
          <w:p w14:paraId="5446A205">
            <w:pPr>
              <w:adjustRightInd w:val="0"/>
              <w:snapToGrid w:val="0"/>
              <w:jc w:val="center"/>
              <w:rPr>
                <w:sz w:val="24"/>
              </w:rPr>
            </w:pPr>
            <w:r>
              <w:rPr>
                <w:rFonts w:hint="eastAsia"/>
                <w:sz w:val="24"/>
              </w:rPr>
              <w:t>泗发改审批</w:t>
            </w:r>
            <w:r>
              <w:rPr>
                <w:rFonts w:hint="eastAsia" w:ascii="宋体" w:hAnsi="宋体" w:eastAsia="宋体" w:cs="宋体"/>
                <w:sz w:val="24"/>
              </w:rPr>
              <w:t>〔</w:t>
            </w:r>
            <w:r>
              <w:rPr>
                <w:rFonts w:hint="eastAsia"/>
                <w:sz w:val="24"/>
              </w:rPr>
              <w:t>2025</w:t>
            </w:r>
            <w:r>
              <w:rPr>
                <w:rFonts w:hint="eastAsia" w:ascii="宋体" w:hAnsi="宋体" w:eastAsia="宋体" w:cs="宋体"/>
                <w:sz w:val="24"/>
              </w:rPr>
              <w:t>〕</w:t>
            </w:r>
            <w:r>
              <w:rPr>
                <w:rFonts w:hint="eastAsia"/>
                <w:sz w:val="24"/>
              </w:rPr>
              <w:t>120号</w:t>
            </w:r>
          </w:p>
        </w:tc>
      </w:tr>
      <w:tr w14:paraId="53EBFD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14:paraId="6F40638A">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总投资（万元）</w:t>
            </w:r>
          </w:p>
        </w:tc>
        <w:tc>
          <w:tcPr>
            <w:tcW w:w="1637" w:type="dxa"/>
            <w:vAlign w:val="center"/>
          </w:tcPr>
          <w:p w14:paraId="58823072">
            <w:pPr>
              <w:adjustRightInd w:val="0"/>
              <w:snapToGrid w:val="0"/>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11000</w:t>
            </w:r>
          </w:p>
        </w:tc>
        <w:tc>
          <w:tcPr>
            <w:tcW w:w="2212" w:type="dxa"/>
            <w:tcMar>
              <w:top w:w="16" w:type="dxa"/>
              <w:left w:w="16" w:type="dxa"/>
              <w:right w:w="16" w:type="dxa"/>
            </w:tcMar>
            <w:vAlign w:val="center"/>
          </w:tcPr>
          <w:p w14:paraId="1F373659">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环保投资（万元）</w:t>
            </w:r>
          </w:p>
        </w:tc>
        <w:tc>
          <w:tcPr>
            <w:tcW w:w="2639" w:type="dxa"/>
            <w:vAlign w:val="center"/>
          </w:tcPr>
          <w:p w14:paraId="0F39FE2C">
            <w:pPr>
              <w:adjustRightInd w:val="0"/>
              <w:snapToGrid w:val="0"/>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73</w:t>
            </w:r>
          </w:p>
        </w:tc>
      </w:tr>
      <w:tr w14:paraId="02A1CE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14:paraId="14060A80">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环保投资占比（%）</w:t>
            </w:r>
          </w:p>
        </w:tc>
        <w:tc>
          <w:tcPr>
            <w:tcW w:w="1637" w:type="dxa"/>
            <w:vAlign w:val="center"/>
          </w:tcPr>
          <w:p w14:paraId="6FD7B165">
            <w:pPr>
              <w:adjustRightInd w:val="0"/>
              <w:snapToGrid w:val="0"/>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0.66</w:t>
            </w:r>
          </w:p>
        </w:tc>
        <w:tc>
          <w:tcPr>
            <w:tcW w:w="2212" w:type="dxa"/>
            <w:tcMar>
              <w:top w:w="16" w:type="dxa"/>
              <w:left w:w="16" w:type="dxa"/>
              <w:right w:w="16" w:type="dxa"/>
            </w:tcMar>
            <w:vAlign w:val="center"/>
          </w:tcPr>
          <w:p w14:paraId="656B0B5A">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施工工期</w:t>
            </w:r>
          </w:p>
        </w:tc>
        <w:tc>
          <w:tcPr>
            <w:tcW w:w="2639" w:type="dxa"/>
            <w:vAlign w:val="center"/>
          </w:tcPr>
          <w:p w14:paraId="0305995A">
            <w:pPr>
              <w:adjustRightInd w:val="0"/>
              <w:snapToGrid w:val="0"/>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5个月</w:t>
            </w:r>
          </w:p>
        </w:tc>
      </w:tr>
      <w:tr w14:paraId="0CA029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14:paraId="74F824F8">
            <w:pPr>
              <w:adjustRightInd w:val="0"/>
              <w:snapToGrid w:val="0"/>
              <w:jc w:val="center"/>
              <w:rPr>
                <w:sz w:val="24"/>
              </w:rPr>
            </w:pPr>
            <w:r>
              <w:rPr>
                <w:sz w:val="24"/>
              </w:rPr>
              <w:t>是否开工建设</w:t>
            </w:r>
          </w:p>
        </w:tc>
        <w:tc>
          <w:tcPr>
            <w:tcW w:w="1637" w:type="dxa"/>
            <w:vAlign w:val="center"/>
          </w:tcPr>
          <w:p w14:paraId="6C8876FB">
            <w:pPr>
              <w:adjustRightInd w:val="0"/>
              <w:snapToGrid w:val="0"/>
              <w:rPr>
                <w:sz w:val="24"/>
              </w:rPr>
            </w:pPr>
            <w:r>
              <w:rPr>
                <w:sz w:val="24"/>
              </w:rPr>
              <w:sym w:font="Wingdings 2" w:char="0052"/>
            </w:r>
            <w:r>
              <w:rPr>
                <w:sz w:val="24"/>
              </w:rPr>
              <w:t>否</w:t>
            </w:r>
          </w:p>
          <w:p w14:paraId="795C4BFF">
            <w:pPr>
              <w:adjustRightInd w:val="0"/>
              <w:snapToGrid w:val="0"/>
              <w:rPr>
                <w:sz w:val="24"/>
              </w:rPr>
            </w:pPr>
            <w:r>
              <w:rPr>
                <w:sz w:val="24"/>
              </w:rPr>
              <w:sym w:font="Wingdings 2" w:char="00A3"/>
            </w:r>
            <w:r>
              <w:rPr>
                <w:sz w:val="24"/>
              </w:rPr>
              <w:t>是：</w:t>
            </w:r>
            <w:r>
              <w:rPr>
                <w:sz w:val="24"/>
                <w:u w:val="single"/>
              </w:rPr>
              <w:t xml:space="preserve">             </w:t>
            </w:r>
          </w:p>
        </w:tc>
        <w:tc>
          <w:tcPr>
            <w:tcW w:w="2212" w:type="dxa"/>
            <w:tcMar>
              <w:top w:w="16" w:type="dxa"/>
              <w:left w:w="16" w:type="dxa"/>
              <w:right w:w="16" w:type="dxa"/>
            </w:tcMar>
            <w:vAlign w:val="center"/>
          </w:tcPr>
          <w:p w14:paraId="3547047A">
            <w:pPr>
              <w:adjustRightInd w:val="0"/>
              <w:snapToGrid w:val="0"/>
              <w:jc w:val="center"/>
              <w:rPr>
                <w:spacing w:val="-6"/>
                <w:sz w:val="24"/>
              </w:rPr>
            </w:pPr>
            <w:r>
              <w:rPr>
                <w:spacing w:val="-6"/>
                <w:sz w:val="24"/>
              </w:rPr>
              <w:t>用地（用海）</w:t>
            </w:r>
          </w:p>
          <w:p w14:paraId="25051988">
            <w:pPr>
              <w:adjustRightInd w:val="0"/>
              <w:snapToGrid w:val="0"/>
              <w:jc w:val="center"/>
              <w:rPr>
                <w:sz w:val="24"/>
              </w:rPr>
            </w:pPr>
            <w:r>
              <w:rPr>
                <w:spacing w:val="-6"/>
                <w:sz w:val="24"/>
              </w:rPr>
              <w:t>面积（m</w:t>
            </w:r>
            <w:r>
              <w:rPr>
                <w:spacing w:val="-6"/>
                <w:sz w:val="24"/>
                <w:vertAlign w:val="superscript"/>
              </w:rPr>
              <w:t>2</w:t>
            </w:r>
            <w:r>
              <w:rPr>
                <w:spacing w:val="-6"/>
                <w:sz w:val="24"/>
              </w:rPr>
              <w:t>）</w:t>
            </w:r>
          </w:p>
        </w:tc>
        <w:tc>
          <w:tcPr>
            <w:tcW w:w="2639" w:type="dxa"/>
            <w:vAlign w:val="center"/>
          </w:tcPr>
          <w:p w14:paraId="78610CCD">
            <w:pPr>
              <w:adjustRightInd w:val="0"/>
              <w:snapToGrid w:val="0"/>
              <w:jc w:val="center"/>
              <w:rPr>
                <w:rFonts w:hint="default" w:eastAsia="宋体"/>
                <w:sz w:val="24"/>
                <w:lang w:val="en-US" w:eastAsia="zh-CN"/>
              </w:rPr>
            </w:pPr>
            <w:r>
              <w:rPr>
                <w:rFonts w:hint="eastAsia"/>
                <w:sz w:val="24"/>
                <w:lang w:val="en-US" w:eastAsia="zh-CN"/>
              </w:rPr>
              <w:t>20000</w:t>
            </w:r>
          </w:p>
        </w:tc>
      </w:tr>
      <w:tr w14:paraId="063453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vAlign w:val="center"/>
          </w:tcPr>
          <w:p w14:paraId="510A6539">
            <w:pPr>
              <w:autoSpaceDE w:val="0"/>
              <w:autoSpaceDN w:val="0"/>
              <w:adjustRightInd w:val="0"/>
              <w:snapToGrid w:val="0"/>
              <w:jc w:val="center"/>
              <w:rPr>
                <w:kern w:val="0"/>
                <w:sz w:val="24"/>
              </w:rPr>
            </w:pPr>
            <w:r>
              <w:rPr>
                <w:kern w:val="0"/>
                <w:sz w:val="24"/>
              </w:rPr>
              <w:t>专项评价设置情况</w:t>
            </w:r>
          </w:p>
        </w:tc>
        <w:tc>
          <w:tcPr>
            <w:tcW w:w="6488" w:type="dxa"/>
            <w:gridSpan w:val="3"/>
            <w:vAlign w:val="center"/>
          </w:tcPr>
          <w:p w14:paraId="606E24BA">
            <w:pPr>
              <w:autoSpaceDE w:val="0"/>
              <w:autoSpaceDN w:val="0"/>
              <w:adjustRightInd w:val="0"/>
              <w:snapToGrid w:val="0"/>
              <w:jc w:val="center"/>
              <w:rPr>
                <w:rFonts w:hint="eastAsia" w:eastAsia="宋体"/>
                <w:kern w:val="0"/>
                <w:sz w:val="24"/>
                <w:lang w:eastAsia="zh-CN"/>
              </w:rPr>
            </w:pPr>
            <w:r>
              <w:rPr>
                <w:rFonts w:hint="eastAsia"/>
                <w:kern w:val="0"/>
                <w:sz w:val="24"/>
                <w:lang w:val="en-US" w:eastAsia="zh-CN"/>
              </w:rPr>
              <w:t>无</w:t>
            </w:r>
          </w:p>
        </w:tc>
      </w:tr>
      <w:tr w14:paraId="7607BA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vAlign w:val="center"/>
          </w:tcPr>
          <w:p w14:paraId="782A8C5F">
            <w:pPr>
              <w:autoSpaceDE w:val="0"/>
              <w:autoSpaceDN w:val="0"/>
              <w:adjustRightInd w:val="0"/>
              <w:snapToGrid w:val="0"/>
              <w:jc w:val="center"/>
              <w:rPr>
                <w:kern w:val="0"/>
                <w:sz w:val="24"/>
              </w:rPr>
            </w:pPr>
            <w:r>
              <w:rPr>
                <w:sz w:val="24"/>
              </w:rPr>
              <w:t>规划情况</w:t>
            </w:r>
          </w:p>
        </w:tc>
        <w:tc>
          <w:tcPr>
            <w:tcW w:w="6488" w:type="dxa"/>
            <w:gridSpan w:val="3"/>
            <w:vAlign w:val="center"/>
          </w:tcPr>
          <w:p w14:paraId="62A546A8">
            <w:pPr>
              <w:autoSpaceDE w:val="0"/>
              <w:autoSpaceDN w:val="0"/>
              <w:adjustRightInd w:val="0"/>
              <w:snapToGrid w:val="0"/>
              <w:jc w:val="center"/>
              <w:rPr>
                <w:rFonts w:hint="eastAsia" w:eastAsia="宋体"/>
                <w:kern w:val="0"/>
                <w:sz w:val="24"/>
                <w:lang w:eastAsia="zh-CN"/>
              </w:rPr>
            </w:pPr>
            <w:r>
              <w:rPr>
                <w:rFonts w:hint="eastAsia"/>
                <w:kern w:val="0"/>
                <w:sz w:val="24"/>
                <w:lang w:val="en-US" w:eastAsia="zh-CN"/>
              </w:rPr>
              <w:t>无</w:t>
            </w:r>
          </w:p>
        </w:tc>
      </w:tr>
      <w:tr w14:paraId="09E732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vAlign w:val="center"/>
          </w:tcPr>
          <w:p w14:paraId="2C6C50D3">
            <w:pPr>
              <w:adjustRightInd w:val="0"/>
              <w:snapToGrid w:val="0"/>
              <w:jc w:val="center"/>
              <w:rPr>
                <w:sz w:val="24"/>
              </w:rPr>
            </w:pPr>
            <w:r>
              <w:rPr>
                <w:sz w:val="24"/>
              </w:rPr>
              <w:t>规划环境影响</w:t>
            </w:r>
          </w:p>
          <w:p w14:paraId="1903647D">
            <w:pPr>
              <w:adjustRightInd w:val="0"/>
              <w:snapToGrid w:val="0"/>
              <w:jc w:val="center"/>
              <w:rPr>
                <w:kern w:val="0"/>
                <w:sz w:val="24"/>
              </w:rPr>
            </w:pPr>
            <w:r>
              <w:rPr>
                <w:sz w:val="24"/>
              </w:rPr>
              <w:t>评价情况</w:t>
            </w:r>
          </w:p>
        </w:tc>
        <w:tc>
          <w:tcPr>
            <w:tcW w:w="6488" w:type="dxa"/>
            <w:gridSpan w:val="3"/>
            <w:vAlign w:val="center"/>
          </w:tcPr>
          <w:p w14:paraId="738B0B50">
            <w:pPr>
              <w:autoSpaceDE w:val="0"/>
              <w:autoSpaceDN w:val="0"/>
              <w:adjustRightInd w:val="0"/>
              <w:snapToGrid w:val="0"/>
              <w:jc w:val="center"/>
              <w:rPr>
                <w:kern w:val="0"/>
                <w:sz w:val="24"/>
              </w:rPr>
            </w:pPr>
            <w:r>
              <w:rPr>
                <w:rFonts w:hint="eastAsia"/>
                <w:kern w:val="0"/>
                <w:sz w:val="24"/>
                <w:lang w:val="en-US" w:eastAsia="zh-CN"/>
              </w:rPr>
              <w:t>无</w:t>
            </w:r>
          </w:p>
        </w:tc>
      </w:tr>
      <w:tr w14:paraId="6FB275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vAlign w:val="center"/>
          </w:tcPr>
          <w:p w14:paraId="7A1D28EC">
            <w:pPr>
              <w:autoSpaceDE w:val="0"/>
              <w:autoSpaceDN w:val="0"/>
              <w:adjustRightInd w:val="0"/>
              <w:snapToGrid w:val="0"/>
              <w:jc w:val="center"/>
              <w:rPr>
                <w:kern w:val="0"/>
                <w:sz w:val="24"/>
              </w:rPr>
            </w:pPr>
            <w:r>
              <w:rPr>
                <w:kern w:val="0"/>
                <w:sz w:val="24"/>
              </w:rPr>
              <w:t>规划及规划环境</w:t>
            </w:r>
          </w:p>
          <w:p w14:paraId="708E9BBE">
            <w:pPr>
              <w:autoSpaceDE w:val="0"/>
              <w:autoSpaceDN w:val="0"/>
              <w:adjustRightInd w:val="0"/>
              <w:snapToGrid w:val="0"/>
              <w:jc w:val="center"/>
              <w:rPr>
                <w:kern w:val="0"/>
                <w:sz w:val="24"/>
              </w:rPr>
            </w:pPr>
            <w:r>
              <w:rPr>
                <w:kern w:val="0"/>
                <w:sz w:val="24"/>
              </w:rPr>
              <w:t>影响评价符合性分析</w:t>
            </w:r>
          </w:p>
        </w:tc>
        <w:tc>
          <w:tcPr>
            <w:tcW w:w="6488" w:type="dxa"/>
            <w:gridSpan w:val="3"/>
            <w:vAlign w:val="center"/>
          </w:tcPr>
          <w:p w14:paraId="31D17E8C">
            <w:pPr>
              <w:spacing w:line="360" w:lineRule="auto"/>
              <w:jc w:val="center"/>
              <w:rPr>
                <w:kern w:val="0"/>
                <w:sz w:val="24"/>
              </w:rPr>
            </w:pPr>
            <w:r>
              <w:rPr>
                <w:rFonts w:hint="eastAsia"/>
                <w:kern w:val="0"/>
                <w:sz w:val="24"/>
                <w:lang w:val="en-US" w:eastAsia="zh-CN"/>
              </w:rPr>
              <w:t>无</w:t>
            </w:r>
          </w:p>
        </w:tc>
      </w:tr>
      <w:tr w14:paraId="6C7C35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vAlign w:val="center"/>
          </w:tcPr>
          <w:p w14:paraId="1B8BAD76">
            <w:pPr>
              <w:autoSpaceDE w:val="0"/>
              <w:autoSpaceDN w:val="0"/>
              <w:adjustRightInd w:val="0"/>
              <w:snapToGrid w:val="0"/>
              <w:jc w:val="center"/>
              <w:rPr>
                <w:kern w:val="0"/>
                <w:sz w:val="24"/>
              </w:rPr>
            </w:pPr>
            <w:r>
              <w:rPr>
                <w:kern w:val="0"/>
                <w:sz w:val="24"/>
              </w:rPr>
              <w:t>其他符合性分析</w:t>
            </w:r>
          </w:p>
        </w:tc>
        <w:tc>
          <w:tcPr>
            <w:tcW w:w="6488" w:type="dxa"/>
            <w:gridSpan w:val="3"/>
            <w:vAlign w:val="center"/>
          </w:tcPr>
          <w:p w14:paraId="035A558D">
            <w:pPr>
              <w:pStyle w:val="40"/>
              <w:widowControl/>
              <w:spacing w:line="360" w:lineRule="auto"/>
              <w:rPr>
                <w:b/>
                <w:bCs/>
                <w:color w:val="auto"/>
              </w:rPr>
            </w:pPr>
            <w:r>
              <w:rPr>
                <w:rFonts w:ascii="宋体" w:hAnsi="宋体" w:cs="宋体"/>
                <w:color w:val="auto"/>
              </w:rPr>
              <w:t>一</w:t>
            </w:r>
            <w:r>
              <w:rPr>
                <w:b/>
                <w:bCs/>
                <w:color w:val="auto"/>
              </w:rPr>
              <w:t>、产业政策符合性分析</w:t>
            </w:r>
          </w:p>
          <w:p w14:paraId="2F0E1CCF">
            <w:pPr>
              <w:widowControl/>
              <w:spacing w:line="360" w:lineRule="auto"/>
              <w:ind w:firstLine="480" w:firstLineChars="200"/>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本项目行业类别为</w:t>
            </w:r>
            <w:r>
              <w:rPr>
                <w:rFonts w:hint="eastAsia" w:ascii="Times New Roman" w:hAnsi="Times New Roman" w:eastAsia="宋体" w:cs="Times New Roman"/>
                <w:color w:val="auto"/>
                <w:sz w:val="24"/>
              </w:rPr>
              <w:t>C1495食品及饲料添加剂制造</w:t>
            </w:r>
            <w:r>
              <w:rPr>
                <w:rFonts w:hint="eastAsia" w:ascii="Times New Roman" w:hAnsi="Times New Roman" w:eastAsia="宋体" w:cs="Times New Roman"/>
                <w:color w:val="auto"/>
                <w:sz w:val="24"/>
                <w:lang w:eastAsia="zh-CN"/>
              </w:rPr>
              <w:t>，</w:t>
            </w:r>
            <w:r>
              <w:rPr>
                <w:rFonts w:ascii="Times New Roman" w:hAnsi="Times New Roman" w:eastAsia="宋体" w:cs="Times New Roman"/>
                <w:color w:val="auto"/>
                <w:sz w:val="24"/>
              </w:rPr>
              <w:t>根据</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rPr>
              <w:t>产业结构调整指导目录（2024年本）</w:t>
            </w:r>
            <w:r>
              <w:rPr>
                <w:rFonts w:hint="eastAsia" w:ascii="Times New Roman" w:hAnsi="Times New Roman" w:eastAsia="宋体" w:cs="Times New Roman"/>
                <w:color w:val="auto"/>
                <w:sz w:val="24"/>
                <w:lang w:eastAsia="zh-CN"/>
              </w:rPr>
              <w:t>》</w:t>
            </w:r>
            <w:r>
              <w:rPr>
                <w:rFonts w:ascii="Times New Roman" w:hAnsi="Times New Roman" w:eastAsia="宋体" w:cs="Times New Roman"/>
                <w:color w:val="auto"/>
                <w:sz w:val="24"/>
              </w:rPr>
              <w:t>，本项目不属于鼓励类、限制类和淘汰类项目。</w:t>
            </w:r>
          </w:p>
          <w:p w14:paraId="072371D6">
            <w:pPr>
              <w:spacing w:line="360" w:lineRule="auto"/>
              <w:ind w:firstLine="480" w:firstLineChars="200"/>
              <w:rPr>
                <w:sz w:val="24"/>
              </w:rPr>
            </w:pPr>
            <w:r>
              <w:rPr>
                <w:rFonts w:hint="eastAsia"/>
                <w:sz w:val="24"/>
              </w:rPr>
              <w:t>本项目已于</w:t>
            </w:r>
            <w:r>
              <w:rPr>
                <w:sz w:val="24"/>
              </w:rPr>
              <w:t>202</w:t>
            </w:r>
            <w:r>
              <w:rPr>
                <w:rFonts w:hint="eastAsia"/>
                <w:sz w:val="24"/>
                <w:lang w:val="en-US" w:eastAsia="zh-CN"/>
              </w:rPr>
              <w:t>5</w:t>
            </w:r>
            <w:r>
              <w:rPr>
                <w:rFonts w:hint="eastAsia"/>
                <w:sz w:val="24"/>
              </w:rPr>
              <w:t>年</w:t>
            </w:r>
            <w:r>
              <w:rPr>
                <w:rFonts w:hint="eastAsia"/>
                <w:sz w:val="24"/>
                <w:lang w:val="en-US" w:eastAsia="zh-CN"/>
              </w:rPr>
              <w:t>10</w:t>
            </w:r>
            <w:r>
              <w:rPr>
                <w:rFonts w:hint="eastAsia"/>
                <w:sz w:val="24"/>
              </w:rPr>
              <w:t>月</w:t>
            </w:r>
            <w:r>
              <w:rPr>
                <w:rFonts w:hint="eastAsia"/>
                <w:sz w:val="24"/>
                <w:lang w:val="en-US" w:eastAsia="zh-CN"/>
              </w:rPr>
              <w:t>31</w:t>
            </w:r>
            <w:r>
              <w:rPr>
                <w:rFonts w:hint="eastAsia"/>
                <w:sz w:val="24"/>
              </w:rPr>
              <w:t>日由泗县发展和改革委员会以泗发改审批</w:t>
            </w:r>
            <w:r>
              <w:rPr>
                <w:rFonts w:hint="eastAsia" w:ascii="宋体" w:hAnsi="宋体" w:eastAsia="宋体" w:cs="宋体"/>
                <w:sz w:val="24"/>
              </w:rPr>
              <w:t>〔</w:t>
            </w:r>
            <w:r>
              <w:rPr>
                <w:rFonts w:hint="eastAsia"/>
                <w:sz w:val="24"/>
              </w:rPr>
              <w:t>2025</w:t>
            </w:r>
            <w:r>
              <w:rPr>
                <w:rFonts w:hint="eastAsia" w:ascii="宋体" w:hAnsi="宋体" w:eastAsia="宋体" w:cs="宋体"/>
                <w:sz w:val="24"/>
              </w:rPr>
              <w:t>〕</w:t>
            </w:r>
            <w:r>
              <w:rPr>
                <w:rFonts w:hint="eastAsia"/>
                <w:sz w:val="24"/>
              </w:rPr>
              <w:t>120号文件同意本项目的备案，项目代码为2506-341324-04-01-148992</w:t>
            </w:r>
            <w:r>
              <w:rPr>
                <w:sz w:val="24"/>
              </w:rPr>
              <w:t>。</w:t>
            </w:r>
            <w:r>
              <w:rPr>
                <w:sz w:val="24"/>
                <w:lang w:bidi="ar"/>
              </w:rPr>
              <w:t>因此，本项目的建设符合地方相关产业政策要求。</w:t>
            </w:r>
          </w:p>
          <w:p w14:paraId="3BFC5D25">
            <w:pPr>
              <w:widowControl/>
              <w:spacing w:line="360" w:lineRule="auto"/>
              <w:ind w:firstLine="480" w:firstLineChars="200"/>
              <w:jc w:val="left"/>
              <w:rPr>
                <w:rFonts w:cs="宋体"/>
                <w:sz w:val="24"/>
                <w:lang w:bidi="ar"/>
              </w:rPr>
            </w:pPr>
            <w:r>
              <w:rPr>
                <w:rFonts w:hint="eastAsia"/>
                <w:sz w:val="24"/>
              </w:rPr>
              <w:t>因此，</w:t>
            </w:r>
            <w:r>
              <w:rPr>
                <w:sz w:val="24"/>
                <w:lang w:bidi="ar"/>
              </w:rPr>
              <w:t>本项目符合国家和地方产业政策要求。</w:t>
            </w:r>
          </w:p>
          <w:p w14:paraId="473B9EBD">
            <w:pPr>
              <w:pStyle w:val="19"/>
              <w:widowControl w:val="0"/>
              <w:spacing w:before="0" w:beforeAutospacing="0" w:after="0" w:afterAutospacing="0" w:line="360" w:lineRule="auto"/>
              <w:ind w:firstLine="480" w:firstLineChars="200"/>
              <w:jc w:val="both"/>
              <w:rPr>
                <w:rFonts w:ascii="Times New Roman" w:hAnsi="Times New Roman"/>
                <w:b/>
                <w:bCs/>
              </w:rPr>
            </w:pPr>
            <w:r>
              <w:rPr>
                <w:rFonts w:cs="宋体"/>
                <w:szCs w:val="24"/>
              </w:rPr>
              <w:t>二</w:t>
            </w:r>
            <w:r>
              <w:rPr>
                <w:rFonts w:ascii="Times New Roman" w:hAnsi="Times New Roman"/>
                <w:b/>
                <w:bCs/>
                <w:kern w:val="2"/>
                <w:szCs w:val="24"/>
                <w:lang w:bidi="ar"/>
              </w:rPr>
              <w:t>、</w:t>
            </w:r>
            <w:r>
              <w:rPr>
                <w:rFonts w:cs="宋体"/>
                <w:b/>
                <w:bCs/>
                <w:szCs w:val="24"/>
              </w:rPr>
              <w:t>选址</w:t>
            </w:r>
            <w:r>
              <w:rPr>
                <w:rFonts w:ascii="Times New Roman" w:hAnsi="Times New Roman"/>
                <w:b/>
                <w:bCs/>
                <w:kern w:val="2"/>
                <w:szCs w:val="24"/>
                <w:lang w:bidi="ar"/>
              </w:rPr>
              <w:t>的符合性分析</w:t>
            </w:r>
          </w:p>
          <w:p w14:paraId="3613169A">
            <w:pPr>
              <w:autoSpaceDE w:val="0"/>
              <w:autoSpaceDN w:val="0"/>
              <w:adjustRightInd w:val="0"/>
              <w:snapToGrid w:val="0"/>
              <w:spacing w:line="360" w:lineRule="auto"/>
              <w:ind w:firstLine="480" w:firstLineChars="200"/>
              <w:rPr>
                <w:rFonts w:cs="宋体"/>
                <w:sz w:val="24"/>
              </w:rPr>
            </w:pPr>
            <w:r>
              <w:rPr>
                <w:sz w:val="24"/>
              </w:rPr>
              <w:t>本项目位于</w:t>
            </w:r>
            <w:r>
              <w:rPr>
                <w:rFonts w:hint="eastAsia"/>
                <w:sz w:val="24"/>
              </w:rPr>
              <w:t>泗县虹城街道长三角绿色食品产业园</w:t>
            </w:r>
            <w:r>
              <w:rPr>
                <w:sz w:val="24"/>
              </w:rPr>
              <w:t>，占地面积</w:t>
            </w:r>
            <w:r>
              <w:rPr>
                <w:rFonts w:hint="eastAsia"/>
                <w:sz w:val="24"/>
                <w:lang w:val="en-US" w:eastAsia="zh-CN"/>
              </w:rPr>
              <w:t>2000</w:t>
            </w:r>
            <w:r>
              <w:rPr>
                <w:rFonts w:hint="eastAsia"/>
                <w:sz w:val="24"/>
              </w:rPr>
              <w:t>0</w:t>
            </w:r>
            <w:r>
              <w:rPr>
                <w:sz w:val="24"/>
              </w:rPr>
              <w:t>m</w:t>
            </w:r>
            <w:r>
              <w:rPr>
                <w:sz w:val="24"/>
                <w:vertAlign w:val="superscript"/>
              </w:rPr>
              <w:t>2</w:t>
            </w:r>
            <w:r>
              <w:rPr>
                <w:sz w:val="24"/>
              </w:rPr>
              <w:t>，</w:t>
            </w:r>
            <w:r>
              <w:rPr>
                <w:rFonts w:hint="eastAsia"/>
                <w:sz w:val="24"/>
                <w:lang w:val="en-US" w:eastAsia="zh-CN"/>
              </w:rPr>
              <w:t>项目用地属于工业用地</w:t>
            </w:r>
            <w:r>
              <w:rPr>
                <w:rFonts w:hint="eastAsia"/>
                <w:sz w:val="24"/>
                <w:lang w:eastAsia="zh-CN"/>
              </w:rPr>
              <w:t>，</w:t>
            </w:r>
            <w:r>
              <w:rPr>
                <w:rFonts w:hint="eastAsia" w:cs="宋体"/>
                <w:sz w:val="24"/>
              </w:rPr>
              <w:t>符合用地规划要求。</w:t>
            </w:r>
          </w:p>
          <w:p w14:paraId="554C19B7">
            <w:pPr>
              <w:widowControl/>
              <w:spacing w:line="360" w:lineRule="auto"/>
              <w:ind w:firstLine="480" w:firstLineChars="200"/>
              <w:jc w:val="left"/>
              <w:rPr>
                <w:rFonts w:hint="default" w:ascii="宋体" w:hAnsi="宋体" w:cs="宋体"/>
                <w:sz w:val="24"/>
                <w:lang w:val="en-US"/>
              </w:rPr>
            </w:pPr>
            <w:r>
              <w:rPr>
                <w:rFonts w:hint="eastAsia"/>
                <w:sz w:val="24"/>
                <w:lang w:val="en-US" w:eastAsia="zh-CN"/>
              </w:rPr>
              <w:t>项目</w:t>
            </w:r>
            <w:r>
              <w:rPr>
                <w:rFonts w:hint="eastAsia"/>
                <w:sz w:val="24"/>
              </w:rPr>
              <w:t>北侧为</w:t>
            </w:r>
            <w:r>
              <w:rPr>
                <w:rFonts w:hint="eastAsia"/>
                <w:sz w:val="24"/>
                <w:lang w:val="en-US" w:eastAsia="zh-CN"/>
              </w:rPr>
              <w:t>纬二路</w:t>
            </w:r>
            <w:r>
              <w:rPr>
                <w:rFonts w:hint="eastAsia"/>
                <w:sz w:val="24"/>
              </w:rPr>
              <w:t>，东侧为</w:t>
            </w:r>
            <w:r>
              <w:rPr>
                <w:rFonts w:hint="eastAsia"/>
                <w:sz w:val="24"/>
                <w:lang w:val="en-US" w:eastAsia="zh-CN"/>
              </w:rPr>
              <w:t>空地</w:t>
            </w:r>
            <w:r>
              <w:rPr>
                <w:rFonts w:hint="eastAsia"/>
                <w:sz w:val="24"/>
              </w:rPr>
              <w:t>，南侧为</w:t>
            </w:r>
            <w:r>
              <w:rPr>
                <w:rFonts w:hint="eastAsia" w:ascii="宋体" w:hAnsi="宋体" w:cs="宋体"/>
                <w:sz w:val="24"/>
                <w:lang w:val="en-US" w:eastAsia="zh-CN"/>
              </w:rPr>
              <w:t>泗县粮食储备库</w:t>
            </w:r>
            <w:r>
              <w:rPr>
                <w:rFonts w:hint="eastAsia"/>
                <w:sz w:val="24"/>
              </w:rPr>
              <w:t>，西侧为</w:t>
            </w:r>
            <w:r>
              <w:rPr>
                <w:rFonts w:hint="default" w:ascii="Times New Roman" w:hAnsi="Times New Roman" w:cs="Times New Roman"/>
                <w:sz w:val="24"/>
                <w:lang w:val="en-US" w:eastAsia="zh-CN"/>
              </w:rPr>
              <w:t>G104</w:t>
            </w:r>
            <w:r>
              <w:rPr>
                <w:rFonts w:hint="eastAsia" w:ascii="宋体" w:hAnsi="宋体" w:cs="宋体"/>
                <w:sz w:val="24"/>
                <w:lang w:val="en-US" w:eastAsia="zh-CN"/>
              </w:rPr>
              <w:t>。</w:t>
            </w:r>
          </w:p>
          <w:p w14:paraId="16CF190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color w:val="000000"/>
                <w:sz w:val="24"/>
              </w:rPr>
            </w:pPr>
            <w:r>
              <w:rPr>
                <w:sz w:val="24"/>
              </w:rPr>
              <w:t>项目周边无饮用水源保护区、自然保护区、风景名胜区、生态环境敏感区等环境保护目标，产生的污染物不会对周围环境造成重大影响，项目与周边环境相容。</w:t>
            </w:r>
            <w:r>
              <w:rPr>
                <w:color w:val="0C0C0C"/>
                <w:sz w:val="24"/>
              </w:rPr>
              <w:t>项目运营消耗资源主要为电</w:t>
            </w:r>
            <w:r>
              <w:rPr>
                <w:rFonts w:hint="eastAsia"/>
                <w:color w:val="0C0C0C"/>
                <w:sz w:val="24"/>
                <w:lang w:val="en-US" w:eastAsia="zh-CN"/>
              </w:rPr>
              <w:t>和</w:t>
            </w:r>
            <w:r>
              <w:rPr>
                <w:color w:val="0C0C0C"/>
                <w:sz w:val="24"/>
              </w:rPr>
              <w:t>水，项目用水为生活用水</w:t>
            </w:r>
            <w:r>
              <w:rPr>
                <w:rFonts w:hint="eastAsia"/>
                <w:color w:val="0C0C0C"/>
                <w:sz w:val="24"/>
                <w:lang w:val="en-US" w:eastAsia="zh-CN"/>
              </w:rPr>
              <w:t>和生产用水</w:t>
            </w:r>
            <w:r>
              <w:rPr>
                <w:color w:val="0C0C0C"/>
                <w:sz w:val="24"/>
              </w:rPr>
              <w:t>，项目耗电量</w:t>
            </w:r>
            <w:r>
              <w:rPr>
                <w:rFonts w:hint="eastAsia"/>
                <w:color w:val="0C0C0C"/>
                <w:sz w:val="24"/>
                <w:lang w:val="en-US" w:eastAsia="zh-CN"/>
              </w:rPr>
              <w:t>和</w:t>
            </w:r>
            <w:r>
              <w:rPr>
                <w:color w:val="0C0C0C"/>
                <w:sz w:val="24"/>
              </w:rPr>
              <w:t>耗水量相对区域资源利用总量较少，满足项目建设外部条件要求。</w:t>
            </w:r>
          </w:p>
          <w:p w14:paraId="42CDDE66">
            <w:pPr>
              <w:spacing w:line="360" w:lineRule="auto"/>
              <w:ind w:firstLine="480" w:firstLineChars="200"/>
              <w:jc w:val="left"/>
              <w:rPr>
                <w:sz w:val="24"/>
              </w:rPr>
            </w:pPr>
            <w:r>
              <w:rPr>
                <w:color w:val="000000"/>
                <w:sz w:val="24"/>
              </w:rPr>
              <w:t>总体来说，建设项目厂址地理位置优越，交通便利，通过对厂区合理布局，加强绿化，并落实各项污染防治措施后，污染物均可达标排放，不会对项目所在区域环境造成较大影响。</w:t>
            </w:r>
          </w:p>
          <w:p w14:paraId="7D5AB8EE">
            <w:pPr>
              <w:widowControl/>
              <w:spacing w:line="360" w:lineRule="auto"/>
              <w:ind w:firstLine="480" w:firstLineChars="200"/>
              <w:jc w:val="left"/>
              <w:rPr>
                <w:sz w:val="24"/>
              </w:rPr>
            </w:pPr>
            <w:r>
              <w:rPr>
                <w:sz w:val="24"/>
              </w:rPr>
              <w:t>综上所述，本项目与周边环境基本相容，项目的选址基本合理。</w:t>
            </w:r>
          </w:p>
          <w:p w14:paraId="5C27F232">
            <w:pPr>
              <w:spacing w:line="360" w:lineRule="auto"/>
              <w:ind w:firstLine="480" w:firstLineChars="200"/>
              <w:rPr>
                <w:rFonts w:ascii="宋体" w:hAnsi="宋体" w:cs="宋体"/>
                <w:sz w:val="24"/>
                <w:szCs w:val="24"/>
              </w:rPr>
            </w:pPr>
            <w:r>
              <w:rPr>
                <w:rFonts w:ascii="宋体" w:hAnsi="宋体" w:cs="宋体"/>
                <w:sz w:val="24"/>
                <w:szCs w:val="24"/>
              </w:rPr>
              <w:t>三</w:t>
            </w:r>
            <w:r>
              <w:rPr>
                <w:rFonts w:hint="eastAsia" w:ascii="宋体" w:hAnsi="宋体" w:cs="宋体"/>
                <w:b/>
                <w:bCs/>
                <w:sz w:val="24"/>
                <w:szCs w:val="24"/>
              </w:rPr>
              <w:t>、</w:t>
            </w:r>
            <w:r>
              <w:rPr>
                <w:rFonts w:hint="eastAsia"/>
                <w:b/>
                <w:bCs/>
                <w:kern w:val="0"/>
                <w:sz w:val="24"/>
                <w:szCs w:val="24"/>
              </w:rPr>
              <w:t>生态环境分区管控</w:t>
            </w:r>
            <w:r>
              <w:rPr>
                <w:rFonts w:hint="eastAsia" w:ascii="宋体" w:hAnsi="宋体" w:cs="宋体"/>
                <w:b/>
                <w:bCs/>
                <w:sz w:val="24"/>
                <w:szCs w:val="24"/>
              </w:rPr>
              <w:t>符合性分析</w:t>
            </w:r>
          </w:p>
          <w:p w14:paraId="145D728A">
            <w:pPr>
              <w:spacing w:line="360" w:lineRule="auto"/>
              <w:ind w:firstLine="482" w:firstLineChars="200"/>
              <w:rPr>
                <w:b/>
                <w:bCs/>
                <w:sz w:val="24"/>
              </w:rPr>
            </w:pPr>
            <w:r>
              <w:rPr>
                <w:b/>
                <w:bCs/>
                <w:sz w:val="24"/>
              </w:rPr>
              <w:t>1、生态保护红线</w:t>
            </w:r>
          </w:p>
          <w:p w14:paraId="1D6A4E4E">
            <w:pPr>
              <w:widowControl/>
              <w:spacing w:line="360" w:lineRule="auto"/>
              <w:ind w:firstLine="480" w:firstLineChars="200"/>
              <w:jc w:val="left"/>
              <w:rPr>
                <w:sz w:val="24"/>
              </w:rPr>
            </w:pPr>
            <w:r>
              <w:rPr>
                <w:rFonts w:hint="eastAsia"/>
                <w:sz w:val="24"/>
                <w:lang w:val="en-US" w:eastAsia="zh-CN"/>
              </w:rPr>
              <w:t>根据</w:t>
            </w:r>
            <w:r>
              <w:rPr>
                <w:sz w:val="24"/>
              </w:rPr>
              <w:t>安徽省政府发布的《安徽省生态保护红线》</w:t>
            </w:r>
            <w:r>
              <w:rPr>
                <w:rFonts w:hint="eastAsia"/>
                <w:sz w:val="24"/>
              </w:rPr>
              <w:t>，宿州市的生态保护红线主要分布在以下片区：</w:t>
            </w:r>
          </w:p>
          <w:p w14:paraId="237919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b/>
                <w:bCs/>
                <w:sz w:val="24"/>
              </w:rPr>
            </w:pPr>
            <w:r>
              <w:rPr>
                <w:rFonts w:hint="eastAsia"/>
                <w:b/>
                <w:bCs/>
                <w:sz w:val="24"/>
              </w:rPr>
              <w:t>表</w:t>
            </w:r>
            <w:r>
              <w:rPr>
                <w:b/>
                <w:bCs/>
                <w:sz w:val="24"/>
              </w:rPr>
              <w:t>1</w:t>
            </w:r>
            <w:r>
              <w:rPr>
                <w:rFonts w:hint="eastAsia"/>
                <w:b/>
                <w:bCs/>
                <w:sz w:val="24"/>
              </w:rPr>
              <w:t>-</w:t>
            </w:r>
            <w:r>
              <w:rPr>
                <w:rFonts w:hint="eastAsia"/>
                <w:b/>
                <w:bCs/>
                <w:sz w:val="24"/>
                <w:lang w:val="en-US" w:eastAsia="zh-CN"/>
              </w:rPr>
              <w:t>1</w:t>
            </w:r>
            <w:r>
              <w:rPr>
                <w:rFonts w:hint="eastAsia"/>
                <w:b/>
                <w:bCs/>
                <w:sz w:val="24"/>
              </w:rPr>
              <w:t xml:space="preserve"> </w:t>
            </w:r>
            <w:r>
              <w:rPr>
                <w:b/>
                <w:bCs/>
                <w:sz w:val="24"/>
              </w:rPr>
              <w:t>宿州市生态保护红线登记表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
              <w:gridCol w:w="817"/>
              <w:gridCol w:w="901"/>
              <w:gridCol w:w="2436"/>
              <w:gridCol w:w="633"/>
              <w:gridCol w:w="952"/>
            </w:tblGrid>
            <w:tr w14:paraId="2EE1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 w:type="pct"/>
                  <w:vAlign w:val="center"/>
                </w:tcPr>
                <w:p w14:paraId="74301E2E">
                  <w:pPr>
                    <w:jc w:val="center"/>
                    <w:rPr>
                      <w:b/>
                      <w:color w:val="auto"/>
                      <w:sz w:val="21"/>
                      <w:szCs w:val="21"/>
                    </w:rPr>
                  </w:pPr>
                  <w:r>
                    <w:rPr>
                      <w:b/>
                      <w:color w:val="auto"/>
                      <w:sz w:val="21"/>
                      <w:szCs w:val="21"/>
                    </w:rPr>
                    <w:t>类型</w:t>
                  </w:r>
                </w:p>
              </w:tc>
              <w:tc>
                <w:tcPr>
                  <w:tcW w:w="677" w:type="pct"/>
                  <w:vAlign w:val="center"/>
                </w:tcPr>
                <w:p w14:paraId="1628617F">
                  <w:pPr>
                    <w:jc w:val="center"/>
                    <w:rPr>
                      <w:b/>
                      <w:color w:val="auto"/>
                      <w:sz w:val="21"/>
                      <w:szCs w:val="21"/>
                    </w:rPr>
                  </w:pPr>
                  <w:r>
                    <w:rPr>
                      <w:b/>
                      <w:color w:val="auto"/>
                      <w:sz w:val="21"/>
                      <w:szCs w:val="21"/>
                    </w:rPr>
                    <w:t>名称</w:t>
                  </w:r>
                </w:p>
              </w:tc>
              <w:tc>
                <w:tcPr>
                  <w:tcW w:w="744" w:type="pct"/>
                  <w:vAlign w:val="center"/>
                </w:tcPr>
                <w:p w14:paraId="08E82D30">
                  <w:pPr>
                    <w:jc w:val="center"/>
                    <w:rPr>
                      <w:b/>
                      <w:color w:val="auto"/>
                      <w:sz w:val="21"/>
                      <w:szCs w:val="21"/>
                    </w:rPr>
                  </w:pPr>
                  <w:r>
                    <w:rPr>
                      <w:b/>
                      <w:color w:val="auto"/>
                      <w:sz w:val="21"/>
                      <w:szCs w:val="21"/>
                    </w:rPr>
                    <w:t>生态系统特征</w:t>
                  </w:r>
                </w:p>
              </w:tc>
              <w:tc>
                <w:tcPr>
                  <w:tcW w:w="1969" w:type="pct"/>
                  <w:vAlign w:val="center"/>
                </w:tcPr>
                <w:p w14:paraId="7DF2DA94">
                  <w:pPr>
                    <w:jc w:val="center"/>
                    <w:rPr>
                      <w:b/>
                      <w:color w:val="auto"/>
                      <w:sz w:val="21"/>
                      <w:szCs w:val="21"/>
                    </w:rPr>
                  </w:pPr>
                  <w:r>
                    <w:rPr>
                      <w:b/>
                      <w:color w:val="auto"/>
                      <w:sz w:val="21"/>
                      <w:szCs w:val="21"/>
                    </w:rPr>
                    <w:t>保护地名录</w:t>
                  </w:r>
                </w:p>
              </w:tc>
              <w:tc>
                <w:tcPr>
                  <w:tcW w:w="530" w:type="pct"/>
                  <w:vAlign w:val="center"/>
                </w:tcPr>
                <w:p w14:paraId="4BD59DF7">
                  <w:pPr>
                    <w:jc w:val="center"/>
                    <w:rPr>
                      <w:b/>
                      <w:color w:val="auto"/>
                      <w:sz w:val="21"/>
                      <w:szCs w:val="21"/>
                    </w:rPr>
                  </w:pPr>
                  <w:r>
                    <w:rPr>
                      <w:b/>
                      <w:color w:val="auto"/>
                      <w:sz w:val="21"/>
                      <w:szCs w:val="21"/>
                    </w:rPr>
                    <w:t>所属</w:t>
                  </w:r>
                </w:p>
                <w:p w14:paraId="1B888684">
                  <w:pPr>
                    <w:jc w:val="center"/>
                    <w:rPr>
                      <w:b/>
                      <w:color w:val="auto"/>
                      <w:sz w:val="21"/>
                      <w:szCs w:val="21"/>
                    </w:rPr>
                  </w:pPr>
                  <w:r>
                    <w:rPr>
                      <w:b/>
                      <w:color w:val="auto"/>
                      <w:sz w:val="21"/>
                      <w:szCs w:val="21"/>
                    </w:rPr>
                    <w:t>行政区</w:t>
                  </w:r>
                </w:p>
              </w:tc>
              <w:tc>
                <w:tcPr>
                  <w:tcW w:w="633" w:type="pct"/>
                  <w:vAlign w:val="center"/>
                </w:tcPr>
                <w:p w14:paraId="6CD98F6B">
                  <w:pPr>
                    <w:jc w:val="center"/>
                    <w:rPr>
                      <w:b/>
                      <w:color w:val="auto"/>
                      <w:sz w:val="21"/>
                      <w:szCs w:val="21"/>
                    </w:rPr>
                  </w:pPr>
                  <w:r>
                    <w:rPr>
                      <w:b/>
                      <w:color w:val="auto"/>
                      <w:sz w:val="21"/>
                      <w:szCs w:val="21"/>
                    </w:rPr>
                    <w:t>面积</w:t>
                  </w:r>
                </w:p>
                <w:p w14:paraId="09E5DEFB">
                  <w:pPr>
                    <w:jc w:val="center"/>
                    <w:rPr>
                      <w:b/>
                      <w:color w:val="auto"/>
                      <w:sz w:val="21"/>
                      <w:szCs w:val="21"/>
                    </w:rPr>
                  </w:pPr>
                  <w:r>
                    <w:rPr>
                      <w:b/>
                      <w:color w:val="auto"/>
                      <w:sz w:val="21"/>
                      <w:szCs w:val="21"/>
                    </w:rPr>
                    <w:t>/km</w:t>
                  </w:r>
                  <w:r>
                    <w:rPr>
                      <w:b/>
                      <w:color w:val="auto"/>
                      <w:sz w:val="21"/>
                      <w:szCs w:val="21"/>
                      <w:vertAlign w:val="superscript"/>
                    </w:rPr>
                    <w:t>2</w:t>
                  </w:r>
                </w:p>
              </w:tc>
            </w:tr>
            <w:tr w14:paraId="11DA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 w:type="pct"/>
                  <w:vMerge w:val="restart"/>
                  <w:vAlign w:val="center"/>
                </w:tcPr>
                <w:p w14:paraId="78461793">
                  <w:pPr>
                    <w:jc w:val="center"/>
                    <w:rPr>
                      <w:color w:val="auto"/>
                      <w:sz w:val="21"/>
                      <w:szCs w:val="21"/>
                    </w:rPr>
                  </w:pPr>
                  <w:r>
                    <w:rPr>
                      <w:color w:val="auto"/>
                      <w:sz w:val="21"/>
                      <w:szCs w:val="21"/>
                    </w:rPr>
                    <w:t>Ⅱ水土保持生态保护红线</w:t>
                  </w:r>
                </w:p>
              </w:tc>
              <w:tc>
                <w:tcPr>
                  <w:tcW w:w="677" w:type="pct"/>
                  <w:vMerge w:val="restart"/>
                  <w:vAlign w:val="center"/>
                </w:tcPr>
                <w:p w14:paraId="6DDEA049">
                  <w:pPr>
                    <w:jc w:val="center"/>
                    <w:rPr>
                      <w:color w:val="auto"/>
                      <w:sz w:val="21"/>
                      <w:szCs w:val="21"/>
                    </w:rPr>
                  </w:pPr>
                  <w:r>
                    <w:rPr>
                      <w:color w:val="auto"/>
                      <w:sz w:val="21"/>
                      <w:szCs w:val="21"/>
                    </w:rPr>
                    <w:t>Ⅱ-1淮北河间平原农产品提供及水土保持生态保护红线</w:t>
                  </w:r>
                </w:p>
              </w:tc>
              <w:tc>
                <w:tcPr>
                  <w:tcW w:w="744" w:type="pct"/>
                  <w:vMerge w:val="restart"/>
                  <w:vAlign w:val="center"/>
                </w:tcPr>
                <w:p w14:paraId="6EB2E2EF">
                  <w:pPr>
                    <w:jc w:val="center"/>
                    <w:rPr>
                      <w:color w:val="auto"/>
                      <w:sz w:val="21"/>
                      <w:szCs w:val="21"/>
                    </w:rPr>
                  </w:pPr>
                  <w:r>
                    <w:rPr>
                      <w:color w:val="auto"/>
                      <w:sz w:val="21"/>
                      <w:szCs w:val="21"/>
                    </w:rPr>
                    <w:t>暖温带落叶阔叶林带</w:t>
                  </w:r>
                </w:p>
              </w:tc>
              <w:tc>
                <w:tcPr>
                  <w:tcW w:w="1969" w:type="pct"/>
                  <w:vMerge w:val="restart"/>
                  <w:vAlign w:val="center"/>
                </w:tcPr>
                <w:p w14:paraId="722C7778">
                  <w:pPr>
                    <w:jc w:val="center"/>
                    <w:rPr>
                      <w:color w:val="auto"/>
                      <w:sz w:val="21"/>
                      <w:szCs w:val="21"/>
                    </w:rPr>
                  </w:pPr>
                  <w:r>
                    <w:rPr>
                      <w:rFonts w:hint="eastAsia"/>
                      <w:color w:val="auto"/>
                      <w:sz w:val="21"/>
                      <w:szCs w:val="21"/>
                    </w:rPr>
                    <w:t>宿州大方寺省级自然保护区、泗县沱河省级自然保护区、泗县新汴河省级湿地自然公园、安徽灵璧磬云山国家地质自然公园、泗县沱河省级自然保护区、安徽泗县石龙湖国家湿地公园</w:t>
                  </w:r>
                </w:p>
              </w:tc>
              <w:tc>
                <w:tcPr>
                  <w:tcW w:w="530" w:type="pct"/>
                  <w:vAlign w:val="center"/>
                </w:tcPr>
                <w:p w14:paraId="5D3F930E">
                  <w:pPr>
                    <w:jc w:val="center"/>
                    <w:rPr>
                      <w:color w:val="auto"/>
                      <w:sz w:val="21"/>
                      <w:szCs w:val="21"/>
                    </w:rPr>
                  </w:pPr>
                  <w:r>
                    <w:rPr>
                      <w:color w:val="auto"/>
                      <w:sz w:val="21"/>
                      <w:szCs w:val="21"/>
                    </w:rPr>
                    <w:t>灵璧县</w:t>
                  </w:r>
                </w:p>
              </w:tc>
              <w:tc>
                <w:tcPr>
                  <w:tcW w:w="633" w:type="pct"/>
                  <w:vAlign w:val="center"/>
                </w:tcPr>
                <w:p w14:paraId="0BFCF9E2">
                  <w:pPr>
                    <w:jc w:val="center"/>
                    <w:rPr>
                      <w:color w:val="auto"/>
                      <w:sz w:val="21"/>
                      <w:szCs w:val="21"/>
                    </w:rPr>
                  </w:pPr>
                  <w:r>
                    <w:rPr>
                      <w:color w:val="auto"/>
                      <w:sz w:val="21"/>
                      <w:szCs w:val="21"/>
                    </w:rPr>
                    <w:t>8.</w:t>
                  </w:r>
                  <w:r>
                    <w:rPr>
                      <w:rFonts w:hint="eastAsia"/>
                      <w:color w:val="auto"/>
                      <w:sz w:val="21"/>
                      <w:szCs w:val="21"/>
                    </w:rPr>
                    <w:t>2</w:t>
                  </w:r>
                </w:p>
              </w:tc>
            </w:tr>
            <w:tr w14:paraId="002A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 w:type="pct"/>
                  <w:vMerge w:val="continue"/>
                  <w:vAlign w:val="center"/>
                </w:tcPr>
                <w:p w14:paraId="1DC95567">
                  <w:pPr>
                    <w:jc w:val="center"/>
                    <w:rPr>
                      <w:color w:val="auto"/>
                      <w:sz w:val="21"/>
                      <w:szCs w:val="21"/>
                    </w:rPr>
                  </w:pPr>
                </w:p>
              </w:tc>
              <w:tc>
                <w:tcPr>
                  <w:tcW w:w="677" w:type="pct"/>
                  <w:vMerge w:val="continue"/>
                  <w:vAlign w:val="center"/>
                </w:tcPr>
                <w:p w14:paraId="7952FE10">
                  <w:pPr>
                    <w:jc w:val="center"/>
                    <w:rPr>
                      <w:color w:val="auto"/>
                      <w:sz w:val="21"/>
                      <w:szCs w:val="21"/>
                    </w:rPr>
                  </w:pPr>
                </w:p>
              </w:tc>
              <w:tc>
                <w:tcPr>
                  <w:tcW w:w="744" w:type="pct"/>
                  <w:vMerge w:val="continue"/>
                  <w:vAlign w:val="center"/>
                </w:tcPr>
                <w:p w14:paraId="5C4142CD">
                  <w:pPr>
                    <w:jc w:val="center"/>
                    <w:rPr>
                      <w:color w:val="auto"/>
                      <w:sz w:val="21"/>
                      <w:szCs w:val="21"/>
                    </w:rPr>
                  </w:pPr>
                </w:p>
              </w:tc>
              <w:tc>
                <w:tcPr>
                  <w:tcW w:w="1969" w:type="pct"/>
                  <w:vMerge w:val="continue"/>
                  <w:vAlign w:val="center"/>
                </w:tcPr>
                <w:p w14:paraId="7CB16B68">
                  <w:pPr>
                    <w:jc w:val="center"/>
                    <w:rPr>
                      <w:color w:val="auto"/>
                      <w:sz w:val="21"/>
                      <w:szCs w:val="21"/>
                    </w:rPr>
                  </w:pPr>
                </w:p>
              </w:tc>
              <w:tc>
                <w:tcPr>
                  <w:tcW w:w="530" w:type="pct"/>
                  <w:vAlign w:val="center"/>
                </w:tcPr>
                <w:p w14:paraId="4E9336D2">
                  <w:pPr>
                    <w:jc w:val="center"/>
                    <w:rPr>
                      <w:color w:val="auto"/>
                      <w:sz w:val="21"/>
                      <w:szCs w:val="21"/>
                    </w:rPr>
                  </w:pPr>
                  <w:r>
                    <w:rPr>
                      <w:color w:val="auto"/>
                      <w:sz w:val="21"/>
                      <w:szCs w:val="21"/>
                    </w:rPr>
                    <w:t>泗县</w:t>
                  </w:r>
                </w:p>
              </w:tc>
              <w:tc>
                <w:tcPr>
                  <w:tcW w:w="633" w:type="pct"/>
                  <w:vAlign w:val="center"/>
                </w:tcPr>
                <w:p w14:paraId="47DE68A0">
                  <w:pPr>
                    <w:jc w:val="center"/>
                    <w:rPr>
                      <w:color w:val="auto"/>
                      <w:sz w:val="21"/>
                      <w:szCs w:val="21"/>
                    </w:rPr>
                  </w:pPr>
                  <w:r>
                    <w:rPr>
                      <w:rFonts w:hint="eastAsia"/>
                      <w:color w:val="auto"/>
                      <w:sz w:val="21"/>
                      <w:szCs w:val="21"/>
                    </w:rPr>
                    <w:t>28.82</w:t>
                  </w:r>
                </w:p>
              </w:tc>
            </w:tr>
            <w:tr w14:paraId="5D4F7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 w:type="pct"/>
                  <w:vMerge w:val="continue"/>
                  <w:vAlign w:val="center"/>
                </w:tcPr>
                <w:p w14:paraId="7998E470">
                  <w:pPr>
                    <w:jc w:val="center"/>
                    <w:rPr>
                      <w:color w:val="auto"/>
                      <w:sz w:val="21"/>
                      <w:szCs w:val="21"/>
                    </w:rPr>
                  </w:pPr>
                </w:p>
              </w:tc>
              <w:tc>
                <w:tcPr>
                  <w:tcW w:w="677" w:type="pct"/>
                  <w:vMerge w:val="continue"/>
                  <w:vAlign w:val="center"/>
                </w:tcPr>
                <w:p w14:paraId="6B62EACA">
                  <w:pPr>
                    <w:jc w:val="center"/>
                    <w:rPr>
                      <w:color w:val="auto"/>
                      <w:sz w:val="21"/>
                      <w:szCs w:val="21"/>
                    </w:rPr>
                  </w:pPr>
                </w:p>
              </w:tc>
              <w:tc>
                <w:tcPr>
                  <w:tcW w:w="744" w:type="pct"/>
                  <w:vMerge w:val="continue"/>
                  <w:vAlign w:val="center"/>
                </w:tcPr>
                <w:p w14:paraId="4EAD27FF">
                  <w:pPr>
                    <w:jc w:val="center"/>
                    <w:rPr>
                      <w:color w:val="auto"/>
                      <w:sz w:val="21"/>
                      <w:szCs w:val="21"/>
                    </w:rPr>
                  </w:pPr>
                </w:p>
              </w:tc>
              <w:tc>
                <w:tcPr>
                  <w:tcW w:w="1969" w:type="pct"/>
                  <w:vMerge w:val="continue"/>
                  <w:vAlign w:val="center"/>
                </w:tcPr>
                <w:p w14:paraId="37A66882">
                  <w:pPr>
                    <w:jc w:val="center"/>
                    <w:rPr>
                      <w:color w:val="auto"/>
                      <w:sz w:val="21"/>
                      <w:szCs w:val="21"/>
                    </w:rPr>
                  </w:pPr>
                </w:p>
              </w:tc>
              <w:tc>
                <w:tcPr>
                  <w:tcW w:w="530" w:type="pct"/>
                  <w:vAlign w:val="center"/>
                </w:tcPr>
                <w:p w14:paraId="25BDFA37">
                  <w:pPr>
                    <w:jc w:val="center"/>
                    <w:rPr>
                      <w:color w:val="auto"/>
                      <w:sz w:val="21"/>
                      <w:szCs w:val="21"/>
                    </w:rPr>
                  </w:pPr>
                  <w:r>
                    <w:rPr>
                      <w:color w:val="auto"/>
                      <w:sz w:val="21"/>
                      <w:szCs w:val="21"/>
                    </w:rPr>
                    <w:t>埇桥区</w:t>
                  </w:r>
                </w:p>
              </w:tc>
              <w:tc>
                <w:tcPr>
                  <w:tcW w:w="633" w:type="pct"/>
                  <w:vAlign w:val="center"/>
                </w:tcPr>
                <w:p w14:paraId="3CCE28F8">
                  <w:pPr>
                    <w:jc w:val="center"/>
                    <w:rPr>
                      <w:color w:val="auto"/>
                      <w:sz w:val="21"/>
                      <w:szCs w:val="21"/>
                    </w:rPr>
                  </w:pPr>
                  <w:r>
                    <w:rPr>
                      <w:rFonts w:hint="eastAsia"/>
                      <w:color w:val="auto"/>
                      <w:sz w:val="21"/>
                      <w:szCs w:val="21"/>
                    </w:rPr>
                    <w:t>65.24</w:t>
                  </w:r>
                </w:p>
              </w:tc>
            </w:tr>
            <w:tr w14:paraId="108F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 w:type="pct"/>
                  <w:vMerge w:val="restart"/>
                  <w:vAlign w:val="center"/>
                </w:tcPr>
                <w:p w14:paraId="67B5B529">
                  <w:pPr>
                    <w:jc w:val="center"/>
                    <w:rPr>
                      <w:color w:val="auto"/>
                      <w:sz w:val="21"/>
                      <w:szCs w:val="21"/>
                    </w:rPr>
                  </w:pPr>
                  <w:r>
                    <w:rPr>
                      <w:color w:val="auto"/>
                      <w:sz w:val="21"/>
                      <w:szCs w:val="21"/>
                    </w:rPr>
                    <w:t>Ⅲ生物多样性维护生态保护红线</w:t>
                  </w:r>
                </w:p>
              </w:tc>
              <w:tc>
                <w:tcPr>
                  <w:tcW w:w="677" w:type="pct"/>
                  <w:vMerge w:val="restart"/>
                  <w:vAlign w:val="center"/>
                </w:tcPr>
                <w:p w14:paraId="779CC6CD">
                  <w:pPr>
                    <w:jc w:val="center"/>
                    <w:rPr>
                      <w:color w:val="auto"/>
                      <w:sz w:val="21"/>
                      <w:szCs w:val="21"/>
                    </w:rPr>
                  </w:pPr>
                  <w:r>
                    <w:rPr>
                      <w:color w:val="auto"/>
                      <w:sz w:val="21"/>
                      <w:szCs w:val="21"/>
                    </w:rPr>
                    <w:t>Ⅲ-1淮北平原北部生物多样性维护及水土保持生态保护红线</w:t>
                  </w:r>
                </w:p>
              </w:tc>
              <w:tc>
                <w:tcPr>
                  <w:tcW w:w="744" w:type="pct"/>
                  <w:vMerge w:val="restart"/>
                  <w:vAlign w:val="center"/>
                </w:tcPr>
                <w:p w14:paraId="196F8C0B">
                  <w:pPr>
                    <w:jc w:val="center"/>
                    <w:rPr>
                      <w:color w:val="auto"/>
                      <w:sz w:val="21"/>
                      <w:szCs w:val="21"/>
                    </w:rPr>
                  </w:pPr>
                  <w:r>
                    <w:rPr>
                      <w:color w:val="auto"/>
                      <w:sz w:val="21"/>
                      <w:szCs w:val="21"/>
                    </w:rPr>
                    <w:t>暖温带落叶阔叶林带</w:t>
                  </w:r>
                </w:p>
              </w:tc>
              <w:tc>
                <w:tcPr>
                  <w:tcW w:w="1969" w:type="pct"/>
                  <w:vMerge w:val="restart"/>
                  <w:vAlign w:val="center"/>
                </w:tcPr>
                <w:p w14:paraId="7047DD3A">
                  <w:pPr>
                    <w:jc w:val="center"/>
                    <w:rPr>
                      <w:color w:val="auto"/>
                      <w:sz w:val="21"/>
                      <w:szCs w:val="21"/>
                    </w:rPr>
                  </w:pPr>
                  <w:r>
                    <w:rPr>
                      <w:rFonts w:hint="eastAsia"/>
                      <w:color w:val="auto"/>
                      <w:sz w:val="21"/>
                      <w:szCs w:val="21"/>
                    </w:rPr>
                    <w:t>安徽砀山酥梨种质资源森林公园、砀山县黄河故道省级自然保护区、安徽相山国家森林自然公园、安徽萧县皇藏峪省级自然保护区、安徽萧县黄河故道省级自然保护区、梅山省级森林自然公园、宿州大方寺省级自然保护区、萧县凤山省级森林自然公园、萧县永堌省级森林自然公园</w:t>
                  </w:r>
                </w:p>
              </w:tc>
              <w:tc>
                <w:tcPr>
                  <w:tcW w:w="530" w:type="pct"/>
                  <w:vAlign w:val="center"/>
                </w:tcPr>
                <w:p w14:paraId="44423F91">
                  <w:pPr>
                    <w:jc w:val="center"/>
                    <w:rPr>
                      <w:color w:val="auto"/>
                      <w:sz w:val="21"/>
                      <w:szCs w:val="21"/>
                    </w:rPr>
                  </w:pPr>
                  <w:r>
                    <w:rPr>
                      <w:color w:val="auto"/>
                      <w:sz w:val="21"/>
                      <w:szCs w:val="21"/>
                    </w:rPr>
                    <w:t>砀山县</w:t>
                  </w:r>
                </w:p>
              </w:tc>
              <w:tc>
                <w:tcPr>
                  <w:tcW w:w="633" w:type="pct"/>
                  <w:vAlign w:val="center"/>
                </w:tcPr>
                <w:p w14:paraId="7FE0A672">
                  <w:pPr>
                    <w:jc w:val="center"/>
                    <w:rPr>
                      <w:color w:val="auto"/>
                      <w:sz w:val="21"/>
                      <w:szCs w:val="21"/>
                    </w:rPr>
                  </w:pPr>
                  <w:r>
                    <w:rPr>
                      <w:rFonts w:hint="eastAsia"/>
                      <w:color w:val="auto"/>
                      <w:sz w:val="21"/>
                      <w:szCs w:val="21"/>
                    </w:rPr>
                    <w:t>113.87</w:t>
                  </w:r>
                </w:p>
              </w:tc>
            </w:tr>
            <w:tr w14:paraId="3534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 w:type="pct"/>
                  <w:vMerge w:val="continue"/>
                  <w:vAlign w:val="center"/>
                </w:tcPr>
                <w:p w14:paraId="516B8DB6">
                  <w:pPr>
                    <w:jc w:val="center"/>
                    <w:rPr>
                      <w:color w:val="auto"/>
                      <w:sz w:val="21"/>
                      <w:szCs w:val="21"/>
                    </w:rPr>
                  </w:pPr>
                </w:p>
              </w:tc>
              <w:tc>
                <w:tcPr>
                  <w:tcW w:w="677" w:type="pct"/>
                  <w:vMerge w:val="continue"/>
                  <w:vAlign w:val="center"/>
                </w:tcPr>
                <w:p w14:paraId="2B91E47E">
                  <w:pPr>
                    <w:jc w:val="center"/>
                    <w:rPr>
                      <w:color w:val="auto"/>
                      <w:sz w:val="21"/>
                      <w:szCs w:val="21"/>
                    </w:rPr>
                  </w:pPr>
                </w:p>
              </w:tc>
              <w:tc>
                <w:tcPr>
                  <w:tcW w:w="744" w:type="pct"/>
                  <w:vMerge w:val="continue"/>
                  <w:vAlign w:val="center"/>
                </w:tcPr>
                <w:p w14:paraId="33E3E790">
                  <w:pPr>
                    <w:jc w:val="center"/>
                    <w:rPr>
                      <w:color w:val="auto"/>
                      <w:sz w:val="21"/>
                      <w:szCs w:val="21"/>
                    </w:rPr>
                  </w:pPr>
                </w:p>
              </w:tc>
              <w:tc>
                <w:tcPr>
                  <w:tcW w:w="1969" w:type="pct"/>
                  <w:vMerge w:val="continue"/>
                  <w:vAlign w:val="center"/>
                </w:tcPr>
                <w:p w14:paraId="53C90E01">
                  <w:pPr>
                    <w:jc w:val="center"/>
                    <w:rPr>
                      <w:color w:val="auto"/>
                      <w:sz w:val="21"/>
                      <w:szCs w:val="21"/>
                    </w:rPr>
                  </w:pPr>
                </w:p>
              </w:tc>
              <w:tc>
                <w:tcPr>
                  <w:tcW w:w="530" w:type="pct"/>
                  <w:vAlign w:val="center"/>
                </w:tcPr>
                <w:p w14:paraId="0A5E36D2">
                  <w:pPr>
                    <w:jc w:val="center"/>
                    <w:rPr>
                      <w:color w:val="auto"/>
                      <w:sz w:val="21"/>
                      <w:szCs w:val="21"/>
                    </w:rPr>
                  </w:pPr>
                  <w:r>
                    <w:rPr>
                      <w:color w:val="auto"/>
                      <w:sz w:val="21"/>
                      <w:szCs w:val="21"/>
                    </w:rPr>
                    <w:t>萧县</w:t>
                  </w:r>
                </w:p>
              </w:tc>
              <w:tc>
                <w:tcPr>
                  <w:tcW w:w="633" w:type="pct"/>
                  <w:vAlign w:val="center"/>
                </w:tcPr>
                <w:p w14:paraId="0D185687">
                  <w:pPr>
                    <w:jc w:val="center"/>
                    <w:rPr>
                      <w:color w:val="auto"/>
                      <w:sz w:val="21"/>
                      <w:szCs w:val="21"/>
                    </w:rPr>
                  </w:pPr>
                  <w:r>
                    <w:rPr>
                      <w:color w:val="auto"/>
                      <w:sz w:val="21"/>
                      <w:szCs w:val="21"/>
                    </w:rPr>
                    <w:t>1</w:t>
                  </w:r>
                  <w:r>
                    <w:rPr>
                      <w:rFonts w:hint="eastAsia"/>
                      <w:color w:val="auto"/>
                      <w:sz w:val="21"/>
                      <w:szCs w:val="21"/>
                    </w:rPr>
                    <w:t>03.45</w:t>
                  </w:r>
                </w:p>
              </w:tc>
            </w:tr>
          </w:tbl>
          <w:p w14:paraId="6A2826E6">
            <w:pPr>
              <w:pStyle w:val="64"/>
              <w:numPr>
                <w:ilvl w:val="0"/>
                <w:numId w:val="0"/>
              </w:numPr>
              <w:tabs>
                <w:tab w:val="left" w:pos="420"/>
              </w:tabs>
              <w:adjustRightInd w:val="0"/>
              <w:ind w:firstLine="480" w:firstLineChars="200"/>
              <w:textAlignment w:val="baseline"/>
              <w:rPr>
                <w:color w:val="000000" w:themeColor="text1"/>
                <w:kern w:val="0"/>
                <w14:textFill>
                  <w14:solidFill>
                    <w14:schemeClr w14:val="tx1"/>
                  </w14:solidFill>
                </w14:textFill>
              </w:rPr>
            </w:pPr>
            <w:r>
              <w:t>本项目</w:t>
            </w:r>
            <w:r>
              <w:rPr>
                <w:rFonts w:hint="eastAsia"/>
              </w:rPr>
              <w:t>位于</w:t>
            </w:r>
            <w:r>
              <w:rPr>
                <w:rFonts w:hint="eastAsia"/>
                <w:lang w:eastAsia="zh-CN"/>
              </w:rPr>
              <w:t>泗县虹城街道长三角绿色食品产业园</w:t>
            </w:r>
            <w:r>
              <w:t>，</w:t>
            </w:r>
            <w:r>
              <w:rPr>
                <w:rFonts w:hint="eastAsia"/>
              </w:rPr>
              <w:t>不在生态红线范围内</w:t>
            </w:r>
            <w:r>
              <w:t>，详见</w:t>
            </w:r>
            <w:r>
              <w:rPr>
                <w:rFonts w:hint="eastAsia"/>
              </w:rPr>
              <w:t>附图</w:t>
            </w:r>
            <w:r>
              <w:t>宿州市生态保护红线。因此，本项</w:t>
            </w:r>
            <w:r>
              <w:rPr>
                <w:rFonts w:hint="eastAsia" w:ascii="宋体" w:hAnsi="宋体" w:cs="宋体"/>
              </w:rPr>
              <w:t>目的建设符合</w:t>
            </w:r>
            <w:r>
              <w:t>宿州市生态保护红线</w:t>
            </w:r>
            <w:r>
              <w:rPr>
                <w:rFonts w:hint="eastAsia" w:ascii="宋体" w:hAnsi="宋体" w:cs="宋体"/>
              </w:rPr>
              <w:t>的要求</w:t>
            </w:r>
            <w:r>
              <w:rPr>
                <w:color w:val="000000" w:themeColor="text1"/>
                <w:kern w:val="0"/>
                <w14:textFill>
                  <w14:solidFill>
                    <w14:schemeClr w14:val="tx1"/>
                  </w14:solidFill>
                </w14:textFill>
              </w:rPr>
              <w:t>。</w:t>
            </w:r>
          </w:p>
          <w:p w14:paraId="38402BD3">
            <w:pPr>
              <w:spacing w:line="360" w:lineRule="auto"/>
              <w:ind w:firstLine="482" w:firstLineChars="200"/>
              <w:rPr>
                <w:b/>
                <w:bCs/>
                <w:kern w:val="0"/>
                <w:sz w:val="24"/>
              </w:rPr>
            </w:pPr>
            <w:r>
              <w:rPr>
                <w:b/>
                <w:bCs/>
                <w:kern w:val="0"/>
                <w:sz w:val="24"/>
              </w:rPr>
              <w:t>2、环境质量底线</w:t>
            </w:r>
            <w:r>
              <w:rPr>
                <w:rFonts w:hint="eastAsia"/>
                <w:b/>
                <w:bCs/>
                <w:kern w:val="0"/>
                <w:sz w:val="24"/>
              </w:rPr>
              <w:t>及分区管控</w:t>
            </w:r>
          </w:p>
          <w:p w14:paraId="7E437376">
            <w:pPr>
              <w:widowControl/>
              <w:spacing w:line="360" w:lineRule="auto"/>
              <w:ind w:firstLine="480"/>
              <w:rPr>
                <w:rFonts w:hint="default" w:eastAsia="宋体"/>
                <w:sz w:val="24"/>
                <w:szCs w:val="24"/>
                <w:lang w:val="en-US"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lang w:val="en-US" w:eastAsia="zh-CN"/>
              </w:rPr>
              <w:t>环境质量底线</w:t>
            </w:r>
          </w:p>
          <w:p w14:paraId="2AFAE935">
            <w:pPr>
              <w:widowControl/>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根据《环境空气质量模型技术支持服务系统》对区域达标情况进行判定，宿州市2024年SO2、NO2、PM10、PM2.5年均浓度分别为6μg/m</w:t>
            </w:r>
            <w:r>
              <w:rPr>
                <w:rFonts w:hint="default" w:ascii="Times New Roman" w:hAnsi="Times New Roman" w:eastAsia="宋体" w:cs="Times New Roman"/>
                <w:sz w:val="24"/>
                <w:szCs w:val="24"/>
                <w:vertAlign w:val="superscript"/>
              </w:rPr>
              <w:t>3</w:t>
            </w:r>
            <w:r>
              <w:rPr>
                <w:rFonts w:hint="default" w:ascii="Times New Roman" w:hAnsi="Times New Roman" w:cs="Times New Roman"/>
                <w:sz w:val="24"/>
                <w:szCs w:val="24"/>
              </w:rPr>
              <w:t>、18μg/m</w:t>
            </w:r>
            <w:r>
              <w:rPr>
                <w:rFonts w:hint="default" w:ascii="Times New Roman" w:hAnsi="Times New Roman" w:eastAsia="宋体" w:cs="Times New Roman"/>
                <w:sz w:val="24"/>
                <w:szCs w:val="24"/>
                <w:vertAlign w:val="superscript"/>
              </w:rPr>
              <w:t>3</w:t>
            </w:r>
            <w:r>
              <w:rPr>
                <w:rFonts w:hint="default" w:ascii="Times New Roman" w:hAnsi="Times New Roman" w:cs="Times New Roman"/>
                <w:sz w:val="24"/>
                <w:szCs w:val="24"/>
              </w:rPr>
              <w:t>、71μg/m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、43μg/m</w:t>
            </w:r>
            <w:r>
              <w:rPr>
                <w:rFonts w:hint="default" w:ascii="Times New Roman" w:hAnsi="Times New Roman" w:eastAsia="宋体" w:cs="Times New Roman"/>
                <w:sz w:val="24"/>
                <w:szCs w:val="24"/>
                <w:vertAlign w:val="superscript"/>
              </w:rPr>
              <w:t>3</w:t>
            </w:r>
            <w:r>
              <w:rPr>
                <w:rFonts w:hint="default" w:ascii="Times New Roman" w:hAnsi="Times New Roman" w:cs="Times New Roman"/>
                <w:sz w:val="24"/>
                <w:szCs w:val="24"/>
              </w:rPr>
              <w:t>；CO 24小时平均第95百分位数为0.9mg/m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，O</w:t>
            </w:r>
            <w:r>
              <w:rPr>
                <w:rFonts w:hint="default" w:ascii="Times New Roman" w:hAnsi="Times New Roman" w:cs="Times New Roman"/>
                <w:sz w:val="24"/>
                <w:szCs w:val="24"/>
                <w:vertAlign w:val="subscript"/>
              </w:rPr>
              <w:t>3</w:t>
            </w:r>
            <w:r>
              <w:rPr>
                <w:rFonts w:hint="default" w:ascii="Times New Roman" w:hAnsi="Times New Roman" w:cs="Times New Roman"/>
                <w:sz w:val="24"/>
                <w:szCs w:val="24"/>
              </w:rPr>
              <w:t>日最大8小时平均第90百分位数为170μg/m</w:t>
            </w:r>
            <w:r>
              <w:rPr>
                <w:rFonts w:hint="default" w:ascii="Times New Roman" w:hAnsi="Times New Roman" w:eastAsia="宋体" w:cs="Times New Roman"/>
                <w:sz w:val="24"/>
                <w:szCs w:val="24"/>
                <w:vertAlign w:val="superscript"/>
              </w:rPr>
              <w:t>3</w:t>
            </w:r>
            <w:r>
              <w:rPr>
                <w:rFonts w:hint="default" w:ascii="Times New Roman" w:hAnsi="Times New Roman" w:cs="Times New Roman"/>
                <w:sz w:val="24"/>
                <w:szCs w:val="24"/>
              </w:rPr>
              <w:t>；超过《环境空气质量标准》（GB3095-2026）中过渡阶段标准限值的污染物为PM</w:t>
            </w:r>
            <w:r>
              <w:rPr>
                <w:rFonts w:hint="default" w:ascii="Times New Roman" w:hAnsi="Times New Roman" w:cs="Times New Roman"/>
                <w:sz w:val="24"/>
                <w:szCs w:val="24"/>
                <w:vertAlign w:val="subscript"/>
              </w:rPr>
              <w:t>10</w:t>
            </w:r>
            <w:r>
              <w:rPr>
                <w:rFonts w:hint="default" w:ascii="Times New Roman" w:hAnsi="Times New Roman" w:cs="Times New Roman"/>
                <w:sz w:val="24"/>
                <w:szCs w:val="24"/>
              </w:rPr>
              <w:t>、O</w:t>
            </w:r>
            <w:r>
              <w:rPr>
                <w:rFonts w:hint="default" w:ascii="Times New Roman" w:hAnsi="Times New Roman" w:cs="Times New Roman"/>
                <w:sz w:val="24"/>
                <w:szCs w:val="24"/>
                <w:vertAlign w:val="subscript"/>
              </w:rPr>
              <w:t>3</w:t>
            </w:r>
            <w:r>
              <w:rPr>
                <w:rFonts w:hint="default" w:ascii="Times New Roman" w:hAnsi="Times New Roman" w:cs="Times New Roman"/>
                <w:sz w:val="24"/>
                <w:szCs w:val="24"/>
              </w:rPr>
              <w:t>、PM</w:t>
            </w:r>
            <w:r>
              <w:rPr>
                <w:rFonts w:hint="default" w:ascii="Times New Roman" w:hAnsi="Times New Roman" w:cs="Times New Roman"/>
                <w:sz w:val="24"/>
                <w:szCs w:val="24"/>
                <w:vertAlign w:val="subscript"/>
              </w:rPr>
              <w:t>2.5</w:t>
            </w:r>
            <w:r>
              <w:rPr>
                <w:rFonts w:hint="default" w:ascii="Times New Roman" w:hAnsi="Times New Roman" w:cs="Times New Roman"/>
                <w:sz w:val="24"/>
                <w:szCs w:val="24"/>
              </w:rPr>
              <w:t>。宿州市为不达标区。</w:t>
            </w:r>
          </w:p>
          <w:p w14:paraId="3E586ADD">
            <w:pPr>
              <w:spacing w:line="360" w:lineRule="auto"/>
              <w:ind w:firstLine="480" w:firstLineChars="200"/>
              <w:rPr>
                <w:rFonts w:hint="eastAsia"/>
                <w:kern w:val="0"/>
                <w:sz w:val="24"/>
              </w:rPr>
            </w:pPr>
            <w:r>
              <w:rPr>
                <w:rFonts w:hint="eastAsia"/>
                <w:kern w:val="0"/>
                <w:sz w:val="24"/>
              </w:rPr>
              <w:t>（2）大气环境分区管控</w:t>
            </w:r>
          </w:p>
          <w:p w14:paraId="55C5C05E">
            <w:pPr>
              <w:spacing w:line="360" w:lineRule="auto"/>
              <w:ind w:firstLine="480" w:firstLineChars="200"/>
              <w:rPr>
                <w:rFonts w:hint="eastAsia"/>
                <w:kern w:val="0"/>
                <w:sz w:val="24"/>
              </w:rPr>
            </w:pPr>
            <w:r>
              <w:rPr>
                <w:rFonts w:hint="eastAsia"/>
                <w:kern w:val="0"/>
                <w:sz w:val="24"/>
              </w:rPr>
              <w:t>对照宿州市大气环境分区管控图，项目位于大气环境受体敏感重点管控区，管控要求如下：落实《安徽省大气污染防治条例》《安徽省碳达峰实施方案的通知》《安徽省工业领域碳达峰实施方案》《安徽省城乡建设领域碳达峰实施方案》《关于进一步加强新上“两高”项目管理的通知》《安徽省挥发性有机物污染整治工作方案》《关于进一步加强建设项目新增大气污染物总量控制指标管理工作的通知》《安徽省“十四五”节能减排实施方案》《宿州市“十四五”节能减排实施方案》严格目标实施计划，加强环境监管，促进生态环境质量好转；新建、改建和扩建项目大气污染物实施“倍量替代”，执行特别排放标准的行业实施提标升级改造。</w:t>
            </w:r>
          </w:p>
          <w:p w14:paraId="7E7FD9D6">
            <w:pPr>
              <w:spacing w:line="360" w:lineRule="auto"/>
              <w:ind w:firstLine="480" w:firstLineChars="200"/>
              <w:rPr>
                <w:kern w:val="0"/>
                <w:sz w:val="24"/>
              </w:rPr>
            </w:pPr>
            <w:r>
              <w:rPr>
                <w:rFonts w:hint="eastAsia"/>
                <w:kern w:val="0"/>
                <w:sz w:val="24"/>
              </w:rPr>
              <w:t>项目的建设符合以上相关文件的要求；项目的建设不会对区域大气环境质量产生明显影响，项目的建设不会降低区域大气环境质量功能，能够满足区域大气环境质量底线要求。综上，本项目建设能够满足大气环境重点管控区要求。</w:t>
            </w:r>
          </w:p>
          <w:p w14:paraId="52F87923">
            <w:pPr>
              <w:spacing w:line="360" w:lineRule="auto"/>
              <w:ind w:firstLine="472"/>
              <w:rPr>
                <w:rFonts w:hint="default" w:ascii="Times New Roman" w:hAnsi="Times New Roman" w:eastAsia="宋体" w:cs="Times New Roman"/>
                <w:color w:val="auto"/>
                <w:spacing w:val="-2"/>
                <w:kern w:val="0"/>
                <w:sz w:val="24"/>
                <w:szCs w:val="24"/>
                <w:lang w:val="en-US" w:eastAsia="zh-CN"/>
              </w:rPr>
            </w:pPr>
            <w:r>
              <w:rPr>
                <w:rFonts w:hint="eastAsia" w:ascii="Times New Roman" w:hAnsi="Times New Roman" w:cs="Times New Roman"/>
                <w:b/>
                <w:bCs/>
                <w:color w:val="auto"/>
                <w:spacing w:val="-2"/>
                <w:kern w:val="0"/>
                <w:sz w:val="24"/>
                <w:szCs w:val="24"/>
                <w:lang w:val="en-US" w:eastAsia="zh-CN"/>
              </w:rPr>
              <w:t>3、</w:t>
            </w:r>
            <w:r>
              <w:rPr>
                <w:rFonts w:hint="default" w:ascii="Times New Roman" w:hAnsi="Times New Roman" w:cs="Times New Roman"/>
                <w:b/>
                <w:bCs/>
                <w:color w:val="auto"/>
                <w:spacing w:val="-2"/>
                <w:kern w:val="0"/>
                <w:sz w:val="24"/>
                <w:szCs w:val="24"/>
                <w:lang w:val="en-US" w:eastAsia="zh-CN"/>
              </w:rPr>
              <w:t>水</w:t>
            </w:r>
            <w:r>
              <w:rPr>
                <w:rFonts w:hint="default" w:ascii="Times New Roman" w:hAnsi="Times New Roman" w:cs="Times New Roman"/>
                <w:b/>
                <w:bCs/>
                <w:color w:val="auto"/>
                <w:sz w:val="24"/>
                <w:szCs w:val="24"/>
                <w:lang w:val="en-US" w:eastAsia="zh-CN"/>
              </w:rPr>
              <w:t>环境质量底线及分区管控</w:t>
            </w:r>
          </w:p>
          <w:p w14:paraId="2CF14F2C">
            <w:pPr>
              <w:spacing w:line="360" w:lineRule="auto"/>
              <w:ind w:firstLine="472"/>
              <w:rPr>
                <w:rFonts w:hint="default" w:ascii="Times New Roman" w:hAnsi="Times New Roman" w:eastAsia="宋体" w:cs="Times New Roman"/>
                <w:color w:val="auto"/>
                <w:spacing w:val="-2"/>
                <w:kern w:val="0"/>
                <w:sz w:val="24"/>
                <w:szCs w:val="24"/>
                <w:lang w:val="en-US" w:eastAsia="zh-CN"/>
              </w:rPr>
            </w:pPr>
            <w:r>
              <w:rPr>
                <w:rFonts w:hint="eastAsia" w:ascii="Times New Roman" w:hAnsi="Times New Roman" w:cs="Times New Roman"/>
                <w:color w:val="auto"/>
                <w:spacing w:val="-2"/>
                <w:kern w:val="0"/>
                <w:sz w:val="24"/>
                <w:szCs w:val="24"/>
                <w:lang w:val="en-US" w:eastAsia="zh-CN"/>
              </w:rPr>
              <w:t>（1）</w:t>
            </w:r>
            <w:r>
              <w:rPr>
                <w:rFonts w:hint="default" w:ascii="Times New Roman" w:hAnsi="Times New Roman" w:cs="Times New Roman"/>
                <w:color w:val="auto"/>
                <w:spacing w:val="-2"/>
                <w:kern w:val="0"/>
                <w:sz w:val="24"/>
                <w:szCs w:val="24"/>
                <w:lang w:val="en-US" w:eastAsia="zh-CN"/>
              </w:rPr>
              <w:t>水环境质量底线</w:t>
            </w:r>
          </w:p>
          <w:p w14:paraId="6D3CF9B0">
            <w:pPr>
              <w:spacing w:line="360" w:lineRule="auto"/>
              <w:ind w:firstLine="472"/>
              <w:rPr>
                <w:rFonts w:hint="default" w:ascii="Times New Roman" w:hAnsi="Times New Roman" w:cs="Times New Roman"/>
                <w:color w:val="auto"/>
                <w:spacing w:val="-2"/>
                <w:kern w:val="0"/>
                <w:sz w:val="24"/>
                <w:szCs w:val="24"/>
                <w:lang w:val="en-US" w:eastAsia="zh-CN"/>
              </w:rPr>
            </w:pPr>
            <w:r>
              <w:rPr>
                <w:rFonts w:hint="default" w:ascii="Times New Roman" w:hAnsi="Times New Roman" w:eastAsia="宋体" w:cs="Times New Roman"/>
                <w:bCs w:val="0"/>
                <w:color w:val="auto"/>
                <w:sz w:val="24"/>
                <w:szCs w:val="24"/>
                <w:lang w:val="en-US" w:eastAsia="zh-CN"/>
              </w:rPr>
              <w:t>根据</w:t>
            </w:r>
            <w:r>
              <w:rPr>
                <w:rFonts w:hint="default" w:ascii="Times New Roman" w:hAnsi="Times New Roman" w:cs="Times New Roman"/>
                <w:color w:val="auto"/>
                <w:sz w:val="24"/>
                <w:szCs w:val="24"/>
              </w:rPr>
              <w:t>发布的宿州市202</w:t>
            </w: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年环境质量状况，</w:t>
            </w:r>
            <w:r>
              <w:rPr>
                <w:rFonts w:hint="default" w:ascii="Times New Roman" w:hAnsi="Times New Roman" w:eastAsia="宋体" w:cs="Times New Roman"/>
                <w:bCs w:val="0"/>
                <w:color w:val="auto"/>
                <w:sz w:val="24"/>
                <w:szCs w:val="24"/>
                <w:lang w:val="en-US" w:eastAsia="zh-CN"/>
              </w:rPr>
              <w:t>2024年，宿州市水环境质量稳中向好、稳中趋优。全市13个地表水国家考核断面中10个水质达到Ⅲ类，水质优良比例为76.9%，较上一年同比提升7.7个百分点，超额完成省厅下达的年度力争考核目标；10个地表水省考核断面中5个断面水质为Ⅲ类，水质优良比例为50%，超出省年度考核目标20个百分点。9个县级及以上集中式饮用水水源地水质达标率保持100%。</w:t>
            </w:r>
          </w:p>
          <w:p w14:paraId="1FE0CCCD">
            <w:pPr>
              <w:spacing w:line="360" w:lineRule="auto"/>
              <w:ind w:firstLine="472"/>
              <w:rPr>
                <w:rFonts w:hint="default" w:ascii="Times New Roman" w:hAnsi="Times New Roman" w:eastAsia="宋体" w:cs="Times New Roman"/>
                <w:color w:val="auto"/>
                <w:sz w:val="24"/>
                <w:szCs w:val="24"/>
                <w:lang w:eastAsia="zh-CN"/>
              </w:rPr>
            </w:pP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lang w:val="en-US" w:eastAsia="zh-CN"/>
              </w:rPr>
              <w:t>水</w:t>
            </w:r>
            <w:r>
              <w:rPr>
                <w:rFonts w:hint="default" w:ascii="Times New Roman" w:hAnsi="Times New Roman" w:cs="Times New Roman"/>
                <w:color w:val="auto"/>
                <w:sz w:val="24"/>
                <w:szCs w:val="24"/>
                <w:lang w:eastAsia="zh-CN"/>
              </w:rPr>
              <w:t>环境分区管控</w:t>
            </w:r>
          </w:p>
          <w:p w14:paraId="7BBA5C3B">
            <w:pPr>
              <w:spacing w:line="360" w:lineRule="auto"/>
              <w:ind w:firstLine="472"/>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pacing w:val="-2"/>
                <w:kern w:val="0"/>
                <w:sz w:val="24"/>
                <w:szCs w:val="24"/>
              </w:rPr>
              <w:t>对照</w:t>
            </w:r>
            <w:r>
              <w:rPr>
                <w:rFonts w:hint="default" w:ascii="Times New Roman" w:hAnsi="Times New Roman" w:cs="Times New Roman"/>
                <w:color w:val="auto"/>
                <w:spacing w:val="-2"/>
                <w:kern w:val="0"/>
                <w:sz w:val="24"/>
                <w:szCs w:val="24"/>
                <w:lang w:val="en-US" w:eastAsia="zh-CN"/>
              </w:rPr>
              <w:t>宿州</w:t>
            </w:r>
            <w:r>
              <w:rPr>
                <w:rFonts w:hint="default" w:ascii="Times New Roman" w:hAnsi="Times New Roman" w:cs="Times New Roman"/>
                <w:color w:val="auto"/>
                <w:spacing w:val="-2"/>
                <w:kern w:val="0"/>
                <w:sz w:val="24"/>
                <w:szCs w:val="24"/>
              </w:rPr>
              <w:t>市</w:t>
            </w:r>
            <w:r>
              <w:rPr>
                <w:rFonts w:hint="default" w:ascii="Times New Roman" w:hAnsi="Times New Roman" w:cs="Times New Roman"/>
                <w:color w:val="auto"/>
                <w:spacing w:val="-2"/>
                <w:kern w:val="0"/>
                <w:sz w:val="24"/>
                <w:szCs w:val="24"/>
                <w:lang w:val="en-US" w:eastAsia="zh-CN"/>
              </w:rPr>
              <w:t>水</w:t>
            </w:r>
            <w:r>
              <w:rPr>
                <w:rFonts w:hint="default" w:ascii="Times New Roman" w:hAnsi="Times New Roman" w:cs="Times New Roman"/>
                <w:color w:val="auto"/>
                <w:spacing w:val="-2"/>
                <w:kern w:val="0"/>
                <w:sz w:val="24"/>
                <w:szCs w:val="24"/>
              </w:rPr>
              <w:t>环境分区管控图，项目位于</w:t>
            </w:r>
            <w:r>
              <w:rPr>
                <w:rFonts w:hint="default" w:ascii="Times New Roman" w:hAnsi="Times New Roman" w:cs="Times New Roman"/>
                <w:color w:val="auto"/>
                <w:spacing w:val="-2"/>
                <w:kern w:val="0"/>
                <w:sz w:val="24"/>
                <w:szCs w:val="24"/>
                <w:lang w:val="en-US" w:eastAsia="zh-CN"/>
              </w:rPr>
              <w:t>水环境</w:t>
            </w:r>
            <w:r>
              <w:rPr>
                <w:rFonts w:hint="eastAsia" w:ascii="Times New Roman" w:hAnsi="Times New Roman" w:cs="Times New Roman"/>
                <w:color w:val="auto"/>
                <w:spacing w:val="-2"/>
                <w:kern w:val="0"/>
                <w:sz w:val="24"/>
                <w:szCs w:val="24"/>
                <w:lang w:val="en-US" w:eastAsia="zh-CN"/>
              </w:rPr>
              <w:t>城镇生活</w:t>
            </w:r>
            <w:r>
              <w:rPr>
                <w:rFonts w:hint="default" w:ascii="Times New Roman" w:hAnsi="Times New Roman" w:cs="Times New Roman"/>
                <w:color w:val="auto"/>
                <w:spacing w:val="-2"/>
                <w:kern w:val="0"/>
                <w:sz w:val="24"/>
                <w:szCs w:val="24"/>
                <w:lang w:val="en-US" w:eastAsia="zh-CN"/>
              </w:rPr>
              <w:t>污染重点</w:t>
            </w:r>
            <w:r>
              <w:rPr>
                <w:rFonts w:hint="default" w:ascii="Times New Roman" w:hAnsi="Times New Roman" w:cs="Times New Roman"/>
                <w:color w:val="auto"/>
                <w:spacing w:val="-2"/>
                <w:kern w:val="0"/>
                <w:sz w:val="24"/>
                <w:szCs w:val="24"/>
              </w:rPr>
              <w:t>管控区，</w:t>
            </w:r>
            <w:r>
              <w:rPr>
                <w:rFonts w:hint="default" w:ascii="Times New Roman" w:hAnsi="Times New Roman" w:cs="Times New Roman"/>
                <w:color w:val="auto"/>
                <w:spacing w:val="-2"/>
                <w:kern w:val="0"/>
                <w:sz w:val="24"/>
                <w:szCs w:val="24"/>
                <w:lang w:val="en-US" w:eastAsia="zh-CN"/>
              </w:rPr>
              <w:t>具体要求落实《中华人民共和国水污染防治法》《水污染防治行动计划》《安徽省水污染防治工作方案》及各市水污染防治工作方案对重点管控区实施管控；落实《安徽省“十四五”生态环境保护规划》《安徽省“十四五”节能减排实施方案》；宿州市生态环境保护委员会，关于印发《“十四五”生态环境保护规划》的通知，宿环委会〔2022〕2号；《宿州市水生态环境保护“十四五”规划要点》，宿州市人民政府，2020年11月。</w:t>
            </w:r>
          </w:p>
          <w:p w14:paraId="38A0213A">
            <w:pPr>
              <w:spacing w:line="360" w:lineRule="auto"/>
              <w:ind w:firstLine="472"/>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生活污水经化粪池处理，生产废水经厂区污水处理设施处理后经厂区污水总排放口进入市政污水管网，最终进入泗县工业污水处理厂处理。项目的建设不会对区域地表水环境质量产生明显影响，不会降低区域地表水环境质量功能，能够满足区域地表水环境质量底线要求。综上，本项目满足水环境</w:t>
            </w:r>
            <w:r>
              <w:rPr>
                <w:rFonts w:hint="eastAsia" w:ascii="Times New Roman" w:hAnsi="Times New Roman" w:cs="Times New Roman"/>
                <w:color w:val="auto"/>
                <w:sz w:val="24"/>
                <w:szCs w:val="24"/>
                <w:lang w:val="en-US" w:eastAsia="zh-CN"/>
              </w:rPr>
              <w:t>城镇生活</w:t>
            </w:r>
            <w:r>
              <w:rPr>
                <w:rFonts w:hint="default" w:ascii="Times New Roman" w:hAnsi="Times New Roman" w:cs="Times New Roman"/>
                <w:color w:val="auto"/>
                <w:sz w:val="24"/>
                <w:szCs w:val="24"/>
                <w:lang w:val="en-US" w:eastAsia="zh-CN"/>
              </w:rPr>
              <w:t>污染重点管控区要求。</w:t>
            </w:r>
          </w:p>
          <w:p w14:paraId="107D4849">
            <w:pPr>
              <w:spacing w:line="360" w:lineRule="auto"/>
              <w:ind w:firstLine="472"/>
              <w:rPr>
                <w:rFonts w:hint="default" w:ascii="Times New Roman" w:hAnsi="Times New Roman" w:eastAsia="宋体" w:cs="Times New Roman"/>
                <w:color w:val="auto"/>
                <w:sz w:val="24"/>
                <w:szCs w:val="24"/>
                <w:lang w:eastAsia="zh-CN"/>
              </w:rPr>
            </w:pPr>
            <w:r>
              <w:rPr>
                <w:rFonts w:hint="eastAsia" w:ascii="Times New Roman" w:hAnsi="Times New Roman" w:cs="Times New Roman"/>
                <w:b/>
                <w:bCs/>
                <w:color w:val="auto"/>
                <w:sz w:val="24"/>
                <w:szCs w:val="24"/>
                <w:lang w:val="en-US" w:eastAsia="zh-CN"/>
              </w:rPr>
              <w:t>4、</w:t>
            </w:r>
            <w:r>
              <w:rPr>
                <w:rFonts w:hint="default" w:ascii="Times New Roman" w:hAnsi="Times New Roman" w:cs="Times New Roman"/>
                <w:b/>
                <w:bCs/>
                <w:color w:val="auto"/>
                <w:sz w:val="24"/>
                <w:szCs w:val="24"/>
                <w:lang w:val="en-US" w:eastAsia="zh-CN"/>
              </w:rPr>
              <w:t>土壤环境质量底线及分区管控</w:t>
            </w:r>
          </w:p>
          <w:p w14:paraId="5BFFA6E9">
            <w:pPr>
              <w:spacing w:line="360" w:lineRule="auto"/>
              <w:ind w:firstLine="472"/>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lang w:val="en-US" w:eastAsia="zh-CN"/>
              </w:rPr>
              <w:t>土壤环境质量底线</w:t>
            </w:r>
          </w:p>
          <w:p w14:paraId="6CCACE37">
            <w:pPr>
              <w:spacing w:line="360" w:lineRule="auto"/>
              <w:ind w:firstLine="472"/>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根据《2024年宿州市环境质量状况新闻发布会》相关内容，2024年，宿州市坚持预防为主、保护优先、风险管控，土壤环境安全防线持续筑牢。全市受污染耕地安全利用率、污染地块安全利用率始终保持100%，土壤环境质量总体稳定，为农用地安全利用和建设用地开发建设撑起“保护伞”。</w:t>
            </w:r>
          </w:p>
          <w:p w14:paraId="7659CCF0">
            <w:pPr>
              <w:spacing w:line="360" w:lineRule="auto"/>
              <w:ind w:firstLine="472"/>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lang w:val="en-US" w:eastAsia="zh-CN"/>
              </w:rPr>
              <w:t>土壤环境分区管控</w:t>
            </w:r>
          </w:p>
          <w:p w14:paraId="2A0AA0F2">
            <w:pPr>
              <w:spacing w:line="360" w:lineRule="auto"/>
              <w:ind w:firstLine="472"/>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参照宿州市土壤环境分区管控图，项目位于土壤环境风险一般管控区，落实要求：依据《中华人民共和国土壤污染防治法》《土壤污染防治行动计划》《安徽省土壤污染防治工作方案》《安徽省“十四五”环境保护规划》《安徽省“十四五”土壤、地下水和农村生态环境保护规划》《安徽省重金属污染防控工作方案》《安徽省“十四五”危险废物工业固体废物污染环境防治规划》《安徽省土壤污染防治工作方案》《宿州市“十四五”生态环境保护规划》对一般管控区实施管控。</w:t>
            </w:r>
          </w:p>
          <w:p w14:paraId="20468F4E">
            <w:pPr>
              <w:spacing w:line="360" w:lineRule="auto"/>
              <w:ind w:firstLine="472"/>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本项目</w:t>
            </w:r>
            <w:r>
              <w:rPr>
                <w:rFonts w:hint="eastAsia" w:ascii="Times New Roman" w:hAnsi="Times New Roman" w:cs="Times New Roman"/>
                <w:color w:val="auto"/>
                <w:sz w:val="24"/>
                <w:szCs w:val="24"/>
                <w:lang w:val="en-US" w:eastAsia="zh-CN"/>
              </w:rPr>
              <w:t>对危废暂存间</w:t>
            </w:r>
            <w:r>
              <w:rPr>
                <w:rFonts w:hint="default" w:ascii="Times New Roman" w:hAnsi="Times New Roman" w:cs="Times New Roman"/>
                <w:color w:val="auto"/>
                <w:sz w:val="24"/>
                <w:szCs w:val="24"/>
                <w:lang w:val="en-US" w:eastAsia="zh-CN"/>
              </w:rPr>
              <w:t>等容易造成污染的区域采取重点防渗，正常工况下不会对周围土壤环境造成污染。</w:t>
            </w:r>
          </w:p>
          <w:p w14:paraId="54724E1C">
            <w:pPr>
              <w:spacing w:line="360" w:lineRule="auto"/>
              <w:ind w:firstLine="472"/>
              <w:rPr>
                <w:rFonts w:hint="default" w:ascii="Times New Roman" w:hAnsi="Times New Roman" w:eastAsia="宋体" w:cs="Times New Roman"/>
                <w:color w:val="auto"/>
                <w:sz w:val="24"/>
                <w:szCs w:val="24"/>
                <w:lang w:val="en-US" w:eastAsia="zh-CN"/>
              </w:rPr>
            </w:pPr>
            <w:r>
              <w:rPr>
                <w:rFonts w:hint="eastAsia" w:ascii="Times New Roman" w:hAnsi="Times New Roman" w:cs="Times New Roman"/>
                <w:b/>
                <w:bCs/>
                <w:color w:val="auto"/>
                <w:sz w:val="24"/>
                <w:szCs w:val="24"/>
                <w:lang w:val="en-US" w:eastAsia="zh-CN"/>
              </w:rPr>
              <w:t>5、</w:t>
            </w:r>
            <w:r>
              <w:rPr>
                <w:rFonts w:hint="default" w:ascii="Times New Roman" w:hAnsi="Times New Roman" w:cs="Times New Roman"/>
                <w:b/>
                <w:bCs/>
                <w:color w:val="auto"/>
                <w:sz w:val="24"/>
                <w:szCs w:val="24"/>
                <w:lang w:val="en-US" w:eastAsia="zh-CN"/>
              </w:rPr>
              <w:t>声环境质量底线</w:t>
            </w:r>
          </w:p>
          <w:p w14:paraId="2BC8B2C6">
            <w:pPr>
              <w:spacing w:line="360" w:lineRule="auto"/>
              <w:ind w:firstLine="472"/>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rPr>
              <w:t>区域声环境质量</w:t>
            </w:r>
            <w:r>
              <w:rPr>
                <w:rFonts w:hint="default" w:ascii="Times New Roman" w:hAnsi="Times New Roman" w:cs="Times New Roman"/>
                <w:color w:val="auto"/>
                <w:sz w:val="24"/>
                <w:szCs w:val="24"/>
                <w:lang w:val="en-US" w:eastAsia="zh-CN"/>
              </w:rPr>
              <w:t>执行</w:t>
            </w:r>
            <w:r>
              <w:rPr>
                <w:rFonts w:hint="default" w:ascii="Times New Roman" w:hAnsi="Times New Roman" w:cs="Times New Roman"/>
                <w:color w:val="auto"/>
                <w:sz w:val="24"/>
                <w:szCs w:val="24"/>
              </w:rPr>
              <w:t>《声环境质量标准》（GB3096-2008）</w:t>
            </w:r>
            <w:r>
              <w:rPr>
                <w:rFonts w:hint="eastAsia"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类区标准</w:t>
            </w:r>
            <w:r>
              <w:rPr>
                <w:rFonts w:hint="default" w:ascii="Times New Roman" w:hAnsi="Times New Roman" w:cs="Times New Roman"/>
                <w:color w:val="auto"/>
                <w:sz w:val="24"/>
                <w:szCs w:val="24"/>
                <w:lang w:eastAsia="zh-CN"/>
              </w:rPr>
              <w:t>。</w:t>
            </w:r>
          </w:p>
          <w:p w14:paraId="135A23B8">
            <w:pPr>
              <w:bidi w:val="0"/>
              <w:spacing w:line="360" w:lineRule="auto"/>
              <w:ind w:firstLine="482" w:firstLineChars="200"/>
              <w:rPr>
                <w:rFonts w:hint="default" w:ascii="Times New Roman" w:hAnsi="Times New Roman" w:cs="Times New Roman"/>
                <w:b/>
                <w:bCs/>
                <w:color w:val="auto"/>
                <w:sz w:val="24"/>
                <w:szCs w:val="24"/>
              </w:rPr>
            </w:pPr>
            <w:r>
              <w:rPr>
                <w:rFonts w:hint="eastAsia" w:ascii="Times New Roman" w:hAnsi="Times New Roman" w:cs="Times New Roman"/>
                <w:b/>
                <w:bCs/>
                <w:color w:val="auto"/>
                <w:sz w:val="24"/>
                <w:szCs w:val="24"/>
                <w:lang w:val="en-US" w:eastAsia="zh-CN"/>
              </w:rPr>
              <w:t>6</w:t>
            </w:r>
            <w:r>
              <w:rPr>
                <w:rFonts w:hint="default" w:ascii="Times New Roman" w:hAnsi="Times New Roman" w:cs="Times New Roman"/>
                <w:b/>
                <w:bCs/>
                <w:color w:val="auto"/>
                <w:sz w:val="24"/>
                <w:szCs w:val="24"/>
                <w:lang w:val="en-US" w:eastAsia="zh-CN"/>
              </w:rPr>
              <w:t>、</w:t>
            </w:r>
            <w:r>
              <w:rPr>
                <w:rFonts w:hint="default" w:ascii="Times New Roman" w:hAnsi="Times New Roman" w:cs="Times New Roman"/>
                <w:b/>
                <w:bCs/>
                <w:color w:val="auto"/>
                <w:sz w:val="24"/>
                <w:szCs w:val="24"/>
              </w:rPr>
              <w:t>资源利用上线及分区管控要求</w:t>
            </w:r>
          </w:p>
          <w:p w14:paraId="72C785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项目</w:t>
            </w:r>
            <w:r>
              <w:rPr>
                <w:rFonts w:hint="default" w:ascii="Times New Roman" w:hAnsi="Times New Roman" w:cs="Times New Roman"/>
                <w:color w:val="auto"/>
                <w:sz w:val="24"/>
                <w:szCs w:val="24"/>
              </w:rPr>
              <w:t>生产过程中所需资源主要为水、电等，在同类型企业中水、电等消耗均处于较低水平；项目不涉及煤炭资源的使用；项目所在地不属于资源、能源紧缺区域，项目运营期间水、电等用量，不会超过划定的资源利用上线。</w:t>
            </w:r>
          </w:p>
          <w:p w14:paraId="52CA98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水资源分区管控要求</w:t>
            </w:r>
          </w:p>
          <w:p w14:paraId="339F98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bidi="ar"/>
              </w:rPr>
            </w:pPr>
            <w:r>
              <w:rPr>
                <w:rFonts w:hint="default" w:ascii="Times New Roman" w:hAnsi="Times New Roman" w:cs="Times New Roman"/>
                <w:color w:val="auto"/>
                <w:sz w:val="24"/>
                <w:szCs w:val="24"/>
                <w:lang w:eastAsia="zh-CN"/>
              </w:rPr>
              <w:t>项目</w:t>
            </w:r>
            <w:r>
              <w:rPr>
                <w:rFonts w:hint="default" w:ascii="Times New Roman" w:hAnsi="Times New Roman" w:cs="Times New Roman"/>
                <w:color w:val="auto"/>
                <w:sz w:val="24"/>
                <w:szCs w:val="24"/>
              </w:rPr>
              <w:t>位于</w:t>
            </w:r>
            <w:r>
              <w:rPr>
                <w:rFonts w:hint="eastAsia" w:ascii="Times New Roman" w:hAnsi="Times New Roman" w:cs="Times New Roman"/>
                <w:color w:val="auto"/>
                <w:sz w:val="24"/>
                <w:szCs w:val="24"/>
                <w:lang w:val="en-US" w:eastAsia="zh-CN"/>
              </w:rPr>
              <w:t>泗县虹城街道长三角绿色食品产业园，不属于</w:t>
            </w:r>
            <w:r>
              <w:rPr>
                <w:rFonts w:hint="default" w:ascii="Times New Roman" w:hAnsi="Times New Roman" w:eastAsia="宋体" w:cs="Times New Roman"/>
                <w:color w:val="auto"/>
                <w:sz w:val="24"/>
                <w:szCs w:val="24"/>
                <w:lang w:bidi="ar"/>
              </w:rPr>
              <w:t>地下水开采重点管控区</w:t>
            </w:r>
            <w:r>
              <w:rPr>
                <w:rFonts w:hint="eastAsia" w:ascii="Times New Roman" w:hAnsi="Times New Roman" w:eastAsia="宋体" w:cs="Times New Roman"/>
                <w:color w:val="auto"/>
                <w:sz w:val="24"/>
                <w:szCs w:val="24"/>
                <w:lang w:eastAsia="zh-CN" w:bidi="ar"/>
              </w:rPr>
              <w:t>，</w:t>
            </w:r>
            <w:r>
              <w:rPr>
                <w:rFonts w:hint="eastAsia" w:ascii="Times New Roman" w:hAnsi="Times New Roman" w:eastAsia="宋体" w:cs="Times New Roman"/>
                <w:color w:val="auto"/>
                <w:sz w:val="24"/>
                <w:szCs w:val="24"/>
                <w:lang w:val="en-US" w:eastAsia="zh-CN" w:bidi="ar"/>
              </w:rPr>
              <w:t>项目用水来自市政自来水管网。</w:t>
            </w:r>
          </w:p>
          <w:p w14:paraId="156646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土地资源管控分区</w:t>
            </w:r>
          </w:p>
          <w:p w14:paraId="4D9BB1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土地资源管控区划分为重点管控区和一般管控区，重点管控区一般是指具有一定经济基础、资源环境承载力较强、发展潜力较大、集聚人口和经济条件较好，可重点进行大规模工业化城镇化开发的区域，与《安徽省主体功能区规划》中的国家重点开发区域相符；除重点管控区以外的其他区域为一般管控区。根据《长江经济带战略环境评价宿州市“三线一单”》（动态更新成果），</w:t>
            </w:r>
            <w:r>
              <w:rPr>
                <w:rFonts w:hint="default" w:ascii="Times New Roman" w:hAnsi="Times New Roman" w:cs="Times New Roman"/>
                <w:color w:val="auto"/>
                <w:sz w:val="24"/>
                <w:highlight w:val="none"/>
                <w:lang w:eastAsia="zh-CN"/>
              </w:rPr>
              <w:t>项目</w:t>
            </w:r>
            <w:r>
              <w:rPr>
                <w:rFonts w:hint="default" w:ascii="Times New Roman" w:hAnsi="Times New Roman" w:cs="Times New Roman"/>
                <w:color w:val="auto"/>
                <w:sz w:val="24"/>
                <w:highlight w:val="none"/>
              </w:rPr>
              <w:t>位于土地资源一般管控区，与土地资源一般分区管控要求协调性见表</w:t>
            </w:r>
            <w:r>
              <w:rPr>
                <w:rFonts w:hint="default" w:ascii="Times New Roman" w:hAnsi="Times New Roman" w:cs="Times New Roman"/>
                <w:color w:val="auto"/>
                <w:sz w:val="24"/>
                <w:highlight w:val="none"/>
                <w:lang w:val="en-US" w:eastAsia="zh-CN"/>
              </w:rPr>
              <w:t>1-</w:t>
            </w:r>
            <w:r>
              <w:rPr>
                <w:rFonts w:hint="eastAsia" w:cs="Times New Roman"/>
                <w:color w:val="auto"/>
                <w:sz w:val="24"/>
                <w:highlight w:val="none"/>
                <w:lang w:val="en-US" w:eastAsia="zh-CN"/>
              </w:rPr>
              <w:t>2</w:t>
            </w:r>
            <w:r>
              <w:rPr>
                <w:rFonts w:hint="default" w:ascii="Times New Roman" w:hAnsi="Times New Roman" w:cs="Times New Roman"/>
                <w:color w:val="auto"/>
                <w:sz w:val="24"/>
                <w:highlight w:val="none"/>
              </w:rPr>
              <w:t>。</w:t>
            </w:r>
          </w:p>
          <w:p w14:paraId="5BB992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snapToGrid w:val="0"/>
                <w:color w:val="auto"/>
                <w:sz w:val="24"/>
              </w:rPr>
            </w:pPr>
            <w:r>
              <w:rPr>
                <w:rFonts w:hint="default" w:ascii="Times New Roman" w:hAnsi="Times New Roman" w:cs="Times New Roman"/>
                <w:b/>
                <w:snapToGrid w:val="0"/>
                <w:color w:val="auto"/>
                <w:sz w:val="24"/>
              </w:rPr>
              <w:t>表</w:t>
            </w:r>
            <w:r>
              <w:rPr>
                <w:rFonts w:hint="default" w:ascii="Times New Roman" w:hAnsi="Times New Roman" w:cs="Times New Roman"/>
                <w:b/>
                <w:snapToGrid w:val="0"/>
                <w:color w:val="auto"/>
                <w:sz w:val="24"/>
                <w:lang w:val="en-US" w:eastAsia="zh-CN"/>
              </w:rPr>
              <w:t>1-</w:t>
            </w:r>
            <w:r>
              <w:rPr>
                <w:rFonts w:hint="eastAsia" w:cs="Times New Roman"/>
                <w:b/>
                <w:snapToGrid w:val="0"/>
                <w:color w:val="auto"/>
                <w:sz w:val="24"/>
                <w:lang w:val="en-US" w:eastAsia="zh-CN"/>
              </w:rPr>
              <w:t>2</w:t>
            </w:r>
            <w:r>
              <w:rPr>
                <w:rFonts w:hint="default" w:ascii="Times New Roman" w:hAnsi="Times New Roman" w:cs="Times New Roman"/>
                <w:b/>
                <w:snapToGrid w:val="0"/>
                <w:color w:val="auto"/>
                <w:sz w:val="24"/>
              </w:rPr>
              <w:t>与土地资源分区管控协调性分析</w:t>
            </w: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3619"/>
              <w:gridCol w:w="1867"/>
            </w:tblGrid>
            <w:tr w14:paraId="5217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19" w:type="pct"/>
                  <w:noWrap w:val="0"/>
                  <w:vAlign w:val="center"/>
                </w:tcPr>
                <w:p w14:paraId="6F3D8CEE">
                  <w:pPr>
                    <w:pStyle w:val="37"/>
                    <w:spacing w:before="24" w:after="24" w:line="240" w:lineRule="auto"/>
                    <w:ind w:left="0" w:leftChars="0"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管控单元分类</w:t>
                  </w:r>
                </w:p>
              </w:tc>
              <w:tc>
                <w:tcPr>
                  <w:tcW w:w="2889" w:type="pct"/>
                  <w:noWrap w:val="0"/>
                  <w:vAlign w:val="center"/>
                </w:tcPr>
                <w:p w14:paraId="286E840A">
                  <w:pPr>
                    <w:pStyle w:val="37"/>
                    <w:spacing w:before="24" w:after="24" w:line="240" w:lineRule="auto"/>
                    <w:ind w:left="0" w:leftChars="0"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环境管控要求</w:t>
                  </w:r>
                </w:p>
              </w:tc>
              <w:tc>
                <w:tcPr>
                  <w:tcW w:w="1490" w:type="pct"/>
                  <w:noWrap w:val="0"/>
                  <w:vAlign w:val="center"/>
                </w:tcPr>
                <w:p w14:paraId="3622DBB4">
                  <w:pPr>
                    <w:pStyle w:val="37"/>
                    <w:spacing w:before="24" w:after="24" w:line="240" w:lineRule="auto"/>
                    <w:ind w:left="0" w:leftChars="0"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协调性分析</w:t>
                  </w:r>
                </w:p>
              </w:tc>
            </w:tr>
            <w:tr w14:paraId="09AF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19" w:type="pct"/>
                  <w:noWrap w:val="0"/>
                  <w:vAlign w:val="center"/>
                </w:tcPr>
                <w:p w14:paraId="0926F35F">
                  <w:pPr>
                    <w:pStyle w:val="37"/>
                    <w:spacing w:before="24" w:after="24" w:line="240" w:lineRule="auto"/>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一般管控区</w:t>
                  </w:r>
                </w:p>
              </w:tc>
              <w:tc>
                <w:tcPr>
                  <w:tcW w:w="2889" w:type="pct"/>
                  <w:noWrap w:val="0"/>
                  <w:vAlign w:val="center"/>
                </w:tcPr>
                <w:p w14:paraId="7B4603C9">
                  <w:pPr>
                    <w:pStyle w:val="37"/>
                    <w:spacing w:before="24" w:after="24" w:line="240" w:lineRule="auto"/>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落实《安徽省土壤污染防治工作方案》《安徽省“十四五”环境保护规划》《安徽省“十四五”土壤、地下水和农村生态环境保护规划》《安徽省重金属污染防控工作方案》《安徽省“十四五”危险废物工业固体废物污染环境防治规划》《安徽省土壤污染防治工作方案》《宿州市“十四五”生态环境保护规划》等要求。</w:t>
                  </w:r>
                </w:p>
              </w:tc>
              <w:tc>
                <w:tcPr>
                  <w:tcW w:w="1490" w:type="pct"/>
                  <w:noWrap w:val="0"/>
                  <w:vAlign w:val="center"/>
                </w:tcPr>
                <w:p w14:paraId="06DB49AA">
                  <w:pPr>
                    <w:pStyle w:val="37"/>
                    <w:spacing w:before="24" w:after="24" w:line="240" w:lineRule="auto"/>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项目位于</w:t>
                  </w:r>
                  <w:r>
                    <w:rPr>
                      <w:rFonts w:hint="eastAsia" w:hAnsi="宋体" w:eastAsia="宋体" w:cs="宋体"/>
                      <w:color w:val="auto"/>
                      <w:sz w:val="21"/>
                      <w:szCs w:val="21"/>
                      <w:lang w:val="en-US" w:eastAsia="zh-CN"/>
                    </w:rPr>
                    <w:t>泗县虹城街道长三角绿色食品产业园</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项目用地为工业用地，</w:t>
                  </w:r>
                  <w:r>
                    <w:rPr>
                      <w:rFonts w:hint="eastAsia" w:ascii="宋体" w:hAnsi="宋体" w:eastAsia="宋体" w:cs="宋体"/>
                      <w:color w:val="auto"/>
                      <w:sz w:val="21"/>
                      <w:szCs w:val="21"/>
                    </w:rPr>
                    <w:t>符合</w:t>
                  </w:r>
                  <w:r>
                    <w:rPr>
                      <w:rFonts w:hint="eastAsia" w:hAnsi="宋体" w:eastAsia="宋体" w:cs="宋体"/>
                      <w:color w:val="auto"/>
                      <w:sz w:val="21"/>
                      <w:szCs w:val="21"/>
                      <w:lang w:val="en-US" w:eastAsia="zh-CN"/>
                    </w:rPr>
                    <w:t>泗县城镇</w:t>
                  </w:r>
                  <w:r>
                    <w:rPr>
                      <w:rFonts w:hint="eastAsia" w:ascii="宋体" w:hAnsi="宋体" w:eastAsia="宋体" w:cs="宋体"/>
                      <w:color w:val="auto"/>
                      <w:sz w:val="21"/>
                      <w:szCs w:val="21"/>
                    </w:rPr>
                    <w:t>用地布局规划</w:t>
                  </w:r>
                </w:p>
              </w:tc>
            </w:tr>
          </w:tbl>
          <w:p w14:paraId="25C2AE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sz w:val="24"/>
              </w:rPr>
              <w:t>综上所述，项目的建设符合资源利用上线的要求。</w:t>
            </w:r>
          </w:p>
          <w:p w14:paraId="5F3029E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val="0"/>
                <w:color w:val="auto"/>
                <w:sz w:val="24"/>
                <w:szCs w:val="24"/>
              </w:rPr>
            </w:pPr>
            <w:r>
              <w:rPr>
                <w:rFonts w:hint="eastAsia" w:ascii="Times New Roman" w:hAnsi="Times New Roman" w:cs="Times New Roman"/>
                <w:b/>
                <w:bCs w:val="0"/>
                <w:color w:val="auto"/>
                <w:sz w:val="24"/>
                <w:szCs w:val="24"/>
                <w:lang w:val="en-US" w:eastAsia="zh-CN"/>
              </w:rPr>
              <w:t>7</w:t>
            </w:r>
            <w:r>
              <w:rPr>
                <w:rFonts w:hint="default" w:ascii="Times New Roman" w:hAnsi="Times New Roman" w:cs="Times New Roman"/>
                <w:b/>
                <w:bCs w:val="0"/>
                <w:color w:val="auto"/>
                <w:sz w:val="24"/>
                <w:szCs w:val="24"/>
                <w:lang w:val="en-US" w:eastAsia="zh-CN"/>
              </w:rPr>
              <w:t>、</w:t>
            </w:r>
            <w:r>
              <w:rPr>
                <w:rFonts w:hint="default" w:ascii="Times New Roman" w:hAnsi="Times New Roman" w:cs="Times New Roman"/>
                <w:b/>
                <w:bCs/>
                <w:color w:val="auto"/>
                <w:sz w:val="24"/>
                <w:szCs w:val="24"/>
              </w:rPr>
              <w:t>生态环境准入清单</w:t>
            </w:r>
          </w:p>
          <w:p w14:paraId="431213E1">
            <w:pPr>
              <w:widowControl/>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位于泗县虹城街道长三角绿色食品产业园，依据安徽省"三线一单"公众服务平台，经与“三线一单”成果数据分析，项目选址与1个环境管控单元存在交叠，重点管控类1个。具体管控要求及交叠情况详见下表。项目生态环境管控单元分布图见附图。</w:t>
            </w:r>
          </w:p>
          <w:p w14:paraId="64F97B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sz w:val="24"/>
                <w:lang w:val="en-US" w:eastAsia="zh-CN"/>
              </w:rPr>
            </w:pPr>
            <w:r>
              <w:rPr>
                <w:rFonts w:hint="eastAsia" w:ascii="Times New Roman" w:hAnsi="Times New Roman" w:eastAsia="宋体" w:cs="Times New Roman"/>
                <w:b/>
                <w:sz w:val="24"/>
                <w:lang w:val="en-US" w:eastAsia="zh-CN"/>
              </w:rPr>
              <w:t>表1-</w:t>
            </w:r>
            <w:r>
              <w:rPr>
                <w:rFonts w:hint="eastAsia" w:cs="Times New Roman"/>
                <w:b/>
                <w:sz w:val="24"/>
                <w:lang w:val="en-US" w:eastAsia="zh-CN"/>
              </w:rPr>
              <w:t>3</w:t>
            </w:r>
            <w:r>
              <w:rPr>
                <w:rFonts w:hint="eastAsia" w:ascii="Times New Roman" w:hAnsi="Times New Roman" w:eastAsia="宋体" w:cs="Times New Roman"/>
                <w:b/>
                <w:sz w:val="24"/>
                <w:lang w:val="en-US" w:eastAsia="zh-CN"/>
              </w:rPr>
              <w:t>项目选址与环境管控单元交叠情况一览表</w:t>
            </w:r>
          </w:p>
          <w:tbl>
            <w:tblPr>
              <w:tblStyle w:val="2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3"/>
              <w:gridCol w:w="2039"/>
              <w:gridCol w:w="2039"/>
            </w:tblGrid>
            <w:tr w14:paraId="5AF1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43" w:type="pct"/>
                  <w:noWrap w:val="0"/>
                  <w:vAlign w:val="center"/>
                </w:tcPr>
                <w:p w14:paraId="54FCFF2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bCs/>
                      <w:kern w:val="0"/>
                      <w:sz w:val="24"/>
                      <w:szCs w:val="20"/>
                      <w:vertAlign w:val="baseline"/>
                      <w:lang w:val="en-US" w:eastAsia="zh-CN" w:bidi="ar-SA"/>
                    </w:rPr>
                  </w:pPr>
                  <w:r>
                    <w:rPr>
                      <w:rFonts w:hint="default" w:ascii="Times New Roman" w:hAnsi="Times New Roman" w:eastAsia="宋体" w:cs="Times New Roman"/>
                      <w:b/>
                      <w:bCs/>
                      <w:spacing w:val="0"/>
                      <w:sz w:val="21"/>
                      <w:szCs w:val="21"/>
                    </w:rPr>
                    <w:t>环境管控单元编码</w:t>
                  </w:r>
                </w:p>
              </w:tc>
              <w:tc>
                <w:tcPr>
                  <w:tcW w:w="1628" w:type="pct"/>
                  <w:noWrap w:val="0"/>
                  <w:vAlign w:val="center"/>
                </w:tcPr>
                <w:p w14:paraId="3D99E9E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bCs/>
                      <w:kern w:val="0"/>
                      <w:sz w:val="24"/>
                      <w:szCs w:val="20"/>
                      <w:vertAlign w:val="baseline"/>
                      <w:lang w:val="en-US" w:eastAsia="zh-CN" w:bidi="ar-SA"/>
                    </w:rPr>
                  </w:pPr>
                  <w:r>
                    <w:rPr>
                      <w:rFonts w:hint="default" w:ascii="Times New Roman" w:hAnsi="Times New Roman" w:eastAsia="宋体" w:cs="Times New Roman"/>
                      <w:b/>
                      <w:bCs/>
                      <w:spacing w:val="0"/>
                      <w:sz w:val="21"/>
                      <w:szCs w:val="21"/>
                    </w:rPr>
                    <w:t>环境管控单元名称</w:t>
                  </w:r>
                </w:p>
              </w:tc>
              <w:tc>
                <w:tcPr>
                  <w:tcW w:w="1628" w:type="pct"/>
                  <w:noWrap w:val="0"/>
                  <w:vAlign w:val="center"/>
                </w:tcPr>
                <w:p w14:paraId="379C412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bCs/>
                      <w:kern w:val="0"/>
                      <w:sz w:val="24"/>
                      <w:szCs w:val="20"/>
                      <w:vertAlign w:val="baseline"/>
                      <w:lang w:val="en-US" w:eastAsia="zh-CN" w:bidi="ar-SA"/>
                    </w:rPr>
                  </w:pPr>
                  <w:r>
                    <w:rPr>
                      <w:rFonts w:hint="default" w:ascii="Times New Roman" w:hAnsi="Times New Roman" w:eastAsia="宋体" w:cs="Times New Roman"/>
                      <w:b/>
                      <w:bCs/>
                      <w:spacing w:val="0"/>
                      <w:sz w:val="21"/>
                      <w:szCs w:val="21"/>
                    </w:rPr>
                    <w:t>环境管控单元分类</w:t>
                  </w:r>
                </w:p>
              </w:tc>
            </w:tr>
            <w:tr w14:paraId="6563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43" w:type="pct"/>
                  <w:noWrap w:val="0"/>
                  <w:vAlign w:val="center"/>
                </w:tcPr>
                <w:p w14:paraId="371A2C0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kern w:val="0"/>
                      <w:sz w:val="24"/>
                      <w:szCs w:val="20"/>
                      <w:vertAlign w:val="baseline"/>
                      <w:lang w:val="en-US" w:eastAsia="zh-CN" w:bidi="ar-SA"/>
                    </w:rPr>
                  </w:pPr>
                  <w:r>
                    <w:rPr>
                      <w:rFonts w:hint="default" w:ascii="Times New Roman" w:hAnsi="Times New Roman" w:eastAsia="宋体" w:cs="Times New Roman"/>
                      <w:spacing w:val="-3"/>
                      <w:position w:val="-2"/>
                      <w:sz w:val="21"/>
                      <w:szCs w:val="21"/>
                    </w:rPr>
                    <w:t>ZH34132420021</w:t>
                  </w:r>
                </w:p>
              </w:tc>
              <w:tc>
                <w:tcPr>
                  <w:tcW w:w="1628" w:type="pct"/>
                  <w:noWrap w:val="0"/>
                  <w:vAlign w:val="center"/>
                </w:tcPr>
                <w:p w14:paraId="3287454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kern w:val="0"/>
                      <w:sz w:val="24"/>
                      <w:szCs w:val="20"/>
                      <w:vertAlign w:val="baseline"/>
                      <w:lang w:val="en-US" w:eastAsia="zh-CN" w:bidi="ar-SA"/>
                    </w:rPr>
                  </w:pPr>
                  <w:r>
                    <w:rPr>
                      <w:rFonts w:hint="eastAsia" w:ascii="Times New Roman" w:hAnsi="Times New Roman" w:cs="Times New Roman"/>
                      <w:spacing w:val="0"/>
                      <w:sz w:val="21"/>
                      <w:szCs w:val="21"/>
                      <w:lang w:val="en-US" w:eastAsia="zh-CN"/>
                    </w:rPr>
                    <w:t>重点</w:t>
                  </w:r>
                  <w:r>
                    <w:rPr>
                      <w:rFonts w:hint="default" w:ascii="Times New Roman" w:hAnsi="Times New Roman" w:eastAsia="宋体" w:cs="Times New Roman"/>
                      <w:spacing w:val="0"/>
                      <w:sz w:val="21"/>
                      <w:szCs w:val="21"/>
                    </w:rPr>
                    <w:t>管控单元</w:t>
                  </w:r>
                  <w:r>
                    <w:rPr>
                      <w:rFonts w:hint="eastAsia" w:ascii="Times New Roman" w:hAnsi="Times New Roman" w:eastAsia="宋体" w:cs="Times New Roman"/>
                      <w:spacing w:val="0"/>
                      <w:sz w:val="21"/>
                      <w:szCs w:val="21"/>
                      <w:lang w:val="en-US" w:eastAsia="zh-CN"/>
                    </w:rPr>
                    <w:t>21</w:t>
                  </w:r>
                </w:p>
              </w:tc>
              <w:tc>
                <w:tcPr>
                  <w:tcW w:w="1628" w:type="pct"/>
                  <w:noWrap w:val="0"/>
                  <w:vAlign w:val="center"/>
                </w:tcPr>
                <w:p w14:paraId="2F81C11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kern w:val="0"/>
                      <w:sz w:val="24"/>
                      <w:szCs w:val="20"/>
                      <w:vertAlign w:val="baseline"/>
                      <w:lang w:val="en-US" w:eastAsia="zh-CN" w:bidi="ar-SA"/>
                    </w:rPr>
                  </w:pPr>
                  <w:r>
                    <w:rPr>
                      <w:rFonts w:hint="default" w:ascii="Times New Roman" w:hAnsi="Times New Roman" w:eastAsia="宋体" w:cs="Times New Roman"/>
                      <w:spacing w:val="0"/>
                      <w:sz w:val="21"/>
                      <w:szCs w:val="21"/>
                    </w:rPr>
                    <w:t>重点管控单元</w:t>
                  </w:r>
                </w:p>
              </w:tc>
            </w:tr>
          </w:tbl>
          <w:p w14:paraId="1272A123">
            <w:pPr>
              <w:widowControl/>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cs="Times New Roman"/>
                <w:color w:val="auto"/>
                <w:sz w:val="24"/>
                <w:szCs w:val="24"/>
                <w:lang w:val="en-US" w:eastAsia="zh-CN"/>
              </w:rPr>
              <w:t>项目位于</w:t>
            </w:r>
            <w:r>
              <w:rPr>
                <w:rFonts w:hint="eastAsia" w:ascii="Times New Roman" w:hAnsi="Times New Roman" w:eastAsia="宋体" w:cs="Times New Roman"/>
                <w:color w:val="auto"/>
                <w:sz w:val="24"/>
                <w:szCs w:val="24"/>
                <w:lang w:val="en-US" w:eastAsia="zh-CN"/>
              </w:rPr>
              <w:t>泗县虹城街道长三角绿色食品产业园</w:t>
            </w:r>
            <w:r>
              <w:rPr>
                <w:rFonts w:hint="default" w:ascii="Times New Roman" w:hAnsi="Times New Roman" w:cs="Times New Roman"/>
                <w:color w:val="auto"/>
                <w:sz w:val="24"/>
                <w:szCs w:val="24"/>
                <w:lang w:val="en-US" w:eastAsia="zh-CN"/>
              </w:rPr>
              <w:t>，</w:t>
            </w:r>
            <w:r>
              <w:rPr>
                <w:rFonts w:hint="eastAsia"/>
                <w:sz w:val="24"/>
                <w:szCs w:val="24"/>
                <w:lang w:bidi="ar"/>
              </w:rPr>
              <w:t>根据《安徽省生态环境厅关于印发安徽省“三线一单”生态环境分区管控管理办法（暂行）的通知》，对照《宿州市“三线一单”生态环境准入清单》中环境管控单元划分，项目所在地</w:t>
            </w:r>
            <w:r>
              <w:rPr>
                <w:rFonts w:hint="default" w:ascii="Times New Roman" w:hAnsi="Times New Roman" w:cs="Times New Roman"/>
                <w:color w:val="auto"/>
                <w:sz w:val="24"/>
                <w:szCs w:val="24"/>
                <w:lang w:val="en-US" w:eastAsia="zh-CN"/>
              </w:rPr>
              <w:t>属于</w:t>
            </w:r>
            <w:r>
              <w:rPr>
                <w:rFonts w:hint="default" w:ascii="Times New Roman" w:hAnsi="Times New Roman" w:cs="Times New Roman"/>
                <w:color w:val="auto"/>
                <w:sz w:val="24"/>
                <w:szCs w:val="24"/>
              </w:rPr>
              <w:t>大气</w:t>
            </w:r>
            <w:r>
              <w:rPr>
                <w:rFonts w:hint="default" w:ascii="Times New Roman" w:hAnsi="Times New Roman" w:cs="Times New Roman"/>
                <w:color w:val="auto"/>
                <w:sz w:val="24"/>
                <w:szCs w:val="24"/>
                <w:lang w:val="en-US" w:eastAsia="zh-CN"/>
              </w:rPr>
              <w:t>重点</w:t>
            </w:r>
            <w:r>
              <w:rPr>
                <w:rFonts w:hint="default" w:ascii="Times New Roman" w:hAnsi="Times New Roman" w:cs="Times New Roman"/>
                <w:color w:val="auto"/>
                <w:sz w:val="24"/>
                <w:szCs w:val="24"/>
              </w:rPr>
              <w:t>管控区、水环境一般管控区以及土壤一般管控区</w:t>
            </w:r>
            <w:r>
              <w:rPr>
                <w:rFonts w:hint="eastAsia"/>
                <w:sz w:val="24"/>
                <w:szCs w:val="24"/>
                <w:lang w:bidi="ar"/>
              </w:rPr>
              <w:t>。项目与宿州市</w:t>
            </w:r>
            <w:r>
              <w:rPr>
                <w:rFonts w:hint="eastAsia"/>
                <w:sz w:val="24"/>
                <w:szCs w:val="24"/>
                <w:lang w:val="en-US" w:eastAsia="zh-CN" w:bidi="ar"/>
              </w:rPr>
              <w:t>生态环境分区管控</w:t>
            </w:r>
            <w:r>
              <w:rPr>
                <w:rFonts w:hint="eastAsia"/>
                <w:sz w:val="24"/>
                <w:szCs w:val="24"/>
                <w:lang w:bidi="ar"/>
              </w:rPr>
              <w:t>符合性分析见</w:t>
            </w:r>
            <w:r>
              <w:rPr>
                <w:rFonts w:hint="eastAsia"/>
                <w:sz w:val="24"/>
                <w:szCs w:val="24"/>
                <w:lang w:val="en-US" w:eastAsia="zh-CN" w:bidi="ar"/>
              </w:rPr>
              <w:t>下</w:t>
            </w:r>
            <w:r>
              <w:rPr>
                <w:rFonts w:hint="eastAsia"/>
                <w:sz w:val="24"/>
                <w:szCs w:val="24"/>
                <w:lang w:bidi="ar"/>
              </w:rPr>
              <w:t>表。</w:t>
            </w:r>
          </w:p>
          <w:p w14:paraId="3B0D5D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lang w:bidi="ar"/>
              </w:rPr>
            </w:pPr>
            <w:r>
              <w:rPr>
                <w:rFonts w:hint="eastAsia"/>
                <w:b/>
                <w:bCs/>
                <w:sz w:val="24"/>
                <w:szCs w:val="24"/>
                <w:lang w:bidi="ar"/>
              </w:rPr>
              <w:t>表1-</w:t>
            </w:r>
            <w:r>
              <w:rPr>
                <w:rFonts w:hint="eastAsia"/>
                <w:b/>
                <w:bCs/>
                <w:sz w:val="24"/>
                <w:szCs w:val="24"/>
                <w:lang w:val="en-US" w:eastAsia="zh-CN" w:bidi="ar"/>
              </w:rPr>
              <w:t>4</w:t>
            </w:r>
            <w:r>
              <w:rPr>
                <w:rFonts w:hint="eastAsia"/>
                <w:b/>
                <w:bCs/>
                <w:sz w:val="24"/>
                <w:szCs w:val="24"/>
                <w:lang w:bidi="ar"/>
              </w:rPr>
              <w:t xml:space="preserve"> 项目与</w:t>
            </w:r>
            <w:r>
              <w:rPr>
                <w:rFonts w:hint="eastAsia"/>
                <w:b/>
                <w:bCs/>
                <w:sz w:val="24"/>
                <w:szCs w:val="24"/>
              </w:rPr>
              <w:t>宿州市生态环境分区管控符合性分析表</w:t>
            </w:r>
          </w:p>
          <w:tbl>
            <w:tblPr>
              <w:tblStyle w:val="23"/>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1"/>
              <w:gridCol w:w="427"/>
              <w:gridCol w:w="531"/>
              <w:gridCol w:w="2604"/>
              <w:gridCol w:w="2206"/>
            </w:tblGrid>
            <w:tr w14:paraId="3ED41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06" w:type="pct"/>
                  <w:tcBorders>
                    <w:top w:val="single" w:color="000000" w:sz="4" w:space="0"/>
                    <w:left w:val="single" w:color="000000" w:sz="6" w:space="0"/>
                    <w:bottom w:val="single" w:color="000000" w:sz="4" w:space="0"/>
                    <w:right w:val="single" w:color="000000" w:sz="4" w:space="0"/>
                    <w:tl2br w:val="nil"/>
                    <w:tr2bl w:val="nil"/>
                  </w:tcBorders>
                  <w:shd w:val="clear" w:color="auto" w:fill="auto"/>
                  <w:noWrap w:val="0"/>
                  <w:vAlign w:val="center"/>
                </w:tcPr>
                <w:p w14:paraId="40ADE411">
                  <w:pPr>
                    <w:pStyle w:val="47"/>
                    <w:keepNext w:val="0"/>
                    <w:keepLines w:val="0"/>
                    <w:pageBreakBefore w:val="0"/>
                    <w:widowControl w:val="0"/>
                    <w:kinsoku w:val="0"/>
                    <w:wordWrap/>
                    <w:overflowPunct w:val="0"/>
                    <w:topLinePunct w:val="0"/>
                    <w:autoSpaceDE w:val="0"/>
                    <w:autoSpaceDN w:val="0"/>
                    <w:bidi w:val="0"/>
                    <w:adjustRightInd w:val="0"/>
                    <w:snapToGrid/>
                    <w:spacing w:beforeLines="0" w:afterLines="0" w:line="240" w:lineRule="auto"/>
                    <w:ind w:left="0" w:right="0" w:firstLine="0"/>
                    <w:jc w:val="center"/>
                    <w:textAlignment w:val="auto"/>
                    <w:rPr>
                      <w:rFonts w:hint="default" w:ascii="Times New Roman" w:hAnsi="Times New Roman" w:cs="Times New Roman"/>
                      <w:b/>
                      <w:bCs/>
                      <w:color w:val="000000" w:themeColor="text1"/>
                      <w:spacing w:val="0"/>
                      <w:w w:val="100"/>
                      <w:sz w:val="21"/>
                      <w:szCs w:val="21"/>
                      <w14:textFill>
                        <w14:solidFill>
                          <w14:schemeClr w14:val="tx1"/>
                        </w14:solidFill>
                      </w14:textFill>
                    </w:rPr>
                  </w:pPr>
                  <w:r>
                    <w:rPr>
                      <w:rFonts w:hint="default" w:ascii="Times New Roman" w:hAnsi="Times New Roman" w:cs="Times New Roman"/>
                      <w:b/>
                      <w:bCs/>
                      <w:color w:val="000000" w:themeColor="text1"/>
                      <w:spacing w:val="0"/>
                      <w:w w:val="100"/>
                      <w:sz w:val="21"/>
                      <w:szCs w:val="21"/>
                      <w14:textFill>
                        <w14:solidFill>
                          <w14:schemeClr w14:val="tx1"/>
                        </w14:solidFill>
                      </w14:textFill>
                    </w:rPr>
                    <w:t>环境管控单元分类</w:t>
                  </w:r>
                </w:p>
              </w:tc>
              <w:tc>
                <w:tcPr>
                  <w:tcW w:w="317" w:type="pct"/>
                  <w:tcBorders>
                    <w:top w:val="single" w:color="000000" w:sz="4" w:space="0"/>
                    <w:left w:val="single" w:color="000000" w:sz="4" w:space="0"/>
                    <w:bottom w:val="single" w:color="000000" w:sz="4" w:space="0"/>
                    <w:right w:val="single" w:color="000000" w:sz="6" w:space="0"/>
                    <w:tl2br w:val="nil"/>
                    <w:tr2bl w:val="nil"/>
                  </w:tcBorders>
                  <w:shd w:val="clear" w:color="auto" w:fill="auto"/>
                  <w:noWrap w:val="0"/>
                  <w:vAlign w:val="center"/>
                </w:tcPr>
                <w:p w14:paraId="55987F54">
                  <w:pPr>
                    <w:pStyle w:val="47"/>
                    <w:keepNext w:val="0"/>
                    <w:keepLines w:val="0"/>
                    <w:pageBreakBefore w:val="0"/>
                    <w:widowControl w:val="0"/>
                    <w:kinsoku w:val="0"/>
                    <w:wordWrap/>
                    <w:overflowPunct w:val="0"/>
                    <w:topLinePunct w:val="0"/>
                    <w:autoSpaceDE w:val="0"/>
                    <w:autoSpaceDN w:val="0"/>
                    <w:bidi w:val="0"/>
                    <w:adjustRightInd w:val="0"/>
                    <w:snapToGrid/>
                    <w:spacing w:beforeLines="0" w:afterLines="0" w:line="240" w:lineRule="auto"/>
                    <w:ind w:left="0" w:right="0" w:firstLine="0"/>
                    <w:jc w:val="center"/>
                    <w:textAlignment w:val="auto"/>
                    <w:rPr>
                      <w:rFonts w:hint="default" w:ascii="Times New Roman" w:hAnsi="Times New Roman" w:cs="Times New Roman"/>
                      <w:b/>
                      <w:bCs/>
                      <w:color w:val="000000" w:themeColor="text1"/>
                      <w:spacing w:val="0"/>
                      <w:w w:val="100"/>
                      <w:sz w:val="21"/>
                      <w:szCs w:val="21"/>
                      <w14:textFill>
                        <w14:solidFill>
                          <w14:schemeClr w14:val="tx1"/>
                        </w14:solidFill>
                      </w14:textFill>
                    </w:rPr>
                  </w:pPr>
                  <w:r>
                    <w:rPr>
                      <w:rFonts w:hint="default" w:ascii="Times New Roman" w:hAnsi="Times New Roman" w:cs="Times New Roman"/>
                      <w:b/>
                      <w:bCs/>
                      <w:color w:val="000000" w:themeColor="text1"/>
                      <w:spacing w:val="0"/>
                      <w:w w:val="100"/>
                      <w:sz w:val="21"/>
                      <w:szCs w:val="21"/>
                      <w14:textFill>
                        <w14:solidFill>
                          <w14:schemeClr w14:val="tx1"/>
                        </w14:solidFill>
                      </w14:textFill>
                    </w:rPr>
                    <w:t>区域管控要求</w:t>
                  </w:r>
                </w:p>
              </w:tc>
              <w:tc>
                <w:tcPr>
                  <w:tcW w:w="429" w:type="pct"/>
                  <w:tcBorders>
                    <w:top w:val="single" w:color="000000" w:sz="4" w:space="0"/>
                    <w:left w:val="single" w:color="000000" w:sz="6" w:space="0"/>
                    <w:bottom w:val="single" w:color="000000" w:sz="4" w:space="0"/>
                    <w:right w:val="single" w:color="000000" w:sz="4" w:space="0"/>
                    <w:tl2br w:val="nil"/>
                    <w:tr2bl w:val="nil"/>
                  </w:tcBorders>
                  <w:shd w:val="clear" w:color="auto" w:fill="auto"/>
                  <w:noWrap w:val="0"/>
                  <w:vAlign w:val="center"/>
                </w:tcPr>
                <w:p w14:paraId="7181054B">
                  <w:pPr>
                    <w:pStyle w:val="47"/>
                    <w:keepNext w:val="0"/>
                    <w:keepLines w:val="0"/>
                    <w:pageBreakBefore w:val="0"/>
                    <w:widowControl w:val="0"/>
                    <w:kinsoku w:val="0"/>
                    <w:wordWrap/>
                    <w:overflowPunct w:val="0"/>
                    <w:topLinePunct w:val="0"/>
                    <w:autoSpaceDE w:val="0"/>
                    <w:autoSpaceDN w:val="0"/>
                    <w:bidi w:val="0"/>
                    <w:adjustRightInd w:val="0"/>
                    <w:snapToGrid/>
                    <w:spacing w:beforeLines="0" w:afterLines="0" w:line="240" w:lineRule="auto"/>
                    <w:ind w:left="0" w:right="0" w:firstLine="0"/>
                    <w:jc w:val="center"/>
                    <w:textAlignment w:val="auto"/>
                    <w:rPr>
                      <w:rFonts w:hint="default" w:ascii="Times New Roman" w:hAnsi="Times New Roman" w:cs="Times New Roman"/>
                      <w:b/>
                      <w:bCs/>
                      <w:color w:val="000000" w:themeColor="text1"/>
                      <w:spacing w:val="0"/>
                      <w:w w:val="100"/>
                      <w:sz w:val="21"/>
                      <w:szCs w:val="21"/>
                      <w14:textFill>
                        <w14:solidFill>
                          <w14:schemeClr w14:val="tx1"/>
                        </w14:solidFill>
                      </w14:textFill>
                    </w:rPr>
                  </w:pPr>
                  <w:r>
                    <w:rPr>
                      <w:rFonts w:hint="default" w:ascii="Times New Roman" w:hAnsi="Times New Roman" w:cs="Times New Roman"/>
                      <w:b/>
                      <w:bCs/>
                      <w:color w:val="000000" w:themeColor="text1"/>
                      <w:spacing w:val="0"/>
                      <w:w w:val="100"/>
                      <w:sz w:val="21"/>
                      <w:szCs w:val="21"/>
                      <w14:textFill>
                        <w14:solidFill>
                          <w14:schemeClr w14:val="tx1"/>
                        </w14:solidFill>
                      </w14:textFill>
                    </w:rPr>
                    <w:t>管控类别</w:t>
                  </w:r>
                </w:p>
              </w:tc>
              <w:tc>
                <w:tcPr>
                  <w:tcW w:w="2081"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D2E2EAB">
                  <w:pPr>
                    <w:pStyle w:val="47"/>
                    <w:keepNext w:val="0"/>
                    <w:keepLines w:val="0"/>
                    <w:pageBreakBefore w:val="0"/>
                    <w:widowControl w:val="0"/>
                    <w:kinsoku w:val="0"/>
                    <w:wordWrap/>
                    <w:overflowPunct w:val="0"/>
                    <w:topLinePunct w:val="0"/>
                    <w:autoSpaceDE w:val="0"/>
                    <w:autoSpaceDN w:val="0"/>
                    <w:bidi w:val="0"/>
                    <w:adjustRightInd w:val="0"/>
                    <w:snapToGrid/>
                    <w:spacing w:beforeLines="0" w:afterLines="0" w:line="240" w:lineRule="auto"/>
                    <w:ind w:left="0" w:right="0" w:firstLine="0"/>
                    <w:jc w:val="center"/>
                    <w:textAlignment w:val="auto"/>
                    <w:rPr>
                      <w:rFonts w:hint="default" w:ascii="Times New Roman" w:hAnsi="Times New Roman" w:cs="Times New Roman"/>
                      <w:b/>
                      <w:bCs/>
                      <w:color w:val="000000" w:themeColor="text1"/>
                      <w:spacing w:val="0"/>
                      <w:w w:val="100"/>
                      <w:sz w:val="21"/>
                      <w:szCs w:val="21"/>
                      <w14:textFill>
                        <w14:solidFill>
                          <w14:schemeClr w14:val="tx1"/>
                        </w14:solidFill>
                      </w14:textFill>
                    </w:rPr>
                  </w:pPr>
                  <w:r>
                    <w:rPr>
                      <w:rFonts w:hint="default" w:ascii="Times New Roman" w:hAnsi="Times New Roman" w:cs="Times New Roman"/>
                      <w:b/>
                      <w:bCs/>
                      <w:color w:val="000000" w:themeColor="text1"/>
                      <w:spacing w:val="0"/>
                      <w:w w:val="100"/>
                      <w:sz w:val="21"/>
                      <w:szCs w:val="21"/>
                      <w14:textFill>
                        <w14:solidFill>
                          <w14:schemeClr w14:val="tx1"/>
                        </w14:solidFill>
                      </w14:textFill>
                    </w:rPr>
                    <w:t>管控要求</w:t>
                  </w:r>
                </w:p>
              </w:tc>
              <w:tc>
                <w:tcPr>
                  <w:tcW w:w="1764"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E1FD6EA">
                  <w:pPr>
                    <w:pStyle w:val="47"/>
                    <w:keepNext w:val="0"/>
                    <w:keepLines w:val="0"/>
                    <w:pageBreakBefore w:val="0"/>
                    <w:widowControl w:val="0"/>
                    <w:kinsoku w:val="0"/>
                    <w:wordWrap/>
                    <w:overflowPunct w:val="0"/>
                    <w:topLinePunct w:val="0"/>
                    <w:autoSpaceDE w:val="0"/>
                    <w:autoSpaceDN w:val="0"/>
                    <w:bidi w:val="0"/>
                    <w:adjustRightInd w:val="0"/>
                    <w:snapToGrid/>
                    <w:spacing w:beforeLines="0" w:afterLines="0" w:line="240" w:lineRule="auto"/>
                    <w:ind w:left="0" w:right="0" w:firstLine="0"/>
                    <w:jc w:val="center"/>
                    <w:textAlignment w:val="auto"/>
                    <w:rPr>
                      <w:rFonts w:hint="default" w:ascii="Times New Roman" w:hAnsi="Times New Roman" w:eastAsia="宋体" w:cs="Times New Roman"/>
                      <w:b/>
                      <w:bCs/>
                      <w:color w:val="000000" w:themeColor="text1"/>
                      <w:spacing w:val="0"/>
                      <w:w w:val="100"/>
                      <w:sz w:val="21"/>
                      <w:szCs w:val="21"/>
                      <w:lang w:val="en-US" w:eastAsia="zh-CN"/>
                      <w14:textFill>
                        <w14:solidFill>
                          <w14:schemeClr w14:val="tx1"/>
                        </w14:solidFill>
                      </w14:textFill>
                    </w:rPr>
                  </w:pPr>
                  <w:r>
                    <w:rPr>
                      <w:rFonts w:hint="default" w:ascii="Times New Roman" w:hAnsi="Times New Roman" w:cs="Times New Roman"/>
                      <w:b/>
                      <w:bCs/>
                      <w:color w:val="000000" w:themeColor="text1"/>
                      <w:spacing w:val="0"/>
                      <w:w w:val="100"/>
                      <w:sz w:val="21"/>
                      <w:szCs w:val="21"/>
                      <w:lang w:val="en-US" w:eastAsia="zh-CN"/>
                      <w14:textFill>
                        <w14:solidFill>
                          <w14:schemeClr w14:val="tx1"/>
                        </w14:solidFill>
                      </w14:textFill>
                    </w:rPr>
                    <w:t>本项目建设内容</w:t>
                  </w:r>
                </w:p>
              </w:tc>
            </w:tr>
            <w:tr w14:paraId="5511C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06" w:type="pct"/>
                  <w:vMerge w:val="restart"/>
                  <w:tcBorders>
                    <w:top w:val="single" w:color="000000" w:sz="4" w:space="0"/>
                    <w:left w:val="single" w:color="000000" w:sz="6" w:space="0"/>
                    <w:right w:val="single" w:color="000000" w:sz="4" w:space="0"/>
                    <w:tl2br w:val="nil"/>
                    <w:tr2bl w:val="nil"/>
                  </w:tcBorders>
                  <w:noWrap w:val="0"/>
                  <w:vAlign w:val="center"/>
                </w:tcPr>
                <w:p w14:paraId="65DCE622">
                  <w:pPr>
                    <w:pStyle w:val="47"/>
                    <w:keepNext w:val="0"/>
                    <w:keepLines w:val="0"/>
                    <w:pageBreakBefore w:val="0"/>
                    <w:widowControl w:val="0"/>
                    <w:kinsoku w:val="0"/>
                    <w:wordWrap/>
                    <w:overflowPunct w:val="0"/>
                    <w:topLinePunct w:val="0"/>
                    <w:autoSpaceDE w:val="0"/>
                    <w:autoSpaceDN w:val="0"/>
                    <w:bidi w:val="0"/>
                    <w:adjustRightInd w:val="0"/>
                    <w:snapToGrid/>
                    <w:spacing w:beforeLines="0" w:afterLines="0" w:line="240" w:lineRule="auto"/>
                    <w:ind w:left="0" w:right="0" w:firstLine="0"/>
                    <w:jc w:val="center"/>
                    <w:textAlignment w:val="auto"/>
                    <w:rPr>
                      <w:rFonts w:hint="default" w:ascii="Times New Roman" w:hAnsi="Times New Roman" w:cs="Times New Roman"/>
                      <w:color w:val="000000" w:themeColor="text1"/>
                      <w:spacing w:val="0"/>
                      <w:w w:val="100"/>
                      <w:sz w:val="21"/>
                      <w:szCs w:val="21"/>
                      <w14:textFill>
                        <w14:solidFill>
                          <w14:schemeClr w14:val="tx1"/>
                        </w14:solidFill>
                      </w14:textFill>
                    </w:rPr>
                  </w:pPr>
                  <w:r>
                    <w:rPr>
                      <w:rFonts w:hint="default" w:ascii="Times New Roman" w:hAnsi="Times New Roman" w:cs="Times New Roman"/>
                      <w:color w:val="000000" w:themeColor="text1"/>
                      <w:spacing w:val="0"/>
                      <w:w w:val="100"/>
                      <w:sz w:val="21"/>
                      <w:szCs w:val="21"/>
                      <w14:textFill>
                        <w14:solidFill>
                          <w14:schemeClr w14:val="tx1"/>
                        </w14:solidFill>
                      </w14:textFill>
                    </w:rPr>
                    <w:t>重点管控单元</w:t>
                  </w:r>
                </w:p>
              </w:tc>
              <w:tc>
                <w:tcPr>
                  <w:tcW w:w="317" w:type="pct"/>
                  <w:vMerge w:val="restart"/>
                  <w:tcBorders>
                    <w:top w:val="single" w:color="000000" w:sz="4" w:space="0"/>
                    <w:left w:val="single" w:color="000000" w:sz="4" w:space="0"/>
                    <w:right w:val="single" w:color="000000" w:sz="6" w:space="0"/>
                    <w:tl2br w:val="nil"/>
                    <w:tr2bl w:val="nil"/>
                  </w:tcBorders>
                  <w:noWrap w:val="0"/>
                  <w:vAlign w:val="center"/>
                </w:tcPr>
                <w:p w14:paraId="5B92AC4C">
                  <w:pPr>
                    <w:pStyle w:val="47"/>
                    <w:keepNext w:val="0"/>
                    <w:keepLines w:val="0"/>
                    <w:pageBreakBefore w:val="0"/>
                    <w:widowControl w:val="0"/>
                    <w:kinsoku w:val="0"/>
                    <w:wordWrap/>
                    <w:overflowPunct w:val="0"/>
                    <w:topLinePunct w:val="0"/>
                    <w:autoSpaceDE w:val="0"/>
                    <w:autoSpaceDN w:val="0"/>
                    <w:bidi w:val="0"/>
                    <w:adjustRightInd w:val="0"/>
                    <w:snapToGrid/>
                    <w:spacing w:beforeLines="0" w:afterLines="0" w:line="240" w:lineRule="auto"/>
                    <w:ind w:left="0" w:right="0" w:firstLine="0"/>
                    <w:jc w:val="center"/>
                    <w:textAlignment w:val="auto"/>
                    <w:rPr>
                      <w:rFonts w:hint="default" w:ascii="Times New Roman" w:hAnsi="Times New Roman" w:cs="Times New Roman"/>
                      <w:color w:val="000000" w:themeColor="text1"/>
                      <w:spacing w:val="0"/>
                      <w:w w:val="100"/>
                      <w:sz w:val="21"/>
                      <w:szCs w:val="21"/>
                      <w14:textFill>
                        <w14:solidFill>
                          <w14:schemeClr w14:val="tx1"/>
                        </w14:solidFill>
                      </w14:textFill>
                    </w:rPr>
                  </w:pPr>
                  <w:r>
                    <w:rPr>
                      <w:rFonts w:hint="default" w:ascii="Times New Roman" w:hAnsi="Times New Roman" w:cs="Times New Roman"/>
                      <w:color w:val="000000" w:themeColor="text1"/>
                      <w:spacing w:val="0"/>
                      <w:w w:val="100"/>
                      <w:sz w:val="21"/>
                      <w:szCs w:val="21"/>
                      <w14:textFill>
                        <w14:solidFill>
                          <w14:schemeClr w14:val="tx1"/>
                        </w14:solidFill>
                      </w14:textFill>
                    </w:rPr>
                    <w:t>无</w:t>
                  </w:r>
                </w:p>
              </w:tc>
              <w:tc>
                <w:tcPr>
                  <w:tcW w:w="429" w:type="pct"/>
                  <w:vMerge w:val="restart"/>
                  <w:tcBorders>
                    <w:top w:val="single" w:color="000000" w:sz="4" w:space="0"/>
                    <w:left w:val="single" w:color="000000" w:sz="6" w:space="0"/>
                    <w:right w:val="single" w:color="000000" w:sz="4" w:space="0"/>
                    <w:tl2br w:val="nil"/>
                    <w:tr2bl w:val="nil"/>
                  </w:tcBorders>
                  <w:noWrap w:val="0"/>
                  <w:vAlign w:val="center"/>
                </w:tcPr>
                <w:p w14:paraId="6E0A8FA9">
                  <w:pPr>
                    <w:pStyle w:val="47"/>
                    <w:keepNext w:val="0"/>
                    <w:keepLines w:val="0"/>
                    <w:pageBreakBefore w:val="0"/>
                    <w:widowControl w:val="0"/>
                    <w:kinsoku w:val="0"/>
                    <w:wordWrap/>
                    <w:overflowPunct w:val="0"/>
                    <w:topLinePunct w:val="0"/>
                    <w:autoSpaceDE w:val="0"/>
                    <w:autoSpaceDN w:val="0"/>
                    <w:bidi w:val="0"/>
                    <w:adjustRightInd w:val="0"/>
                    <w:snapToGrid/>
                    <w:spacing w:beforeLines="0" w:afterLines="0" w:line="240" w:lineRule="auto"/>
                    <w:ind w:left="0" w:right="0" w:firstLine="0"/>
                    <w:jc w:val="center"/>
                    <w:textAlignment w:val="auto"/>
                    <w:rPr>
                      <w:rFonts w:hint="default" w:ascii="Times New Roman" w:hAnsi="Times New Roman" w:cs="Times New Roman"/>
                      <w:color w:val="000000" w:themeColor="text1"/>
                      <w:spacing w:val="0"/>
                      <w:w w:val="100"/>
                      <w:sz w:val="21"/>
                      <w:szCs w:val="21"/>
                      <w14:textFill>
                        <w14:solidFill>
                          <w14:schemeClr w14:val="tx1"/>
                        </w14:solidFill>
                      </w14:textFill>
                    </w:rPr>
                  </w:pPr>
                  <w:r>
                    <w:rPr>
                      <w:rFonts w:hint="default" w:ascii="Times New Roman" w:hAnsi="Times New Roman" w:cs="Times New Roman"/>
                      <w:color w:val="000000" w:themeColor="text1"/>
                      <w:spacing w:val="0"/>
                      <w:w w:val="100"/>
                      <w:sz w:val="21"/>
                      <w:szCs w:val="21"/>
                      <w14:textFill>
                        <w14:solidFill>
                          <w14:schemeClr w14:val="tx1"/>
                        </w14:solidFill>
                      </w14:textFill>
                    </w:rPr>
                    <w:t>空间布局约束</w:t>
                  </w:r>
                </w:p>
              </w:tc>
              <w:tc>
                <w:tcPr>
                  <w:tcW w:w="20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F9D952">
                  <w:pPr>
                    <w:pStyle w:val="47"/>
                    <w:keepNext w:val="0"/>
                    <w:keepLines w:val="0"/>
                    <w:pageBreakBefore w:val="0"/>
                    <w:widowControl w:val="0"/>
                    <w:kinsoku w:val="0"/>
                    <w:wordWrap/>
                    <w:overflowPunct w:val="0"/>
                    <w:topLinePunct w:val="0"/>
                    <w:autoSpaceDE w:val="0"/>
                    <w:autoSpaceDN w:val="0"/>
                    <w:bidi w:val="0"/>
                    <w:adjustRightInd w:val="0"/>
                    <w:snapToGrid/>
                    <w:spacing w:beforeLines="0" w:afterLines="0" w:line="240" w:lineRule="auto"/>
                    <w:ind w:left="0" w:right="0" w:rightChars="0" w:firstLine="0"/>
                    <w:jc w:val="center"/>
                    <w:textAlignment w:val="auto"/>
                    <w:rPr>
                      <w:rFonts w:hint="default" w:ascii="Times New Roman" w:hAnsi="Times New Roman" w:cs="Times New Roman"/>
                      <w:b/>
                      <w:bCs/>
                      <w:color w:val="000000" w:themeColor="text1"/>
                      <w:spacing w:val="0"/>
                      <w:w w:val="100"/>
                      <w:sz w:val="21"/>
                      <w:szCs w:val="21"/>
                      <w14:textFill>
                        <w14:solidFill>
                          <w14:schemeClr w14:val="tx1"/>
                        </w14:solidFill>
                      </w14:textFill>
                    </w:rPr>
                  </w:pPr>
                  <w:r>
                    <w:rPr>
                      <w:rFonts w:hint="default" w:ascii="Times New Roman" w:hAnsi="Times New Roman" w:cs="Times New Roman"/>
                      <w:b/>
                      <w:bCs/>
                      <w:color w:val="000000" w:themeColor="text1"/>
                      <w:spacing w:val="0"/>
                      <w:w w:val="100"/>
                      <w:sz w:val="21"/>
                      <w:szCs w:val="21"/>
                      <w14:textFill>
                        <w14:solidFill>
                          <w14:schemeClr w14:val="tx1"/>
                        </w14:solidFill>
                      </w14:textFill>
                    </w:rPr>
                    <w:t>禁止开发建设活动的要求：</w:t>
                  </w:r>
                </w:p>
                <w:p w14:paraId="6E38575C">
                  <w:pPr>
                    <w:pStyle w:val="47"/>
                    <w:keepNext w:val="0"/>
                    <w:keepLines w:val="0"/>
                    <w:pageBreakBefore w:val="0"/>
                    <w:widowControl w:val="0"/>
                    <w:kinsoku w:val="0"/>
                    <w:wordWrap/>
                    <w:overflowPunct w:val="0"/>
                    <w:topLinePunct w:val="0"/>
                    <w:autoSpaceDE w:val="0"/>
                    <w:autoSpaceDN w:val="0"/>
                    <w:bidi w:val="0"/>
                    <w:adjustRightInd w:val="0"/>
                    <w:snapToGrid/>
                    <w:spacing w:beforeLines="0" w:afterLines="0" w:line="240" w:lineRule="auto"/>
                    <w:ind w:left="0" w:right="0" w:rightChars="0" w:firstLine="0"/>
                    <w:jc w:val="center"/>
                    <w:textAlignment w:val="auto"/>
                    <w:rPr>
                      <w:rFonts w:hint="default" w:ascii="Times New Roman" w:hAnsi="Times New Roman" w:cs="Times New Roman"/>
                      <w:color w:val="000000" w:themeColor="text1"/>
                      <w:spacing w:val="0"/>
                      <w:w w:val="100"/>
                      <w:sz w:val="21"/>
                      <w:szCs w:val="21"/>
                      <w14:textFill>
                        <w14:solidFill>
                          <w14:schemeClr w14:val="tx1"/>
                        </w14:solidFill>
                      </w14:textFill>
                    </w:rPr>
                  </w:pPr>
                  <w:r>
                    <w:rPr>
                      <w:rFonts w:hint="default" w:ascii="Times New Roman" w:hAnsi="Times New Roman" w:cs="Times New Roman"/>
                      <w:color w:val="000000" w:themeColor="text1"/>
                      <w:spacing w:val="0"/>
                      <w:w w:val="100"/>
                      <w:sz w:val="21"/>
                      <w:szCs w:val="21"/>
                      <w14:textFill>
                        <w14:solidFill>
                          <w14:schemeClr w14:val="tx1"/>
                        </w14:solidFill>
                      </w14:textFill>
                    </w:rPr>
                    <w:t>1禁止在淮河流域新建化学制浆造纸企业和印染、制革、化工、电镀、酿造等污染严重的小型企业。</w:t>
                  </w:r>
                </w:p>
                <w:p w14:paraId="05572154">
                  <w:pPr>
                    <w:pStyle w:val="47"/>
                    <w:keepNext w:val="0"/>
                    <w:keepLines w:val="0"/>
                    <w:pageBreakBefore w:val="0"/>
                    <w:widowControl w:val="0"/>
                    <w:kinsoku w:val="0"/>
                    <w:wordWrap/>
                    <w:overflowPunct w:val="0"/>
                    <w:topLinePunct w:val="0"/>
                    <w:autoSpaceDE w:val="0"/>
                    <w:autoSpaceDN w:val="0"/>
                    <w:bidi w:val="0"/>
                    <w:adjustRightInd w:val="0"/>
                    <w:snapToGrid/>
                    <w:spacing w:beforeLines="0" w:afterLines="0" w:line="240" w:lineRule="auto"/>
                    <w:ind w:left="0" w:right="0" w:rightChars="0" w:firstLine="0"/>
                    <w:jc w:val="center"/>
                    <w:textAlignment w:val="auto"/>
                    <w:rPr>
                      <w:rFonts w:hint="default" w:ascii="Times New Roman" w:hAnsi="Times New Roman" w:cs="Times New Roman"/>
                      <w:color w:val="000000" w:themeColor="text1"/>
                      <w:spacing w:val="0"/>
                      <w:w w:val="100"/>
                      <w:sz w:val="21"/>
                      <w:szCs w:val="21"/>
                      <w14:textFill>
                        <w14:solidFill>
                          <w14:schemeClr w14:val="tx1"/>
                        </w14:solidFill>
                      </w14:textFill>
                    </w:rPr>
                  </w:pPr>
                  <w:r>
                    <w:rPr>
                      <w:rFonts w:hint="default" w:ascii="Times New Roman" w:hAnsi="Times New Roman" w:cs="Times New Roman"/>
                      <w:color w:val="000000" w:themeColor="text1"/>
                      <w:spacing w:val="0"/>
                      <w:w w:val="100"/>
                      <w:sz w:val="21"/>
                      <w:szCs w:val="21"/>
                      <w14:textFill>
                        <w14:solidFill>
                          <w14:schemeClr w14:val="tx1"/>
                        </w14:solidFill>
                      </w14:textFill>
                    </w:rPr>
                    <w:t>2在饮用水水源保护区内，禁止设置排污口。在风景名胜区水体、重要渔业水体和其他具有特殊经济文化价值的水体的保护区内，不得新建排污口。</w:t>
                  </w:r>
                </w:p>
                <w:p w14:paraId="3C0EAB8F">
                  <w:pPr>
                    <w:pStyle w:val="47"/>
                    <w:keepNext w:val="0"/>
                    <w:keepLines w:val="0"/>
                    <w:pageBreakBefore w:val="0"/>
                    <w:widowControl w:val="0"/>
                    <w:kinsoku w:val="0"/>
                    <w:wordWrap/>
                    <w:overflowPunct w:val="0"/>
                    <w:topLinePunct w:val="0"/>
                    <w:autoSpaceDE w:val="0"/>
                    <w:autoSpaceDN w:val="0"/>
                    <w:bidi w:val="0"/>
                    <w:adjustRightInd w:val="0"/>
                    <w:snapToGrid/>
                    <w:spacing w:beforeLines="0" w:afterLines="0" w:line="240" w:lineRule="auto"/>
                    <w:ind w:left="0" w:right="0" w:rightChars="0" w:firstLine="0"/>
                    <w:jc w:val="center"/>
                    <w:textAlignment w:val="auto"/>
                    <w:rPr>
                      <w:rFonts w:hint="default" w:ascii="Times New Roman" w:hAnsi="Times New Roman" w:cs="Times New Roman"/>
                      <w:color w:val="000000" w:themeColor="text1"/>
                      <w:spacing w:val="0"/>
                      <w:w w:val="100"/>
                      <w:sz w:val="21"/>
                      <w:szCs w:val="21"/>
                      <w14:textFill>
                        <w14:solidFill>
                          <w14:schemeClr w14:val="tx1"/>
                        </w14:solidFill>
                      </w14:textFill>
                    </w:rPr>
                  </w:pPr>
                  <w:r>
                    <w:rPr>
                      <w:rFonts w:hint="default" w:ascii="Times New Roman" w:hAnsi="Times New Roman" w:cs="Times New Roman"/>
                      <w:color w:val="000000" w:themeColor="text1"/>
                      <w:spacing w:val="0"/>
                      <w:w w:val="100"/>
                      <w:sz w:val="21"/>
                      <w:szCs w:val="21"/>
                      <w14:textFill>
                        <w14:solidFill>
                          <w14:schemeClr w14:val="tx1"/>
                        </w14:solidFill>
                      </w14:textFill>
                    </w:rPr>
                    <w:t>3禁止下列行为：(一)向水体排放或者倾倒油类、酸液、碱液和其他有毒有害液体；(二)在水体中清洗装贮过有毒有害污染物的车辆、船舶和容器；(三)向水体排放、倾倒含有汞、镉、砷、铬、铅、氰化物、黄磷等可溶性剧毒废液或者将上述物质直接埋入地下；(四)向水体排放、倾倒工业废渣、城镇垃圾和其他废弃物；(五)向水体排放、倾倒放射性固体废弃物或者放射性废水；(六)利用渗井、渗坑、裂隙、溶洞、塌陷区和废弃矿坑排放、倾倒，或者利用无防渗措施的沟渠、坑塘输送或者存贮含毒污染物或者病原体的废水和其他废弃物；(七)在河流、湖泊、运河、渠道、水库最高水位线以下的滩地和岸坡堆放、贮存固体废弃物和其他污染物；(八)围湖和其他破坏水环境生态平衡的活动；(九)引进不符合国家环境保护规定要求的技术和设备；(十)法律、法规禁止的其他行为。</w:t>
                  </w:r>
                </w:p>
              </w:tc>
              <w:tc>
                <w:tcPr>
                  <w:tcW w:w="17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6B95E1">
                  <w:pPr>
                    <w:pStyle w:val="47"/>
                    <w:keepNext w:val="0"/>
                    <w:keepLines w:val="0"/>
                    <w:pageBreakBefore w:val="0"/>
                    <w:widowControl w:val="0"/>
                    <w:kinsoku w:val="0"/>
                    <w:wordWrap/>
                    <w:overflowPunct w:val="0"/>
                    <w:topLinePunct w:val="0"/>
                    <w:autoSpaceDE w:val="0"/>
                    <w:autoSpaceDN w:val="0"/>
                    <w:bidi w:val="0"/>
                    <w:adjustRightInd w:val="0"/>
                    <w:snapToGrid/>
                    <w:spacing w:beforeLines="0" w:afterLines="0" w:line="240" w:lineRule="auto"/>
                    <w:ind w:left="0" w:right="0" w:rightChars="0"/>
                    <w:textAlignment w:val="auto"/>
                    <w:rPr>
                      <w:rFonts w:hint="default" w:ascii="Times New Roman" w:hAnsi="Times New Roman" w:cs="Times New Roman"/>
                      <w:color w:val="000000" w:themeColor="text1"/>
                      <w:spacing w:val="0"/>
                      <w:w w:val="100"/>
                      <w:sz w:val="21"/>
                      <w:szCs w:val="21"/>
                      <w:lang w:val="en-US" w:eastAsia="zh-CN"/>
                      <w14:textFill>
                        <w14:solidFill>
                          <w14:schemeClr w14:val="tx1"/>
                        </w14:solidFill>
                      </w14:textFill>
                    </w:rPr>
                  </w:pPr>
                  <w:r>
                    <w:rPr>
                      <w:rFonts w:hint="default" w:ascii="Times New Roman" w:hAnsi="Times New Roman" w:cs="Times New Roman"/>
                      <w:color w:val="000000" w:themeColor="text1"/>
                      <w:spacing w:val="0"/>
                      <w:w w:val="100"/>
                      <w:sz w:val="21"/>
                      <w:szCs w:val="21"/>
                      <w:lang w:val="en-US" w:eastAsia="zh-CN"/>
                      <w14:textFill>
                        <w14:solidFill>
                          <w14:schemeClr w14:val="tx1"/>
                        </w14:solidFill>
                      </w14:textFill>
                    </w:rPr>
                    <w:t>1、本项目不属于</w:t>
                  </w:r>
                  <w:r>
                    <w:rPr>
                      <w:rFonts w:hint="default" w:ascii="Times New Roman" w:hAnsi="Times New Roman" w:cs="Times New Roman"/>
                      <w:color w:val="000000" w:themeColor="text1"/>
                      <w:spacing w:val="0"/>
                      <w:w w:val="100"/>
                      <w:sz w:val="21"/>
                      <w:szCs w:val="21"/>
                      <w14:textFill>
                        <w14:solidFill>
                          <w14:schemeClr w14:val="tx1"/>
                        </w14:solidFill>
                      </w14:textFill>
                    </w:rPr>
                    <w:t>化学制浆造纸企业和印染、制革、化工、电镀、酿造</w:t>
                  </w:r>
                  <w:r>
                    <w:rPr>
                      <w:rFonts w:hint="default" w:ascii="Times New Roman" w:hAnsi="Times New Roman" w:cs="Times New Roman"/>
                      <w:color w:val="000000" w:themeColor="text1"/>
                      <w:spacing w:val="0"/>
                      <w:w w:val="100"/>
                      <w:sz w:val="21"/>
                      <w:szCs w:val="21"/>
                      <w:lang w:val="en-US" w:eastAsia="zh-CN"/>
                      <w14:textFill>
                        <w14:solidFill>
                          <w14:schemeClr w14:val="tx1"/>
                        </w14:solidFill>
                      </w14:textFill>
                    </w:rPr>
                    <w:t>等污染严重的企业。</w:t>
                  </w:r>
                </w:p>
                <w:p w14:paraId="5198240F">
                  <w:pPr>
                    <w:pStyle w:val="47"/>
                    <w:keepNext w:val="0"/>
                    <w:keepLines w:val="0"/>
                    <w:pageBreakBefore w:val="0"/>
                    <w:widowControl w:val="0"/>
                    <w:kinsoku w:val="0"/>
                    <w:wordWrap/>
                    <w:overflowPunct w:val="0"/>
                    <w:topLinePunct w:val="0"/>
                    <w:autoSpaceDE w:val="0"/>
                    <w:autoSpaceDN w:val="0"/>
                    <w:bidi w:val="0"/>
                    <w:adjustRightInd w:val="0"/>
                    <w:snapToGrid/>
                    <w:spacing w:beforeLines="0" w:afterLines="0" w:line="240" w:lineRule="auto"/>
                    <w:ind w:left="0" w:right="0" w:rightChars="0"/>
                    <w:textAlignment w:val="auto"/>
                    <w:rPr>
                      <w:rFonts w:hint="default" w:ascii="Times New Roman" w:hAnsi="Times New Roman" w:cs="Times New Roman"/>
                      <w:color w:val="000000" w:themeColor="text1"/>
                      <w:spacing w:val="0"/>
                      <w:w w:val="100"/>
                      <w:sz w:val="21"/>
                      <w:szCs w:val="21"/>
                      <w:lang w:val="en-US" w:eastAsia="zh-CN"/>
                      <w14:textFill>
                        <w14:solidFill>
                          <w14:schemeClr w14:val="tx1"/>
                        </w14:solidFill>
                      </w14:textFill>
                    </w:rPr>
                  </w:pPr>
                  <w:r>
                    <w:rPr>
                      <w:rFonts w:hint="default" w:ascii="Times New Roman" w:hAnsi="Times New Roman" w:cs="Times New Roman"/>
                      <w:color w:val="000000" w:themeColor="text1"/>
                      <w:spacing w:val="0"/>
                      <w:w w:val="100"/>
                      <w:sz w:val="21"/>
                      <w:szCs w:val="21"/>
                      <w:lang w:val="en-US" w:eastAsia="zh-CN"/>
                      <w14:textFill>
                        <w14:solidFill>
                          <w14:schemeClr w14:val="tx1"/>
                        </w14:solidFill>
                      </w14:textFill>
                    </w:rPr>
                    <w:t>2、本项目生活污水经化粪池处理，生产废水经厂区污水处理设施处理后经厂区污水总排放口进入市政污水管网，最终进入泗县工业污水处理厂处理</w:t>
                  </w:r>
                  <w:r>
                    <w:rPr>
                      <w:rFonts w:hint="eastAsia" w:ascii="Times New Roman" w:hAnsi="Times New Roman" w:cs="Times New Roman"/>
                      <w:color w:val="000000" w:themeColor="text1"/>
                      <w:spacing w:val="0"/>
                      <w:w w:val="100"/>
                      <w:sz w:val="21"/>
                      <w:szCs w:val="21"/>
                      <w:lang w:val="en-US" w:eastAsia="zh-CN"/>
                      <w14:textFill>
                        <w14:solidFill>
                          <w14:schemeClr w14:val="tx1"/>
                        </w14:solidFill>
                      </w14:textFill>
                    </w:rPr>
                    <w:t>，不涉及入河排污口</w:t>
                  </w:r>
                  <w:r>
                    <w:rPr>
                      <w:rFonts w:hint="default" w:ascii="Times New Roman" w:hAnsi="Times New Roman" w:cs="Times New Roman"/>
                      <w:color w:val="000000" w:themeColor="text1"/>
                      <w:spacing w:val="0"/>
                      <w:w w:val="100"/>
                      <w:sz w:val="21"/>
                      <w:szCs w:val="21"/>
                      <w:lang w:val="en-US" w:eastAsia="zh-CN"/>
                      <w14:textFill>
                        <w14:solidFill>
                          <w14:schemeClr w14:val="tx1"/>
                        </w14:solidFill>
                      </w14:textFill>
                    </w:rPr>
                    <w:t>。</w:t>
                  </w:r>
                </w:p>
                <w:p w14:paraId="125C7926">
                  <w:pPr>
                    <w:pStyle w:val="47"/>
                    <w:keepNext w:val="0"/>
                    <w:keepLines w:val="0"/>
                    <w:pageBreakBefore w:val="0"/>
                    <w:widowControl w:val="0"/>
                    <w:kinsoku w:val="0"/>
                    <w:wordWrap/>
                    <w:overflowPunct w:val="0"/>
                    <w:topLinePunct w:val="0"/>
                    <w:autoSpaceDE w:val="0"/>
                    <w:autoSpaceDN w:val="0"/>
                    <w:bidi w:val="0"/>
                    <w:adjustRightInd w:val="0"/>
                    <w:snapToGrid/>
                    <w:spacing w:beforeLines="0" w:afterLines="0" w:line="240" w:lineRule="auto"/>
                    <w:ind w:left="0" w:right="0" w:rightChars="0"/>
                    <w:textAlignment w:val="auto"/>
                    <w:rPr>
                      <w:rFonts w:hint="default" w:ascii="Times New Roman" w:hAnsi="Times New Roman" w:cs="Times New Roman"/>
                      <w:color w:val="000000" w:themeColor="text1"/>
                      <w:spacing w:val="0"/>
                      <w:w w:val="100"/>
                      <w:sz w:val="21"/>
                      <w:szCs w:val="21"/>
                      <w:lang w:val="en-US" w:eastAsia="zh-CN"/>
                      <w14:textFill>
                        <w14:solidFill>
                          <w14:schemeClr w14:val="tx1"/>
                        </w14:solidFill>
                      </w14:textFill>
                    </w:rPr>
                  </w:pPr>
                  <w:r>
                    <w:rPr>
                      <w:rFonts w:hint="default" w:ascii="Times New Roman" w:hAnsi="Times New Roman" w:cs="Times New Roman"/>
                      <w:color w:val="000000" w:themeColor="text1"/>
                      <w:spacing w:val="0"/>
                      <w:w w:val="100"/>
                      <w:sz w:val="21"/>
                      <w:szCs w:val="21"/>
                      <w:lang w:val="en-US" w:eastAsia="zh-CN"/>
                      <w14:textFill>
                        <w14:solidFill>
                          <w14:schemeClr w14:val="tx1"/>
                        </w14:solidFill>
                      </w14:textFill>
                    </w:rPr>
                    <w:t>3、生活污水经化粪池处理，生产废水经厂区污水处理设施处理后经厂区污水总排放口进入市政污水管网，最终进入泗县工业污水处理厂处理，不</w:t>
                  </w:r>
                  <w:r>
                    <w:rPr>
                      <w:rFonts w:hint="default" w:ascii="Times New Roman" w:hAnsi="Times New Roman" w:cs="Times New Roman"/>
                      <w:color w:val="000000" w:themeColor="text1"/>
                      <w:spacing w:val="0"/>
                      <w:w w:val="100"/>
                      <w:sz w:val="21"/>
                      <w:szCs w:val="21"/>
                      <w14:textFill>
                        <w14:solidFill>
                          <w14:schemeClr w14:val="tx1"/>
                        </w14:solidFill>
                      </w14:textFill>
                    </w:rPr>
                    <w:t>向水体排放或者倾倒油类、酸液、碱液和其他有毒有害液体</w:t>
                  </w:r>
                  <w:r>
                    <w:rPr>
                      <w:rFonts w:hint="default" w:ascii="Times New Roman" w:hAnsi="Times New Roman" w:cs="Times New Roman"/>
                      <w:color w:val="000000" w:themeColor="text1"/>
                      <w:spacing w:val="0"/>
                      <w:w w:val="100"/>
                      <w:sz w:val="21"/>
                      <w:szCs w:val="21"/>
                      <w:lang w:eastAsia="zh-CN"/>
                      <w14:textFill>
                        <w14:solidFill>
                          <w14:schemeClr w14:val="tx1"/>
                        </w14:solidFill>
                      </w14:textFill>
                    </w:rPr>
                    <w:t>。</w:t>
                  </w:r>
                  <w:r>
                    <w:rPr>
                      <w:rFonts w:hint="default" w:ascii="Times New Roman" w:hAnsi="Times New Roman" w:cs="Times New Roman"/>
                      <w:color w:val="000000" w:themeColor="text1"/>
                      <w:spacing w:val="0"/>
                      <w:w w:val="100"/>
                      <w:sz w:val="21"/>
                      <w:szCs w:val="21"/>
                      <w:lang w:val="en-US" w:eastAsia="zh-CN"/>
                      <w14:textFill>
                        <w14:solidFill>
                          <w14:schemeClr w14:val="tx1"/>
                        </w14:solidFill>
                      </w14:textFill>
                    </w:rPr>
                    <w:t>无“</w:t>
                  </w:r>
                  <w:r>
                    <w:rPr>
                      <w:rFonts w:hint="default" w:ascii="Times New Roman" w:hAnsi="Times New Roman" w:cs="Times New Roman"/>
                      <w:color w:val="000000" w:themeColor="text1"/>
                      <w:spacing w:val="0"/>
                      <w:w w:val="100"/>
                      <w:sz w:val="21"/>
                      <w:szCs w:val="21"/>
                      <w14:textFill>
                        <w14:solidFill>
                          <w14:schemeClr w14:val="tx1"/>
                        </w14:solidFill>
                      </w14:textFill>
                    </w:rPr>
                    <w:t>在水体中清洗装贮过有毒有害污染物的车辆、船舶和容器；(三)向水体排放、倾倒含有汞、镉、砷、铬、铅、氰化物、黄磷等可溶性剧毒废液或者将上述物质直接埋入地下；(四)向水体排放、倾倒工业废渣、城镇垃圾和其他废弃物；(五)向水体排放、倾倒放射性固体废弃物或者放射性废水；(六)利用渗井、渗坑、裂隙、溶洞、塌陷区和废弃矿坑排放、倾倒，或者利用无防渗措施的沟渠、坑塘输送或者存贮含毒污染物或者病原体的废水和其他废弃物；(七)在河流、湖泊、运河、渠道、水库最高水位线以下的滩地和岸坡堆放、贮存固体废弃物和其他污染物；(八)围湖和其他破坏水环境生态平衡的活动；(九)引进不符合国家环境保护规定要求的技术和设备；(十)法律、法规禁止的其他行为</w:t>
                  </w:r>
                  <w:r>
                    <w:rPr>
                      <w:rFonts w:hint="default" w:ascii="Times New Roman" w:hAnsi="Times New Roman" w:cs="Times New Roman"/>
                      <w:color w:val="000000" w:themeColor="text1"/>
                      <w:spacing w:val="0"/>
                      <w:w w:val="100"/>
                      <w:sz w:val="21"/>
                      <w:szCs w:val="21"/>
                      <w:lang w:eastAsia="zh-CN"/>
                      <w14:textFill>
                        <w14:solidFill>
                          <w14:schemeClr w14:val="tx1"/>
                        </w14:solidFill>
                      </w14:textFill>
                    </w:rPr>
                    <w:t>”</w:t>
                  </w:r>
                  <w:r>
                    <w:rPr>
                      <w:rFonts w:hint="default" w:ascii="Times New Roman" w:hAnsi="Times New Roman" w:cs="Times New Roman"/>
                      <w:color w:val="000000" w:themeColor="text1"/>
                      <w:spacing w:val="0"/>
                      <w:w w:val="100"/>
                      <w:sz w:val="21"/>
                      <w:szCs w:val="21"/>
                      <w:lang w:val="en-US" w:eastAsia="zh-CN"/>
                      <w14:textFill>
                        <w14:solidFill>
                          <w14:schemeClr w14:val="tx1"/>
                        </w14:solidFill>
                      </w14:textFill>
                    </w:rPr>
                    <w:t>等行为。</w:t>
                  </w:r>
                </w:p>
              </w:tc>
            </w:tr>
            <w:tr w14:paraId="5B85B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06" w:type="pct"/>
                  <w:vMerge w:val="continue"/>
                  <w:tcBorders>
                    <w:left w:val="single" w:color="000000" w:sz="6" w:space="0"/>
                    <w:bottom w:val="single" w:color="000000" w:sz="4" w:space="0"/>
                    <w:right w:val="single" w:color="000000" w:sz="4" w:space="0"/>
                    <w:tl2br w:val="nil"/>
                    <w:tr2bl w:val="nil"/>
                  </w:tcBorders>
                  <w:noWrap w:val="0"/>
                  <w:vAlign w:val="center"/>
                </w:tcPr>
                <w:p w14:paraId="2118AC55">
                  <w:pPr>
                    <w:pStyle w:val="47"/>
                    <w:keepNext w:val="0"/>
                    <w:keepLines w:val="0"/>
                    <w:pageBreakBefore w:val="0"/>
                    <w:widowControl w:val="0"/>
                    <w:kinsoku w:val="0"/>
                    <w:wordWrap/>
                    <w:overflowPunct w:val="0"/>
                    <w:topLinePunct w:val="0"/>
                    <w:autoSpaceDE w:val="0"/>
                    <w:autoSpaceDN w:val="0"/>
                    <w:bidi w:val="0"/>
                    <w:adjustRightInd w:val="0"/>
                    <w:snapToGrid/>
                    <w:spacing w:beforeLines="0" w:afterLines="0" w:line="240" w:lineRule="auto"/>
                    <w:ind w:left="0" w:right="0" w:firstLine="0"/>
                    <w:jc w:val="center"/>
                    <w:textAlignment w:val="auto"/>
                    <w:rPr>
                      <w:rFonts w:hint="default" w:ascii="Times New Roman" w:hAnsi="Times New Roman" w:cs="Times New Roman"/>
                      <w:color w:val="000000" w:themeColor="text1"/>
                      <w:spacing w:val="0"/>
                      <w:w w:val="100"/>
                      <w:sz w:val="21"/>
                      <w:szCs w:val="21"/>
                      <w14:textFill>
                        <w14:solidFill>
                          <w14:schemeClr w14:val="tx1"/>
                        </w14:solidFill>
                      </w14:textFill>
                    </w:rPr>
                  </w:pPr>
                </w:p>
              </w:tc>
              <w:tc>
                <w:tcPr>
                  <w:tcW w:w="317" w:type="pct"/>
                  <w:vMerge w:val="continue"/>
                  <w:tcBorders>
                    <w:left w:val="single" w:color="000000" w:sz="4" w:space="0"/>
                    <w:bottom w:val="single" w:color="000000" w:sz="4" w:space="0"/>
                    <w:right w:val="single" w:color="000000" w:sz="6" w:space="0"/>
                    <w:tl2br w:val="nil"/>
                    <w:tr2bl w:val="nil"/>
                  </w:tcBorders>
                  <w:noWrap w:val="0"/>
                  <w:vAlign w:val="center"/>
                </w:tcPr>
                <w:p w14:paraId="11C181B0">
                  <w:pPr>
                    <w:pStyle w:val="47"/>
                    <w:keepNext w:val="0"/>
                    <w:keepLines w:val="0"/>
                    <w:pageBreakBefore w:val="0"/>
                    <w:widowControl w:val="0"/>
                    <w:kinsoku w:val="0"/>
                    <w:wordWrap/>
                    <w:overflowPunct w:val="0"/>
                    <w:topLinePunct w:val="0"/>
                    <w:autoSpaceDE w:val="0"/>
                    <w:autoSpaceDN w:val="0"/>
                    <w:bidi w:val="0"/>
                    <w:adjustRightInd w:val="0"/>
                    <w:snapToGrid/>
                    <w:spacing w:beforeLines="0" w:afterLines="0" w:line="240" w:lineRule="auto"/>
                    <w:ind w:left="0" w:right="0" w:firstLine="0"/>
                    <w:jc w:val="center"/>
                    <w:textAlignment w:val="auto"/>
                    <w:rPr>
                      <w:rFonts w:hint="default" w:ascii="Times New Roman" w:hAnsi="Times New Roman" w:cs="Times New Roman"/>
                      <w:color w:val="000000" w:themeColor="text1"/>
                      <w:spacing w:val="0"/>
                      <w:w w:val="100"/>
                      <w:sz w:val="21"/>
                      <w:szCs w:val="21"/>
                      <w14:textFill>
                        <w14:solidFill>
                          <w14:schemeClr w14:val="tx1"/>
                        </w14:solidFill>
                      </w14:textFill>
                    </w:rPr>
                  </w:pPr>
                </w:p>
              </w:tc>
              <w:tc>
                <w:tcPr>
                  <w:tcW w:w="429" w:type="pct"/>
                  <w:vMerge w:val="continue"/>
                  <w:tcBorders>
                    <w:left w:val="single" w:color="000000" w:sz="6" w:space="0"/>
                    <w:bottom w:val="single" w:color="000000" w:sz="4" w:space="0"/>
                    <w:right w:val="single" w:color="000000" w:sz="4" w:space="0"/>
                    <w:tl2br w:val="nil"/>
                    <w:tr2bl w:val="nil"/>
                  </w:tcBorders>
                  <w:noWrap w:val="0"/>
                  <w:vAlign w:val="center"/>
                </w:tcPr>
                <w:p w14:paraId="139C3C87">
                  <w:pPr>
                    <w:pStyle w:val="47"/>
                    <w:keepNext w:val="0"/>
                    <w:keepLines w:val="0"/>
                    <w:pageBreakBefore w:val="0"/>
                    <w:widowControl w:val="0"/>
                    <w:kinsoku w:val="0"/>
                    <w:wordWrap/>
                    <w:overflowPunct w:val="0"/>
                    <w:topLinePunct w:val="0"/>
                    <w:autoSpaceDE w:val="0"/>
                    <w:autoSpaceDN w:val="0"/>
                    <w:bidi w:val="0"/>
                    <w:adjustRightInd w:val="0"/>
                    <w:snapToGrid/>
                    <w:spacing w:beforeLines="0" w:afterLines="0" w:line="240" w:lineRule="auto"/>
                    <w:ind w:left="0" w:right="0" w:firstLine="0"/>
                    <w:jc w:val="center"/>
                    <w:textAlignment w:val="auto"/>
                    <w:rPr>
                      <w:rFonts w:hint="default" w:ascii="Times New Roman" w:hAnsi="Times New Roman" w:cs="Times New Roman"/>
                      <w:color w:val="000000" w:themeColor="text1"/>
                      <w:spacing w:val="0"/>
                      <w:w w:val="100"/>
                      <w:sz w:val="21"/>
                      <w:szCs w:val="21"/>
                      <w14:textFill>
                        <w14:solidFill>
                          <w14:schemeClr w14:val="tx1"/>
                        </w14:solidFill>
                      </w14:textFill>
                    </w:rPr>
                  </w:pPr>
                </w:p>
              </w:tc>
              <w:tc>
                <w:tcPr>
                  <w:tcW w:w="20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F6D9CA">
                  <w:pPr>
                    <w:pStyle w:val="47"/>
                    <w:keepNext w:val="0"/>
                    <w:keepLines w:val="0"/>
                    <w:pageBreakBefore w:val="0"/>
                    <w:widowControl w:val="0"/>
                    <w:kinsoku w:val="0"/>
                    <w:wordWrap/>
                    <w:overflowPunct w:val="0"/>
                    <w:topLinePunct w:val="0"/>
                    <w:autoSpaceDE w:val="0"/>
                    <w:autoSpaceDN w:val="0"/>
                    <w:bidi w:val="0"/>
                    <w:adjustRightInd w:val="0"/>
                    <w:snapToGrid/>
                    <w:spacing w:beforeLines="0" w:afterLines="0" w:line="240" w:lineRule="auto"/>
                    <w:ind w:left="0" w:right="0" w:rightChars="0" w:firstLine="0"/>
                    <w:jc w:val="center"/>
                    <w:textAlignment w:val="auto"/>
                    <w:rPr>
                      <w:rFonts w:hint="default" w:ascii="Times New Roman" w:hAnsi="Times New Roman" w:cs="Times New Roman"/>
                      <w:b/>
                      <w:bCs/>
                      <w:color w:val="000000" w:themeColor="text1"/>
                      <w:spacing w:val="0"/>
                      <w:w w:val="100"/>
                      <w:sz w:val="21"/>
                      <w:szCs w:val="21"/>
                      <w14:textFill>
                        <w14:solidFill>
                          <w14:schemeClr w14:val="tx1"/>
                        </w14:solidFill>
                      </w14:textFill>
                    </w:rPr>
                  </w:pPr>
                  <w:r>
                    <w:rPr>
                      <w:rFonts w:hint="default" w:ascii="Times New Roman" w:hAnsi="Times New Roman" w:cs="Times New Roman"/>
                      <w:b/>
                      <w:bCs/>
                      <w:color w:val="000000" w:themeColor="text1"/>
                      <w:spacing w:val="0"/>
                      <w:w w:val="100"/>
                      <w:sz w:val="21"/>
                      <w:szCs w:val="21"/>
                      <w14:textFill>
                        <w14:solidFill>
                          <w14:schemeClr w14:val="tx1"/>
                        </w14:solidFill>
                      </w14:textFill>
                    </w:rPr>
                    <w:t>限制开发建设活动的要求：</w:t>
                  </w:r>
                </w:p>
                <w:p w14:paraId="4E4252E4">
                  <w:pPr>
                    <w:pStyle w:val="47"/>
                    <w:keepNext w:val="0"/>
                    <w:keepLines w:val="0"/>
                    <w:pageBreakBefore w:val="0"/>
                    <w:widowControl w:val="0"/>
                    <w:kinsoku w:val="0"/>
                    <w:wordWrap/>
                    <w:overflowPunct w:val="0"/>
                    <w:topLinePunct w:val="0"/>
                    <w:autoSpaceDE w:val="0"/>
                    <w:autoSpaceDN w:val="0"/>
                    <w:bidi w:val="0"/>
                    <w:adjustRightInd w:val="0"/>
                    <w:snapToGrid/>
                    <w:spacing w:beforeLines="0" w:afterLines="0" w:line="240" w:lineRule="auto"/>
                    <w:ind w:left="0" w:right="0" w:rightChars="0" w:firstLine="0"/>
                    <w:jc w:val="center"/>
                    <w:textAlignment w:val="auto"/>
                    <w:rPr>
                      <w:rFonts w:hint="default" w:ascii="Times New Roman" w:hAnsi="Times New Roman" w:cs="Times New Roman"/>
                      <w:color w:val="000000" w:themeColor="text1"/>
                      <w:spacing w:val="0"/>
                      <w:w w:val="100"/>
                      <w:sz w:val="21"/>
                      <w:szCs w:val="21"/>
                      <w14:textFill>
                        <w14:solidFill>
                          <w14:schemeClr w14:val="tx1"/>
                        </w14:solidFill>
                      </w14:textFill>
                    </w:rPr>
                  </w:pPr>
                  <w:r>
                    <w:rPr>
                      <w:rFonts w:hint="default" w:ascii="Times New Roman" w:hAnsi="Times New Roman" w:cs="Times New Roman"/>
                      <w:color w:val="000000" w:themeColor="text1"/>
                      <w:spacing w:val="0"/>
                      <w:w w:val="100"/>
                      <w:sz w:val="21"/>
                      <w:szCs w:val="21"/>
                      <w:lang w:val="en-US" w:eastAsia="zh-CN"/>
                      <w14:textFill>
                        <w14:solidFill>
                          <w14:schemeClr w14:val="tx1"/>
                        </w14:solidFill>
                      </w14:textFill>
                    </w:rPr>
                    <w:t>1、</w:t>
                  </w:r>
                  <w:r>
                    <w:rPr>
                      <w:rFonts w:hint="default" w:ascii="Times New Roman" w:hAnsi="Times New Roman" w:cs="Times New Roman"/>
                      <w:color w:val="000000" w:themeColor="text1"/>
                      <w:spacing w:val="0"/>
                      <w:w w:val="100"/>
                      <w:sz w:val="21"/>
                      <w:szCs w:val="21"/>
                      <w14:textFill>
                        <w14:solidFill>
                          <w14:schemeClr w14:val="tx1"/>
                        </w14:solidFill>
                      </w14:textFill>
                    </w:rPr>
                    <w:t>严格限制在淮河流域新建印染、制革、化工、电镀、酿造等大中型项目或者其他污染严重的项目；建设该类项目的，应当事前征得省人民政府生态环境行政主管部门的同意，并按照规定办理有关手续。</w:t>
                  </w:r>
                </w:p>
                <w:p w14:paraId="210AFBEB">
                  <w:pPr>
                    <w:pStyle w:val="47"/>
                    <w:keepNext w:val="0"/>
                    <w:keepLines w:val="0"/>
                    <w:pageBreakBefore w:val="0"/>
                    <w:widowControl w:val="0"/>
                    <w:kinsoku w:val="0"/>
                    <w:wordWrap/>
                    <w:overflowPunct w:val="0"/>
                    <w:topLinePunct w:val="0"/>
                    <w:autoSpaceDE w:val="0"/>
                    <w:autoSpaceDN w:val="0"/>
                    <w:bidi w:val="0"/>
                    <w:adjustRightInd w:val="0"/>
                    <w:snapToGrid/>
                    <w:spacing w:beforeLines="0" w:afterLines="0" w:line="240" w:lineRule="auto"/>
                    <w:ind w:left="0" w:right="0" w:rightChars="0" w:firstLine="0"/>
                    <w:jc w:val="center"/>
                    <w:textAlignment w:val="auto"/>
                    <w:rPr>
                      <w:rFonts w:hint="default" w:ascii="Times New Roman" w:hAnsi="Times New Roman" w:cs="Times New Roman"/>
                      <w:color w:val="000000" w:themeColor="text1"/>
                      <w:spacing w:val="0"/>
                      <w:w w:val="100"/>
                      <w:sz w:val="21"/>
                      <w:szCs w:val="21"/>
                      <w14:textFill>
                        <w14:solidFill>
                          <w14:schemeClr w14:val="tx1"/>
                        </w14:solidFill>
                      </w14:textFill>
                    </w:rPr>
                  </w:pPr>
                  <w:r>
                    <w:rPr>
                      <w:rFonts w:hint="default" w:ascii="Times New Roman" w:hAnsi="Times New Roman" w:cs="Times New Roman"/>
                      <w:color w:val="000000" w:themeColor="text1"/>
                      <w:spacing w:val="0"/>
                      <w:w w:val="100"/>
                      <w:sz w:val="21"/>
                      <w:szCs w:val="21"/>
                      <w:lang w:val="en-US" w:eastAsia="zh-CN"/>
                      <w14:textFill>
                        <w14:solidFill>
                          <w14:schemeClr w14:val="tx1"/>
                        </w14:solidFill>
                      </w14:textFill>
                    </w:rPr>
                    <w:t>2、</w:t>
                  </w:r>
                  <w:r>
                    <w:rPr>
                      <w:rFonts w:hint="default" w:ascii="Times New Roman" w:hAnsi="Times New Roman" w:cs="Times New Roman"/>
                      <w:color w:val="000000" w:themeColor="text1"/>
                      <w:spacing w:val="0"/>
                      <w:w w:val="100"/>
                      <w:sz w:val="21"/>
                      <w:szCs w:val="21"/>
                      <w14:textFill>
                        <w14:solidFill>
                          <w14:schemeClr w14:val="tx1"/>
                        </w14:solidFill>
                      </w14:textFill>
                    </w:rPr>
                    <w:t>新建、改建、扩建直接或者间接向水体排放污染物的建设项目和其他水上设施，应当依法进行环境影响评价。</w:t>
                  </w:r>
                </w:p>
                <w:p w14:paraId="38DE3150">
                  <w:pPr>
                    <w:pStyle w:val="47"/>
                    <w:keepNext w:val="0"/>
                    <w:keepLines w:val="0"/>
                    <w:pageBreakBefore w:val="0"/>
                    <w:widowControl w:val="0"/>
                    <w:kinsoku w:val="0"/>
                    <w:wordWrap/>
                    <w:overflowPunct w:val="0"/>
                    <w:topLinePunct w:val="0"/>
                    <w:autoSpaceDE w:val="0"/>
                    <w:autoSpaceDN w:val="0"/>
                    <w:bidi w:val="0"/>
                    <w:adjustRightInd w:val="0"/>
                    <w:snapToGrid/>
                    <w:spacing w:beforeLines="0" w:afterLines="0" w:line="240" w:lineRule="auto"/>
                    <w:ind w:left="0" w:right="0" w:rightChars="0" w:firstLine="0"/>
                    <w:jc w:val="center"/>
                    <w:textAlignment w:val="auto"/>
                    <w:rPr>
                      <w:rFonts w:hint="default" w:ascii="Times New Roman" w:hAnsi="Times New Roman" w:cs="Times New Roman"/>
                      <w:color w:val="000000" w:themeColor="text1"/>
                      <w:spacing w:val="0"/>
                      <w:w w:val="100"/>
                      <w:sz w:val="21"/>
                      <w:szCs w:val="21"/>
                      <w14:textFill>
                        <w14:solidFill>
                          <w14:schemeClr w14:val="tx1"/>
                        </w14:solidFill>
                      </w14:textFill>
                    </w:rPr>
                  </w:pPr>
                  <w:r>
                    <w:rPr>
                      <w:rFonts w:hint="default" w:ascii="Times New Roman" w:hAnsi="Times New Roman" w:cs="Times New Roman"/>
                      <w:color w:val="000000" w:themeColor="text1"/>
                      <w:spacing w:val="0"/>
                      <w:w w:val="100"/>
                      <w:sz w:val="21"/>
                      <w:szCs w:val="21"/>
                      <w14:textFill>
                        <w14:solidFill>
                          <w14:schemeClr w14:val="tx1"/>
                        </w14:solidFill>
                      </w14:textFill>
                    </w:rPr>
                    <w:t>建设项目的水污染防治设施，应当符合经批准或者备案的环境影响评价文件的要求，并与主体工程同时设计、同时施工、同时投入使用。</w:t>
                  </w:r>
                </w:p>
                <w:p w14:paraId="366C6D34">
                  <w:pPr>
                    <w:pStyle w:val="47"/>
                    <w:keepNext w:val="0"/>
                    <w:keepLines w:val="0"/>
                    <w:pageBreakBefore w:val="0"/>
                    <w:widowControl w:val="0"/>
                    <w:kinsoku w:val="0"/>
                    <w:wordWrap/>
                    <w:overflowPunct w:val="0"/>
                    <w:topLinePunct w:val="0"/>
                    <w:autoSpaceDE w:val="0"/>
                    <w:autoSpaceDN w:val="0"/>
                    <w:bidi w:val="0"/>
                    <w:adjustRightInd w:val="0"/>
                    <w:snapToGrid/>
                    <w:spacing w:beforeLines="0" w:afterLines="0" w:line="240" w:lineRule="auto"/>
                    <w:ind w:left="0" w:right="0" w:rightChars="0" w:firstLine="0"/>
                    <w:jc w:val="center"/>
                    <w:textAlignment w:val="auto"/>
                    <w:rPr>
                      <w:rFonts w:hint="default" w:ascii="Times New Roman" w:hAnsi="Times New Roman" w:cs="Times New Roman"/>
                      <w:color w:val="000000" w:themeColor="text1"/>
                      <w:spacing w:val="0"/>
                      <w:w w:val="100"/>
                      <w:sz w:val="21"/>
                      <w:szCs w:val="21"/>
                      <w14:textFill>
                        <w14:solidFill>
                          <w14:schemeClr w14:val="tx1"/>
                        </w14:solidFill>
                      </w14:textFill>
                    </w:rPr>
                  </w:pPr>
                  <w:r>
                    <w:rPr>
                      <w:rFonts w:hint="default" w:ascii="Times New Roman" w:hAnsi="Times New Roman" w:cs="Times New Roman"/>
                      <w:color w:val="000000" w:themeColor="text1"/>
                      <w:spacing w:val="0"/>
                      <w:w w:val="100"/>
                      <w:sz w:val="21"/>
                      <w:szCs w:val="21"/>
                      <w14:textFill>
                        <w14:solidFill>
                          <w14:schemeClr w14:val="tx1"/>
                        </w14:solidFill>
                      </w14:textFill>
                    </w:rPr>
                    <w:t>新建、扩建、改建项目，除执行前款规定外，还应当遵守下列规定：（一）新建项目的选址应符合城市总体规划，避开饮用水水源地和对环境有特殊要求的功能区；（二）采用资源利用率高、污染物排放量少的先进设备和先进工艺；（三）改建、扩建项目和技改项目应当把水污染治理纳入项目内容。工程配套建设的水污染防治设施竣工后，建设单位应当按照国务院生态环境行政主管部门规定的标准和程序进行验收。验收合格后，方可投入使用；未经验收或者验收不合格的，不得投入生产或者使用。</w:t>
                  </w:r>
                </w:p>
                <w:p w14:paraId="5DAFF014">
                  <w:pPr>
                    <w:pStyle w:val="47"/>
                    <w:keepNext w:val="0"/>
                    <w:keepLines w:val="0"/>
                    <w:pageBreakBefore w:val="0"/>
                    <w:widowControl w:val="0"/>
                    <w:kinsoku w:val="0"/>
                    <w:wordWrap/>
                    <w:overflowPunct w:val="0"/>
                    <w:topLinePunct w:val="0"/>
                    <w:autoSpaceDE w:val="0"/>
                    <w:autoSpaceDN w:val="0"/>
                    <w:bidi w:val="0"/>
                    <w:adjustRightInd w:val="0"/>
                    <w:snapToGrid/>
                    <w:spacing w:beforeLines="0" w:afterLines="0" w:line="240" w:lineRule="auto"/>
                    <w:ind w:left="0" w:right="0" w:rightChars="0" w:firstLine="0"/>
                    <w:jc w:val="center"/>
                    <w:textAlignment w:val="auto"/>
                    <w:rPr>
                      <w:rFonts w:hint="default" w:ascii="Times New Roman" w:hAnsi="Times New Roman" w:cs="Times New Roman"/>
                      <w:color w:val="000000" w:themeColor="text1"/>
                      <w:spacing w:val="0"/>
                      <w:w w:val="100"/>
                      <w:sz w:val="21"/>
                      <w:szCs w:val="21"/>
                      <w14:textFill>
                        <w14:solidFill>
                          <w14:schemeClr w14:val="tx1"/>
                        </w14:solidFill>
                      </w14:textFill>
                    </w:rPr>
                  </w:pPr>
                  <w:r>
                    <w:rPr>
                      <w:rFonts w:hint="default" w:ascii="Times New Roman" w:hAnsi="Times New Roman" w:cs="Times New Roman"/>
                      <w:color w:val="000000" w:themeColor="text1"/>
                      <w:spacing w:val="0"/>
                      <w:w w:val="100"/>
                      <w:sz w:val="21"/>
                      <w:szCs w:val="21"/>
                      <w:lang w:val="en-US" w:eastAsia="zh-CN"/>
                      <w14:textFill>
                        <w14:solidFill>
                          <w14:schemeClr w14:val="tx1"/>
                        </w14:solidFill>
                      </w14:textFill>
                    </w:rPr>
                    <w:t>3、</w:t>
                  </w:r>
                  <w:r>
                    <w:rPr>
                      <w:rFonts w:hint="default" w:ascii="Times New Roman" w:hAnsi="Times New Roman" w:cs="Times New Roman"/>
                      <w:color w:val="000000" w:themeColor="text1"/>
                      <w:spacing w:val="0"/>
                      <w:w w:val="100"/>
                      <w:sz w:val="21"/>
                      <w:szCs w:val="21"/>
                      <w14:textFill>
                        <w14:solidFill>
                          <w14:schemeClr w14:val="tx1"/>
                        </w14:solidFill>
                      </w14:textFill>
                    </w:rPr>
                    <w:t>在保护区附近新建排污口，应当保证保护区水体不受污染。</w:t>
                  </w:r>
                </w:p>
                <w:p w14:paraId="2483303F">
                  <w:pPr>
                    <w:pStyle w:val="47"/>
                    <w:keepNext w:val="0"/>
                    <w:keepLines w:val="0"/>
                    <w:pageBreakBefore w:val="0"/>
                    <w:widowControl w:val="0"/>
                    <w:kinsoku w:val="0"/>
                    <w:wordWrap/>
                    <w:overflowPunct w:val="0"/>
                    <w:topLinePunct w:val="0"/>
                    <w:autoSpaceDE w:val="0"/>
                    <w:autoSpaceDN w:val="0"/>
                    <w:bidi w:val="0"/>
                    <w:adjustRightInd w:val="0"/>
                    <w:snapToGrid/>
                    <w:spacing w:beforeLines="0" w:afterLines="0" w:line="240" w:lineRule="auto"/>
                    <w:ind w:left="0" w:right="0" w:rightChars="0" w:firstLine="0"/>
                    <w:jc w:val="center"/>
                    <w:textAlignment w:val="auto"/>
                    <w:rPr>
                      <w:rFonts w:hint="default" w:ascii="Times New Roman" w:hAnsi="Times New Roman" w:cs="Times New Roman"/>
                      <w:color w:val="000000" w:themeColor="text1"/>
                      <w:spacing w:val="0"/>
                      <w:w w:val="100"/>
                      <w:sz w:val="21"/>
                      <w:szCs w:val="21"/>
                      <w14:textFill>
                        <w14:solidFill>
                          <w14:schemeClr w14:val="tx1"/>
                        </w14:solidFill>
                      </w14:textFill>
                    </w:rPr>
                  </w:pPr>
                  <w:r>
                    <w:rPr>
                      <w:rFonts w:hint="default" w:ascii="Times New Roman" w:hAnsi="Times New Roman" w:cs="Times New Roman"/>
                      <w:color w:val="000000" w:themeColor="text1"/>
                      <w:spacing w:val="0"/>
                      <w:w w:val="100"/>
                      <w:sz w:val="21"/>
                      <w:szCs w:val="21"/>
                      <w:lang w:val="en-US" w:eastAsia="zh-CN"/>
                      <w14:textFill>
                        <w14:solidFill>
                          <w14:schemeClr w14:val="tx1"/>
                        </w14:solidFill>
                      </w14:textFill>
                    </w:rPr>
                    <w:t>4、</w:t>
                  </w:r>
                  <w:r>
                    <w:rPr>
                      <w:rFonts w:hint="default" w:ascii="Times New Roman" w:hAnsi="Times New Roman" w:cs="Times New Roman"/>
                      <w:color w:val="000000" w:themeColor="text1"/>
                      <w:spacing w:val="0"/>
                      <w:w w:val="100"/>
                      <w:sz w:val="21"/>
                      <w:szCs w:val="21"/>
                      <w14:textFill>
                        <w14:solidFill>
                          <w14:schemeClr w14:val="tx1"/>
                        </w14:solidFill>
                      </w14:textFill>
                    </w:rPr>
                    <w:t>严格环境准入，在水污染防治重点控制单元的区域内，限制新建耗水量大、废水排放量大的项目和单纯扩大产能的项目。严格控制缺水地区、水污染严重地区和敏感区域高耗水、高污染行业发展。</w:t>
                  </w:r>
                </w:p>
              </w:tc>
              <w:tc>
                <w:tcPr>
                  <w:tcW w:w="17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F39D69">
                  <w:pPr>
                    <w:pStyle w:val="47"/>
                    <w:keepNext w:val="0"/>
                    <w:keepLines w:val="0"/>
                    <w:pageBreakBefore w:val="0"/>
                    <w:widowControl w:val="0"/>
                    <w:kinsoku w:val="0"/>
                    <w:wordWrap/>
                    <w:overflowPunct w:val="0"/>
                    <w:topLinePunct w:val="0"/>
                    <w:autoSpaceDE w:val="0"/>
                    <w:autoSpaceDN w:val="0"/>
                    <w:bidi w:val="0"/>
                    <w:adjustRightInd w:val="0"/>
                    <w:snapToGrid/>
                    <w:spacing w:beforeLines="0" w:afterLines="0" w:line="240" w:lineRule="auto"/>
                    <w:ind w:left="0" w:right="0" w:rightChars="0"/>
                    <w:textAlignment w:val="auto"/>
                    <w:rPr>
                      <w:rFonts w:hint="default" w:ascii="Times New Roman" w:hAnsi="Times New Roman" w:cs="Times New Roman"/>
                      <w:color w:val="000000" w:themeColor="text1"/>
                      <w:spacing w:val="0"/>
                      <w:w w:val="100"/>
                      <w:sz w:val="21"/>
                      <w:szCs w:val="21"/>
                      <w:lang w:val="en-US" w:eastAsia="zh-CN"/>
                      <w14:textFill>
                        <w14:solidFill>
                          <w14:schemeClr w14:val="tx1"/>
                        </w14:solidFill>
                      </w14:textFill>
                    </w:rPr>
                  </w:pPr>
                  <w:r>
                    <w:rPr>
                      <w:rFonts w:hint="default" w:ascii="Times New Roman" w:hAnsi="Times New Roman" w:cs="Times New Roman"/>
                      <w:color w:val="000000" w:themeColor="text1"/>
                      <w:spacing w:val="0"/>
                      <w:w w:val="100"/>
                      <w:sz w:val="21"/>
                      <w:szCs w:val="21"/>
                      <w:lang w:val="en-US" w:eastAsia="zh-CN"/>
                      <w14:textFill>
                        <w14:solidFill>
                          <w14:schemeClr w14:val="tx1"/>
                        </w14:solidFill>
                      </w14:textFill>
                    </w:rPr>
                    <w:t>1</w:t>
                  </w:r>
                  <w:r>
                    <w:rPr>
                      <w:rFonts w:hint="default" w:ascii="Times New Roman" w:hAnsi="Times New Roman" w:cs="Times New Roman"/>
                      <w:b/>
                      <w:bCs/>
                      <w:color w:val="000000" w:themeColor="text1"/>
                      <w:spacing w:val="0"/>
                      <w:w w:val="100"/>
                      <w:sz w:val="21"/>
                      <w:szCs w:val="21"/>
                      <w:lang w:val="en-US" w:eastAsia="zh-CN"/>
                      <w14:textFill>
                        <w14:solidFill>
                          <w14:schemeClr w14:val="tx1"/>
                        </w14:solidFill>
                      </w14:textFill>
                    </w:rPr>
                    <w:t>、本项目不属于</w:t>
                  </w:r>
                  <w:r>
                    <w:rPr>
                      <w:rFonts w:hint="default" w:ascii="Times New Roman" w:hAnsi="Times New Roman" w:cs="Times New Roman"/>
                      <w:b/>
                      <w:bCs/>
                      <w:color w:val="000000" w:themeColor="text1"/>
                      <w:spacing w:val="0"/>
                      <w:w w:val="100"/>
                      <w:sz w:val="21"/>
                      <w:szCs w:val="21"/>
                      <w14:textFill>
                        <w14:solidFill>
                          <w14:schemeClr w14:val="tx1"/>
                        </w14:solidFill>
                      </w14:textFill>
                    </w:rPr>
                    <w:t>印染、制革、化工、电镀、酿造等大中型项目或者其他污染严重的项目</w:t>
                  </w:r>
                </w:p>
                <w:p w14:paraId="47FCF004">
                  <w:pPr>
                    <w:pStyle w:val="47"/>
                    <w:keepNext w:val="0"/>
                    <w:keepLines w:val="0"/>
                    <w:pageBreakBefore w:val="0"/>
                    <w:widowControl w:val="0"/>
                    <w:kinsoku w:val="0"/>
                    <w:wordWrap/>
                    <w:overflowPunct w:val="0"/>
                    <w:topLinePunct w:val="0"/>
                    <w:autoSpaceDE w:val="0"/>
                    <w:autoSpaceDN w:val="0"/>
                    <w:bidi w:val="0"/>
                    <w:adjustRightInd w:val="0"/>
                    <w:snapToGrid/>
                    <w:spacing w:beforeLines="0" w:afterLines="0" w:line="240" w:lineRule="auto"/>
                    <w:ind w:left="0" w:right="0" w:rightChars="0"/>
                    <w:textAlignment w:val="auto"/>
                    <w:rPr>
                      <w:rFonts w:hint="default" w:ascii="Times New Roman" w:hAnsi="Times New Roman" w:cs="Times New Roman"/>
                      <w:color w:val="000000" w:themeColor="text1"/>
                      <w:spacing w:val="0"/>
                      <w:w w:val="100"/>
                      <w:sz w:val="21"/>
                      <w:szCs w:val="21"/>
                      <w:lang w:val="en-US" w:eastAsia="zh-CN"/>
                      <w14:textFill>
                        <w14:solidFill>
                          <w14:schemeClr w14:val="tx1"/>
                        </w14:solidFill>
                      </w14:textFill>
                    </w:rPr>
                  </w:pPr>
                  <w:r>
                    <w:rPr>
                      <w:rFonts w:hint="default" w:ascii="Times New Roman" w:hAnsi="Times New Roman" w:cs="Times New Roman"/>
                      <w:color w:val="000000" w:themeColor="text1"/>
                      <w:spacing w:val="0"/>
                      <w:w w:val="100"/>
                      <w:sz w:val="21"/>
                      <w:szCs w:val="21"/>
                      <w:lang w:val="en-US" w:eastAsia="zh-CN"/>
                      <w14:textFill>
                        <w14:solidFill>
                          <w14:schemeClr w14:val="tx1"/>
                        </w14:solidFill>
                      </w14:textFill>
                    </w:rPr>
                    <w:t>2、生活污水经化粪池处理，生产废水经厂区污水处理设施处理后经厂区污水总排放口进入市政污水管网，最终进入泗县工业污水处理厂处理。项目建设符合城市总体规划，不在饮用水水源保护区。</w:t>
                  </w:r>
                </w:p>
                <w:p w14:paraId="34F13C76">
                  <w:pPr>
                    <w:pStyle w:val="47"/>
                    <w:keepNext w:val="0"/>
                    <w:keepLines w:val="0"/>
                    <w:pageBreakBefore w:val="0"/>
                    <w:widowControl w:val="0"/>
                    <w:kinsoku w:val="0"/>
                    <w:wordWrap/>
                    <w:overflowPunct w:val="0"/>
                    <w:topLinePunct w:val="0"/>
                    <w:autoSpaceDE w:val="0"/>
                    <w:autoSpaceDN w:val="0"/>
                    <w:bidi w:val="0"/>
                    <w:adjustRightInd w:val="0"/>
                    <w:snapToGrid/>
                    <w:spacing w:beforeLines="0" w:afterLines="0" w:line="240" w:lineRule="auto"/>
                    <w:ind w:left="0" w:right="0" w:rightChars="0"/>
                    <w:textAlignment w:val="auto"/>
                    <w:rPr>
                      <w:rFonts w:hint="default" w:ascii="Times New Roman" w:hAnsi="Times New Roman" w:cs="Times New Roman"/>
                      <w:color w:val="000000" w:themeColor="text1"/>
                      <w:spacing w:val="0"/>
                      <w:w w:val="100"/>
                      <w:sz w:val="21"/>
                      <w:szCs w:val="21"/>
                      <w:lang w:val="en-US" w:eastAsia="zh-CN"/>
                      <w14:textFill>
                        <w14:solidFill>
                          <w14:schemeClr w14:val="tx1"/>
                        </w14:solidFill>
                      </w14:textFill>
                    </w:rPr>
                  </w:pPr>
                  <w:r>
                    <w:rPr>
                      <w:rFonts w:hint="default" w:ascii="Times New Roman" w:hAnsi="Times New Roman" w:cs="Times New Roman"/>
                      <w:color w:val="000000" w:themeColor="text1"/>
                      <w:spacing w:val="0"/>
                      <w:w w:val="100"/>
                      <w:sz w:val="21"/>
                      <w:szCs w:val="21"/>
                      <w:lang w:val="en-US" w:eastAsia="zh-CN"/>
                      <w14:textFill>
                        <w14:solidFill>
                          <w14:schemeClr w14:val="tx1"/>
                        </w14:solidFill>
                      </w14:textFill>
                    </w:rPr>
                    <w:t>3、项目不在饮用水水源保护区，且项目</w:t>
                  </w:r>
                  <w:r>
                    <w:rPr>
                      <w:rFonts w:hint="eastAsia" w:ascii="Times New Roman" w:hAnsi="Times New Roman" w:cs="Times New Roman"/>
                      <w:color w:val="000000" w:themeColor="text1"/>
                      <w:spacing w:val="0"/>
                      <w:w w:val="100"/>
                      <w:sz w:val="21"/>
                      <w:szCs w:val="21"/>
                      <w:lang w:val="en-US" w:eastAsia="zh-CN"/>
                      <w14:textFill>
                        <w14:solidFill>
                          <w14:schemeClr w14:val="tx1"/>
                        </w14:solidFill>
                      </w14:textFill>
                    </w:rPr>
                    <w:t>不涉及入河排污口</w:t>
                  </w:r>
                  <w:r>
                    <w:rPr>
                      <w:rFonts w:hint="default" w:ascii="Times New Roman" w:hAnsi="Times New Roman" w:cs="Times New Roman"/>
                      <w:color w:val="000000" w:themeColor="text1"/>
                      <w:spacing w:val="0"/>
                      <w:w w:val="100"/>
                      <w:sz w:val="21"/>
                      <w:szCs w:val="21"/>
                      <w:lang w:val="en-US" w:eastAsia="zh-CN"/>
                      <w14:textFill>
                        <w14:solidFill>
                          <w14:schemeClr w14:val="tx1"/>
                        </w14:solidFill>
                      </w14:textFill>
                    </w:rPr>
                    <w:t>，不会造成保护区水体受污染。</w:t>
                  </w:r>
                </w:p>
                <w:p w14:paraId="3FE4DA80">
                  <w:pPr>
                    <w:pStyle w:val="47"/>
                    <w:keepNext w:val="0"/>
                    <w:keepLines w:val="0"/>
                    <w:pageBreakBefore w:val="0"/>
                    <w:widowControl w:val="0"/>
                    <w:kinsoku w:val="0"/>
                    <w:wordWrap/>
                    <w:overflowPunct w:val="0"/>
                    <w:topLinePunct w:val="0"/>
                    <w:autoSpaceDE w:val="0"/>
                    <w:autoSpaceDN w:val="0"/>
                    <w:bidi w:val="0"/>
                    <w:adjustRightInd w:val="0"/>
                    <w:snapToGrid/>
                    <w:spacing w:beforeLines="0" w:afterLines="0" w:line="240" w:lineRule="auto"/>
                    <w:ind w:left="0" w:right="0" w:rightChars="0"/>
                    <w:textAlignment w:val="auto"/>
                    <w:rPr>
                      <w:rFonts w:hint="default" w:ascii="Times New Roman" w:hAnsi="Times New Roman" w:cs="Times New Roman"/>
                      <w:color w:val="000000" w:themeColor="text1"/>
                      <w:spacing w:val="0"/>
                      <w:w w:val="100"/>
                      <w:sz w:val="21"/>
                      <w:szCs w:val="21"/>
                      <w:lang w:val="en-US" w:eastAsia="zh-CN"/>
                      <w14:textFill>
                        <w14:solidFill>
                          <w14:schemeClr w14:val="tx1"/>
                        </w14:solidFill>
                      </w14:textFill>
                    </w:rPr>
                  </w:pPr>
                  <w:r>
                    <w:rPr>
                      <w:rFonts w:hint="default" w:ascii="Times New Roman" w:hAnsi="Times New Roman" w:cs="Times New Roman"/>
                      <w:color w:val="000000" w:themeColor="text1"/>
                      <w:spacing w:val="0"/>
                      <w:w w:val="100"/>
                      <w:sz w:val="21"/>
                      <w:szCs w:val="21"/>
                      <w:lang w:val="en-US" w:eastAsia="zh-CN"/>
                      <w14:textFill>
                        <w14:solidFill>
                          <w14:schemeClr w14:val="tx1"/>
                        </w14:solidFill>
                      </w14:textFill>
                    </w:rPr>
                    <w:t>4、项目不属于高耗水、高污染行业。</w:t>
                  </w:r>
                </w:p>
              </w:tc>
            </w:tr>
          </w:tbl>
          <w:p w14:paraId="09570259">
            <w:pPr>
              <w:pStyle w:val="40"/>
              <w:spacing w:line="360" w:lineRule="auto"/>
              <w:rPr>
                <w:lang w:bidi="ar"/>
              </w:rPr>
            </w:pPr>
            <w:r>
              <w:rPr>
                <w:lang w:bidi="ar"/>
              </w:rPr>
              <w:t>综上分析，本项目建设符合</w:t>
            </w:r>
            <w:r>
              <w:rPr>
                <w:rFonts w:hint="eastAsia"/>
                <w:lang w:bidi="ar"/>
              </w:rPr>
              <w:t>生态环境分区管控</w:t>
            </w:r>
            <w:r>
              <w:rPr>
                <w:lang w:bidi="ar"/>
              </w:rPr>
              <w:t>的要求。</w:t>
            </w:r>
          </w:p>
          <w:p w14:paraId="7288DDB3">
            <w:pPr>
              <w:spacing w:line="360" w:lineRule="auto"/>
              <w:ind w:firstLine="482" w:firstLineChars="200"/>
              <w:rPr>
                <w:b/>
                <w:kern w:val="0"/>
                <w:sz w:val="24"/>
                <w:szCs w:val="24"/>
              </w:rPr>
            </w:pPr>
            <w:r>
              <w:rPr>
                <w:rFonts w:ascii="宋体" w:hAnsi="宋体" w:cs="宋体"/>
                <w:b/>
                <w:bCs/>
                <w:sz w:val="24"/>
                <w:szCs w:val="24"/>
              </w:rPr>
              <w:t>四</w:t>
            </w:r>
            <w:r>
              <w:rPr>
                <w:rFonts w:hint="eastAsia" w:ascii="宋体" w:hAnsi="宋体" w:cs="宋体"/>
                <w:b/>
                <w:bCs/>
                <w:sz w:val="24"/>
                <w:szCs w:val="24"/>
              </w:rPr>
              <w:t>、</w:t>
            </w:r>
            <w:r>
              <w:rPr>
                <w:b/>
                <w:kern w:val="0"/>
                <w:sz w:val="24"/>
                <w:szCs w:val="24"/>
              </w:rPr>
              <w:t>与相关政策相符性</w:t>
            </w:r>
          </w:p>
          <w:p w14:paraId="61065FFC">
            <w:pPr>
              <w:spacing w:line="360" w:lineRule="auto"/>
              <w:ind w:firstLine="482" w:firstLineChars="200"/>
              <w:rPr>
                <w:rFonts w:ascii="Times New Roman" w:hAnsi="Times New Roman" w:eastAsia="宋体"/>
                <w:b/>
                <w:bCs/>
                <w:color w:val="auto"/>
                <w:sz w:val="24"/>
                <w:szCs w:val="24"/>
              </w:rPr>
            </w:pPr>
            <w:r>
              <w:rPr>
                <w:rFonts w:hint="eastAsia" w:eastAsia="宋体"/>
                <w:b/>
                <w:bCs/>
                <w:color w:val="auto"/>
                <w:sz w:val="24"/>
                <w:szCs w:val="24"/>
                <w:lang w:val="en-US" w:eastAsia="zh-CN"/>
              </w:rPr>
              <w:t>1</w:t>
            </w:r>
            <w:r>
              <w:rPr>
                <w:rFonts w:ascii="Times New Roman" w:hAnsi="Times New Roman" w:eastAsia="宋体"/>
                <w:b/>
                <w:bCs/>
                <w:color w:val="auto"/>
                <w:sz w:val="24"/>
                <w:szCs w:val="24"/>
              </w:rPr>
              <w:t>、与《安徽省“十四五”生态环境保护规划》符合性分析</w:t>
            </w:r>
          </w:p>
          <w:p w14:paraId="1694881E">
            <w:pPr>
              <w:spacing w:line="360" w:lineRule="auto"/>
              <w:ind w:firstLine="480" w:firstLineChars="200"/>
              <w:rPr>
                <w:rFonts w:ascii="Times New Roman" w:hAnsi="Times New Roman" w:eastAsia="宋体"/>
                <w:color w:val="auto"/>
                <w:sz w:val="24"/>
                <w:szCs w:val="24"/>
              </w:rPr>
            </w:pPr>
            <w:r>
              <w:rPr>
                <w:rFonts w:ascii="Times New Roman" w:hAnsi="Times New Roman" w:eastAsia="宋体"/>
                <w:color w:val="auto"/>
                <w:sz w:val="24"/>
                <w:szCs w:val="24"/>
              </w:rPr>
              <w:t>“十四五”时期是开启全面建设社会主义现代化国家新征程、向第二个百年奋斗目标进军的新起点，也是全面贯彻落实习近平总书记对安徽作出的系列重要讲话指示批示和建设美好安徽的关键时期。为切实做好安徽省“十四五”生态环境保护工作，持续改善生态环境质量，以高水平保护推动高质量发展，根据《安徽省国民经济和社会发展第十四个五年规划和2035年远景目标纲要》《长江三角洲区域生态环境共同保护规划》，制定本规划。</w:t>
            </w:r>
          </w:p>
          <w:p w14:paraId="24F1B30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hAnsi="Times New Roman" w:eastAsia="宋体"/>
                <w:b/>
                <w:bCs/>
                <w:color w:val="auto"/>
                <w:sz w:val="24"/>
                <w:szCs w:val="24"/>
              </w:rPr>
            </w:pPr>
            <w:r>
              <w:rPr>
                <w:rFonts w:ascii="Times New Roman" w:hAnsi="Times New Roman" w:eastAsia="宋体"/>
                <w:b/>
                <w:bCs/>
                <w:color w:val="auto"/>
                <w:sz w:val="24"/>
                <w:szCs w:val="24"/>
              </w:rPr>
              <w:t>表1-</w:t>
            </w:r>
            <w:r>
              <w:rPr>
                <w:rFonts w:hint="eastAsia" w:eastAsia="宋体"/>
                <w:b/>
                <w:bCs/>
                <w:color w:val="auto"/>
                <w:sz w:val="24"/>
                <w:szCs w:val="24"/>
                <w:lang w:val="en-US" w:eastAsia="zh-CN"/>
              </w:rPr>
              <w:t>5</w:t>
            </w:r>
            <w:r>
              <w:rPr>
                <w:rFonts w:ascii="Times New Roman" w:hAnsi="Times New Roman" w:eastAsia="宋体"/>
                <w:b/>
                <w:bCs/>
                <w:color w:val="auto"/>
                <w:sz w:val="24"/>
                <w:szCs w:val="24"/>
              </w:rPr>
              <w:t xml:space="preserve"> 与《安徽省“十四五”生态环境保护规划》相符性分析</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3290"/>
              <w:gridCol w:w="1873"/>
              <w:gridCol w:w="669"/>
            </w:tblGrid>
            <w:tr w14:paraId="1DC6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7" w:type="pct"/>
                  <w:noWrap w:val="0"/>
                  <w:vAlign w:val="center"/>
                </w:tcPr>
                <w:p w14:paraId="512B61C8">
                  <w:pPr>
                    <w:jc w:val="center"/>
                    <w:rPr>
                      <w:rFonts w:ascii="Times New Roman" w:hAnsi="Times New Roman" w:eastAsia="宋体"/>
                      <w:b/>
                      <w:bCs/>
                      <w:color w:val="auto"/>
                      <w:sz w:val="21"/>
                      <w:szCs w:val="21"/>
                      <w:lang w:bidi="ar"/>
                    </w:rPr>
                  </w:pPr>
                  <w:r>
                    <w:rPr>
                      <w:rFonts w:ascii="Times New Roman" w:hAnsi="Times New Roman" w:eastAsia="宋体"/>
                      <w:b/>
                      <w:bCs/>
                      <w:color w:val="auto"/>
                      <w:sz w:val="21"/>
                      <w:szCs w:val="21"/>
                      <w:lang w:bidi="ar"/>
                    </w:rPr>
                    <w:t>序号</w:t>
                  </w:r>
                </w:p>
              </w:tc>
              <w:tc>
                <w:tcPr>
                  <w:tcW w:w="2628" w:type="pct"/>
                  <w:noWrap w:val="0"/>
                  <w:vAlign w:val="center"/>
                </w:tcPr>
                <w:p w14:paraId="2C5E57A6">
                  <w:pPr>
                    <w:jc w:val="center"/>
                    <w:rPr>
                      <w:rFonts w:ascii="Times New Roman" w:hAnsi="Times New Roman" w:eastAsia="宋体"/>
                      <w:b/>
                      <w:bCs/>
                      <w:color w:val="auto"/>
                      <w:sz w:val="21"/>
                      <w:szCs w:val="21"/>
                      <w:lang w:bidi="ar"/>
                    </w:rPr>
                  </w:pPr>
                  <w:r>
                    <w:rPr>
                      <w:rFonts w:ascii="Times New Roman" w:hAnsi="Times New Roman" w:eastAsia="宋体"/>
                      <w:b/>
                      <w:bCs/>
                      <w:color w:val="auto"/>
                      <w:sz w:val="21"/>
                      <w:szCs w:val="21"/>
                      <w:lang w:bidi="ar"/>
                    </w:rPr>
                    <w:t>安徽省“十四五”生态环境保护规划</w:t>
                  </w:r>
                </w:p>
              </w:tc>
              <w:tc>
                <w:tcPr>
                  <w:tcW w:w="1497" w:type="pct"/>
                  <w:noWrap w:val="0"/>
                  <w:vAlign w:val="center"/>
                </w:tcPr>
                <w:p w14:paraId="4C1B8BF4">
                  <w:pPr>
                    <w:jc w:val="center"/>
                    <w:rPr>
                      <w:rFonts w:ascii="Times New Roman" w:hAnsi="Times New Roman" w:eastAsia="宋体"/>
                      <w:b/>
                      <w:bCs/>
                      <w:color w:val="auto"/>
                      <w:sz w:val="21"/>
                      <w:szCs w:val="21"/>
                      <w:lang w:bidi="ar"/>
                    </w:rPr>
                  </w:pPr>
                  <w:r>
                    <w:rPr>
                      <w:rFonts w:ascii="Times New Roman" w:hAnsi="Times New Roman" w:eastAsia="宋体"/>
                      <w:b/>
                      <w:bCs/>
                      <w:color w:val="auto"/>
                      <w:sz w:val="21"/>
                      <w:szCs w:val="21"/>
                      <w:lang w:bidi="ar"/>
                    </w:rPr>
                    <w:t>项目情况</w:t>
                  </w:r>
                </w:p>
              </w:tc>
              <w:tc>
                <w:tcPr>
                  <w:tcW w:w="535" w:type="pct"/>
                  <w:noWrap w:val="0"/>
                  <w:vAlign w:val="center"/>
                </w:tcPr>
                <w:p w14:paraId="216E98C0">
                  <w:pPr>
                    <w:jc w:val="center"/>
                    <w:rPr>
                      <w:rFonts w:ascii="Times New Roman" w:hAnsi="Times New Roman" w:eastAsia="宋体"/>
                      <w:b/>
                      <w:bCs/>
                      <w:color w:val="auto"/>
                      <w:sz w:val="21"/>
                      <w:szCs w:val="21"/>
                      <w:lang w:bidi="ar"/>
                    </w:rPr>
                  </w:pPr>
                  <w:r>
                    <w:rPr>
                      <w:rFonts w:ascii="Times New Roman" w:hAnsi="Times New Roman" w:eastAsia="宋体"/>
                      <w:b/>
                      <w:bCs/>
                      <w:color w:val="auto"/>
                      <w:sz w:val="21"/>
                      <w:szCs w:val="21"/>
                      <w:lang w:bidi="ar"/>
                    </w:rPr>
                    <w:t>相符性</w:t>
                  </w:r>
                </w:p>
              </w:tc>
            </w:tr>
            <w:tr w14:paraId="3826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7" w:type="pct"/>
                  <w:noWrap w:val="0"/>
                  <w:vAlign w:val="center"/>
                </w:tcPr>
                <w:p w14:paraId="2FD75698">
                  <w:pPr>
                    <w:jc w:val="center"/>
                    <w:rPr>
                      <w:rFonts w:ascii="Times New Roman" w:hAnsi="Times New Roman" w:eastAsia="宋体"/>
                      <w:b/>
                      <w:bCs/>
                      <w:color w:val="auto"/>
                      <w:sz w:val="21"/>
                      <w:szCs w:val="21"/>
                      <w:lang w:bidi="ar"/>
                    </w:rPr>
                  </w:pPr>
                  <w:r>
                    <w:rPr>
                      <w:rFonts w:ascii="Times New Roman" w:hAnsi="Times New Roman" w:eastAsia="宋体"/>
                      <w:color w:val="auto"/>
                      <w:sz w:val="21"/>
                      <w:szCs w:val="21"/>
                      <w:lang w:bidi="ar"/>
                    </w:rPr>
                    <w:t>1</w:t>
                  </w:r>
                </w:p>
              </w:tc>
              <w:tc>
                <w:tcPr>
                  <w:tcW w:w="2628" w:type="pct"/>
                  <w:noWrap w:val="0"/>
                  <w:vAlign w:val="center"/>
                </w:tcPr>
                <w:p w14:paraId="183C3598">
                  <w:pPr>
                    <w:adjustRightInd w:val="0"/>
                    <w:snapToGrid w:val="0"/>
                    <w:jc w:val="center"/>
                    <w:rPr>
                      <w:rFonts w:ascii="Times New Roman" w:hAnsi="Times New Roman" w:eastAsia="宋体"/>
                      <w:color w:val="auto"/>
                      <w:sz w:val="21"/>
                      <w:szCs w:val="21"/>
                    </w:rPr>
                  </w:pPr>
                  <w:r>
                    <w:rPr>
                      <w:rFonts w:ascii="Times New Roman" w:hAnsi="Times New Roman" w:eastAsia="宋体"/>
                      <w:color w:val="auto"/>
                      <w:sz w:val="21"/>
                      <w:szCs w:val="21"/>
                    </w:rPr>
                    <w:t>以钢铁、水泥、石化、化工、玻璃、有色、印染等行业为重点，开展全流程清洁化、循环化、低碳化改造，促进传统产业绿色转型升级，在火电、钢铁、建材等行业开展减污降碳协同增效。支持各市因地制宜制定化工项目入园标准，建立入园项目准入评审制度。加快淘汰落后低端产能，加大新基建、高新技术产业、新能源汽车等产业的支持力度，构建高效节能、先进环保和资源循环利用的绿色产业体系，充分发挥生态环境保护引导、优化和倒逼作用，加快生产方式绿色转型，提升经济发展质量。</w:t>
                  </w:r>
                </w:p>
              </w:tc>
              <w:tc>
                <w:tcPr>
                  <w:tcW w:w="1497" w:type="pct"/>
                  <w:noWrap w:val="0"/>
                  <w:vAlign w:val="center"/>
                </w:tcPr>
                <w:p w14:paraId="4B6869A8">
                  <w:pPr>
                    <w:adjustRightInd w:val="0"/>
                    <w:snapToGrid w:val="0"/>
                    <w:jc w:val="center"/>
                    <w:rPr>
                      <w:rFonts w:ascii="Times New Roman" w:hAnsi="Times New Roman" w:eastAsia="宋体"/>
                      <w:color w:val="auto"/>
                      <w:sz w:val="21"/>
                      <w:szCs w:val="21"/>
                    </w:rPr>
                  </w:pPr>
                  <w:r>
                    <w:rPr>
                      <w:rFonts w:ascii="Times New Roman" w:hAnsi="Times New Roman" w:eastAsia="宋体"/>
                      <w:color w:val="auto"/>
                      <w:sz w:val="21"/>
                      <w:szCs w:val="21"/>
                    </w:rPr>
                    <w:t>本项目选址位于</w:t>
                  </w:r>
                  <w:r>
                    <w:rPr>
                      <w:rFonts w:hint="eastAsia" w:ascii="Times New Roman" w:hAnsi="Times New Roman" w:eastAsia="宋体"/>
                      <w:color w:val="auto"/>
                      <w:sz w:val="21"/>
                      <w:szCs w:val="21"/>
                      <w:lang w:val="en-US" w:eastAsia="zh-CN"/>
                    </w:rPr>
                    <w:t>泗县虹城街道长三角绿色食品产业园</w:t>
                  </w:r>
                  <w:r>
                    <w:rPr>
                      <w:rFonts w:hint="eastAsia" w:eastAsia="宋体"/>
                      <w:color w:val="auto"/>
                      <w:sz w:val="21"/>
                      <w:szCs w:val="21"/>
                      <w:lang w:val="en-US" w:eastAsia="zh-CN"/>
                    </w:rPr>
                    <w:t>，</w:t>
                  </w:r>
                  <w:r>
                    <w:rPr>
                      <w:rFonts w:ascii="Times New Roman" w:hAnsi="Times New Roman" w:eastAsia="宋体"/>
                      <w:color w:val="auto"/>
                      <w:sz w:val="21"/>
                      <w:szCs w:val="21"/>
                    </w:rPr>
                    <w:t>不属于落后低端产能项目，项目污染物均可达标排放。</w:t>
                  </w:r>
                </w:p>
              </w:tc>
              <w:tc>
                <w:tcPr>
                  <w:tcW w:w="535" w:type="pct"/>
                  <w:noWrap w:val="0"/>
                  <w:vAlign w:val="center"/>
                </w:tcPr>
                <w:p w14:paraId="7A3D6F4C">
                  <w:pPr>
                    <w:jc w:val="center"/>
                    <w:rPr>
                      <w:rFonts w:ascii="Times New Roman" w:hAnsi="Times New Roman" w:eastAsia="宋体"/>
                      <w:b/>
                      <w:bCs/>
                      <w:color w:val="auto"/>
                      <w:sz w:val="21"/>
                      <w:szCs w:val="21"/>
                      <w:lang w:bidi="ar"/>
                    </w:rPr>
                  </w:pPr>
                  <w:r>
                    <w:rPr>
                      <w:rFonts w:ascii="Times New Roman" w:hAnsi="Times New Roman" w:eastAsia="宋体"/>
                      <w:color w:val="auto"/>
                      <w:sz w:val="21"/>
                      <w:szCs w:val="21"/>
                      <w:lang w:bidi="ar"/>
                    </w:rPr>
                    <w:t>相符</w:t>
                  </w:r>
                </w:p>
              </w:tc>
            </w:tr>
            <w:tr w14:paraId="2A00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37" w:type="pct"/>
                  <w:noWrap w:val="0"/>
                  <w:vAlign w:val="center"/>
                </w:tcPr>
                <w:p w14:paraId="426A6A2E">
                  <w:pPr>
                    <w:jc w:val="center"/>
                    <w:rPr>
                      <w:rFonts w:ascii="Times New Roman" w:hAnsi="Times New Roman" w:eastAsia="宋体"/>
                      <w:color w:val="auto"/>
                      <w:sz w:val="21"/>
                      <w:szCs w:val="21"/>
                      <w:lang w:bidi="ar"/>
                    </w:rPr>
                  </w:pPr>
                  <w:r>
                    <w:rPr>
                      <w:rFonts w:ascii="Times New Roman" w:hAnsi="Times New Roman" w:eastAsia="宋体"/>
                      <w:color w:val="auto"/>
                      <w:sz w:val="21"/>
                      <w:szCs w:val="21"/>
                      <w:lang w:bidi="ar"/>
                    </w:rPr>
                    <w:t>2</w:t>
                  </w:r>
                </w:p>
              </w:tc>
              <w:tc>
                <w:tcPr>
                  <w:tcW w:w="2628" w:type="pct"/>
                  <w:noWrap w:val="0"/>
                  <w:vAlign w:val="center"/>
                </w:tcPr>
                <w:p w14:paraId="1030C237">
                  <w:pPr>
                    <w:adjustRightInd w:val="0"/>
                    <w:snapToGrid w:val="0"/>
                    <w:jc w:val="center"/>
                    <w:rPr>
                      <w:rFonts w:ascii="Times New Roman" w:hAnsi="Times New Roman" w:eastAsia="宋体"/>
                      <w:color w:val="auto"/>
                      <w:sz w:val="21"/>
                      <w:szCs w:val="21"/>
                    </w:rPr>
                  </w:pPr>
                  <w:r>
                    <w:rPr>
                      <w:rFonts w:ascii="Times New Roman" w:hAnsi="Times New Roman" w:eastAsia="宋体"/>
                      <w:color w:val="auto"/>
                      <w:sz w:val="21"/>
                      <w:szCs w:val="21"/>
                    </w:rPr>
                    <w:t>强化能源消费总量和强度双控制度，严格控制能耗强度，有效控制能源消费增量，坚决遏制“两高”项目盲目发展。发挥市场配置资源作用，引导能源要素合理流动和高效配置。严格控制煤炭消费总量，大气污染防治重点区域内新、改、扩建用煤项目严格实施煤炭等量或减量替代。系统提升清洁低碳能源比例，积极扩大天然气利用，推进发 展风电和太阳能发电，有序发展生物质能和其他新能源，壮大清洁能源产业，推进可再生能源规模化发展。</w:t>
                  </w:r>
                </w:p>
              </w:tc>
              <w:tc>
                <w:tcPr>
                  <w:tcW w:w="1497" w:type="pct"/>
                  <w:noWrap w:val="0"/>
                  <w:vAlign w:val="center"/>
                </w:tcPr>
                <w:p w14:paraId="396BF2C8">
                  <w:pPr>
                    <w:jc w:val="center"/>
                    <w:rPr>
                      <w:rFonts w:hint="eastAsia" w:ascii="Times New Roman" w:hAnsi="Times New Roman" w:eastAsia="宋体"/>
                      <w:color w:val="auto"/>
                      <w:sz w:val="21"/>
                      <w:szCs w:val="21"/>
                      <w:lang w:eastAsia="zh-CN" w:bidi="ar"/>
                    </w:rPr>
                  </w:pPr>
                  <w:r>
                    <w:rPr>
                      <w:rFonts w:hint="eastAsia" w:ascii="Times New Roman" w:hAnsi="Times New Roman" w:eastAsia="宋体"/>
                      <w:color w:val="auto"/>
                      <w:sz w:val="21"/>
                      <w:szCs w:val="21"/>
                      <w:lang w:bidi="ar"/>
                    </w:rPr>
                    <w:t>根据《关于有力有效管控高耗能高排放项目的通知》，</w:t>
                  </w:r>
                  <w:r>
                    <w:rPr>
                      <w:rFonts w:hint="eastAsia" w:ascii="Times New Roman" w:hAnsi="Times New Roman" w:eastAsia="宋体"/>
                      <w:color w:val="auto"/>
                      <w:sz w:val="21"/>
                      <w:szCs w:val="21"/>
                      <w:lang w:val="en-US" w:eastAsia="zh-CN" w:bidi="ar"/>
                    </w:rPr>
                    <w:t>本项目</w:t>
                  </w:r>
                  <w:r>
                    <w:rPr>
                      <w:rFonts w:hint="eastAsia" w:ascii="Times New Roman" w:hAnsi="Times New Roman" w:eastAsia="宋体"/>
                      <w:color w:val="auto"/>
                      <w:sz w:val="21"/>
                      <w:szCs w:val="21"/>
                      <w:lang w:bidi="ar"/>
                    </w:rPr>
                    <w:t>不属于“两高”项目，不使用煤炭等高污染燃料</w:t>
                  </w:r>
                  <w:r>
                    <w:rPr>
                      <w:rFonts w:hint="eastAsia" w:ascii="Times New Roman" w:hAnsi="Times New Roman" w:eastAsia="宋体"/>
                      <w:color w:val="auto"/>
                      <w:sz w:val="21"/>
                      <w:szCs w:val="21"/>
                      <w:lang w:eastAsia="zh-CN" w:bidi="ar"/>
                    </w:rPr>
                    <w:t>。</w:t>
                  </w:r>
                </w:p>
              </w:tc>
              <w:tc>
                <w:tcPr>
                  <w:tcW w:w="535" w:type="pct"/>
                  <w:noWrap w:val="0"/>
                  <w:vAlign w:val="center"/>
                </w:tcPr>
                <w:p w14:paraId="2C53AB16">
                  <w:pPr>
                    <w:jc w:val="center"/>
                    <w:rPr>
                      <w:rFonts w:ascii="Times New Roman" w:hAnsi="Times New Roman" w:eastAsia="宋体"/>
                      <w:color w:val="auto"/>
                      <w:sz w:val="21"/>
                      <w:szCs w:val="21"/>
                      <w:lang w:bidi="ar"/>
                    </w:rPr>
                  </w:pPr>
                  <w:r>
                    <w:rPr>
                      <w:rFonts w:ascii="Times New Roman" w:hAnsi="Times New Roman" w:eastAsia="宋体"/>
                      <w:color w:val="auto"/>
                      <w:sz w:val="21"/>
                      <w:szCs w:val="21"/>
                      <w:lang w:bidi="ar"/>
                    </w:rPr>
                    <w:t>相符</w:t>
                  </w:r>
                </w:p>
              </w:tc>
            </w:tr>
            <w:tr w14:paraId="045B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37" w:type="pct"/>
                  <w:noWrap w:val="0"/>
                  <w:vAlign w:val="center"/>
                </w:tcPr>
                <w:p w14:paraId="7DE947CE">
                  <w:pPr>
                    <w:jc w:val="center"/>
                    <w:rPr>
                      <w:rFonts w:ascii="Times New Roman" w:hAnsi="Times New Roman" w:eastAsia="宋体"/>
                      <w:color w:val="auto"/>
                      <w:sz w:val="21"/>
                      <w:szCs w:val="21"/>
                      <w:lang w:bidi="ar"/>
                    </w:rPr>
                  </w:pPr>
                  <w:r>
                    <w:rPr>
                      <w:rFonts w:ascii="Times New Roman" w:hAnsi="Times New Roman" w:eastAsia="宋体"/>
                      <w:color w:val="auto"/>
                      <w:sz w:val="21"/>
                      <w:szCs w:val="21"/>
                      <w:lang w:bidi="ar"/>
                    </w:rPr>
                    <w:t>3</w:t>
                  </w:r>
                </w:p>
              </w:tc>
              <w:tc>
                <w:tcPr>
                  <w:tcW w:w="2628" w:type="pct"/>
                  <w:noWrap w:val="0"/>
                  <w:vAlign w:val="center"/>
                </w:tcPr>
                <w:p w14:paraId="039FD04F">
                  <w:pPr>
                    <w:adjustRightInd w:val="0"/>
                    <w:snapToGrid w:val="0"/>
                    <w:jc w:val="center"/>
                    <w:rPr>
                      <w:rFonts w:ascii="Times New Roman" w:hAnsi="Times New Roman" w:eastAsia="宋体"/>
                      <w:color w:val="auto"/>
                      <w:sz w:val="21"/>
                      <w:szCs w:val="21"/>
                    </w:rPr>
                  </w:pPr>
                  <w:r>
                    <w:rPr>
                      <w:rFonts w:ascii="Times New Roman" w:hAnsi="Times New Roman" w:eastAsia="宋体"/>
                      <w:color w:val="auto"/>
                      <w:sz w:val="21"/>
                      <w:szCs w:val="21"/>
                    </w:rPr>
                    <w:t>持续推进固定污染源治理。强化挥发性有机物（VOCs）治理精细化管理，在石化、化工、包装印刷、工业涂装等重点行业建立完善源头、过程和末端的VOCs全过程控制体系，实施VOCs排放总量控制</w:t>
                  </w:r>
                </w:p>
              </w:tc>
              <w:tc>
                <w:tcPr>
                  <w:tcW w:w="1497" w:type="pct"/>
                  <w:noWrap w:val="0"/>
                  <w:vAlign w:val="center"/>
                </w:tcPr>
                <w:p w14:paraId="513647D7">
                  <w:pPr>
                    <w:jc w:val="center"/>
                    <w:rPr>
                      <w:rFonts w:hint="default" w:ascii="Times New Roman" w:hAnsi="Times New Roman" w:eastAsia="宋体"/>
                      <w:color w:val="auto"/>
                      <w:sz w:val="21"/>
                      <w:szCs w:val="21"/>
                      <w:lang w:val="en-US" w:eastAsia="zh-CN" w:bidi="ar"/>
                    </w:rPr>
                  </w:pPr>
                  <w:r>
                    <w:rPr>
                      <w:rFonts w:hint="eastAsia" w:ascii="Times New Roman" w:hAnsi="Times New Roman" w:eastAsia="宋体"/>
                      <w:color w:val="auto"/>
                      <w:sz w:val="21"/>
                      <w:szCs w:val="21"/>
                    </w:rPr>
                    <w:t>本项目</w:t>
                  </w:r>
                  <w:r>
                    <w:rPr>
                      <w:rFonts w:hint="eastAsia" w:eastAsia="宋体"/>
                      <w:color w:val="auto"/>
                      <w:sz w:val="21"/>
                      <w:szCs w:val="21"/>
                      <w:lang w:val="en-US" w:eastAsia="zh-CN"/>
                    </w:rPr>
                    <w:t>不涉及</w:t>
                  </w:r>
                  <w:r>
                    <w:rPr>
                      <w:rFonts w:ascii="Times New Roman" w:hAnsi="Times New Roman" w:eastAsia="宋体"/>
                      <w:color w:val="auto"/>
                      <w:sz w:val="21"/>
                      <w:szCs w:val="21"/>
                    </w:rPr>
                    <w:t>挥发性有机物（VOCs）</w:t>
                  </w:r>
                  <w:r>
                    <w:rPr>
                      <w:rFonts w:hint="eastAsia" w:ascii="Times New Roman" w:hAnsi="Times New Roman" w:eastAsia="宋体"/>
                      <w:color w:val="auto"/>
                      <w:sz w:val="21"/>
                      <w:szCs w:val="21"/>
                      <w:lang w:val="en-US" w:eastAsia="zh-CN"/>
                    </w:rPr>
                    <w:t>产生及排放</w:t>
                  </w:r>
                </w:p>
              </w:tc>
              <w:tc>
                <w:tcPr>
                  <w:tcW w:w="535" w:type="pct"/>
                  <w:noWrap w:val="0"/>
                  <w:vAlign w:val="center"/>
                </w:tcPr>
                <w:p w14:paraId="684FDEE5">
                  <w:pPr>
                    <w:jc w:val="center"/>
                    <w:rPr>
                      <w:rFonts w:ascii="Times New Roman" w:hAnsi="Times New Roman" w:eastAsia="宋体"/>
                      <w:color w:val="auto"/>
                      <w:sz w:val="21"/>
                      <w:szCs w:val="21"/>
                      <w:lang w:bidi="ar"/>
                    </w:rPr>
                  </w:pPr>
                  <w:r>
                    <w:rPr>
                      <w:rFonts w:ascii="Times New Roman" w:hAnsi="Times New Roman" w:eastAsia="宋体"/>
                      <w:color w:val="auto"/>
                      <w:sz w:val="21"/>
                      <w:szCs w:val="21"/>
                      <w:lang w:bidi="ar"/>
                    </w:rPr>
                    <w:t>相符</w:t>
                  </w:r>
                </w:p>
              </w:tc>
            </w:tr>
            <w:tr w14:paraId="768E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37" w:type="pct"/>
                  <w:noWrap w:val="0"/>
                  <w:vAlign w:val="center"/>
                </w:tcPr>
                <w:p w14:paraId="06CAEF6A">
                  <w:pPr>
                    <w:jc w:val="center"/>
                    <w:rPr>
                      <w:rFonts w:hint="eastAsia" w:ascii="Times New Roman" w:hAnsi="Times New Roman" w:eastAsia="宋体"/>
                      <w:color w:val="auto"/>
                      <w:sz w:val="21"/>
                      <w:szCs w:val="21"/>
                      <w:lang w:val="en-US" w:eastAsia="zh-CN" w:bidi="ar"/>
                    </w:rPr>
                  </w:pPr>
                  <w:r>
                    <w:rPr>
                      <w:rFonts w:hint="eastAsia" w:ascii="Times New Roman" w:hAnsi="Times New Roman" w:eastAsia="宋体"/>
                      <w:color w:val="auto"/>
                      <w:sz w:val="21"/>
                      <w:szCs w:val="21"/>
                      <w:lang w:val="en-US" w:eastAsia="zh-CN" w:bidi="ar"/>
                    </w:rPr>
                    <w:t>4</w:t>
                  </w:r>
                </w:p>
              </w:tc>
              <w:tc>
                <w:tcPr>
                  <w:tcW w:w="2628" w:type="pct"/>
                  <w:noWrap w:val="0"/>
                  <w:vAlign w:val="center"/>
                </w:tcPr>
                <w:p w14:paraId="702CE0D3">
                  <w:pPr>
                    <w:adjustRightInd w:val="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开展柴油货车污染治理、工业炉窑整治、挥发性有机物综合治理、秋冬季大气污染综合治理攻坚专项行动，深入推进“散乱污”企业治理，基本淘汰 35 蒸吨/小时及以下燃煤锅炉</w:t>
                  </w:r>
                </w:p>
              </w:tc>
              <w:tc>
                <w:tcPr>
                  <w:tcW w:w="1497" w:type="pct"/>
                  <w:noWrap w:val="0"/>
                  <w:vAlign w:val="center"/>
                </w:tcPr>
                <w:p w14:paraId="4F3D9FCA">
                  <w:pPr>
                    <w:jc w:val="center"/>
                    <w:rPr>
                      <w:rFonts w:hint="default" w:ascii="Times New Roman" w:hAnsi="Times New Roman" w:eastAsia="宋体"/>
                      <w:color w:val="auto"/>
                      <w:sz w:val="21"/>
                      <w:szCs w:val="21"/>
                      <w:lang w:val="en-US"/>
                    </w:rPr>
                  </w:pPr>
                  <w:r>
                    <w:rPr>
                      <w:rFonts w:hint="default" w:ascii="Times New Roman" w:hAnsi="Times New Roman" w:eastAsia="宋体" w:cs="Times New Roman"/>
                      <w:color w:val="auto"/>
                      <w:sz w:val="21"/>
                      <w:szCs w:val="21"/>
                      <w:lang w:bidi="ar"/>
                    </w:rPr>
                    <w:t>本项目</w:t>
                  </w:r>
                  <w:r>
                    <w:rPr>
                      <w:rFonts w:hint="eastAsia" w:eastAsia="宋体" w:cs="Times New Roman"/>
                      <w:color w:val="auto"/>
                      <w:sz w:val="21"/>
                      <w:szCs w:val="21"/>
                      <w:lang w:val="en-US" w:eastAsia="zh-CN" w:bidi="ar"/>
                    </w:rPr>
                    <w:t>采用电加热，不涉及燃煤锅炉</w:t>
                  </w:r>
                </w:p>
              </w:tc>
              <w:tc>
                <w:tcPr>
                  <w:tcW w:w="535" w:type="pct"/>
                  <w:noWrap w:val="0"/>
                  <w:vAlign w:val="center"/>
                </w:tcPr>
                <w:p w14:paraId="4CD366B1">
                  <w:pPr>
                    <w:jc w:val="center"/>
                    <w:rPr>
                      <w:rFonts w:ascii="Times New Roman" w:hAnsi="Times New Roman" w:eastAsia="宋体"/>
                      <w:color w:val="auto"/>
                      <w:sz w:val="21"/>
                      <w:szCs w:val="21"/>
                      <w:lang w:bidi="ar"/>
                    </w:rPr>
                  </w:pPr>
                  <w:r>
                    <w:rPr>
                      <w:rFonts w:ascii="Times New Roman" w:hAnsi="Times New Roman" w:eastAsia="宋体"/>
                      <w:color w:val="auto"/>
                      <w:sz w:val="21"/>
                      <w:szCs w:val="21"/>
                      <w:lang w:bidi="ar"/>
                    </w:rPr>
                    <w:t>相符</w:t>
                  </w:r>
                </w:p>
              </w:tc>
            </w:tr>
            <w:tr w14:paraId="3F74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37" w:type="pct"/>
                  <w:noWrap w:val="0"/>
                  <w:vAlign w:val="center"/>
                </w:tcPr>
                <w:p w14:paraId="5C24F160">
                  <w:pPr>
                    <w:jc w:val="center"/>
                    <w:rPr>
                      <w:rFonts w:hint="eastAsia" w:ascii="Times New Roman" w:hAnsi="Times New Roman" w:eastAsia="宋体"/>
                      <w:color w:val="auto"/>
                      <w:sz w:val="21"/>
                      <w:szCs w:val="21"/>
                      <w:lang w:val="en-US" w:eastAsia="zh-CN" w:bidi="ar"/>
                    </w:rPr>
                  </w:pPr>
                  <w:r>
                    <w:rPr>
                      <w:rFonts w:hint="eastAsia" w:ascii="Times New Roman" w:hAnsi="Times New Roman" w:eastAsia="宋体"/>
                      <w:color w:val="auto"/>
                      <w:sz w:val="21"/>
                      <w:szCs w:val="21"/>
                      <w:lang w:val="en-US" w:eastAsia="zh-CN" w:bidi="ar"/>
                    </w:rPr>
                    <w:t>5</w:t>
                  </w:r>
                </w:p>
              </w:tc>
              <w:tc>
                <w:tcPr>
                  <w:tcW w:w="2628" w:type="pct"/>
                  <w:noWrap w:val="0"/>
                  <w:vAlign w:val="center"/>
                </w:tcPr>
                <w:p w14:paraId="0252759A">
                  <w:pPr>
                    <w:adjustRightInd w:val="0"/>
                    <w:snapToGrid w:val="0"/>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加快各级开发区实施集中供热和清洁能源替代，加大燃煤热电、燃煤锅炉淘汰力度，有条件地发展大型燃气供热锅炉。</w:t>
                  </w:r>
                </w:p>
              </w:tc>
              <w:tc>
                <w:tcPr>
                  <w:tcW w:w="1497" w:type="pct"/>
                  <w:noWrap w:val="0"/>
                  <w:vAlign w:val="center"/>
                </w:tcPr>
                <w:p w14:paraId="5D4F6F0E">
                  <w:pPr>
                    <w:jc w:val="center"/>
                    <w:rPr>
                      <w:rFonts w:hint="eastAsia" w:ascii="Times New Roman" w:hAnsi="Times New Roman" w:eastAsia="宋体"/>
                      <w:color w:val="auto"/>
                      <w:sz w:val="21"/>
                      <w:szCs w:val="21"/>
                    </w:rPr>
                  </w:pPr>
                  <w:r>
                    <w:rPr>
                      <w:rFonts w:hint="default" w:ascii="Times New Roman" w:hAnsi="Times New Roman" w:eastAsia="宋体" w:cs="Times New Roman"/>
                      <w:color w:val="auto"/>
                      <w:sz w:val="21"/>
                      <w:szCs w:val="21"/>
                      <w:lang w:bidi="ar"/>
                    </w:rPr>
                    <w:t>本项目</w:t>
                  </w:r>
                  <w:r>
                    <w:rPr>
                      <w:rFonts w:hint="eastAsia" w:eastAsia="宋体" w:cs="Times New Roman"/>
                      <w:color w:val="auto"/>
                      <w:sz w:val="21"/>
                      <w:szCs w:val="21"/>
                      <w:lang w:val="en-US" w:eastAsia="zh-CN" w:bidi="ar"/>
                    </w:rPr>
                    <w:t>采用电加热，不涉及燃煤锅炉</w:t>
                  </w:r>
                </w:p>
              </w:tc>
              <w:tc>
                <w:tcPr>
                  <w:tcW w:w="535" w:type="pct"/>
                  <w:noWrap w:val="0"/>
                  <w:vAlign w:val="center"/>
                </w:tcPr>
                <w:p w14:paraId="3D5C2111">
                  <w:pPr>
                    <w:jc w:val="center"/>
                    <w:rPr>
                      <w:rFonts w:ascii="Times New Roman" w:hAnsi="Times New Roman" w:eastAsia="宋体"/>
                      <w:color w:val="auto"/>
                      <w:sz w:val="21"/>
                      <w:szCs w:val="21"/>
                      <w:lang w:bidi="ar"/>
                    </w:rPr>
                  </w:pPr>
                  <w:r>
                    <w:rPr>
                      <w:rFonts w:ascii="Times New Roman" w:hAnsi="Times New Roman" w:eastAsia="宋体"/>
                      <w:color w:val="auto"/>
                      <w:sz w:val="21"/>
                      <w:szCs w:val="21"/>
                      <w:lang w:bidi="ar"/>
                    </w:rPr>
                    <w:t>相符</w:t>
                  </w:r>
                </w:p>
              </w:tc>
            </w:tr>
          </w:tbl>
          <w:p w14:paraId="39E5A208">
            <w:pPr>
              <w:keepNext w:val="0"/>
              <w:keepLines w:val="0"/>
              <w:pageBreakBefore w:val="0"/>
              <w:widowControl w:val="0"/>
              <w:kinsoku/>
              <w:wordWrap/>
              <w:overflowPunct/>
              <w:topLinePunct w:val="0"/>
              <w:autoSpaceDE w:val="0"/>
              <w:autoSpaceDN w:val="0"/>
              <w:bidi w:val="0"/>
              <w:adjustRightInd w:val="0"/>
              <w:snapToGrid w:val="0"/>
              <w:spacing w:before="156" w:beforeLines="50" w:line="360" w:lineRule="auto"/>
              <w:ind w:firstLine="482" w:firstLineChars="200"/>
              <w:textAlignment w:val="auto"/>
              <w:rPr>
                <w:rFonts w:hint="default" w:ascii="Times New Roman" w:hAnsi="Times New Roman" w:cs="Times New Roman"/>
                <w:b/>
                <w:color w:val="auto"/>
                <w:kern w:val="0"/>
                <w:sz w:val="24"/>
                <w:szCs w:val="24"/>
              </w:rPr>
            </w:pPr>
            <w:r>
              <w:rPr>
                <w:rFonts w:hint="eastAsia" w:cs="Times New Roman"/>
                <w:b/>
                <w:color w:val="auto"/>
                <w:sz w:val="24"/>
                <w:szCs w:val="24"/>
                <w:lang w:val="en-US" w:eastAsia="zh-CN"/>
              </w:rPr>
              <w:t>2</w:t>
            </w:r>
            <w:r>
              <w:rPr>
                <w:rFonts w:hint="default" w:ascii="Times New Roman" w:hAnsi="Times New Roman" w:cs="Times New Roman"/>
                <w:b/>
                <w:color w:val="auto"/>
                <w:sz w:val="24"/>
                <w:szCs w:val="24"/>
              </w:rPr>
              <w:t>、</w:t>
            </w:r>
            <w:r>
              <w:rPr>
                <w:rFonts w:hint="default" w:ascii="Times New Roman" w:hAnsi="Times New Roman" w:cs="Times New Roman"/>
                <w:b/>
                <w:color w:val="auto"/>
                <w:kern w:val="0"/>
                <w:sz w:val="24"/>
                <w:szCs w:val="24"/>
              </w:rPr>
              <w:t>与《宿州市“十四五”生态环境保护规划（宿环委会【2022】2号）》的相符性</w:t>
            </w:r>
          </w:p>
          <w:p w14:paraId="29F51C94">
            <w:pPr>
              <w:pStyle w:val="76"/>
              <w:ind w:firstLine="0" w:firstLineChars="0"/>
              <w:jc w:val="center"/>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表1</w:t>
            </w:r>
            <w:r>
              <w:rPr>
                <w:rFonts w:hint="default" w:ascii="Times New Roman" w:hAnsi="Times New Roman" w:cs="Times New Roman"/>
                <w:b/>
                <w:color w:val="auto"/>
                <w:sz w:val="24"/>
                <w:szCs w:val="24"/>
                <w:lang w:val="en-US" w:eastAsia="zh-CN"/>
              </w:rPr>
              <w:t>-</w:t>
            </w:r>
            <w:r>
              <w:rPr>
                <w:rFonts w:hint="eastAsia" w:cs="Times New Roman"/>
                <w:b/>
                <w:color w:val="auto"/>
                <w:sz w:val="24"/>
                <w:szCs w:val="24"/>
                <w:lang w:val="en-US" w:eastAsia="zh-CN"/>
              </w:rPr>
              <w:t>6</w:t>
            </w:r>
            <w:r>
              <w:rPr>
                <w:rFonts w:hint="default" w:ascii="Times New Roman" w:hAnsi="Times New Roman" w:cs="Times New Roman"/>
                <w:b/>
                <w:color w:val="auto"/>
                <w:sz w:val="24"/>
                <w:szCs w:val="24"/>
                <w:lang w:val="en-US"/>
              </w:rPr>
              <w:t xml:space="preserve"> 与《宿州市“十四五”生态环境保护规划》符合性分析一览表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3052"/>
              <w:gridCol w:w="1604"/>
              <w:gridCol w:w="898"/>
            </w:tblGrid>
            <w:tr w14:paraId="551F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5" w:type="pct"/>
                  <w:noWrap w:val="0"/>
                  <w:vAlign w:val="center"/>
                </w:tcPr>
                <w:p w14:paraId="267C9BE3">
                  <w:pPr>
                    <w:jc w:val="center"/>
                    <w:rPr>
                      <w:rFonts w:hint="default" w:ascii="Times New Roman" w:hAnsi="Times New Roman" w:eastAsia="宋体" w:cs="Times New Roman"/>
                      <w:b/>
                      <w:bCs/>
                      <w:color w:val="auto"/>
                      <w:sz w:val="21"/>
                      <w:szCs w:val="21"/>
                      <w:lang w:bidi="ar"/>
                    </w:rPr>
                  </w:pPr>
                  <w:r>
                    <w:rPr>
                      <w:rFonts w:hint="default" w:ascii="Times New Roman" w:hAnsi="Times New Roman" w:eastAsia="宋体" w:cs="Times New Roman"/>
                      <w:b/>
                      <w:bCs/>
                      <w:color w:val="auto"/>
                      <w:sz w:val="21"/>
                      <w:szCs w:val="21"/>
                      <w:lang w:bidi="ar"/>
                    </w:rPr>
                    <w:t>序号</w:t>
                  </w:r>
                </w:p>
              </w:tc>
              <w:tc>
                <w:tcPr>
                  <w:tcW w:w="2437" w:type="pct"/>
                  <w:noWrap w:val="0"/>
                  <w:vAlign w:val="center"/>
                </w:tcPr>
                <w:p w14:paraId="2915617D">
                  <w:pPr>
                    <w:jc w:val="center"/>
                    <w:rPr>
                      <w:rFonts w:hint="default" w:ascii="Times New Roman" w:hAnsi="Times New Roman" w:eastAsia="宋体" w:cs="Times New Roman"/>
                      <w:b/>
                      <w:bCs/>
                      <w:color w:val="auto"/>
                      <w:sz w:val="21"/>
                      <w:szCs w:val="21"/>
                      <w:lang w:bidi="ar"/>
                    </w:rPr>
                  </w:pPr>
                  <w:r>
                    <w:rPr>
                      <w:rFonts w:hint="default" w:ascii="Times New Roman" w:hAnsi="Times New Roman" w:eastAsia="宋体" w:cs="Times New Roman"/>
                      <w:b/>
                      <w:bCs/>
                      <w:color w:val="auto"/>
                      <w:sz w:val="21"/>
                      <w:szCs w:val="21"/>
                      <w:lang w:bidi="ar"/>
                    </w:rPr>
                    <w:t>方案内容</w:t>
                  </w:r>
                </w:p>
              </w:tc>
              <w:tc>
                <w:tcPr>
                  <w:tcW w:w="1281" w:type="pct"/>
                  <w:noWrap w:val="0"/>
                  <w:vAlign w:val="center"/>
                </w:tcPr>
                <w:p w14:paraId="4A7D9FCA">
                  <w:pPr>
                    <w:jc w:val="center"/>
                    <w:rPr>
                      <w:rFonts w:hint="default" w:ascii="Times New Roman" w:hAnsi="Times New Roman" w:eastAsia="宋体" w:cs="Times New Roman"/>
                      <w:b/>
                      <w:bCs/>
                      <w:color w:val="auto"/>
                      <w:sz w:val="21"/>
                      <w:szCs w:val="21"/>
                      <w:lang w:bidi="ar"/>
                    </w:rPr>
                  </w:pPr>
                  <w:r>
                    <w:rPr>
                      <w:rFonts w:hint="default" w:ascii="Times New Roman" w:hAnsi="Times New Roman" w:eastAsia="宋体" w:cs="Times New Roman"/>
                      <w:b/>
                      <w:bCs/>
                      <w:color w:val="auto"/>
                      <w:sz w:val="21"/>
                      <w:szCs w:val="21"/>
                      <w:lang w:bidi="ar"/>
                    </w:rPr>
                    <w:t>项目情况</w:t>
                  </w:r>
                </w:p>
              </w:tc>
              <w:tc>
                <w:tcPr>
                  <w:tcW w:w="717" w:type="pct"/>
                  <w:noWrap w:val="0"/>
                  <w:vAlign w:val="center"/>
                </w:tcPr>
                <w:p w14:paraId="33F8A0AB">
                  <w:pPr>
                    <w:jc w:val="center"/>
                    <w:rPr>
                      <w:rFonts w:hint="default" w:ascii="Times New Roman" w:hAnsi="Times New Roman" w:eastAsia="宋体" w:cs="Times New Roman"/>
                      <w:b/>
                      <w:bCs/>
                      <w:color w:val="auto"/>
                      <w:sz w:val="21"/>
                      <w:szCs w:val="21"/>
                      <w:lang w:bidi="ar"/>
                    </w:rPr>
                  </w:pPr>
                  <w:r>
                    <w:rPr>
                      <w:rFonts w:hint="default" w:ascii="Times New Roman" w:hAnsi="Times New Roman" w:eastAsia="宋体" w:cs="Times New Roman"/>
                      <w:b/>
                      <w:bCs/>
                      <w:color w:val="auto"/>
                      <w:sz w:val="21"/>
                      <w:szCs w:val="21"/>
                      <w:lang w:bidi="ar"/>
                    </w:rPr>
                    <w:t>相符性</w:t>
                  </w:r>
                </w:p>
              </w:tc>
            </w:tr>
            <w:tr w14:paraId="5CC4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5" w:type="pct"/>
                  <w:noWrap w:val="0"/>
                  <w:vAlign w:val="center"/>
                </w:tcPr>
                <w:p w14:paraId="78E2DF37">
                  <w:pPr>
                    <w:jc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1</w:t>
                  </w:r>
                </w:p>
              </w:tc>
              <w:tc>
                <w:tcPr>
                  <w:tcW w:w="2437" w:type="pct"/>
                  <w:noWrap w:val="0"/>
                  <w:vAlign w:val="center"/>
                </w:tcPr>
                <w:p w14:paraId="709D62FD">
                  <w:pPr>
                    <w:autoSpaceDE w:val="0"/>
                    <w:autoSpaceDN w:val="0"/>
                    <w:adjustRightInd w:val="0"/>
                    <w:jc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强化重点行业企业综合治理。加强重点行业脱硫脱硝、除尘设施运行监管，持续开展水泥、制药等重点行业废气排放提标改造，鼓励企业实施超低排放改造，推广多污染物协同控制技术。</w:t>
                  </w:r>
                </w:p>
                <w:p w14:paraId="466EDD6C">
                  <w:pPr>
                    <w:autoSpaceDE w:val="0"/>
                    <w:autoSpaceDN w:val="0"/>
                    <w:adjustRightInd w:val="0"/>
                    <w:jc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深入开展锅炉、炉窑综合整治。实施重点涉工业炉窑企业深度治理或清洁能源替代，完成65蒸吨及以上燃煤锅炉节能改造。持续开展散煤污染治理行动，严格查处非法销售、使用非清洁散煤等行为</w:t>
                  </w:r>
                </w:p>
              </w:tc>
              <w:tc>
                <w:tcPr>
                  <w:tcW w:w="1281" w:type="pct"/>
                  <w:noWrap w:val="0"/>
                  <w:vAlign w:val="center"/>
                </w:tcPr>
                <w:p w14:paraId="036DA6C0">
                  <w:pPr>
                    <w:jc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本项目为</w:t>
                  </w:r>
                  <w:r>
                    <w:rPr>
                      <w:rFonts w:hint="default" w:ascii="Times New Roman" w:hAnsi="Times New Roman" w:cs="Times New Roman"/>
                      <w:color w:val="auto"/>
                      <w:sz w:val="21"/>
                      <w:szCs w:val="21"/>
                      <w:lang w:eastAsia="zh-CN"/>
                    </w:rPr>
                    <w:t>C1495食品及饲料添加剂制造</w:t>
                  </w:r>
                  <w:r>
                    <w:rPr>
                      <w:rFonts w:hint="default" w:ascii="Times New Roman" w:hAnsi="Times New Roman" w:eastAsia="宋体" w:cs="Times New Roman"/>
                      <w:color w:val="auto"/>
                      <w:sz w:val="21"/>
                      <w:szCs w:val="21"/>
                      <w:lang w:bidi="ar"/>
                    </w:rPr>
                    <w:t>，不属于上述行业，本项目</w:t>
                  </w:r>
                  <w:r>
                    <w:rPr>
                      <w:rFonts w:hint="eastAsia" w:eastAsia="宋体" w:cs="Times New Roman"/>
                      <w:color w:val="auto"/>
                      <w:sz w:val="21"/>
                      <w:szCs w:val="21"/>
                      <w:lang w:val="en-US" w:eastAsia="zh-CN" w:bidi="ar"/>
                    </w:rPr>
                    <w:t>采用电加热，不涉及燃煤锅炉</w:t>
                  </w:r>
                </w:p>
              </w:tc>
              <w:tc>
                <w:tcPr>
                  <w:tcW w:w="717" w:type="pct"/>
                  <w:noWrap w:val="0"/>
                  <w:vAlign w:val="center"/>
                </w:tcPr>
                <w:p w14:paraId="339D60F6">
                  <w:pPr>
                    <w:jc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相符</w:t>
                  </w:r>
                </w:p>
              </w:tc>
            </w:tr>
            <w:tr w14:paraId="4101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5" w:type="pct"/>
                  <w:noWrap w:val="0"/>
                  <w:vAlign w:val="center"/>
                </w:tcPr>
                <w:p w14:paraId="451D4631">
                  <w:pPr>
                    <w:jc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2</w:t>
                  </w:r>
                </w:p>
              </w:tc>
              <w:tc>
                <w:tcPr>
                  <w:tcW w:w="2437" w:type="pct"/>
                  <w:noWrap w:val="0"/>
                  <w:vAlign w:val="center"/>
                </w:tcPr>
                <w:p w14:paraId="6E3380D3">
                  <w:pPr>
                    <w:autoSpaceDE w:val="0"/>
                    <w:autoSpaceDN w:val="0"/>
                    <w:adjustRightInd w:val="0"/>
                    <w:jc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加强源头管控。严格落实国家和地方产品的VOCs（挥发性有机污染物）含量限值标准，优先推行生产和使用低VOCs原辅材料。鼓励加快低VOCs含量涂料、油墨、胶粘剂等研发和生产，通过低VOCs含量的涂料、油墨、胶粘剂、清洗剂等替代，减少VOCs产生。加大低VOCs含量产品的推广利用力度。将全面生产、使用符合国家要求的低VOCs含量原辅材料的企业纳入正面清单。引导将使用低VOCs含量涂料、胶粘剂等纳入政府采购装修合同环保条款</w:t>
                  </w:r>
                </w:p>
              </w:tc>
              <w:tc>
                <w:tcPr>
                  <w:tcW w:w="1281" w:type="pct"/>
                  <w:noWrap w:val="0"/>
                  <w:vAlign w:val="center"/>
                </w:tcPr>
                <w:p w14:paraId="30723E48">
                  <w:pPr>
                    <w:jc w:val="center"/>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color w:val="auto"/>
                      <w:sz w:val="21"/>
                      <w:szCs w:val="21"/>
                      <w:lang w:bidi="ar"/>
                    </w:rPr>
                    <w:t>本项目为</w:t>
                  </w:r>
                  <w:r>
                    <w:rPr>
                      <w:rFonts w:hint="default" w:ascii="Times New Roman" w:hAnsi="Times New Roman" w:cs="Times New Roman"/>
                      <w:color w:val="auto"/>
                      <w:sz w:val="21"/>
                      <w:szCs w:val="21"/>
                      <w:lang w:eastAsia="zh-CN"/>
                    </w:rPr>
                    <w:t>C1495食品及饲料添加剂制造</w:t>
                  </w:r>
                  <w:r>
                    <w:rPr>
                      <w:rFonts w:hint="default" w:ascii="Times New Roman" w:hAnsi="Times New Roman" w:eastAsia="宋体" w:cs="Times New Roman"/>
                      <w:color w:val="auto"/>
                      <w:sz w:val="21"/>
                      <w:szCs w:val="21"/>
                      <w:lang w:bidi="ar"/>
                    </w:rPr>
                    <w:t>，</w:t>
                  </w:r>
                  <w:r>
                    <w:rPr>
                      <w:rFonts w:hint="eastAsia" w:cs="Times New Roman"/>
                      <w:color w:val="auto"/>
                      <w:sz w:val="21"/>
                      <w:szCs w:val="21"/>
                      <w:lang w:val="en-US" w:eastAsia="zh-CN" w:bidi="ar"/>
                    </w:rPr>
                    <w:t>不使用</w:t>
                  </w:r>
                  <w:r>
                    <w:rPr>
                      <w:rFonts w:hint="default" w:ascii="Times New Roman" w:hAnsi="Times New Roman" w:eastAsia="宋体" w:cs="Times New Roman"/>
                      <w:color w:val="auto"/>
                      <w:kern w:val="0"/>
                      <w:sz w:val="21"/>
                      <w:szCs w:val="21"/>
                      <w:lang w:bidi="ar"/>
                    </w:rPr>
                    <w:t>涂料、油墨、胶粘剂</w:t>
                  </w:r>
                  <w:r>
                    <w:rPr>
                      <w:rFonts w:hint="eastAsia" w:ascii="Times New Roman" w:hAnsi="Times New Roman" w:eastAsia="宋体" w:cs="Times New Roman"/>
                      <w:color w:val="auto"/>
                      <w:kern w:val="0"/>
                      <w:sz w:val="21"/>
                      <w:szCs w:val="21"/>
                      <w:lang w:val="en-US" w:eastAsia="zh-CN" w:bidi="ar"/>
                    </w:rPr>
                    <w:t>等</w:t>
                  </w:r>
                  <w:r>
                    <w:rPr>
                      <w:rFonts w:hint="default" w:ascii="Times New Roman" w:hAnsi="Times New Roman" w:eastAsia="宋体" w:cs="Times New Roman"/>
                      <w:color w:val="auto"/>
                      <w:kern w:val="0"/>
                      <w:sz w:val="21"/>
                      <w:szCs w:val="21"/>
                      <w:lang w:bidi="ar"/>
                    </w:rPr>
                    <w:t>VOCs原辅材料</w:t>
                  </w:r>
                </w:p>
              </w:tc>
              <w:tc>
                <w:tcPr>
                  <w:tcW w:w="717" w:type="pct"/>
                  <w:noWrap w:val="0"/>
                  <w:vAlign w:val="center"/>
                </w:tcPr>
                <w:p w14:paraId="26E35128">
                  <w:pPr>
                    <w:jc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相符</w:t>
                  </w:r>
                </w:p>
              </w:tc>
            </w:tr>
          </w:tbl>
          <w:p w14:paraId="62342F20">
            <w:pPr>
              <w:keepNext w:val="0"/>
              <w:keepLines w:val="0"/>
              <w:pageBreakBefore w:val="0"/>
              <w:widowControl w:val="0"/>
              <w:kinsoku/>
              <w:wordWrap/>
              <w:overflowPunct/>
              <w:topLinePunct w:val="0"/>
              <w:autoSpaceDE/>
              <w:autoSpaceDN/>
              <w:bidi w:val="0"/>
              <w:adjustRightInd w:val="0"/>
              <w:snapToGrid w:val="0"/>
              <w:spacing w:before="120" w:beforeLines="50" w:line="360" w:lineRule="auto"/>
              <w:ind w:firstLine="482" w:firstLineChars="200"/>
              <w:textAlignment w:val="auto"/>
              <w:rPr>
                <w:rFonts w:hint="default" w:ascii="Times New Roman" w:hAnsi="Times New Roman" w:eastAsia="宋体" w:cs="Times New Roman"/>
                <w:b/>
                <w:bCs/>
                <w:color w:val="auto"/>
                <w:kern w:val="2"/>
                <w:sz w:val="24"/>
                <w:szCs w:val="24"/>
                <w:lang w:val="en-US" w:eastAsia="zh-CN" w:bidi="ar-SA"/>
              </w:rPr>
            </w:pPr>
            <w:r>
              <w:rPr>
                <w:rFonts w:hint="eastAsia" w:eastAsia="宋体" w:cs="Times New Roman"/>
                <w:b/>
                <w:bCs/>
                <w:color w:val="auto"/>
                <w:kern w:val="2"/>
                <w:sz w:val="24"/>
                <w:szCs w:val="24"/>
                <w:lang w:val="en-US" w:eastAsia="zh-CN" w:bidi="ar-SA"/>
              </w:rPr>
              <w:t>3</w:t>
            </w:r>
            <w:r>
              <w:rPr>
                <w:rFonts w:hint="default" w:ascii="Times New Roman" w:hAnsi="Times New Roman" w:eastAsia="宋体" w:cs="Times New Roman"/>
                <w:b/>
                <w:bCs/>
                <w:color w:val="auto"/>
                <w:kern w:val="2"/>
                <w:sz w:val="24"/>
                <w:szCs w:val="24"/>
                <w:lang w:val="en-US" w:eastAsia="zh-CN" w:bidi="ar-SA"/>
              </w:rPr>
              <w:t>、与《宿州市人民政府办公室关于印发宿州市2024-2025 年空气质量提升攻坚行动方案的通知》的相符性分析</w:t>
            </w:r>
          </w:p>
          <w:p w14:paraId="026B2AC8">
            <w:pPr>
              <w:jc w:val="center"/>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表1</w:t>
            </w:r>
            <w:r>
              <w:rPr>
                <w:rFonts w:hint="default" w:ascii="Times New Roman" w:hAnsi="Times New Roman" w:cs="Times New Roman"/>
                <w:b/>
                <w:bCs/>
                <w:color w:val="auto"/>
                <w:sz w:val="24"/>
                <w:szCs w:val="24"/>
                <w:lang w:val="en-US" w:eastAsia="zh-CN"/>
              </w:rPr>
              <w:t>-</w:t>
            </w:r>
            <w:r>
              <w:rPr>
                <w:rFonts w:hint="eastAsia" w:cs="Times New Roman"/>
                <w:b/>
                <w:bCs/>
                <w:color w:val="auto"/>
                <w:sz w:val="24"/>
                <w:szCs w:val="24"/>
                <w:lang w:val="en-US" w:eastAsia="zh-CN"/>
              </w:rPr>
              <w:t>7</w:t>
            </w:r>
            <w:r>
              <w:rPr>
                <w:rFonts w:hint="default" w:ascii="Times New Roman" w:hAnsi="Times New Roman" w:cs="Times New Roman"/>
                <w:b/>
                <w:bCs/>
                <w:color w:val="auto"/>
                <w:sz w:val="24"/>
                <w:szCs w:val="24"/>
              </w:rPr>
              <w:t xml:space="preserve"> 与《宿州市人民政府办公室关于印发宿州市2024-2025 年空气质量提升攻坚行动方案的通知》相符性分析</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3224"/>
              <w:gridCol w:w="1494"/>
              <w:gridCol w:w="872"/>
            </w:tblGrid>
            <w:tr w14:paraId="62F0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noWrap w:val="0"/>
                  <w:vAlign w:val="center"/>
                </w:tcPr>
                <w:p w14:paraId="02053A18">
                  <w:pPr>
                    <w:jc w:val="center"/>
                    <w:rPr>
                      <w:rFonts w:hint="default" w:ascii="Times New Roman" w:hAnsi="Times New Roman" w:cs="Times New Roman"/>
                      <w:b/>
                      <w:bCs/>
                      <w:color w:val="auto"/>
                    </w:rPr>
                  </w:pPr>
                  <w:r>
                    <w:rPr>
                      <w:rFonts w:hint="default" w:ascii="Times New Roman" w:hAnsi="Times New Roman" w:cs="Times New Roman"/>
                      <w:b/>
                      <w:bCs/>
                      <w:color w:val="auto"/>
                      <w:sz w:val="21"/>
                      <w:szCs w:val="21"/>
                    </w:rPr>
                    <w:t>序号</w:t>
                  </w:r>
                </w:p>
              </w:tc>
              <w:tc>
                <w:tcPr>
                  <w:tcW w:w="2573" w:type="pct"/>
                  <w:noWrap w:val="0"/>
                  <w:vAlign w:val="center"/>
                </w:tcPr>
                <w:p w14:paraId="1CF82D2D">
                  <w:pPr>
                    <w:jc w:val="center"/>
                    <w:rPr>
                      <w:rFonts w:hint="default" w:ascii="Times New Roman" w:hAnsi="Times New Roman" w:cs="Times New Roman"/>
                      <w:b/>
                      <w:bCs/>
                      <w:color w:val="auto"/>
                    </w:rPr>
                  </w:pPr>
                  <w:r>
                    <w:rPr>
                      <w:rFonts w:hint="default" w:ascii="Times New Roman" w:hAnsi="Times New Roman" w:cs="Times New Roman"/>
                      <w:b/>
                      <w:bCs/>
                      <w:color w:val="auto"/>
                      <w:sz w:val="21"/>
                      <w:szCs w:val="21"/>
                      <w:lang w:bidi="ar"/>
                    </w:rPr>
                    <w:t>方案内容</w:t>
                  </w:r>
                </w:p>
              </w:tc>
              <w:tc>
                <w:tcPr>
                  <w:tcW w:w="1192" w:type="pct"/>
                  <w:noWrap w:val="0"/>
                  <w:vAlign w:val="center"/>
                </w:tcPr>
                <w:p w14:paraId="7CAF1EDC">
                  <w:pPr>
                    <w:jc w:val="center"/>
                    <w:rPr>
                      <w:rFonts w:hint="default" w:ascii="Times New Roman" w:hAnsi="Times New Roman" w:cs="Times New Roman"/>
                      <w:b/>
                      <w:bCs/>
                      <w:color w:val="auto"/>
                    </w:rPr>
                  </w:pPr>
                  <w:r>
                    <w:rPr>
                      <w:rFonts w:hint="default" w:ascii="Times New Roman" w:hAnsi="Times New Roman" w:cs="Times New Roman"/>
                      <w:b/>
                      <w:bCs/>
                      <w:color w:val="auto"/>
                      <w:sz w:val="21"/>
                      <w:szCs w:val="21"/>
                    </w:rPr>
                    <w:t>项目情况</w:t>
                  </w:r>
                </w:p>
              </w:tc>
              <w:tc>
                <w:tcPr>
                  <w:tcW w:w="696" w:type="pct"/>
                  <w:noWrap w:val="0"/>
                  <w:vAlign w:val="center"/>
                </w:tcPr>
                <w:p w14:paraId="3A51403C">
                  <w:pPr>
                    <w:jc w:val="center"/>
                    <w:rPr>
                      <w:rFonts w:hint="default" w:ascii="Times New Roman" w:hAnsi="Times New Roman" w:cs="Times New Roman"/>
                      <w:b/>
                      <w:bCs/>
                      <w:color w:val="auto"/>
                    </w:rPr>
                  </w:pPr>
                  <w:r>
                    <w:rPr>
                      <w:rFonts w:hint="default" w:ascii="Times New Roman" w:hAnsi="Times New Roman" w:cs="Times New Roman"/>
                      <w:b/>
                      <w:bCs/>
                      <w:color w:val="auto"/>
                      <w:sz w:val="21"/>
                      <w:szCs w:val="21"/>
                    </w:rPr>
                    <w:t>相符性</w:t>
                  </w:r>
                </w:p>
              </w:tc>
            </w:tr>
            <w:tr w14:paraId="37DA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noWrap w:val="0"/>
                  <w:vAlign w:val="center"/>
                </w:tcPr>
                <w:p w14:paraId="42474372">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2573" w:type="pct"/>
                  <w:noWrap w:val="0"/>
                  <w:vAlign w:val="center"/>
                </w:tcPr>
                <w:p w14:paraId="18ED88EB">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坚决遏制“两高”项目盲目发展。对水泥、陶瓷等“两高项目动态监控，严格落实错峰生产和重污染天气应急管理措施；实施排污权储备管理，对没有倍量替代的县（区）、市管各园区新建项目，不予总量审批。</w:t>
                  </w:r>
                </w:p>
              </w:tc>
              <w:tc>
                <w:tcPr>
                  <w:tcW w:w="1192" w:type="pct"/>
                  <w:noWrap w:val="0"/>
                  <w:vAlign w:val="center"/>
                </w:tcPr>
                <w:p w14:paraId="155CAC18">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bidi="ar"/>
                    </w:rPr>
                    <w:t>本项目为</w:t>
                  </w:r>
                  <w:r>
                    <w:rPr>
                      <w:rFonts w:hint="default" w:ascii="Times New Roman" w:hAnsi="Times New Roman" w:cs="Times New Roman"/>
                      <w:color w:val="auto"/>
                      <w:kern w:val="0"/>
                      <w:sz w:val="21"/>
                      <w:szCs w:val="21"/>
                      <w:lang w:eastAsia="zh-CN"/>
                    </w:rPr>
                    <w:t>C1495食品及饲料添加剂制造</w:t>
                  </w:r>
                  <w:r>
                    <w:rPr>
                      <w:rFonts w:hint="default" w:ascii="Times New Roman" w:hAnsi="Times New Roman" w:cs="Times New Roman"/>
                      <w:color w:val="auto"/>
                      <w:sz w:val="21"/>
                      <w:szCs w:val="21"/>
                      <w:lang w:bidi="ar"/>
                    </w:rPr>
                    <w:t>，不属于“两高”行业。</w:t>
                  </w:r>
                  <w:r>
                    <w:rPr>
                      <w:rFonts w:hint="eastAsia" w:cs="Times New Roman"/>
                      <w:color w:val="auto"/>
                      <w:sz w:val="21"/>
                      <w:szCs w:val="21"/>
                      <w:lang w:val="en-US" w:eastAsia="zh-CN" w:bidi="ar"/>
                    </w:rPr>
                    <w:t>项目废气不涉及总量申请</w:t>
                  </w:r>
                </w:p>
              </w:tc>
              <w:tc>
                <w:tcPr>
                  <w:tcW w:w="696" w:type="pct"/>
                  <w:noWrap w:val="0"/>
                  <w:vAlign w:val="center"/>
                </w:tcPr>
                <w:p w14:paraId="484C1F7F">
                  <w:pPr>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相符</w:t>
                  </w:r>
                </w:p>
              </w:tc>
            </w:tr>
            <w:tr w14:paraId="651C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noWrap w:val="0"/>
                  <w:vAlign w:val="center"/>
                </w:tcPr>
                <w:p w14:paraId="162CB6B6">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2573" w:type="pct"/>
                  <w:noWrap w:val="0"/>
                  <w:vAlign w:val="center"/>
                </w:tcPr>
                <w:p w14:paraId="42C2B012">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开展“散乱污”企业整治回头看专项行动。全面排查塑料加工、人造板、木材加工、家具制造、合成革、包装印刷、石材加工、煤和矸石破碎加工（含煤球等）、粮食饲料加工、中药材加工、不规范搅拌站、汽车维修（抛光、打磨）、黑色和有色金属熔炼加工、陶瓷烧制、砖瓦窑等涉气“散乱污”企业，实施清单管理，动态清零，依法依规限期退出，推动相关产业转型升级。</w:t>
                  </w:r>
                </w:p>
              </w:tc>
              <w:tc>
                <w:tcPr>
                  <w:tcW w:w="1192" w:type="pct"/>
                  <w:noWrap w:val="0"/>
                  <w:vAlign w:val="center"/>
                </w:tcPr>
                <w:p w14:paraId="0842389C">
                  <w:pPr>
                    <w:jc w:val="center"/>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lang w:bidi="ar"/>
                    </w:rPr>
                    <w:t>项目位于泗县虹城街道长三角绿色食品产业园，不属于“散乱污”企业</w:t>
                  </w:r>
                </w:p>
              </w:tc>
              <w:tc>
                <w:tcPr>
                  <w:tcW w:w="696" w:type="pct"/>
                  <w:noWrap w:val="0"/>
                  <w:vAlign w:val="center"/>
                </w:tcPr>
                <w:p w14:paraId="0CB8E3CC">
                  <w:pPr>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相符</w:t>
                  </w:r>
                </w:p>
              </w:tc>
            </w:tr>
            <w:tr w14:paraId="73BB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noWrap w:val="0"/>
                  <w:vAlign w:val="center"/>
                </w:tcPr>
                <w:p w14:paraId="46339A6C">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2573" w:type="pct"/>
                  <w:noWrap w:val="0"/>
                  <w:vAlign w:val="center"/>
                </w:tcPr>
                <w:p w14:paraId="0A6FE7F5">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强化挥发性有机物深度治理。大力推动家具制造、板材加工、化工等涉挥发性有机物工业源重点行业全过程治理。实施低挥发性有机物含量原辅材料和产品源头替代工程，强化包装印刷、工业涂装、油品储运销等行业挥发性有机物收集效率，淘汰低效治理设施。加快推进采用单一低温等离子、光氧化、光催化以及非水溶性 VOCs 废气采用单一喷淋吸收等治理技术且无法稳定达标的治理设施升级改造。持续开展挥发性有机物无组织排放问题排查整治。到 2025 年底，完成“十四五”挥发性有机物的减排目标任务。</w:t>
                  </w:r>
                </w:p>
              </w:tc>
              <w:tc>
                <w:tcPr>
                  <w:tcW w:w="1192" w:type="pct"/>
                  <w:noWrap w:val="0"/>
                  <w:vAlign w:val="center"/>
                </w:tcPr>
                <w:p w14:paraId="41D27FAD">
                  <w:pPr>
                    <w:jc w:val="center"/>
                    <w:rPr>
                      <w:rFonts w:hint="default" w:ascii="Times New Roman" w:hAnsi="Times New Roman" w:cs="Times New Roman"/>
                      <w:color w:val="auto"/>
                      <w:sz w:val="21"/>
                      <w:szCs w:val="21"/>
                    </w:rPr>
                  </w:pPr>
                  <w:r>
                    <w:rPr>
                      <w:rFonts w:hint="eastAsia" w:ascii="Times New Roman" w:hAnsi="Times New Roman" w:eastAsia="宋体"/>
                      <w:color w:val="auto"/>
                      <w:sz w:val="21"/>
                      <w:szCs w:val="21"/>
                    </w:rPr>
                    <w:t>本项目</w:t>
                  </w:r>
                  <w:r>
                    <w:rPr>
                      <w:rFonts w:hint="eastAsia" w:eastAsia="宋体"/>
                      <w:color w:val="auto"/>
                      <w:sz w:val="21"/>
                      <w:szCs w:val="21"/>
                      <w:lang w:val="en-US" w:eastAsia="zh-CN"/>
                    </w:rPr>
                    <w:t>不涉及</w:t>
                  </w:r>
                  <w:r>
                    <w:rPr>
                      <w:rFonts w:ascii="Times New Roman" w:hAnsi="Times New Roman" w:eastAsia="宋体"/>
                      <w:color w:val="auto"/>
                      <w:sz w:val="21"/>
                      <w:szCs w:val="21"/>
                    </w:rPr>
                    <w:t>挥发性有机物（VOCs）</w:t>
                  </w:r>
                  <w:r>
                    <w:rPr>
                      <w:rFonts w:hint="eastAsia" w:ascii="Times New Roman" w:hAnsi="Times New Roman" w:eastAsia="宋体"/>
                      <w:color w:val="auto"/>
                      <w:sz w:val="21"/>
                      <w:szCs w:val="21"/>
                      <w:lang w:val="en-US" w:eastAsia="zh-CN"/>
                    </w:rPr>
                    <w:t>产生及排放</w:t>
                  </w:r>
                </w:p>
              </w:tc>
              <w:tc>
                <w:tcPr>
                  <w:tcW w:w="696" w:type="pct"/>
                  <w:noWrap w:val="0"/>
                  <w:vAlign w:val="center"/>
                </w:tcPr>
                <w:p w14:paraId="4D4DB27B">
                  <w:pPr>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相符</w:t>
                  </w:r>
                </w:p>
              </w:tc>
            </w:tr>
            <w:tr w14:paraId="4DFA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noWrap w:val="0"/>
                  <w:vAlign w:val="center"/>
                </w:tcPr>
                <w:p w14:paraId="39AF4AF5">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w:t>
                  </w:r>
                </w:p>
              </w:tc>
              <w:tc>
                <w:tcPr>
                  <w:tcW w:w="2573" w:type="pct"/>
                  <w:noWrap w:val="0"/>
                  <w:vAlign w:val="center"/>
                </w:tcPr>
                <w:p w14:paraId="4176886D">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加快传统产业改造提升。全面推进水泥行业及生物质发电行业生物质锅炉超低排放改造。</w:t>
                  </w:r>
                </w:p>
              </w:tc>
              <w:tc>
                <w:tcPr>
                  <w:tcW w:w="1192" w:type="pct"/>
                  <w:noWrap w:val="0"/>
                  <w:vAlign w:val="center"/>
                </w:tcPr>
                <w:p w14:paraId="46491E4E">
                  <w:pPr>
                    <w:jc w:val="center"/>
                    <w:rPr>
                      <w:rFonts w:hint="eastAsia" w:ascii="Times New Roman" w:hAnsi="Times New Roman" w:eastAsia="宋体" w:cs="Times New Roman"/>
                      <w:color w:val="auto"/>
                      <w:sz w:val="21"/>
                      <w:szCs w:val="21"/>
                      <w:lang w:val="en-US" w:eastAsia="zh-CN" w:bidi="ar"/>
                    </w:rPr>
                  </w:pPr>
                  <w:r>
                    <w:rPr>
                      <w:rFonts w:hint="default" w:ascii="Times New Roman" w:hAnsi="Times New Roman" w:eastAsia="宋体" w:cs="Times New Roman"/>
                      <w:color w:val="auto"/>
                      <w:sz w:val="21"/>
                      <w:szCs w:val="21"/>
                      <w:lang w:bidi="ar"/>
                    </w:rPr>
                    <w:t>本项目</w:t>
                  </w:r>
                  <w:r>
                    <w:rPr>
                      <w:rFonts w:hint="eastAsia" w:eastAsia="宋体" w:cs="Times New Roman"/>
                      <w:color w:val="auto"/>
                      <w:sz w:val="21"/>
                      <w:szCs w:val="21"/>
                      <w:lang w:val="en-US" w:eastAsia="zh-CN" w:bidi="ar"/>
                    </w:rPr>
                    <w:t>采用电加热，</w:t>
                  </w:r>
                  <w:r>
                    <w:rPr>
                      <w:rFonts w:hint="eastAsia" w:ascii="Times New Roman" w:hAnsi="Times New Roman" w:eastAsia="宋体" w:cs="Times New Roman"/>
                      <w:color w:val="auto"/>
                      <w:sz w:val="21"/>
                      <w:szCs w:val="21"/>
                      <w:lang w:val="en-US" w:eastAsia="zh-CN" w:bidi="ar"/>
                    </w:rPr>
                    <w:t>不涉及</w:t>
                  </w:r>
                  <w:r>
                    <w:rPr>
                      <w:rFonts w:hint="default" w:ascii="Times New Roman" w:hAnsi="Times New Roman" w:cs="Times New Roman"/>
                      <w:color w:val="auto"/>
                      <w:sz w:val="21"/>
                      <w:szCs w:val="21"/>
                    </w:rPr>
                    <w:t>生物质锅炉</w:t>
                  </w:r>
                </w:p>
              </w:tc>
              <w:tc>
                <w:tcPr>
                  <w:tcW w:w="696" w:type="pct"/>
                  <w:noWrap w:val="0"/>
                  <w:vAlign w:val="center"/>
                </w:tcPr>
                <w:p w14:paraId="61BCE8B9">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相符</w:t>
                  </w:r>
                </w:p>
              </w:tc>
            </w:tr>
          </w:tbl>
          <w:p w14:paraId="27BC69B0">
            <w:pPr>
              <w:autoSpaceDE w:val="0"/>
              <w:autoSpaceDN w:val="0"/>
              <w:adjustRightInd w:val="0"/>
              <w:snapToGrid w:val="0"/>
              <w:rPr>
                <w:kern w:val="0"/>
                <w:sz w:val="24"/>
              </w:rPr>
            </w:pPr>
          </w:p>
        </w:tc>
      </w:tr>
    </w:tbl>
    <w:p w14:paraId="41EB7AD0">
      <w:pPr>
        <w:spacing w:line="360" w:lineRule="auto"/>
        <w:outlineLvl w:val="0"/>
        <w:rPr>
          <w:rFonts w:ascii="宋体" w:hAnsi="宋体" w:cs="宋体"/>
          <w:sz w:val="30"/>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1CCF1565">
      <w:pPr>
        <w:pStyle w:val="19"/>
        <w:jc w:val="center"/>
        <w:outlineLvl w:val="0"/>
        <w:rPr>
          <w:rFonts w:ascii="黑体" w:hAnsi="黑体" w:eastAsia="黑体" w:cs="黑体"/>
          <w:snapToGrid w:val="0"/>
          <w:sz w:val="30"/>
          <w:szCs w:val="30"/>
        </w:rPr>
      </w:pPr>
      <w:r>
        <w:rPr>
          <w:rFonts w:hint="eastAsia" w:ascii="黑体" w:hAnsi="黑体" w:eastAsia="黑体" w:cs="黑体"/>
          <w:snapToGrid w:val="0"/>
          <w:sz w:val="30"/>
          <w:szCs w:val="30"/>
        </w:rPr>
        <w:t>二、建设项目工程分析</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161"/>
      </w:tblGrid>
      <w:tr w14:paraId="25AA1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14:paraId="0602C436">
            <w:pPr>
              <w:pStyle w:val="19"/>
              <w:adjustRightInd w:val="0"/>
              <w:snapToGrid w:val="0"/>
              <w:spacing w:before="0" w:beforeAutospacing="0" w:after="0" w:afterAutospacing="0"/>
              <w:jc w:val="center"/>
              <w:rPr>
                <w:rFonts w:cs="宋体"/>
                <w:color w:val="000000" w:themeColor="text1"/>
                <w:sz w:val="21"/>
                <w:szCs w:val="21"/>
                <w14:textFill>
                  <w14:solidFill>
                    <w14:schemeClr w14:val="tx1"/>
                  </w14:solidFill>
                </w14:textFill>
              </w:rPr>
            </w:pPr>
            <w:r>
              <w:rPr>
                <w:rFonts w:hint="eastAsia" w:cs="宋体"/>
                <w:color w:val="000000" w:themeColor="text1"/>
                <w:szCs w:val="24"/>
                <w14:textFill>
                  <w14:solidFill>
                    <w14:schemeClr w14:val="tx1"/>
                  </w14:solidFill>
                </w14:textFill>
              </w:rPr>
              <w:t>建设内容</w:t>
            </w:r>
          </w:p>
        </w:tc>
        <w:tc>
          <w:tcPr>
            <w:tcW w:w="8161" w:type="dxa"/>
          </w:tcPr>
          <w:p w14:paraId="39B7FA72">
            <w:pPr>
              <w:adjustRightInd w:val="0"/>
              <w:spacing w:line="360" w:lineRule="auto"/>
              <w:ind w:firstLine="482" w:firstLineChars="200"/>
              <w:rPr>
                <w:b/>
                <w:color w:val="000000" w:themeColor="text1"/>
                <w:kern w:val="0"/>
                <w:sz w:val="24"/>
                <w14:textFill>
                  <w14:solidFill>
                    <w14:schemeClr w14:val="tx1"/>
                  </w14:solidFill>
                </w14:textFill>
              </w:rPr>
            </w:pPr>
            <w:r>
              <w:rPr>
                <w:rFonts w:hint="eastAsia"/>
                <w:b/>
                <w:color w:val="000000" w:themeColor="text1"/>
                <w:kern w:val="0"/>
                <w:sz w:val="24"/>
                <w14:textFill>
                  <w14:solidFill>
                    <w14:schemeClr w14:val="tx1"/>
                  </w14:solidFill>
                </w14:textFill>
              </w:rPr>
              <w:t>一</w:t>
            </w:r>
            <w:r>
              <w:rPr>
                <w:b/>
                <w:color w:val="000000" w:themeColor="text1"/>
                <w:kern w:val="0"/>
                <w:sz w:val="24"/>
                <w14:textFill>
                  <w14:solidFill>
                    <w14:schemeClr w14:val="tx1"/>
                  </w14:solidFill>
                </w14:textFill>
              </w:rPr>
              <w:t>、工程内容及建设规模：</w:t>
            </w:r>
          </w:p>
          <w:p w14:paraId="091CEC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泗县法博士生态农业有限公司成立于2023年10月，注册资金人民币2000万元。泗县法博士现代农业科技低碳循环利用产业建设项目</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即</w:t>
            </w:r>
            <w:r>
              <w:rPr>
                <w:rFonts w:hint="default" w:ascii="Times New Roman" w:hAnsi="Times New Roman" w:eastAsia="宋体" w:cs="Times New Roman"/>
                <w:sz w:val="24"/>
                <w:szCs w:val="24"/>
              </w:rPr>
              <w:t>泗县法博士蚯蚓生态循环产业示范园一期</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b w:val="0"/>
                <w:bCs w:val="0"/>
                <w:sz w:val="24"/>
                <w:szCs w:val="24"/>
              </w:rPr>
              <w:t>位于泗县屏山镇，</w:t>
            </w:r>
            <w:r>
              <w:rPr>
                <w:rFonts w:hint="default" w:ascii="Times New Roman" w:hAnsi="Times New Roman" w:eastAsia="宋体" w:cs="Times New Roman"/>
                <w:sz w:val="24"/>
                <w:szCs w:val="24"/>
              </w:rPr>
              <w:t>占地约90亩，总投资约1.</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亿元。拥有60个长33米，宽6.5米，顶高4.5米恒温立体化、智能化蚯蚓养殖大棚，配套养殖设备和环保设备，高温深槽发酵区、蚯蚓粪包装区、地面硬化、厂区道路。项目达产后，年产蚯蚓粪4万吨。</w:t>
            </w:r>
          </w:p>
          <w:p w14:paraId="34F685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企业于2025年投资315万元，</w:t>
            </w:r>
            <w:r>
              <w:rPr>
                <w:rFonts w:hint="eastAsia" w:cs="Times New Roman"/>
                <w:sz w:val="24"/>
                <w:szCs w:val="24"/>
                <w:lang w:val="en-US" w:eastAsia="zh-CN"/>
              </w:rPr>
              <w:t>在泗县屏山镇</w:t>
            </w:r>
            <w:r>
              <w:rPr>
                <w:rFonts w:hint="default" w:ascii="Times New Roman" w:hAnsi="Times New Roman" w:eastAsia="宋体" w:cs="Times New Roman"/>
                <w:sz w:val="24"/>
                <w:szCs w:val="24"/>
              </w:rPr>
              <w:t>利用现有土地，新建一栋封闭钢制结构厂房用于生产有机肥，建筑面积约2600m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，设置槽式发酵区（长76米，宽12米，高1.8米），包装区，主要设备包括翻堆机一台，包装设备一台，实验检测设备共计15套等。项目建成后可形成年产5000吨有机肥的生产能力。</w:t>
            </w:r>
          </w:p>
          <w:p w14:paraId="6A069F63">
            <w:pPr>
              <w:adjustRightIn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因公司发展需要</w:t>
            </w:r>
            <w:r>
              <w:rPr>
                <w:rFonts w:hint="default" w:ascii="Times New Roman" w:hAnsi="Times New Roman" w:eastAsia="宋体" w:cs="Times New Roman"/>
                <w:sz w:val="24"/>
                <w:szCs w:val="24"/>
                <w:lang w:eastAsia="zh-CN"/>
              </w:rPr>
              <w:t>，泗县法博士生态农业有限公司</w:t>
            </w:r>
            <w:r>
              <w:rPr>
                <w:rFonts w:hint="default" w:ascii="Times New Roman" w:hAnsi="Times New Roman" w:eastAsia="宋体" w:cs="Times New Roman"/>
                <w:sz w:val="24"/>
                <w:szCs w:val="24"/>
                <w:lang w:val="en-US" w:eastAsia="zh-CN"/>
              </w:rPr>
              <w:t>拟</w:t>
            </w:r>
            <w:r>
              <w:rPr>
                <w:rFonts w:hint="default" w:ascii="Times New Roman" w:hAnsi="Times New Roman" w:eastAsia="宋体" w:cs="Times New Roman"/>
                <w:sz w:val="24"/>
                <w:szCs w:val="24"/>
              </w:rPr>
              <w:t>投资约1.1亿元，</w:t>
            </w:r>
            <w:r>
              <w:rPr>
                <w:rFonts w:hint="eastAsia"/>
                <w:sz w:val="24"/>
                <w:lang w:val="en-US" w:eastAsia="zh-CN"/>
              </w:rPr>
              <w:t>在泗县虹城街道长三角绿色食品产业园，</w:t>
            </w:r>
            <w:r>
              <w:rPr>
                <w:rFonts w:hint="eastAsia" w:ascii="宋体" w:hAnsi="宋体" w:cs="宋体"/>
                <w:color w:val="000000" w:themeColor="text1"/>
                <w:sz w:val="24"/>
                <w:szCs w:val="24"/>
                <w:lang w:val="en-US" w:eastAsia="zh-CN"/>
                <w14:textFill>
                  <w14:solidFill>
                    <w14:schemeClr w14:val="tx1"/>
                  </w14:solidFill>
                </w14:textFill>
              </w:rPr>
              <w:t>建设</w:t>
            </w:r>
            <w:r>
              <w:rPr>
                <w:rFonts w:hint="eastAsia"/>
                <w:sz w:val="24"/>
                <w:lang w:eastAsia="zh-CN"/>
              </w:rPr>
              <w:t>蚯蚓生态循环产业示范园项目（二期）。</w:t>
            </w:r>
            <w:r>
              <w:rPr>
                <w:rFonts w:hint="eastAsia"/>
                <w:sz w:val="24"/>
                <w:lang w:val="en-US" w:eastAsia="zh-CN"/>
              </w:rPr>
              <w:t>企业</w:t>
            </w:r>
            <w:r>
              <w:rPr>
                <w:rFonts w:hint="eastAsia" w:cs="Times New Roman"/>
                <w:sz w:val="24"/>
                <w:szCs w:val="24"/>
                <w:lang w:val="en-US" w:eastAsia="zh-CN"/>
              </w:rPr>
              <w:t>新建</w:t>
            </w:r>
            <w:r>
              <w:rPr>
                <w:rFonts w:hint="default" w:ascii="Times New Roman" w:hAnsi="Times New Roman" w:eastAsia="宋体" w:cs="Times New Roman"/>
                <w:sz w:val="24"/>
                <w:szCs w:val="24"/>
              </w:rPr>
              <w:t>蚯蚓深加工厂房及综合楼</w:t>
            </w:r>
            <w:r>
              <w:rPr>
                <w:rFonts w:hint="eastAsia" w:cs="Times New Roman"/>
                <w:sz w:val="24"/>
                <w:szCs w:val="24"/>
                <w:lang w:eastAsia="zh-CN"/>
              </w:rPr>
              <w:t>，</w:t>
            </w:r>
            <w:r>
              <w:rPr>
                <w:rFonts w:hint="eastAsia" w:cs="Times New Roman"/>
                <w:sz w:val="24"/>
                <w:szCs w:val="24"/>
                <w:lang w:val="en-US" w:eastAsia="zh-CN"/>
              </w:rPr>
              <w:t>总建筑面积</w:t>
            </w:r>
            <w:r>
              <w:rPr>
                <w:rFonts w:hint="default" w:ascii="Times New Roman" w:hAnsi="Times New Roman" w:eastAsia="宋体" w:cs="Times New Roman"/>
                <w:sz w:val="24"/>
                <w:szCs w:val="24"/>
              </w:rPr>
              <w:t>约</w:t>
            </w:r>
            <w:r>
              <w:rPr>
                <w:rFonts w:hint="eastAsia" w:ascii="Times New Roman" w:hAnsi="Times New Roman" w:eastAsia="宋体" w:cs="Times New Roman"/>
                <w:sz w:val="24"/>
                <w:szCs w:val="24"/>
                <w:lang w:val="en-US" w:eastAsia="zh-CN"/>
              </w:rPr>
              <w:t>15849.78</w:t>
            </w:r>
            <w:r>
              <w:rPr>
                <w:rFonts w:hint="default" w:ascii="Times New Roman" w:hAnsi="Times New Roman" w:eastAsia="宋体" w:cs="Times New Roman"/>
                <w:sz w:val="24"/>
                <w:szCs w:val="24"/>
              </w:rPr>
              <w:t>平方米</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年产1000吨饲料添加剂生产线、检测中心及相关配套设施等</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达产后每年将产出1000吨饲料添加剂。蚯蚓生态循环产业示范园一期二期相距约</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公里，二期项目的建设为一期蚯蚓深加工提供配套。</w:t>
            </w:r>
          </w:p>
          <w:p w14:paraId="662DA075">
            <w:pPr>
              <w:adjustRightInd w:val="0"/>
              <w:spacing w:line="360" w:lineRule="auto"/>
              <w:ind w:firstLine="480" w:firstLineChars="200"/>
              <w:rPr>
                <w:b/>
                <w:bCs/>
                <w:color w:val="000000" w:themeColor="text1"/>
                <w:sz w:val="24"/>
                <w14:textFill>
                  <w14:solidFill>
                    <w14:schemeClr w14:val="tx1"/>
                  </w14:solidFill>
                </w14:textFill>
              </w:rPr>
            </w:pPr>
            <w:r>
              <w:rPr>
                <w:color w:val="000000" w:themeColor="text1"/>
                <w:sz w:val="24"/>
                <w14:textFill>
                  <w14:solidFill>
                    <w14:schemeClr w14:val="tx1"/>
                  </w14:solidFill>
                </w14:textFill>
              </w:rPr>
              <w:t>具体建设内容及规模见</w:t>
            </w:r>
            <w:r>
              <w:rPr>
                <w:rFonts w:hint="eastAsia"/>
                <w:color w:val="000000" w:themeColor="text1"/>
                <w:sz w:val="24"/>
                <w14:textFill>
                  <w14:solidFill>
                    <w14:schemeClr w14:val="tx1"/>
                  </w14:solidFill>
                </w14:textFill>
              </w:rPr>
              <w:t>下</w:t>
            </w:r>
            <w:r>
              <w:rPr>
                <w:color w:val="000000" w:themeColor="text1"/>
                <w:sz w:val="24"/>
                <w14:textFill>
                  <w14:solidFill>
                    <w14:schemeClr w14:val="tx1"/>
                  </w14:solidFill>
                </w14:textFill>
              </w:rPr>
              <w:t>表。</w:t>
            </w:r>
          </w:p>
          <w:p w14:paraId="48B39DE3">
            <w:pPr>
              <w:spacing w:line="240" w:lineRule="auto"/>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表</w:t>
            </w:r>
            <w:r>
              <w:rPr>
                <w:rFonts w:hint="eastAsia"/>
                <w:b/>
                <w:bCs/>
                <w:color w:val="000000" w:themeColor="text1"/>
                <w:sz w:val="24"/>
                <w14:textFill>
                  <w14:solidFill>
                    <w14:schemeClr w14:val="tx1"/>
                  </w14:solidFill>
                </w14:textFill>
              </w:rPr>
              <w:t>2</w:t>
            </w:r>
            <w:r>
              <w:rPr>
                <w:b/>
                <w:bCs/>
                <w:color w:val="000000" w:themeColor="text1"/>
                <w:sz w:val="24"/>
                <w14:textFill>
                  <w14:solidFill>
                    <w14:schemeClr w14:val="tx1"/>
                  </w14:solidFill>
                </w14:textFill>
              </w:rPr>
              <w:t>-1 项目建设内容一览表</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1687"/>
              <w:gridCol w:w="3714"/>
              <w:gridCol w:w="1485"/>
            </w:tblGrid>
            <w:tr w14:paraId="76C0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pct"/>
                  <w:vAlign w:val="center"/>
                </w:tcPr>
                <w:p w14:paraId="59E929E1">
                  <w:pPr>
                    <w:spacing w:line="240" w:lineRule="auto"/>
                    <w:jc w:val="center"/>
                    <w:rPr>
                      <w:b/>
                      <w:color w:val="000000" w:themeColor="text1"/>
                      <w:kern w:val="0"/>
                      <w:sz w:val="21"/>
                      <w:szCs w:val="21"/>
                      <w14:textFill>
                        <w14:solidFill>
                          <w14:schemeClr w14:val="tx1"/>
                        </w14:solidFill>
                      </w14:textFill>
                    </w:rPr>
                  </w:pPr>
                  <w:r>
                    <w:rPr>
                      <w:b/>
                      <w:bCs/>
                      <w:color w:val="000000" w:themeColor="text1"/>
                      <w:sz w:val="21"/>
                      <w:szCs w:val="21"/>
                      <w14:textFill>
                        <w14:solidFill>
                          <w14:schemeClr w14:val="tx1"/>
                        </w14:solidFill>
                      </w14:textFill>
                    </w:rPr>
                    <w:t>类别</w:t>
                  </w:r>
                </w:p>
              </w:tc>
              <w:tc>
                <w:tcPr>
                  <w:tcW w:w="1063" w:type="pct"/>
                  <w:vAlign w:val="center"/>
                </w:tcPr>
                <w:p w14:paraId="189DCBEC">
                  <w:pPr>
                    <w:spacing w:line="240" w:lineRule="auto"/>
                    <w:jc w:val="center"/>
                    <w:rPr>
                      <w:b/>
                      <w:color w:val="000000" w:themeColor="text1"/>
                      <w:kern w:val="0"/>
                      <w:sz w:val="21"/>
                      <w:szCs w:val="21"/>
                      <w14:textFill>
                        <w14:solidFill>
                          <w14:schemeClr w14:val="tx1"/>
                        </w14:solidFill>
                      </w14:textFill>
                    </w:rPr>
                  </w:pPr>
                  <w:r>
                    <w:rPr>
                      <w:b/>
                      <w:bCs/>
                      <w:color w:val="000000" w:themeColor="text1"/>
                      <w:sz w:val="21"/>
                      <w:szCs w:val="21"/>
                      <w14:textFill>
                        <w14:solidFill>
                          <w14:schemeClr w14:val="tx1"/>
                        </w14:solidFill>
                      </w14:textFill>
                    </w:rPr>
                    <w:t>单项工程名称</w:t>
                  </w:r>
                </w:p>
              </w:tc>
              <w:tc>
                <w:tcPr>
                  <w:tcW w:w="2341" w:type="pct"/>
                  <w:vAlign w:val="center"/>
                </w:tcPr>
                <w:p w14:paraId="428C8745">
                  <w:pPr>
                    <w:spacing w:line="240" w:lineRule="auto"/>
                    <w:jc w:val="center"/>
                    <w:rPr>
                      <w:b/>
                      <w:bCs/>
                      <w:color w:val="000000" w:themeColor="text1"/>
                      <w:kern w:val="0"/>
                      <w:sz w:val="21"/>
                      <w:szCs w:val="21"/>
                      <w14:textFill>
                        <w14:solidFill>
                          <w14:schemeClr w14:val="tx1"/>
                        </w14:solidFill>
                      </w14:textFill>
                    </w:rPr>
                  </w:pPr>
                  <w:r>
                    <w:rPr>
                      <w:rFonts w:hint="eastAsia"/>
                      <w:b/>
                      <w:bCs/>
                      <w:color w:val="000000" w:themeColor="text1"/>
                      <w:kern w:val="0"/>
                      <w:sz w:val="21"/>
                      <w:szCs w:val="21"/>
                      <w:lang w:val="en-US" w:eastAsia="zh-CN"/>
                      <w14:textFill>
                        <w14:solidFill>
                          <w14:schemeClr w14:val="tx1"/>
                        </w14:solidFill>
                      </w14:textFill>
                    </w:rPr>
                    <w:t>建设</w:t>
                  </w:r>
                  <w:r>
                    <w:rPr>
                      <w:b/>
                      <w:bCs/>
                      <w:color w:val="000000" w:themeColor="text1"/>
                      <w:kern w:val="0"/>
                      <w:sz w:val="21"/>
                      <w:szCs w:val="21"/>
                      <w14:textFill>
                        <w14:solidFill>
                          <w14:schemeClr w14:val="tx1"/>
                        </w14:solidFill>
                      </w14:textFill>
                    </w:rPr>
                    <w:t>内容及规模</w:t>
                  </w:r>
                </w:p>
              </w:tc>
              <w:tc>
                <w:tcPr>
                  <w:tcW w:w="936" w:type="pct"/>
                  <w:vAlign w:val="center"/>
                </w:tcPr>
                <w:p w14:paraId="0F8E0E1E">
                  <w:pPr>
                    <w:spacing w:line="240" w:lineRule="auto"/>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备注</w:t>
                  </w:r>
                </w:p>
              </w:tc>
            </w:tr>
            <w:tr w14:paraId="5940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pct"/>
                  <w:vMerge w:val="restart"/>
                  <w:vAlign w:val="center"/>
                </w:tcPr>
                <w:p w14:paraId="03BC78EB">
                  <w:pPr>
                    <w:spacing w:line="240" w:lineRule="auto"/>
                    <w:jc w:val="center"/>
                    <w:rPr>
                      <w:b/>
                      <w:color w:val="000000" w:themeColor="text1"/>
                      <w:kern w:val="0"/>
                      <w:sz w:val="21"/>
                      <w:szCs w:val="21"/>
                      <w14:textFill>
                        <w14:solidFill>
                          <w14:schemeClr w14:val="tx1"/>
                        </w14:solidFill>
                      </w14:textFill>
                    </w:rPr>
                  </w:pPr>
                  <w:r>
                    <w:rPr>
                      <w:color w:val="000000" w:themeColor="text1"/>
                      <w:sz w:val="21"/>
                      <w:szCs w:val="21"/>
                      <w14:textFill>
                        <w14:solidFill>
                          <w14:schemeClr w14:val="tx1"/>
                        </w14:solidFill>
                      </w14:textFill>
                    </w:rPr>
                    <w:t>主体工程</w:t>
                  </w:r>
                </w:p>
              </w:tc>
              <w:tc>
                <w:tcPr>
                  <w:tcW w:w="1063" w:type="pct"/>
                  <w:vAlign w:val="center"/>
                </w:tcPr>
                <w:p w14:paraId="2BD021FB">
                  <w:pPr>
                    <w:spacing w:line="240" w:lineRule="auto"/>
                    <w:jc w:val="center"/>
                    <w:rPr>
                      <w:rFonts w:hint="default" w:eastAsia="宋体"/>
                      <w:b/>
                      <w:color w:val="000000" w:themeColor="text1"/>
                      <w:kern w:val="0"/>
                      <w:sz w:val="21"/>
                      <w:szCs w:val="21"/>
                      <w:lang w:val="en-US" w:eastAsia="zh-CN"/>
                      <w14:textFill>
                        <w14:solidFill>
                          <w14:schemeClr w14:val="tx1"/>
                        </w14:solidFill>
                      </w14:textFill>
                    </w:rPr>
                  </w:pPr>
                  <w:r>
                    <w:rPr>
                      <w:rFonts w:hint="eastAsia"/>
                      <w:b w:val="0"/>
                      <w:bCs/>
                      <w:color w:val="000000" w:themeColor="text1"/>
                      <w:kern w:val="0"/>
                      <w:sz w:val="21"/>
                      <w:szCs w:val="21"/>
                      <w:lang w:val="en-US" w:eastAsia="zh-CN"/>
                      <w14:textFill>
                        <w14:solidFill>
                          <w14:schemeClr w14:val="tx1"/>
                        </w14:solidFill>
                      </w14:textFill>
                    </w:rPr>
                    <w:t>车间一</w:t>
                  </w:r>
                </w:p>
              </w:tc>
              <w:tc>
                <w:tcPr>
                  <w:tcW w:w="2341" w:type="pct"/>
                  <w:vAlign w:val="center"/>
                </w:tcPr>
                <w:p w14:paraId="14470278">
                  <w:pPr>
                    <w:spacing w:line="240" w:lineRule="auto"/>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位于厂区南侧，1F，建筑高度12.3m，建筑面积约1956.5m</w:t>
                  </w:r>
                  <w:r>
                    <w:rPr>
                      <w:rFonts w:hint="eastAsia"/>
                      <w:color w:val="000000" w:themeColor="text1"/>
                      <w:sz w:val="21"/>
                      <w:szCs w:val="21"/>
                      <w:vertAlign w:val="superscript"/>
                      <w:lang w:val="en-US" w:eastAsia="zh-CN"/>
                      <w14:textFill>
                        <w14:solidFill>
                          <w14:schemeClr w14:val="tx1"/>
                        </w14:solidFill>
                      </w14:textFill>
                    </w:rPr>
                    <w:t>2</w:t>
                  </w:r>
                  <w:r>
                    <w:rPr>
                      <w:rFonts w:hint="eastAsia"/>
                      <w:color w:val="000000" w:themeColor="text1"/>
                      <w:sz w:val="21"/>
                      <w:szCs w:val="21"/>
                      <w:vertAlign w:val="baseline"/>
                      <w:lang w:val="en-US" w:eastAsia="zh-CN"/>
                      <w14:textFill>
                        <w14:solidFill>
                          <w14:schemeClr w14:val="tx1"/>
                        </w14:solidFill>
                      </w14:textFill>
                    </w:rPr>
                    <w:t>，作为预留车间</w:t>
                  </w:r>
                </w:p>
              </w:tc>
              <w:tc>
                <w:tcPr>
                  <w:tcW w:w="936" w:type="pct"/>
                  <w:vMerge w:val="restart"/>
                  <w:vAlign w:val="center"/>
                </w:tcPr>
                <w:p w14:paraId="2C26B71C">
                  <w:pPr>
                    <w:spacing w:line="240" w:lineRule="auto"/>
                    <w:jc w:val="center"/>
                    <w:rPr>
                      <w:rFonts w:hint="default" w:eastAsia="宋体"/>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可达到年产1000吨饲料添加剂的生产能力</w:t>
                  </w:r>
                </w:p>
              </w:tc>
            </w:tr>
            <w:tr w14:paraId="68E9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pct"/>
                  <w:vMerge w:val="continue"/>
                  <w:vAlign w:val="center"/>
                </w:tcPr>
                <w:p w14:paraId="32EEEFF8">
                  <w:pPr>
                    <w:spacing w:line="240" w:lineRule="auto"/>
                    <w:jc w:val="center"/>
                    <w:rPr>
                      <w:color w:val="000000" w:themeColor="text1"/>
                      <w:sz w:val="21"/>
                      <w:szCs w:val="21"/>
                      <w14:textFill>
                        <w14:solidFill>
                          <w14:schemeClr w14:val="tx1"/>
                        </w14:solidFill>
                      </w14:textFill>
                    </w:rPr>
                  </w:pPr>
                </w:p>
              </w:tc>
              <w:tc>
                <w:tcPr>
                  <w:tcW w:w="1063" w:type="pct"/>
                  <w:vAlign w:val="center"/>
                </w:tcPr>
                <w:p w14:paraId="36448645">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车间二</w:t>
                  </w:r>
                </w:p>
              </w:tc>
              <w:tc>
                <w:tcPr>
                  <w:tcW w:w="2341" w:type="pct"/>
                  <w:vAlign w:val="center"/>
                </w:tcPr>
                <w:p w14:paraId="5241B55C">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位于厂区东南侧，2F，建筑高度12.8m，建筑面积约2913.7m</w:t>
                  </w:r>
                  <w:r>
                    <w:rPr>
                      <w:rFonts w:hint="eastAsia"/>
                      <w:color w:val="000000" w:themeColor="text1"/>
                      <w:sz w:val="21"/>
                      <w:szCs w:val="21"/>
                      <w:vertAlign w:val="superscript"/>
                      <w:lang w:val="en-US" w:eastAsia="zh-CN"/>
                      <w14:textFill>
                        <w14:solidFill>
                          <w14:schemeClr w14:val="tx1"/>
                        </w14:solidFill>
                      </w14:textFill>
                    </w:rPr>
                    <w:t>2</w:t>
                  </w:r>
                  <w:r>
                    <w:rPr>
                      <w:rFonts w:hint="eastAsia"/>
                      <w:color w:val="000000" w:themeColor="text1"/>
                      <w:sz w:val="21"/>
                      <w:szCs w:val="21"/>
                      <w:vertAlign w:val="baseline"/>
                      <w:lang w:val="en-US" w:eastAsia="zh-CN"/>
                      <w14:textFill>
                        <w14:solidFill>
                          <w14:schemeClr w14:val="tx1"/>
                        </w14:solidFill>
                      </w14:textFill>
                    </w:rPr>
                    <w:t>，其中一层北侧设置蚯蚓清洗区，南侧设置净水和储水区，二层空置。</w:t>
                  </w:r>
                </w:p>
              </w:tc>
              <w:tc>
                <w:tcPr>
                  <w:tcW w:w="936" w:type="pct"/>
                  <w:vMerge w:val="continue"/>
                  <w:vAlign w:val="center"/>
                </w:tcPr>
                <w:p w14:paraId="2FC63C75">
                  <w:pPr>
                    <w:spacing w:line="240" w:lineRule="auto"/>
                    <w:jc w:val="center"/>
                    <w:rPr>
                      <w:rFonts w:hint="eastAsia"/>
                      <w:color w:val="000000" w:themeColor="text1"/>
                      <w:sz w:val="21"/>
                      <w:szCs w:val="21"/>
                      <w:lang w:val="en-US" w:eastAsia="zh-CN"/>
                      <w14:textFill>
                        <w14:solidFill>
                          <w14:schemeClr w14:val="tx1"/>
                        </w14:solidFill>
                      </w14:textFill>
                    </w:rPr>
                  </w:pPr>
                </w:p>
              </w:tc>
            </w:tr>
            <w:tr w14:paraId="4F50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pct"/>
                  <w:vMerge w:val="continue"/>
                  <w:vAlign w:val="center"/>
                </w:tcPr>
                <w:p w14:paraId="5D0E9746">
                  <w:pPr>
                    <w:spacing w:line="240" w:lineRule="auto"/>
                    <w:jc w:val="center"/>
                    <w:rPr>
                      <w:color w:val="000000" w:themeColor="text1"/>
                      <w:sz w:val="21"/>
                      <w:szCs w:val="21"/>
                      <w14:textFill>
                        <w14:solidFill>
                          <w14:schemeClr w14:val="tx1"/>
                        </w14:solidFill>
                      </w14:textFill>
                    </w:rPr>
                  </w:pPr>
                </w:p>
              </w:tc>
              <w:tc>
                <w:tcPr>
                  <w:tcW w:w="1063" w:type="pct"/>
                  <w:vAlign w:val="center"/>
                </w:tcPr>
                <w:p w14:paraId="46085898">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车间三</w:t>
                  </w:r>
                </w:p>
              </w:tc>
              <w:tc>
                <w:tcPr>
                  <w:tcW w:w="2341" w:type="pct"/>
                  <w:vAlign w:val="center"/>
                </w:tcPr>
                <w:p w14:paraId="4F0DC520">
                  <w:pPr>
                    <w:spacing w:line="240" w:lineRule="auto"/>
                    <w:jc w:val="center"/>
                    <w:rPr>
                      <w:rFonts w:hint="default" w:ascii="Times New Roman" w:hAnsi="Times New Roman" w:cs="Times New Roman"/>
                      <w:color w:val="000000" w:themeColor="text1"/>
                      <w:sz w:val="21"/>
                      <w:szCs w:val="21"/>
                      <w:lang w:val="en-US"/>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位于厂区东北侧，2F，建筑高度12.8m，建筑面积约6652m</w:t>
                  </w:r>
                  <w:r>
                    <w:rPr>
                      <w:rFonts w:hint="eastAsia"/>
                      <w:color w:val="000000" w:themeColor="text1"/>
                      <w:sz w:val="21"/>
                      <w:szCs w:val="21"/>
                      <w:vertAlign w:val="superscript"/>
                      <w:lang w:val="en-US" w:eastAsia="zh-CN"/>
                      <w14:textFill>
                        <w14:solidFill>
                          <w14:schemeClr w14:val="tx1"/>
                        </w14:solidFill>
                      </w14:textFill>
                    </w:rPr>
                    <w:t>2</w:t>
                  </w:r>
                  <w:r>
                    <w:rPr>
                      <w:rFonts w:hint="eastAsia"/>
                      <w:color w:val="000000" w:themeColor="text1"/>
                      <w:sz w:val="21"/>
                      <w:szCs w:val="21"/>
                      <w:vertAlign w:val="baseline"/>
                      <w:lang w:val="en-US" w:eastAsia="zh-CN"/>
                      <w14:textFill>
                        <w14:solidFill>
                          <w14:schemeClr w14:val="tx1"/>
                        </w14:solidFill>
                      </w14:textFill>
                    </w:rPr>
                    <w:t>，其中一层北侧设置水解区，用于蚯蚓深加工，南侧设置离心灌装区，二层用于投料。</w:t>
                  </w:r>
                </w:p>
              </w:tc>
              <w:tc>
                <w:tcPr>
                  <w:tcW w:w="936" w:type="pct"/>
                  <w:vMerge w:val="continue"/>
                  <w:vAlign w:val="center"/>
                </w:tcPr>
                <w:p w14:paraId="1DBFF337">
                  <w:pPr>
                    <w:spacing w:line="240" w:lineRule="auto"/>
                    <w:jc w:val="center"/>
                    <w:rPr>
                      <w:rFonts w:hint="eastAsia"/>
                      <w:color w:val="000000" w:themeColor="text1"/>
                      <w:sz w:val="21"/>
                      <w:szCs w:val="21"/>
                      <w:lang w:val="en-US" w:eastAsia="zh-CN"/>
                      <w14:textFill>
                        <w14:solidFill>
                          <w14:schemeClr w14:val="tx1"/>
                        </w14:solidFill>
                      </w14:textFill>
                    </w:rPr>
                  </w:pPr>
                </w:p>
              </w:tc>
            </w:tr>
            <w:tr w14:paraId="6888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pct"/>
                  <w:vMerge w:val="restart"/>
                  <w:vAlign w:val="center"/>
                </w:tcPr>
                <w:p w14:paraId="5C403CE9">
                  <w:pPr>
                    <w:spacing w:line="240" w:lineRule="auto"/>
                    <w:jc w:val="center"/>
                    <w:rPr>
                      <w:b/>
                      <w:color w:val="000000" w:themeColor="text1"/>
                      <w:kern w:val="0"/>
                      <w:sz w:val="21"/>
                      <w:szCs w:val="21"/>
                      <w14:textFill>
                        <w14:solidFill>
                          <w14:schemeClr w14:val="tx1"/>
                        </w14:solidFill>
                      </w14:textFill>
                    </w:rPr>
                  </w:pPr>
                  <w:r>
                    <w:rPr>
                      <w:color w:val="000000" w:themeColor="text1"/>
                      <w:sz w:val="21"/>
                      <w:szCs w:val="21"/>
                      <w14:textFill>
                        <w14:solidFill>
                          <w14:schemeClr w14:val="tx1"/>
                        </w14:solidFill>
                      </w14:textFill>
                    </w:rPr>
                    <w:t>辅助工程</w:t>
                  </w:r>
                </w:p>
              </w:tc>
              <w:tc>
                <w:tcPr>
                  <w:tcW w:w="1063" w:type="pct"/>
                  <w:vAlign w:val="center"/>
                </w:tcPr>
                <w:p w14:paraId="011AFD36">
                  <w:pPr>
                    <w:spacing w:line="240" w:lineRule="auto"/>
                    <w:jc w:val="center"/>
                    <w:rPr>
                      <w:b/>
                      <w:color w:val="000000" w:themeColor="text1"/>
                      <w:kern w:val="0"/>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综合楼</w:t>
                  </w:r>
                </w:p>
              </w:tc>
              <w:tc>
                <w:tcPr>
                  <w:tcW w:w="2341" w:type="pct"/>
                  <w:vAlign w:val="center"/>
                </w:tcPr>
                <w:p w14:paraId="6F888974">
                  <w:pPr>
                    <w:spacing w:line="240" w:lineRule="auto"/>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位于厂区北侧，6F，建筑高度23.3m，建筑面积约2085.6m</w:t>
                  </w:r>
                  <w:r>
                    <w:rPr>
                      <w:rFonts w:hint="eastAsia"/>
                      <w:color w:val="000000" w:themeColor="text1"/>
                      <w:sz w:val="21"/>
                      <w:szCs w:val="21"/>
                      <w:vertAlign w:val="superscript"/>
                      <w:lang w:val="en-US" w:eastAsia="zh-CN"/>
                      <w14:textFill>
                        <w14:solidFill>
                          <w14:schemeClr w14:val="tx1"/>
                        </w14:solidFill>
                      </w14:textFill>
                    </w:rPr>
                    <w:t>2</w:t>
                  </w:r>
                  <w:r>
                    <w:rPr>
                      <w:rFonts w:hint="eastAsia"/>
                      <w:color w:val="000000" w:themeColor="text1"/>
                      <w:sz w:val="21"/>
                      <w:szCs w:val="21"/>
                      <w:vertAlign w:val="baseline"/>
                      <w:lang w:val="en-US" w:eastAsia="zh-CN"/>
                      <w14:textFill>
                        <w14:solidFill>
                          <w14:schemeClr w14:val="tx1"/>
                        </w14:solidFill>
                      </w14:textFill>
                    </w:rPr>
                    <w:t>，用于员工办公</w:t>
                  </w:r>
                </w:p>
              </w:tc>
              <w:tc>
                <w:tcPr>
                  <w:tcW w:w="936" w:type="pct"/>
                  <w:vAlign w:val="center"/>
                </w:tcPr>
                <w:p w14:paraId="5A5ADB08">
                  <w:pPr>
                    <w:spacing w:line="240" w:lineRule="auto"/>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新建</w:t>
                  </w:r>
                </w:p>
              </w:tc>
            </w:tr>
            <w:tr w14:paraId="2C10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pct"/>
                  <w:vMerge w:val="continue"/>
                  <w:vAlign w:val="center"/>
                </w:tcPr>
                <w:p w14:paraId="322C5FD6">
                  <w:pPr>
                    <w:spacing w:line="240" w:lineRule="auto"/>
                    <w:jc w:val="center"/>
                    <w:rPr>
                      <w:b/>
                      <w:color w:val="000000" w:themeColor="text1"/>
                      <w:kern w:val="0"/>
                      <w:sz w:val="21"/>
                      <w:szCs w:val="21"/>
                      <w14:textFill>
                        <w14:solidFill>
                          <w14:schemeClr w14:val="tx1"/>
                        </w14:solidFill>
                      </w14:textFill>
                    </w:rPr>
                  </w:pPr>
                </w:p>
              </w:tc>
              <w:tc>
                <w:tcPr>
                  <w:tcW w:w="1063" w:type="pct"/>
                  <w:vAlign w:val="center"/>
                </w:tcPr>
                <w:p w14:paraId="727BB022">
                  <w:pPr>
                    <w:spacing w:line="240" w:lineRule="auto"/>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门卫</w:t>
                  </w:r>
                </w:p>
              </w:tc>
              <w:tc>
                <w:tcPr>
                  <w:tcW w:w="2341" w:type="pct"/>
                  <w:vAlign w:val="center"/>
                </w:tcPr>
                <w:p w14:paraId="522ED1CE">
                  <w:pPr>
                    <w:spacing w:line="240" w:lineRule="auto"/>
                    <w:jc w:val="center"/>
                    <w:rPr>
                      <w:rFonts w:hint="eastAsia" w:cs="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位于厂区北侧，建筑面积约15m</w:t>
                  </w:r>
                  <w:r>
                    <w:rPr>
                      <w:rFonts w:hint="eastAsia"/>
                      <w:color w:val="000000" w:themeColor="text1"/>
                      <w:sz w:val="21"/>
                      <w:szCs w:val="21"/>
                      <w:vertAlign w:val="superscript"/>
                      <w:lang w:val="en-US" w:eastAsia="zh-CN"/>
                      <w14:textFill>
                        <w14:solidFill>
                          <w14:schemeClr w14:val="tx1"/>
                        </w14:solidFill>
                      </w14:textFill>
                    </w:rPr>
                    <w:t>2</w:t>
                  </w:r>
                </w:p>
              </w:tc>
              <w:tc>
                <w:tcPr>
                  <w:tcW w:w="936" w:type="pct"/>
                  <w:vAlign w:val="center"/>
                </w:tcPr>
                <w:p w14:paraId="364CC2B8">
                  <w:pPr>
                    <w:spacing w:line="240" w:lineRule="auto"/>
                    <w:jc w:val="center"/>
                    <w:rPr>
                      <w:rFonts w:hint="eastAsia"/>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新建</w:t>
                  </w:r>
                </w:p>
              </w:tc>
            </w:tr>
            <w:tr w14:paraId="4AF4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pct"/>
                  <w:vMerge w:val="continue"/>
                  <w:vAlign w:val="center"/>
                </w:tcPr>
                <w:p w14:paraId="20FE7276">
                  <w:pPr>
                    <w:spacing w:line="240" w:lineRule="auto"/>
                    <w:jc w:val="center"/>
                    <w:rPr>
                      <w:b/>
                      <w:color w:val="000000" w:themeColor="text1"/>
                      <w:kern w:val="0"/>
                      <w:sz w:val="21"/>
                      <w:szCs w:val="21"/>
                      <w14:textFill>
                        <w14:solidFill>
                          <w14:schemeClr w14:val="tx1"/>
                        </w14:solidFill>
                      </w14:textFill>
                    </w:rPr>
                  </w:pPr>
                </w:p>
              </w:tc>
              <w:tc>
                <w:tcPr>
                  <w:tcW w:w="1063" w:type="pct"/>
                  <w:vAlign w:val="center"/>
                </w:tcPr>
                <w:p w14:paraId="3DA3F8C6">
                  <w:pPr>
                    <w:spacing w:line="240" w:lineRule="auto"/>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配电房</w:t>
                  </w:r>
                </w:p>
              </w:tc>
              <w:tc>
                <w:tcPr>
                  <w:tcW w:w="2341" w:type="pct"/>
                  <w:vAlign w:val="center"/>
                </w:tcPr>
                <w:p w14:paraId="1E29AC7C">
                  <w:pPr>
                    <w:spacing w:line="240" w:lineRule="auto"/>
                    <w:jc w:val="center"/>
                    <w:rPr>
                      <w:rFonts w:hint="eastAsia" w:cs="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位于厂区南侧，建筑面积约31.25m</w:t>
                  </w:r>
                  <w:r>
                    <w:rPr>
                      <w:rFonts w:hint="eastAsia"/>
                      <w:color w:val="000000" w:themeColor="text1"/>
                      <w:sz w:val="21"/>
                      <w:szCs w:val="21"/>
                      <w:vertAlign w:val="superscript"/>
                      <w:lang w:val="en-US" w:eastAsia="zh-CN"/>
                      <w14:textFill>
                        <w14:solidFill>
                          <w14:schemeClr w14:val="tx1"/>
                        </w14:solidFill>
                      </w14:textFill>
                    </w:rPr>
                    <w:t>2</w:t>
                  </w:r>
                </w:p>
              </w:tc>
              <w:tc>
                <w:tcPr>
                  <w:tcW w:w="936" w:type="pct"/>
                  <w:vAlign w:val="center"/>
                </w:tcPr>
                <w:p w14:paraId="5A64D5D1">
                  <w:pPr>
                    <w:spacing w:line="240" w:lineRule="auto"/>
                    <w:jc w:val="center"/>
                    <w:rPr>
                      <w:rFonts w:hint="eastAsia"/>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新建</w:t>
                  </w:r>
                </w:p>
              </w:tc>
            </w:tr>
            <w:tr w14:paraId="5ED4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pct"/>
                  <w:vMerge w:val="continue"/>
                  <w:vAlign w:val="center"/>
                </w:tcPr>
                <w:p w14:paraId="019F03B6">
                  <w:pPr>
                    <w:spacing w:line="240" w:lineRule="auto"/>
                    <w:jc w:val="center"/>
                    <w:rPr>
                      <w:b/>
                      <w:color w:val="000000" w:themeColor="text1"/>
                      <w:kern w:val="0"/>
                      <w:sz w:val="21"/>
                      <w:szCs w:val="21"/>
                      <w14:textFill>
                        <w14:solidFill>
                          <w14:schemeClr w14:val="tx1"/>
                        </w14:solidFill>
                      </w14:textFill>
                    </w:rPr>
                  </w:pPr>
                </w:p>
              </w:tc>
              <w:tc>
                <w:tcPr>
                  <w:tcW w:w="1063" w:type="pct"/>
                  <w:vAlign w:val="center"/>
                </w:tcPr>
                <w:p w14:paraId="769BCD81">
                  <w:pPr>
                    <w:spacing w:line="240" w:lineRule="auto"/>
                    <w:jc w:val="center"/>
                    <w:rPr>
                      <w:rFonts w:hint="default" w:eastAsia="宋体"/>
                      <w:b/>
                      <w:color w:val="000000" w:themeColor="text1"/>
                      <w:kern w:val="0"/>
                      <w:sz w:val="21"/>
                      <w:szCs w:val="21"/>
                      <w:lang w:val="en-US" w:eastAsia="zh-CN"/>
                      <w14:textFill>
                        <w14:solidFill>
                          <w14:schemeClr w14:val="tx1"/>
                        </w14:solidFill>
                      </w14:textFill>
                    </w:rPr>
                  </w:pPr>
                  <w:r>
                    <w:rPr>
                      <w:rFonts w:hint="eastAsia"/>
                      <w:b w:val="0"/>
                      <w:bCs/>
                      <w:color w:val="000000" w:themeColor="text1"/>
                      <w:kern w:val="0"/>
                      <w:sz w:val="21"/>
                      <w:szCs w:val="21"/>
                      <w:lang w:val="en-US" w:eastAsia="zh-CN"/>
                      <w14:textFill>
                        <w14:solidFill>
                          <w14:schemeClr w14:val="tx1"/>
                        </w14:solidFill>
                      </w14:textFill>
                    </w:rPr>
                    <w:t>泵房及地下消防水池</w:t>
                  </w:r>
                </w:p>
              </w:tc>
              <w:tc>
                <w:tcPr>
                  <w:tcW w:w="2341" w:type="pct"/>
                  <w:vAlign w:val="center"/>
                </w:tcPr>
                <w:p w14:paraId="1349024E">
                  <w:pPr>
                    <w:spacing w:line="240" w:lineRule="auto"/>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位于厂区南侧，建筑面积约188.75m</w:t>
                  </w:r>
                  <w:r>
                    <w:rPr>
                      <w:rFonts w:hint="eastAsia"/>
                      <w:color w:val="000000" w:themeColor="text1"/>
                      <w:sz w:val="21"/>
                      <w:szCs w:val="21"/>
                      <w:vertAlign w:val="superscript"/>
                      <w:lang w:val="en-US" w:eastAsia="zh-CN"/>
                      <w14:textFill>
                        <w14:solidFill>
                          <w14:schemeClr w14:val="tx1"/>
                        </w14:solidFill>
                      </w14:textFill>
                    </w:rPr>
                    <w:t>2</w:t>
                  </w:r>
                  <w:r>
                    <w:rPr>
                      <w:rFonts w:hint="eastAsia"/>
                      <w:color w:val="000000" w:themeColor="text1"/>
                      <w:sz w:val="21"/>
                      <w:szCs w:val="21"/>
                      <w:vertAlign w:val="baseline"/>
                      <w:lang w:val="en-US" w:eastAsia="zh-CN"/>
                      <w14:textFill>
                        <w14:solidFill>
                          <w14:schemeClr w14:val="tx1"/>
                        </w14:solidFill>
                      </w14:textFill>
                    </w:rPr>
                    <w:t>，其中地上面积31.25m</w:t>
                  </w:r>
                  <w:r>
                    <w:rPr>
                      <w:rFonts w:hint="eastAsia"/>
                      <w:color w:val="000000" w:themeColor="text1"/>
                      <w:sz w:val="21"/>
                      <w:szCs w:val="21"/>
                      <w:vertAlign w:val="superscript"/>
                      <w:lang w:val="en-US" w:eastAsia="zh-CN"/>
                      <w14:textFill>
                        <w14:solidFill>
                          <w14:schemeClr w14:val="tx1"/>
                        </w14:solidFill>
                      </w14:textFill>
                    </w:rPr>
                    <w:t>2</w:t>
                  </w:r>
                  <w:r>
                    <w:rPr>
                      <w:rFonts w:hint="eastAsia"/>
                      <w:color w:val="000000" w:themeColor="text1"/>
                      <w:sz w:val="21"/>
                      <w:szCs w:val="21"/>
                      <w:vertAlign w:val="baseline"/>
                      <w:lang w:val="en-US" w:eastAsia="zh-CN"/>
                      <w14:textFill>
                        <w14:solidFill>
                          <w14:schemeClr w14:val="tx1"/>
                        </w14:solidFill>
                      </w14:textFill>
                    </w:rPr>
                    <w:t>，地下面积157.5m</w:t>
                  </w:r>
                  <w:r>
                    <w:rPr>
                      <w:rFonts w:hint="eastAsia"/>
                      <w:color w:val="000000" w:themeColor="text1"/>
                      <w:sz w:val="21"/>
                      <w:szCs w:val="21"/>
                      <w:vertAlign w:val="superscript"/>
                      <w:lang w:val="en-US" w:eastAsia="zh-CN"/>
                      <w14:textFill>
                        <w14:solidFill>
                          <w14:schemeClr w14:val="tx1"/>
                        </w14:solidFill>
                      </w14:textFill>
                    </w:rPr>
                    <w:t>2</w:t>
                  </w:r>
                </w:p>
              </w:tc>
              <w:tc>
                <w:tcPr>
                  <w:tcW w:w="936" w:type="pct"/>
                  <w:vAlign w:val="center"/>
                </w:tcPr>
                <w:p w14:paraId="093D967B">
                  <w:pPr>
                    <w:spacing w:line="240" w:lineRule="auto"/>
                    <w:jc w:val="center"/>
                    <w:rPr>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新建</w:t>
                  </w:r>
                </w:p>
              </w:tc>
            </w:tr>
            <w:tr w14:paraId="0DC6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9" w:type="pct"/>
                  <w:vAlign w:val="center"/>
                </w:tcPr>
                <w:p w14:paraId="049DD440">
                  <w:pPr>
                    <w:spacing w:line="240" w:lineRule="auto"/>
                    <w:jc w:val="center"/>
                    <w:rPr>
                      <w:b/>
                      <w:color w:val="000000" w:themeColor="text1"/>
                      <w:kern w:val="0"/>
                      <w:sz w:val="21"/>
                      <w:szCs w:val="21"/>
                      <w14:textFill>
                        <w14:solidFill>
                          <w14:schemeClr w14:val="tx1"/>
                        </w14:solidFill>
                      </w14:textFill>
                    </w:rPr>
                  </w:pPr>
                  <w:r>
                    <w:rPr>
                      <w:color w:val="000000" w:themeColor="text1"/>
                      <w:sz w:val="21"/>
                      <w:szCs w:val="21"/>
                      <w14:textFill>
                        <w14:solidFill>
                          <w14:schemeClr w14:val="tx1"/>
                        </w14:solidFill>
                      </w14:textFill>
                    </w:rPr>
                    <w:t>储运工程</w:t>
                  </w:r>
                </w:p>
              </w:tc>
              <w:tc>
                <w:tcPr>
                  <w:tcW w:w="1063" w:type="pct"/>
                  <w:vAlign w:val="center"/>
                </w:tcPr>
                <w:p w14:paraId="70551946">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仓库</w:t>
                  </w:r>
                </w:p>
              </w:tc>
              <w:tc>
                <w:tcPr>
                  <w:tcW w:w="2341" w:type="pct"/>
                  <w:vAlign w:val="center"/>
                </w:tcPr>
                <w:p w14:paraId="1900D764">
                  <w:pPr>
                    <w:spacing w:line="240" w:lineRule="auto"/>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位于厂区东南侧，2F，建筑高度12.8m，建筑面积约923m</w:t>
                  </w:r>
                  <w:r>
                    <w:rPr>
                      <w:rFonts w:hint="eastAsia"/>
                      <w:color w:val="000000" w:themeColor="text1"/>
                      <w:sz w:val="21"/>
                      <w:szCs w:val="21"/>
                      <w:vertAlign w:val="superscript"/>
                      <w:lang w:val="en-US" w:eastAsia="zh-CN"/>
                      <w14:textFill>
                        <w14:solidFill>
                          <w14:schemeClr w14:val="tx1"/>
                        </w14:solidFill>
                      </w14:textFill>
                    </w:rPr>
                    <w:t>2</w:t>
                  </w:r>
                  <w:r>
                    <w:rPr>
                      <w:rFonts w:hint="eastAsia"/>
                      <w:color w:val="000000" w:themeColor="text1"/>
                      <w:sz w:val="21"/>
                      <w:szCs w:val="21"/>
                      <w:vertAlign w:val="baseline"/>
                      <w:lang w:val="en-US" w:eastAsia="zh-CN"/>
                      <w14:textFill>
                        <w14:solidFill>
                          <w14:schemeClr w14:val="tx1"/>
                        </w14:solidFill>
                      </w14:textFill>
                    </w:rPr>
                    <w:t>，其中一层用于成品暂存，二层用于包材暂存</w:t>
                  </w:r>
                </w:p>
              </w:tc>
              <w:tc>
                <w:tcPr>
                  <w:tcW w:w="936" w:type="pct"/>
                  <w:vAlign w:val="center"/>
                </w:tcPr>
                <w:p w14:paraId="2D848DCB">
                  <w:pPr>
                    <w:spacing w:line="240" w:lineRule="auto"/>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新建</w:t>
                  </w:r>
                </w:p>
              </w:tc>
            </w:tr>
            <w:tr w14:paraId="3DC0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pct"/>
                  <w:vMerge w:val="restart"/>
                  <w:vAlign w:val="center"/>
                </w:tcPr>
                <w:p w14:paraId="7D31387B">
                  <w:pPr>
                    <w:spacing w:line="240" w:lineRule="auto"/>
                    <w:jc w:val="center"/>
                    <w:rPr>
                      <w:b/>
                      <w:color w:val="000000" w:themeColor="text1"/>
                      <w:kern w:val="0"/>
                      <w:sz w:val="21"/>
                      <w:szCs w:val="21"/>
                      <w14:textFill>
                        <w14:solidFill>
                          <w14:schemeClr w14:val="tx1"/>
                        </w14:solidFill>
                      </w14:textFill>
                    </w:rPr>
                  </w:pPr>
                  <w:r>
                    <w:rPr>
                      <w:color w:val="000000" w:themeColor="text1"/>
                      <w:sz w:val="21"/>
                      <w:szCs w:val="21"/>
                      <w14:textFill>
                        <w14:solidFill>
                          <w14:schemeClr w14:val="tx1"/>
                        </w14:solidFill>
                      </w14:textFill>
                    </w:rPr>
                    <w:t>公用工程</w:t>
                  </w:r>
                </w:p>
              </w:tc>
              <w:tc>
                <w:tcPr>
                  <w:tcW w:w="1063" w:type="pct"/>
                  <w:vAlign w:val="center"/>
                </w:tcPr>
                <w:p w14:paraId="3535D667">
                  <w:pPr>
                    <w:spacing w:line="240" w:lineRule="auto"/>
                    <w:jc w:val="center"/>
                    <w:rPr>
                      <w:b/>
                      <w:color w:val="000000" w:themeColor="text1"/>
                      <w:kern w:val="0"/>
                      <w:sz w:val="21"/>
                      <w:szCs w:val="21"/>
                      <w14:textFill>
                        <w14:solidFill>
                          <w14:schemeClr w14:val="tx1"/>
                        </w14:solidFill>
                      </w14:textFill>
                    </w:rPr>
                  </w:pPr>
                  <w:r>
                    <w:rPr>
                      <w:color w:val="000000" w:themeColor="text1"/>
                      <w:sz w:val="21"/>
                      <w:szCs w:val="21"/>
                      <w14:textFill>
                        <w14:solidFill>
                          <w14:schemeClr w14:val="tx1"/>
                        </w14:solidFill>
                      </w14:textFill>
                    </w:rPr>
                    <w:t>供电</w:t>
                  </w:r>
                </w:p>
              </w:tc>
              <w:tc>
                <w:tcPr>
                  <w:tcW w:w="2341" w:type="pct"/>
                  <w:vAlign w:val="center"/>
                </w:tcPr>
                <w:p w14:paraId="2F9D2AFA">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由市政电网供电当地供电电网</w:t>
                  </w:r>
                </w:p>
              </w:tc>
              <w:tc>
                <w:tcPr>
                  <w:tcW w:w="936" w:type="pct"/>
                  <w:vAlign w:val="center"/>
                </w:tcPr>
                <w:p w14:paraId="3CF5AFA9">
                  <w:pPr>
                    <w:spacing w:line="240" w:lineRule="auto"/>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依托现有供电电网</w:t>
                  </w:r>
                </w:p>
              </w:tc>
            </w:tr>
            <w:tr w14:paraId="48CA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pct"/>
                  <w:vMerge w:val="continue"/>
                  <w:vAlign w:val="center"/>
                </w:tcPr>
                <w:p w14:paraId="701A50B4">
                  <w:pPr>
                    <w:spacing w:line="240" w:lineRule="auto"/>
                    <w:jc w:val="center"/>
                    <w:rPr>
                      <w:b/>
                      <w:color w:val="000000" w:themeColor="text1"/>
                      <w:kern w:val="0"/>
                      <w:sz w:val="21"/>
                      <w:szCs w:val="21"/>
                      <w14:textFill>
                        <w14:solidFill>
                          <w14:schemeClr w14:val="tx1"/>
                        </w14:solidFill>
                      </w14:textFill>
                    </w:rPr>
                  </w:pPr>
                </w:p>
              </w:tc>
              <w:tc>
                <w:tcPr>
                  <w:tcW w:w="1063" w:type="pct"/>
                  <w:vAlign w:val="center"/>
                </w:tcPr>
                <w:p w14:paraId="66A216B1">
                  <w:pPr>
                    <w:spacing w:line="240" w:lineRule="auto"/>
                    <w:jc w:val="center"/>
                    <w:rPr>
                      <w:b/>
                      <w:color w:val="000000" w:themeColor="text1"/>
                      <w:kern w:val="0"/>
                      <w:sz w:val="21"/>
                      <w:szCs w:val="21"/>
                      <w14:textFill>
                        <w14:solidFill>
                          <w14:schemeClr w14:val="tx1"/>
                        </w14:solidFill>
                      </w14:textFill>
                    </w:rPr>
                  </w:pPr>
                  <w:r>
                    <w:rPr>
                      <w:color w:val="000000" w:themeColor="text1"/>
                      <w:sz w:val="21"/>
                      <w:szCs w:val="21"/>
                      <w14:textFill>
                        <w14:solidFill>
                          <w14:schemeClr w14:val="tx1"/>
                        </w14:solidFill>
                      </w14:textFill>
                    </w:rPr>
                    <w:t>供水</w:t>
                  </w:r>
                </w:p>
              </w:tc>
              <w:tc>
                <w:tcPr>
                  <w:tcW w:w="2341" w:type="pct"/>
                  <w:vAlign w:val="center"/>
                </w:tcPr>
                <w:p w14:paraId="6B1B6040">
                  <w:pPr>
                    <w:spacing w:line="240" w:lineRule="auto"/>
                    <w:jc w:val="center"/>
                    <w:rPr>
                      <w:rFonts w:hint="default"/>
                      <w:bCs/>
                      <w:color w:val="000000" w:themeColor="text1"/>
                      <w:kern w:val="0"/>
                      <w:sz w:val="21"/>
                      <w:szCs w:val="21"/>
                      <w:lang w:val="en-US" w:eastAsia="zh-CN"/>
                      <w14:textFill>
                        <w14:solidFill>
                          <w14:schemeClr w14:val="tx1"/>
                        </w14:solidFill>
                      </w14:textFill>
                    </w:rPr>
                  </w:pPr>
                  <w:r>
                    <w:rPr>
                      <w:rFonts w:hint="eastAsia"/>
                      <w:bCs/>
                      <w:color w:val="000000" w:themeColor="text1"/>
                      <w:kern w:val="0"/>
                      <w:sz w:val="21"/>
                      <w:szCs w:val="21"/>
                      <w:lang w:val="en-US" w:eastAsia="zh-CN"/>
                      <w14:textFill>
                        <w14:solidFill>
                          <w14:schemeClr w14:val="tx1"/>
                        </w14:solidFill>
                      </w14:textFill>
                    </w:rPr>
                    <w:t>项目用水包括生活用水及生产用水，采用市政供水，用水量约</w:t>
                  </w:r>
                  <w:r>
                    <w:rPr>
                      <w:rFonts w:hint="eastAsia" w:ascii="Times New Roman" w:hAnsi="Times New Roman" w:eastAsia="宋体" w:cs="Times New Roman"/>
                      <w:b w:val="0"/>
                      <w:bCs w:val="0"/>
                      <w:kern w:val="0"/>
                      <w:sz w:val="21"/>
                      <w:szCs w:val="21"/>
                      <w:lang w:val="en-US" w:eastAsia="zh-CN" w:bidi="ar-SA"/>
                    </w:rPr>
                    <w:t>1</w:t>
                  </w:r>
                  <w:r>
                    <w:rPr>
                      <w:rFonts w:hint="eastAsia" w:cs="Times New Roman"/>
                      <w:b w:val="0"/>
                      <w:bCs w:val="0"/>
                      <w:kern w:val="0"/>
                      <w:sz w:val="21"/>
                      <w:szCs w:val="21"/>
                      <w:lang w:val="en-US" w:eastAsia="zh-CN" w:bidi="ar-SA"/>
                    </w:rPr>
                    <w:t>4127m</w:t>
                  </w:r>
                  <w:r>
                    <w:rPr>
                      <w:rFonts w:hint="eastAsia" w:cs="Times New Roman"/>
                      <w:b w:val="0"/>
                      <w:bCs w:val="0"/>
                      <w:kern w:val="0"/>
                      <w:sz w:val="21"/>
                      <w:szCs w:val="21"/>
                      <w:vertAlign w:val="superscript"/>
                      <w:lang w:val="en-US" w:eastAsia="zh-CN" w:bidi="ar-SA"/>
                    </w:rPr>
                    <w:t>3</w:t>
                  </w:r>
                  <w:r>
                    <w:rPr>
                      <w:rFonts w:hint="eastAsia" w:cs="Times New Roman"/>
                      <w:b w:val="0"/>
                      <w:bCs w:val="0"/>
                      <w:kern w:val="0"/>
                      <w:sz w:val="21"/>
                      <w:szCs w:val="21"/>
                      <w:lang w:val="en-US" w:eastAsia="zh-CN" w:bidi="ar-SA"/>
                    </w:rPr>
                    <w:t>/d</w:t>
                  </w:r>
                </w:p>
              </w:tc>
              <w:tc>
                <w:tcPr>
                  <w:tcW w:w="936" w:type="pct"/>
                  <w:vAlign w:val="center"/>
                </w:tcPr>
                <w:p w14:paraId="1ABC2A45">
                  <w:pPr>
                    <w:spacing w:line="240" w:lineRule="auto"/>
                    <w:jc w:val="center"/>
                    <w:rPr>
                      <w:bCs/>
                      <w:color w:val="000000" w:themeColor="text1"/>
                      <w:kern w:val="0"/>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新建</w:t>
                  </w:r>
                </w:p>
              </w:tc>
            </w:tr>
            <w:tr w14:paraId="64FD8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pct"/>
                  <w:vMerge w:val="continue"/>
                  <w:vAlign w:val="center"/>
                </w:tcPr>
                <w:p w14:paraId="5625D88F">
                  <w:pPr>
                    <w:spacing w:line="240" w:lineRule="auto"/>
                    <w:jc w:val="center"/>
                    <w:rPr>
                      <w:b/>
                      <w:color w:val="000000" w:themeColor="text1"/>
                      <w:kern w:val="0"/>
                      <w:sz w:val="21"/>
                      <w:szCs w:val="21"/>
                      <w14:textFill>
                        <w14:solidFill>
                          <w14:schemeClr w14:val="tx1"/>
                        </w14:solidFill>
                      </w14:textFill>
                    </w:rPr>
                  </w:pPr>
                </w:p>
              </w:tc>
              <w:tc>
                <w:tcPr>
                  <w:tcW w:w="1063" w:type="pct"/>
                  <w:vAlign w:val="center"/>
                </w:tcPr>
                <w:p w14:paraId="45C68F81">
                  <w:pPr>
                    <w:spacing w:line="240" w:lineRule="auto"/>
                    <w:jc w:val="center"/>
                    <w:rPr>
                      <w:b/>
                      <w:color w:val="000000" w:themeColor="text1"/>
                      <w:kern w:val="0"/>
                      <w:sz w:val="21"/>
                      <w:szCs w:val="21"/>
                      <w14:textFill>
                        <w14:solidFill>
                          <w14:schemeClr w14:val="tx1"/>
                        </w14:solidFill>
                      </w14:textFill>
                    </w:rPr>
                  </w:pPr>
                  <w:r>
                    <w:rPr>
                      <w:color w:val="000000" w:themeColor="text1"/>
                      <w:sz w:val="21"/>
                      <w:szCs w:val="21"/>
                      <w14:textFill>
                        <w14:solidFill>
                          <w14:schemeClr w14:val="tx1"/>
                        </w14:solidFill>
                      </w14:textFill>
                    </w:rPr>
                    <w:t>排水</w:t>
                  </w:r>
                </w:p>
              </w:tc>
              <w:tc>
                <w:tcPr>
                  <w:tcW w:w="2341" w:type="pct"/>
                  <w:vAlign w:val="center"/>
                </w:tcPr>
                <w:p w14:paraId="5CFD5D8F">
                  <w:pPr>
                    <w:spacing w:line="240" w:lineRule="auto"/>
                    <w:jc w:val="center"/>
                    <w:rPr>
                      <w:rFonts w:hint="default" w:eastAsia="宋体"/>
                      <w:color w:val="000000" w:themeColor="text1"/>
                      <w:sz w:val="21"/>
                      <w:szCs w:val="21"/>
                      <w:lang w:val="en-US" w:eastAsia="zh-CN"/>
                      <w14:textFill>
                        <w14:solidFill>
                          <w14:schemeClr w14:val="tx1"/>
                        </w14:solidFill>
                      </w14:textFill>
                    </w:rPr>
                  </w:pPr>
                  <w:r>
                    <w:rPr>
                      <w:color w:val="000000" w:themeColor="text1"/>
                      <w:sz w:val="21"/>
                      <w:szCs w:val="21"/>
                      <w14:textFill>
                        <w14:solidFill>
                          <w14:schemeClr w14:val="tx1"/>
                        </w14:solidFill>
                      </w14:textFill>
                    </w:rPr>
                    <w:t>项目采用雨污分流，雨水</w:t>
                  </w:r>
                  <w:r>
                    <w:rPr>
                      <w:rFonts w:hint="eastAsia"/>
                      <w:color w:val="000000" w:themeColor="text1"/>
                      <w:sz w:val="21"/>
                      <w:szCs w:val="21"/>
                      <w14:textFill>
                        <w14:solidFill>
                          <w14:schemeClr w14:val="tx1"/>
                        </w14:solidFill>
                      </w14:textFill>
                    </w:rPr>
                    <w:t>排入</w:t>
                  </w:r>
                  <w:r>
                    <w:rPr>
                      <w:rFonts w:hint="eastAsia" w:ascii="宋体" w:hAnsi="宋体" w:cs="宋体"/>
                      <w:color w:val="000000" w:themeColor="text1"/>
                      <w:sz w:val="21"/>
                      <w:szCs w:val="21"/>
                      <w:lang w:val="en-US" w:eastAsia="zh-CN"/>
                      <w14:textFill>
                        <w14:solidFill>
                          <w14:schemeClr w14:val="tx1"/>
                        </w14:solidFill>
                      </w14:textFill>
                    </w:rPr>
                    <w:t>市政雨水管网，废水通过市政污水管网</w:t>
                  </w:r>
                  <w:r>
                    <w:rPr>
                      <w:rFonts w:hint="eastAsia"/>
                      <w:bCs/>
                      <w:color w:val="000000" w:themeColor="text1"/>
                      <w:kern w:val="0"/>
                      <w:sz w:val="21"/>
                      <w:szCs w:val="21"/>
                      <w:lang w:val="en-US" w:eastAsia="zh-CN"/>
                      <w14:textFill>
                        <w14:solidFill>
                          <w14:schemeClr w14:val="tx1"/>
                        </w14:solidFill>
                      </w14:textFill>
                    </w:rPr>
                    <w:t>进入泗县工业污水处理厂处理</w:t>
                  </w:r>
                </w:p>
              </w:tc>
              <w:tc>
                <w:tcPr>
                  <w:tcW w:w="936" w:type="pct"/>
                  <w:vAlign w:val="center"/>
                </w:tcPr>
                <w:p w14:paraId="3449D280">
                  <w:pPr>
                    <w:spacing w:line="240" w:lineRule="auto"/>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新建</w:t>
                  </w:r>
                </w:p>
              </w:tc>
            </w:tr>
            <w:tr w14:paraId="46FB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pct"/>
                  <w:vMerge w:val="continue"/>
                  <w:vAlign w:val="center"/>
                </w:tcPr>
                <w:p w14:paraId="36138D7B">
                  <w:pPr>
                    <w:spacing w:line="240" w:lineRule="auto"/>
                    <w:jc w:val="center"/>
                    <w:rPr>
                      <w:b/>
                      <w:color w:val="000000" w:themeColor="text1"/>
                      <w:kern w:val="0"/>
                      <w:sz w:val="21"/>
                      <w:szCs w:val="21"/>
                      <w14:textFill>
                        <w14:solidFill>
                          <w14:schemeClr w14:val="tx1"/>
                        </w14:solidFill>
                      </w14:textFill>
                    </w:rPr>
                  </w:pPr>
                </w:p>
              </w:tc>
              <w:tc>
                <w:tcPr>
                  <w:tcW w:w="1063" w:type="pct"/>
                  <w:vAlign w:val="center"/>
                </w:tcPr>
                <w:p w14:paraId="5B86DA4A">
                  <w:pPr>
                    <w:spacing w:line="240" w:lineRule="auto"/>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纯水制备系统</w:t>
                  </w:r>
                </w:p>
              </w:tc>
              <w:tc>
                <w:tcPr>
                  <w:tcW w:w="2341" w:type="pct"/>
                  <w:vAlign w:val="center"/>
                </w:tcPr>
                <w:p w14:paraId="35D64AE6">
                  <w:pPr>
                    <w:spacing w:line="240" w:lineRule="auto"/>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设置</w:t>
                  </w:r>
                  <w:r>
                    <w:rPr>
                      <w:rFonts w:hint="eastAsia"/>
                      <w:color w:val="000000" w:themeColor="text1"/>
                      <w:sz w:val="21"/>
                      <w:szCs w:val="21"/>
                      <w:lang w:val="en-US" w:eastAsia="zh-CN"/>
                      <w14:textFill>
                        <w14:solidFill>
                          <w14:schemeClr w14:val="tx1"/>
                        </w14:solidFill>
                      </w14:textFill>
                    </w:rPr>
                    <w:t>两套</w:t>
                  </w:r>
                  <w:r>
                    <w:rPr>
                      <w:rFonts w:hint="eastAsia"/>
                      <w:color w:val="000000" w:themeColor="text1"/>
                      <w:sz w:val="21"/>
                      <w:szCs w:val="21"/>
                      <w14:textFill>
                        <w14:solidFill>
                          <w14:schemeClr w14:val="tx1"/>
                        </w14:solidFill>
                      </w14:textFill>
                    </w:rPr>
                    <w:t>纯水制备系统，纯水制备机规格分别为2t/h和4t/h，</w:t>
                  </w:r>
                  <w:r>
                    <w:rPr>
                      <w:rFonts w:hint="eastAsia"/>
                      <w:color w:val="000000" w:themeColor="text1"/>
                      <w:sz w:val="21"/>
                      <w:szCs w:val="21"/>
                      <w:lang w:val="en-US" w:eastAsia="zh-CN"/>
                      <w14:textFill>
                        <w14:solidFill>
                          <w14:schemeClr w14:val="tx1"/>
                        </w14:solidFill>
                      </w14:textFill>
                    </w:rPr>
                    <w:t>位于车间二南侧为生产提供纯水，纯水制备工艺为双级反渗透（RO+RO）</w:t>
                  </w:r>
                </w:p>
              </w:tc>
              <w:tc>
                <w:tcPr>
                  <w:tcW w:w="936" w:type="pct"/>
                  <w:vAlign w:val="center"/>
                </w:tcPr>
                <w:p w14:paraId="732E5AEE">
                  <w:pPr>
                    <w:spacing w:line="240" w:lineRule="auto"/>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新建</w:t>
                  </w:r>
                </w:p>
              </w:tc>
            </w:tr>
            <w:tr w14:paraId="4A24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pct"/>
                  <w:vMerge w:val="restart"/>
                  <w:vAlign w:val="center"/>
                </w:tcPr>
                <w:p w14:paraId="1C7DFC93">
                  <w:pPr>
                    <w:spacing w:line="240" w:lineRule="auto"/>
                    <w:jc w:val="center"/>
                    <w:rPr>
                      <w:b/>
                      <w:color w:val="000000" w:themeColor="text1"/>
                      <w:kern w:val="0"/>
                      <w:sz w:val="21"/>
                      <w:szCs w:val="21"/>
                      <w14:textFill>
                        <w14:solidFill>
                          <w14:schemeClr w14:val="tx1"/>
                        </w14:solidFill>
                      </w14:textFill>
                    </w:rPr>
                  </w:pPr>
                  <w:r>
                    <w:rPr>
                      <w:color w:val="000000" w:themeColor="text1"/>
                      <w:sz w:val="21"/>
                      <w:szCs w:val="21"/>
                      <w14:textFill>
                        <w14:solidFill>
                          <w14:schemeClr w14:val="tx1"/>
                        </w14:solidFill>
                      </w14:textFill>
                    </w:rPr>
                    <w:t>环保工程</w:t>
                  </w:r>
                </w:p>
              </w:tc>
              <w:tc>
                <w:tcPr>
                  <w:tcW w:w="1063" w:type="pct"/>
                  <w:vAlign w:val="center"/>
                </w:tcPr>
                <w:p w14:paraId="62893231">
                  <w:pPr>
                    <w:spacing w:line="240" w:lineRule="auto"/>
                    <w:jc w:val="center"/>
                    <w:rPr>
                      <w:b/>
                      <w:color w:val="000000" w:themeColor="text1"/>
                      <w:kern w:val="0"/>
                      <w:sz w:val="21"/>
                      <w:szCs w:val="21"/>
                      <w14:textFill>
                        <w14:solidFill>
                          <w14:schemeClr w14:val="tx1"/>
                        </w14:solidFill>
                      </w14:textFill>
                    </w:rPr>
                  </w:pPr>
                  <w:r>
                    <w:rPr>
                      <w:color w:val="000000" w:themeColor="text1"/>
                      <w:sz w:val="21"/>
                      <w:szCs w:val="21"/>
                      <w14:textFill>
                        <w14:solidFill>
                          <w14:schemeClr w14:val="tx1"/>
                        </w14:solidFill>
                      </w14:textFill>
                    </w:rPr>
                    <w:t>废水</w:t>
                  </w:r>
                </w:p>
              </w:tc>
              <w:tc>
                <w:tcPr>
                  <w:tcW w:w="2341" w:type="pct"/>
                  <w:vAlign w:val="center"/>
                </w:tcPr>
                <w:p w14:paraId="3C4EE655">
                  <w:pPr>
                    <w:spacing w:line="240" w:lineRule="auto"/>
                    <w:jc w:val="center"/>
                    <w:rPr>
                      <w:rFonts w:hint="default"/>
                      <w:bCs/>
                      <w:color w:val="000000" w:themeColor="text1"/>
                      <w:kern w:val="0"/>
                      <w:sz w:val="21"/>
                      <w:szCs w:val="21"/>
                      <w:lang w:val="en-US" w:eastAsia="zh-CN"/>
                      <w14:textFill>
                        <w14:solidFill>
                          <w14:schemeClr w14:val="tx1"/>
                        </w14:solidFill>
                      </w14:textFill>
                    </w:rPr>
                  </w:pPr>
                  <w:r>
                    <w:rPr>
                      <w:rFonts w:hint="eastAsia"/>
                      <w:bCs/>
                      <w:color w:val="000000" w:themeColor="text1"/>
                      <w:kern w:val="0"/>
                      <w:sz w:val="21"/>
                      <w:szCs w:val="21"/>
                      <w:lang w:val="en-US" w:eastAsia="zh-CN"/>
                      <w14:textFill>
                        <w14:solidFill>
                          <w14:schemeClr w14:val="tx1"/>
                        </w14:solidFill>
                      </w14:textFill>
                    </w:rPr>
                    <w:t>生活污水经化粪池处理，生产废水经厂区污水处理设施（处理工艺：“格栅-调节池+气浮+A/O+沉淀池”，处理能力25m</w:t>
                  </w:r>
                  <w:r>
                    <w:rPr>
                      <w:rFonts w:hint="eastAsia"/>
                      <w:bCs/>
                      <w:color w:val="000000" w:themeColor="text1"/>
                      <w:kern w:val="0"/>
                      <w:sz w:val="21"/>
                      <w:szCs w:val="21"/>
                      <w:vertAlign w:val="superscript"/>
                      <w:lang w:val="en-US" w:eastAsia="zh-CN"/>
                      <w14:textFill>
                        <w14:solidFill>
                          <w14:schemeClr w14:val="tx1"/>
                        </w14:solidFill>
                      </w14:textFill>
                    </w:rPr>
                    <w:t>3</w:t>
                  </w:r>
                  <w:r>
                    <w:rPr>
                      <w:rFonts w:hint="eastAsia"/>
                      <w:bCs/>
                      <w:color w:val="000000" w:themeColor="text1"/>
                      <w:kern w:val="0"/>
                      <w:sz w:val="21"/>
                      <w:szCs w:val="21"/>
                      <w:lang w:val="en-US" w:eastAsia="zh-CN"/>
                      <w14:textFill>
                        <w14:solidFill>
                          <w14:schemeClr w14:val="tx1"/>
                        </w14:solidFill>
                      </w14:textFill>
                    </w:rPr>
                    <w:t>/d）处理后经厂区污水总排放口进入市政污水管网，最终进入泗县工业污水处理厂处理</w:t>
                  </w:r>
                </w:p>
              </w:tc>
              <w:tc>
                <w:tcPr>
                  <w:tcW w:w="936" w:type="pct"/>
                  <w:vAlign w:val="center"/>
                </w:tcPr>
                <w:p w14:paraId="2E7EA217">
                  <w:pPr>
                    <w:spacing w:line="240" w:lineRule="auto"/>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新建</w:t>
                  </w:r>
                </w:p>
              </w:tc>
            </w:tr>
            <w:tr w14:paraId="7AA5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659" w:type="pct"/>
                  <w:vMerge w:val="continue"/>
                  <w:vAlign w:val="center"/>
                </w:tcPr>
                <w:p w14:paraId="6C19F6CF">
                  <w:pPr>
                    <w:spacing w:line="240" w:lineRule="auto"/>
                    <w:jc w:val="center"/>
                    <w:rPr>
                      <w:b/>
                      <w:color w:val="000000" w:themeColor="text1"/>
                      <w:kern w:val="0"/>
                      <w:sz w:val="21"/>
                      <w:szCs w:val="21"/>
                      <w14:textFill>
                        <w14:solidFill>
                          <w14:schemeClr w14:val="tx1"/>
                        </w14:solidFill>
                      </w14:textFill>
                    </w:rPr>
                  </w:pPr>
                </w:p>
              </w:tc>
              <w:tc>
                <w:tcPr>
                  <w:tcW w:w="1063" w:type="pct"/>
                  <w:vAlign w:val="center"/>
                </w:tcPr>
                <w:p w14:paraId="167F1752">
                  <w:pPr>
                    <w:spacing w:line="240" w:lineRule="auto"/>
                    <w:jc w:val="center"/>
                    <w:rPr>
                      <w:b/>
                      <w:color w:val="000000" w:themeColor="text1"/>
                      <w:kern w:val="0"/>
                      <w:sz w:val="21"/>
                      <w:szCs w:val="21"/>
                      <w14:textFill>
                        <w14:solidFill>
                          <w14:schemeClr w14:val="tx1"/>
                        </w14:solidFill>
                      </w14:textFill>
                    </w:rPr>
                  </w:pPr>
                  <w:r>
                    <w:rPr>
                      <w:color w:val="000000" w:themeColor="text1"/>
                      <w:sz w:val="21"/>
                      <w:szCs w:val="21"/>
                      <w14:textFill>
                        <w14:solidFill>
                          <w14:schemeClr w14:val="tx1"/>
                        </w14:solidFill>
                      </w14:textFill>
                    </w:rPr>
                    <w:t>废气</w:t>
                  </w:r>
                </w:p>
              </w:tc>
              <w:tc>
                <w:tcPr>
                  <w:tcW w:w="2341" w:type="pct"/>
                  <w:vAlign w:val="center"/>
                </w:tcPr>
                <w:p w14:paraId="7C1908BF">
                  <w:pPr>
                    <w:spacing w:line="240" w:lineRule="auto"/>
                    <w:jc w:val="center"/>
                    <w:rPr>
                      <w:rFonts w:hint="default"/>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蚯蚓深加工过程产生的</w:t>
                  </w:r>
                  <w:r>
                    <w:rPr>
                      <w:rFonts w:hint="eastAsia"/>
                      <w:color w:val="000000" w:themeColor="text1"/>
                      <w:sz w:val="21"/>
                      <w:szCs w:val="21"/>
                      <w:lang w:val="en-US" w:eastAsia="zh-CN"/>
                      <w14:textFill>
                        <w14:solidFill>
                          <w14:schemeClr w14:val="tx1"/>
                        </w14:solidFill>
                      </w14:textFill>
                    </w:rPr>
                    <w:t>臭气经管道收集后进入生物除臭装置处理后经一根15m高排气筒（DA001）排放；污水处理站废气无组织排放，采用定期喷洒除臭剂处理</w:t>
                  </w:r>
                </w:p>
              </w:tc>
              <w:tc>
                <w:tcPr>
                  <w:tcW w:w="936" w:type="pct"/>
                  <w:vAlign w:val="center"/>
                </w:tcPr>
                <w:p w14:paraId="5DC5F064">
                  <w:pPr>
                    <w:spacing w:line="240" w:lineRule="auto"/>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新建</w:t>
                  </w:r>
                </w:p>
              </w:tc>
            </w:tr>
            <w:tr w14:paraId="717B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pct"/>
                  <w:vMerge w:val="continue"/>
                  <w:vAlign w:val="center"/>
                </w:tcPr>
                <w:p w14:paraId="0839F314">
                  <w:pPr>
                    <w:spacing w:line="240" w:lineRule="auto"/>
                    <w:jc w:val="center"/>
                    <w:rPr>
                      <w:b/>
                      <w:color w:val="000000" w:themeColor="text1"/>
                      <w:kern w:val="0"/>
                      <w:sz w:val="21"/>
                      <w:szCs w:val="21"/>
                      <w14:textFill>
                        <w14:solidFill>
                          <w14:schemeClr w14:val="tx1"/>
                        </w14:solidFill>
                      </w14:textFill>
                    </w:rPr>
                  </w:pPr>
                </w:p>
              </w:tc>
              <w:tc>
                <w:tcPr>
                  <w:tcW w:w="1063" w:type="pct"/>
                  <w:vAlign w:val="center"/>
                </w:tcPr>
                <w:p w14:paraId="1C49C9DF">
                  <w:pPr>
                    <w:spacing w:line="240" w:lineRule="auto"/>
                    <w:jc w:val="center"/>
                    <w:rPr>
                      <w:b/>
                      <w:color w:val="000000" w:themeColor="text1"/>
                      <w:kern w:val="0"/>
                      <w:sz w:val="21"/>
                      <w:szCs w:val="21"/>
                      <w14:textFill>
                        <w14:solidFill>
                          <w14:schemeClr w14:val="tx1"/>
                        </w14:solidFill>
                      </w14:textFill>
                    </w:rPr>
                  </w:pPr>
                  <w:r>
                    <w:rPr>
                      <w:bCs/>
                      <w:color w:val="000000" w:themeColor="text1"/>
                      <w:kern w:val="0"/>
                      <w:sz w:val="21"/>
                      <w:szCs w:val="21"/>
                      <w14:textFill>
                        <w14:solidFill>
                          <w14:schemeClr w14:val="tx1"/>
                        </w14:solidFill>
                      </w14:textFill>
                    </w:rPr>
                    <w:t>固废</w:t>
                  </w:r>
                </w:p>
              </w:tc>
              <w:tc>
                <w:tcPr>
                  <w:tcW w:w="2341" w:type="pct"/>
                  <w:vAlign w:val="center"/>
                </w:tcPr>
                <w:p w14:paraId="66114BE2">
                  <w:pPr>
                    <w:spacing w:line="240" w:lineRule="auto"/>
                    <w:jc w:val="center"/>
                    <w:rPr>
                      <w:rFonts w:hint="default" w:eastAsia="宋体"/>
                      <w:bCs/>
                      <w:color w:val="000000" w:themeColor="text1"/>
                      <w:sz w:val="21"/>
                      <w:szCs w:val="21"/>
                      <w:lang w:val="en-US" w:eastAsia="zh-CN"/>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生活垃圾经厂区垃圾桶收集，定期交由环卫部门处理</w:t>
                  </w:r>
                </w:p>
              </w:tc>
              <w:tc>
                <w:tcPr>
                  <w:tcW w:w="936" w:type="pct"/>
                  <w:vAlign w:val="center"/>
                </w:tcPr>
                <w:p w14:paraId="3AE891D7">
                  <w:pPr>
                    <w:spacing w:line="240" w:lineRule="auto"/>
                    <w:jc w:val="center"/>
                    <w:rPr>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新建</w:t>
                  </w:r>
                </w:p>
              </w:tc>
            </w:tr>
            <w:tr w14:paraId="6973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pct"/>
                  <w:vMerge w:val="continue"/>
                  <w:vAlign w:val="center"/>
                </w:tcPr>
                <w:p w14:paraId="30283E93">
                  <w:pPr>
                    <w:spacing w:line="240" w:lineRule="auto"/>
                    <w:jc w:val="center"/>
                    <w:rPr>
                      <w:b/>
                      <w:color w:val="000000" w:themeColor="text1"/>
                      <w:kern w:val="0"/>
                      <w:sz w:val="21"/>
                      <w:szCs w:val="21"/>
                      <w14:textFill>
                        <w14:solidFill>
                          <w14:schemeClr w14:val="tx1"/>
                        </w14:solidFill>
                      </w14:textFill>
                    </w:rPr>
                  </w:pPr>
                </w:p>
              </w:tc>
              <w:tc>
                <w:tcPr>
                  <w:tcW w:w="1063" w:type="pct"/>
                  <w:vAlign w:val="center"/>
                </w:tcPr>
                <w:p w14:paraId="58B1251B">
                  <w:pPr>
                    <w:spacing w:line="240" w:lineRule="auto"/>
                    <w:jc w:val="center"/>
                    <w:rPr>
                      <w:b/>
                      <w:color w:val="000000" w:themeColor="text1"/>
                      <w:kern w:val="0"/>
                      <w:sz w:val="21"/>
                      <w:szCs w:val="21"/>
                      <w14:textFill>
                        <w14:solidFill>
                          <w14:schemeClr w14:val="tx1"/>
                        </w14:solidFill>
                      </w14:textFill>
                    </w:rPr>
                  </w:pPr>
                  <w:r>
                    <w:rPr>
                      <w:bCs/>
                      <w:color w:val="000000" w:themeColor="text1"/>
                      <w:kern w:val="0"/>
                      <w:sz w:val="21"/>
                      <w:szCs w:val="21"/>
                      <w14:textFill>
                        <w14:solidFill>
                          <w14:schemeClr w14:val="tx1"/>
                        </w14:solidFill>
                      </w14:textFill>
                    </w:rPr>
                    <w:t>噪声</w:t>
                  </w:r>
                </w:p>
              </w:tc>
              <w:tc>
                <w:tcPr>
                  <w:tcW w:w="2341" w:type="pct"/>
                  <w:vAlign w:val="center"/>
                </w:tcPr>
                <w:p w14:paraId="4179572A">
                  <w:pPr>
                    <w:spacing w:line="240" w:lineRule="auto"/>
                    <w:jc w:val="center"/>
                    <w:rPr>
                      <w:bCs/>
                      <w:color w:val="000000" w:themeColor="text1"/>
                      <w:sz w:val="21"/>
                      <w:szCs w:val="21"/>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采用</w:t>
                  </w:r>
                  <w:r>
                    <w:rPr>
                      <w:bCs/>
                      <w:color w:val="000000" w:themeColor="text1"/>
                      <w:sz w:val="21"/>
                      <w:szCs w:val="21"/>
                      <w14:textFill>
                        <w14:solidFill>
                          <w14:schemeClr w14:val="tx1"/>
                        </w14:solidFill>
                      </w14:textFill>
                    </w:rPr>
                    <w:t>低噪设备</w:t>
                  </w:r>
                </w:p>
              </w:tc>
              <w:tc>
                <w:tcPr>
                  <w:tcW w:w="936" w:type="pct"/>
                  <w:vAlign w:val="center"/>
                </w:tcPr>
                <w:p w14:paraId="3A0304BF">
                  <w:pPr>
                    <w:spacing w:line="240" w:lineRule="auto"/>
                    <w:jc w:val="center"/>
                    <w:rPr>
                      <w:bCs/>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新建</w:t>
                  </w:r>
                </w:p>
              </w:tc>
            </w:tr>
            <w:tr w14:paraId="292DE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pct"/>
                  <w:vMerge w:val="continue"/>
                  <w:vAlign w:val="center"/>
                </w:tcPr>
                <w:p w14:paraId="40EBF4DB">
                  <w:pPr>
                    <w:spacing w:line="240" w:lineRule="auto"/>
                    <w:jc w:val="center"/>
                    <w:rPr>
                      <w:b/>
                      <w:color w:val="000000" w:themeColor="text1"/>
                      <w:kern w:val="0"/>
                      <w:sz w:val="21"/>
                      <w:szCs w:val="21"/>
                      <w14:textFill>
                        <w14:solidFill>
                          <w14:schemeClr w14:val="tx1"/>
                        </w14:solidFill>
                      </w14:textFill>
                    </w:rPr>
                  </w:pPr>
                </w:p>
              </w:tc>
              <w:tc>
                <w:tcPr>
                  <w:tcW w:w="1063" w:type="pct"/>
                  <w:vAlign w:val="center"/>
                </w:tcPr>
                <w:p w14:paraId="5D2C696D">
                  <w:pPr>
                    <w:spacing w:line="240" w:lineRule="auto"/>
                    <w:jc w:val="center"/>
                    <w:rPr>
                      <w:bCs/>
                      <w:color w:val="000000" w:themeColor="text1"/>
                      <w:kern w:val="0"/>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地下水、土壤</w:t>
                  </w:r>
                  <w:r>
                    <w:rPr>
                      <w:bCs/>
                      <w:color w:val="000000" w:themeColor="text1"/>
                      <w:sz w:val="21"/>
                      <w:szCs w:val="21"/>
                      <w14:textFill>
                        <w14:solidFill>
                          <w14:schemeClr w14:val="tx1"/>
                        </w14:solidFill>
                      </w14:textFill>
                    </w:rPr>
                    <w:t>污染防治措施</w:t>
                  </w:r>
                </w:p>
              </w:tc>
              <w:tc>
                <w:tcPr>
                  <w:tcW w:w="2341" w:type="pct"/>
                  <w:vAlign w:val="center"/>
                </w:tcPr>
                <w:p w14:paraId="18441D0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snapToGrid w:val="0"/>
                      <w:color w:val="000000" w:themeColor="text1"/>
                      <w:sz w:val="21"/>
                      <w:szCs w:val="21"/>
                      <w:lang w:val="en-US" w:eastAsia="zh-CN"/>
                      <w14:textFill>
                        <w14:solidFill>
                          <w14:schemeClr w14:val="tx1"/>
                        </w14:solidFill>
                      </w14:textFill>
                    </w:rPr>
                  </w:pPr>
                  <w:r>
                    <w:rPr>
                      <w:rFonts w:hint="eastAsia"/>
                      <w:snapToGrid w:val="0"/>
                      <w:color w:val="000000" w:themeColor="text1"/>
                      <w:sz w:val="21"/>
                      <w:szCs w:val="21"/>
                      <w:lang w:val="en-US" w:eastAsia="zh-CN"/>
                      <w14:textFill>
                        <w14:solidFill>
                          <w14:schemeClr w14:val="tx1"/>
                        </w14:solidFill>
                      </w14:textFill>
                    </w:rPr>
                    <w:t>危废间设重点防渗；基础必须防渗，防渗层为至少1m厚黏土层（渗透系数不大于10</w:t>
                  </w:r>
                  <w:r>
                    <w:rPr>
                      <w:rFonts w:hint="eastAsia"/>
                      <w:snapToGrid w:val="0"/>
                      <w:color w:val="000000" w:themeColor="text1"/>
                      <w:sz w:val="21"/>
                      <w:szCs w:val="21"/>
                      <w:vertAlign w:val="superscript"/>
                      <w:lang w:val="en-US" w:eastAsia="zh-CN"/>
                      <w14:textFill>
                        <w14:solidFill>
                          <w14:schemeClr w14:val="tx1"/>
                        </w14:solidFill>
                      </w14:textFill>
                    </w:rPr>
                    <w:t>-7</w:t>
                  </w:r>
                  <w:r>
                    <w:rPr>
                      <w:rFonts w:hint="eastAsia"/>
                      <w:snapToGrid w:val="0"/>
                      <w:color w:val="000000" w:themeColor="text1"/>
                      <w:sz w:val="21"/>
                      <w:szCs w:val="21"/>
                      <w:lang w:val="en-US" w:eastAsia="zh-CN"/>
                      <w14:textFill>
                        <w14:solidFill>
                          <w14:schemeClr w14:val="tx1"/>
                        </w14:solidFill>
                      </w14:textFill>
                    </w:rPr>
                    <w:t>cm/s），或至少2mm厚高密度聚乙烯膜等人工防渗材料（渗透系数不大于10</w:t>
                  </w:r>
                  <w:r>
                    <w:rPr>
                      <w:rFonts w:hint="eastAsia"/>
                      <w:snapToGrid w:val="0"/>
                      <w:color w:val="000000" w:themeColor="text1"/>
                      <w:sz w:val="21"/>
                      <w:szCs w:val="21"/>
                      <w:vertAlign w:val="superscript"/>
                      <w:lang w:val="en-US" w:eastAsia="zh-CN"/>
                      <w14:textFill>
                        <w14:solidFill>
                          <w14:schemeClr w14:val="tx1"/>
                        </w14:solidFill>
                      </w14:textFill>
                    </w:rPr>
                    <w:t>-10</w:t>
                  </w:r>
                  <w:r>
                    <w:rPr>
                      <w:rFonts w:hint="eastAsia"/>
                      <w:snapToGrid w:val="0"/>
                      <w:color w:val="000000" w:themeColor="text1"/>
                      <w:sz w:val="21"/>
                      <w:szCs w:val="21"/>
                      <w:lang w:val="en-US" w:eastAsia="zh-CN"/>
                      <w14:textFill>
                        <w14:solidFill>
                          <w14:schemeClr w14:val="tx1"/>
                        </w14:solidFill>
                      </w14:textFill>
                    </w:rPr>
                    <w:t>cm/s），或其他防渗性能等效的材料。</w:t>
                  </w:r>
                </w:p>
                <w:p w14:paraId="4C7FB65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napToGrid w:val="0"/>
                      <w:color w:val="000000" w:themeColor="text1"/>
                      <w:sz w:val="21"/>
                      <w:szCs w:val="21"/>
                      <w:lang w:val="en-US" w:eastAsia="zh-CN"/>
                      <w14:textFill>
                        <w14:solidFill>
                          <w14:schemeClr w14:val="tx1"/>
                        </w14:solidFill>
                      </w14:textFill>
                    </w:rPr>
                  </w:pPr>
                  <w:r>
                    <w:rPr>
                      <w:rFonts w:hint="eastAsia"/>
                      <w:snapToGrid w:val="0"/>
                      <w:color w:val="000000" w:themeColor="text1"/>
                      <w:sz w:val="21"/>
                      <w:szCs w:val="21"/>
                      <w:lang w:val="en-US" w:eastAsia="zh-CN"/>
                      <w14:textFill>
                        <w14:solidFill>
                          <w14:schemeClr w14:val="tx1"/>
                        </w14:solidFill>
                      </w14:textFill>
                    </w:rPr>
                    <w:t>除综合楼以外其他区域划分为一般防渗区，防渗层需满足等效黏土防水层Mb≥1.5m，K≤1.0×10</w:t>
                  </w:r>
                  <w:r>
                    <w:rPr>
                      <w:rFonts w:hint="eastAsia"/>
                      <w:snapToGrid w:val="0"/>
                      <w:color w:val="000000" w:themeColor="text1"/>
                      <w:sz w:val="21"/>
                      <w:szCs w:val="21"/>
                      <w:vertAlign w:val="superscript"/>
                      <w:lang w:val="en-US" w:eastAsia="zh-CN"/>
                      <w14:textFill>
                        <w14:solidFill>
                          <w14:schemeClr w14:val="tx1"/>
                        </w14:solidFill>
                      </w14:textFill>
                    </w:rPr>
                    <w:t>-7</w:t>
                  </w:r>
                  <w:r>
                    <w:rPr>
                      <w:rFonts w:hint="eastAsia"/>
                      <w:snapToGrid w:val="0"/>
                      <w:color w:val="000000" w:themeColor="text1"/>
                      <w:sz w:val="21"/>
                      <w:szCs w:val="21"/>
                      <w:lang w:val="en-US" w:eastAsia="zh-CN"/>
                      <w14:textFill>
                        <w14:solidFill>
                          <w14:schemeClr w14:val="tx1"/>
                        </w14:solidFill>
                      </w14:textFill>
                    </w:rPr>
                    <w:t>cm/s，或参照GB 16889执行。综合楼进行地面硬化。</w:t>
                  </w:r>
                </w:p>
              </w:tc>
              <w:tc>
                <w:tcPr>
                  <w:tcW w:w="936" w:type="pct"/>
                  <w:vAlign w:val="center"/>
                </w:tcPr>
                <w:p w14:paraId="2137706F">
                  <w:pPr>
                    <w:spacing w:line="240" w:lineRule="auto"/>
                    <w:jc w:val="center"/>
                    <w:rPr>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新建</w:t>
                  </w:r>
                </w:p>
              </w:tc>
            </w:tr>
            <w:tr w14:paraId="49B7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pct"/>
                  <w:vMerge w:val="continue"/>
                  <w:vAlign w:val="center"/>
                </w:tcPr>
                <w:p w14:paraId="3860B4CE">
                  <w:pPr>
                    <w:spacing w:line="240" w:lineRule="auto"/>
                    <w:jc w:val="center"/>
                    <w:rPr>
                      <w:b/>
                      <w:color w:val="000000" w:themeColor="text1"/>
                      <w:kern w:val="0"/>
                      <w:sz w:val="21"/>
                      <w:szCs w:val="21"/>
                      <w14:textFill>
                        <w14:solidFill>
                          <w14:schemeClr w14:val="tx1"/>
                        </w14:solidFill>
                      </w14:textFill>
                    </w:rPr>
                  </w:pPr>
                </w:p>
              </w:tc>
              <w:tc>
                <w:tcPr>
                  <w:tcW w:w="1063" w:type="pct"/>
                  <w:vAlign w:val="center"/>
                </w:tcPr>
                <w:p w14:paraId="051401A4">
                  <w:pPr>
                    <w:adjustRightInd w:val="0"/>
                    <w:snapToGrid w:val="0"/>
                    <w:spacing w:line="240" w:lineRule="auto"/>
                    <w:jc w:val="center"/>
                    <w:rPr>
                      <w:rFonts w:hint="default" w:ascii="Times New Roman" w:hAnsi="Times New Roman" w:cs="Times New Roman"/>
                      <w:bCs/>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环境风险防范措施</w:t>
                  </w:r>
                </w:p>
              </w:tc>
              <w:tc>
                <w:tcPr>
                  <w:tcW w:w="2341" w:type="pct"/>
                  <w:vAlign w:val="center"/>
                </w:tcPr>
                <w:p w14:paraId="5001EC2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①本项目使用的</w:t>
                  </w:r>
                  <w:r>
                    <w:rPr>
                      <w:rFonts w:hint="eastAsia" w:cs="Times New Roman"/>
                      <w:color w:val="000000" w:themeColor="text1"/>
                      <w:kern w:val="0"/>
                      <w:sz w:val="21"/>
                      <w:szCs w:val="21"/>
                      <w:lang w:val="en-US" w:eastAsia="zh-CN"/>
                      <w14:textFill>
                        <w14:solidFill>
                          <w14:schemeClr w14:val="tx1"/>
                        </w14:solidFill>
                      </w14:textFill>
                    </w:rPr>
                    <w:t>实验室试剂</w:t>
                  </w:r>
                  <w:r>
                    <w:rPr>
                      <w:rFonts w:hint="default" w:ascii="Times New Roman" w:hAnsi="Times New Roman" w:cs="Times New Roman"/>
                      <w:color w:val="000000" w:themeColor="text1"/>
                      <w:kern w:val="0"/>
                      <w:sz w:val="21"/>
                      <w:szCs w:val="21"/>
                      <w14:textFill>
                        <w14:solidFill>
                          <w14:schemeClr w14:val="tx1"/>
                        </w14:solidFill>
                      </w14:textFill>
                    </w:rPr>
                    <w:t>等液体泄漏可能会对土壤造成影响，建设单位须设单独的</w:t>
                  </w:r>
                  <w:r>
                    <w:rPr>
                      <w:rFonts w:hint="eastAsia" w:cs="Times New Roman"/>
                      <w:color w:val="000000" w:themeColor="text1"/>
                      <w:kern w:val="0"/>
                      <w:sz w:val="21"/>
                      <w:szCs w:val="21"/>
                      <w:lang w:val="en-US" w:eastAsia="zh-CN"/>
                      <w14:textFill>
                        <w14:solidFill>
                          <w14:schemeClr w14:val="tx1"/>
                        </w14:solidFill>
                      </w14:textFill>
                    </w:rPr>
                    <w:t>化学品柜</w:t>
                  </w:r>
                  <w:r>
                    <w:rPr>
                      <w:rFonts w:hint="default" w:ascii="Times New Roman" w:hAnsi="Times New Roman" w:cs="Times New Roman"/>
                      <w:color w:val="000000" w:themeColor="text1"/>
                      <w:kern w:val="0"/>
                      <w:sz w:val="21"/>
                      <w:szCs w:val="21"/>
                      <w14:textFill>
                        <w14:solidFill>
                          <w14:schemeClr w14:val="tx1"/>
                        </w14:solidFill>
                      </w14:textFill>
                    </w:rPr>
                    <w:t>，做好地面防渗并进行管理记录。</w:t>
                  </w:r>
                </w:p>
                <w:p w14:paraId="37CA1A6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②</w:t>
                  </w:r>
                  <w:r>
                    <w:rPr>
                      <w:rFonts w:hint="eastAsia" w:cs="Times New Roman"/>
                      <w:color w:val="000000" w:themeColor="text1"/>
                      <w:kern w:val="0"/>
                      <w:sz w:val="21"/>
                      <w:szCs w:val="21"/>
                      <w:lang w:val="en-US" w:eastAsia="zh-CN"/>
                      <w14:textFill>
                        <w14:solidFill>
                          <w14:schemeClr w14:val="tx1"/>
                        </w14:solidFill>
                      </w14:textFill>
                    </w:rPr>
                    <w:t>生产车间</w:t>
                  </w:r>
                  <w:r>
                    <w:rPr>
                      <w:rFonts w:hint="default" w:ascii="Times New Roman" w:hAnsi="Times New Roman" w:cs="Times New Roman"/>
                      <w:color w:val="000000" w:themeColor="text1"/>
                      <w:kern w:val="0"/>
                      <w:sz w:val="21"/>
                      <w:szCs w:val="21"/>
                      <w14:textFill>
                        <w14:solidFill>
                          <w14:schemeClr w14:val="tx1"/>
                        </w14:solidFill>
                      </w14:textFill>
                    </w:rPr>
                    <w:t>设置灭火器以防止火灾。</w:t>
                  </w:r>
                </w:p>
                <w:p w14:paraId="72F3677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③建设单位须制订环境突发事故应急预案，一旦突发环境风险事故，必须立即按应急预案提到的紧急处理、救援、监测方案等进行紧急救援，救援人员采取相应的防护措施，以避免造成人员伤亡事故。</w:t>
                  </w:r>
                </w:p>
              </w:tc>
              <w:tc>
                <w:tcPr>
                  <w:tcW w:w="936" w:type="pct"/>
                  <w:vAlign w:val="center"/>
                </w:tcPr>
                <w:p w14:paraId="1CFF1673">
                  <w:pPr>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新建</w:t>
                  </w:r>
                </w:p>
              </w:tc>
            </w:tr>
          </w:tbl>
          <w:p w14:paraId="01C46410">
            <w:pPr>
              <w:spacing w:line="360" w:lineRule="auto"/>
              <w:ind w:firstLine="480" w:firstLineChars="200"/>
              <w:rPr>
                <w:b/>
                <w:color w:val="000000" w:themeColor="text1"/>
                <w:kern w:val="0"/>
                <w:sz w:val="24"/>
                <w14:textFill>
                  <w14:solidFill>
                    <w14:schemeClr w14:val="tx1"/>
                  </w14:solidFill>
                </w14:textFill>
              </w:rPr>
            </w:pPr>
            <w:r>
              <w:rPr>
                <w:rFonts w:ascii="宋体" w:hAnsi="宋体" w:cs="宋体"/>
                <w:color w:val="000000" w:themeColor="text1"/>
                <w:sz w:val="24"/>
                <w14:textFill>
                  <w14:solidFill>
                    <w14:schemeClr w14:val="tx1"/>
                  </w14:solidFill>
                </w14:textFill>
              </w:rPr>
              <w:t>二</w:t>
            </w:r>
            <w:r>
              <w:rPr>
                <w:b/>
                <w:color w:val="000000" w:themeColor="text1"/>
                <w:kern w:val="0"/>
                <w:sz w:val="24"/>
                <w14:textFill>
                  <w14:solidFill>
                    <w14:schemeClr w14:val="tx1"/>
                  </w14:solidFill>
                </w14:textFill>
              </w:rPr>
              <w:t>、产品方案</w:t>
            </w:r>
          </w:p>
          <w:p w14:paraId="7200F5AA">
            <w:pPr>
              <w:autoSpaceDE w:val="0"/>
              <w:autoSpaceDN w:val="0"/>
              <w:adjustRightInd w:val="0"/>
              <w:spacing w:line="360" w:lineRule="auto"/>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1、产品方案</w:t>
            </w:r>
          </w:p>
          <w:p w14:paraId="12B13526">
            <w:pPr>
              <w:autoSpaceDE w:val="0"/>
              <w:autoSpaceDN w:val="0"/>
              <w:adjustRightInd w:val="0"/>
              <w:spacing w:line="360" w:lineRule="auto"/>
              <w:ind w:firstLine="480"/>
              <w:rPr>
                <w:b/>
                <w:bCs/>
                <w:color w:val="000000" w:themeColor="text1"/>
                <w:sz w:val="24"/>
                <w14:textFill>
                  <w14:solidFill>
                    <w14:schemeClr w14:val="tx1"/>
                  </w14:solidFill>
                </w14:textFill>
              </w:rPr>
            </w:pPr>
            <w:r>
              <w:rPr>
                <w:color w:val="000000" w:themeColor="text1"/>
                <w:sz w:val="24"/>
                <w14:textFill>
                  <w14:solidFill>
                    <w14:schemeClr w14:val="tx1"/>
                  </w14:solidFill>
                </w14:textFill>
              </w:rPr>
              <w:t>本项目</w:t>
            </w:r>
            <w:r>
              <w:rPr>
                <w:rFonts w:hint="eastAsia"/>
                <w:color w:val="000000" w:themeColor="text1"/>
                <w:sz w:val="24"/>
                <w:lang w:val="en-US" w:eastAsia="zh-CN"/>
                <w14:textFill>
                  <w14:solidFill>
                    <w14:schemeClr w14:val="tx1"/>
                  </w14:solidFill>
                </w14:textFill>
              </w:rPr>
              <w:t>设计</w:t>
            </w:r>
            <w:r>
              <w:rPr>
                <w:bCs/>
                <w:color w:val="000000" w:themeColor="text1"/>
                <w:sz w:val="24"/>
                <w14:textFill>
                  <w14:solidFill>
                    <w14:schemeClr w14:val="tx1"/>
                  </w14:solidFill>
                </w14:textFill>
              </w:rPr>
              <w:t>年产</w:t>
            </w:r>
            <w:r>
              <w:rPr>
                <w:rFonts w:hint="eastAsia"/>
                <w:iCs/>
                <w:color w:val="000000" w:themeColor="text1"/>
                <w:sz w:val="24"/>
                <w14:textFill>
                  <w14:solidFill>
                    <w14:schemeClr w14:val="tx1"/>
                  </w14:solidFill>
                </w14:textFill>
              </w:rPr>
              <w:t>饲料添加剂</w:t>
            </w:r>
            <w:r>
              <w:rPr>
                <w:rFonts w:hint="eastAsia"/>
                <w:iCs/>
                <w:color w:val="000000" w:themeColor="text1"/>
                <w:sz w:val="24"/>
                <w:lang w:val="en-US" w:eastAsia="zh-CN"/>
                <w14:textFill>
                  <w14:solidFill>
                    <w14:schemeClr w14:val="tx1"/>
                  </w14:solidFill>
                </w14:textFill>
              </w:rPr>
              <w:t>1000</w:t>
            </w:r>
            <w:r>
              <w:rPr>
                <w:iCs/>
                <w:color w:val="000000" w:themeColor="text1"/>
                <w:sz w:val="24"/>
                <w14:textFill>
                  <w14:solidFill>
                    <w14:schemeClr w14:val="tx1"/>
                  </w14:solidFill>
                </w14:textFill>
              </w:rPr>
              <w:t>吨</w:t>
            </w:r>
            <w:r>
              <w:rPr>
                <w:color w:val="000000" w:themeColor="text1"/>
                <w:sz w:val="24"/>
                <w14:textFill>
                  <w14:solidFill>
                    <w14:schemeClr w14:val="tx1"/>
                  </w14:solidFill>
                </w14:textFill>
              </w:rPr>
              <w:t>，具体产品方案见下表。</w:t>
            </w:r>
          </w:p>
          <w:p w14:paraId="2365B73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表2-2 项目产品方案一览表</w:t>
            </w:r>
          </w:p>
          <w:tbl>
            <w:tblPr>
              <w:tblStyle w:val="23"/>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702"/>
              <w:gridCol w:w="1523"/>
              <w:gridCol w:w="1638"/>
              <w:gridCol w:w="2084"/>
            </w:tblGrid>
            <w:tr w14:paraId="4A85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620" w:type="pct"/>
                  <w:vAlign w:val="center"/>
                </w:tcPr>
                <w:p w14:paraId="3ABF5439">
                  <w:pPr>
                    <w:autoSpaceDE w:val="0"/>
                    <w:autoSpaceDN w:val="0"/>
                    <w:adjustRightInd w:val="0"/>
                    <w:jc w:val="center"/>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序号</w:t>
                  </w:r>
                </w:p>
              </w:tc>
              <w:tc>
                <w:tcPr>
                  <w:tcW w:w="1072" w:type="pct"/>
                  <w:vAlign w:val="center"/>
                </w:tcPr>
                <w:p w14:paraId="2D15F418">
                  <w:pPr>
                    <w:autoSpaceDE w:val="0"/>
                    <w:autoSpaceDN w:val="0"/>
                    <w:adjustRightInd w:val="0"/>
                    <w:jc w:val="center"/>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名称</w:t>
                  </w:r>
                </w:p>
              </w:tc>
              <w:tc>
                <w:tcPr>
                  <w:tcW w:w="960" w:type="pct"/>
                  <w:vAlign w:val="center"/>
                </w:tcPr>
                <w:p w14:paraId="46B238E8">
                  <w:pPr>
                    <w:autoSpaceDE w:val="0"/>
                    <w:autoSpaceDN w:val="0"/>
                    <w:adjustRightInd w:val="0"/>
                    <w:jc w:val="center"/>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产量</w:t>
                  </w:r>
                </w:p>
              </w:tc>
              <w:tc>
                <w:tcPr>
                  <w:tcW w:w="1032" w:type="pct"/>
                  <w:vAlign w:val="center"/>
                </w:tcPr>
                <w:p w14:paraId="4B3F59DE">
                  <w:pPr>
                    <w:autoSpaceDE w:val="0"/>
                    <w:autoSpaceDN w:val="0"/>
                    <w:adjustRightInd w:val="0"/>
                    <w:jc w:val="center"/>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单位</w:t>
                  </w:r>
                </w:p>
              </w:tc>
              <w:tc>
                <w:tcPr>
                  <w:tcW w:w="1313" w:type="pct"/>
                  <w:vAlign w:val="center"/>
                </w:tcPr>
                <w:p w14:paraId="110C0F7C">
                  <w:pPr>
                    <w:autoSpaceDE w:val="0"/>
                    <w:autoSpaceDN w:val="0"/>
                    <w:adjustRightInd w:val="0"/>
                    <w:jc w:val="center"/>
                    <w:rPr>
                      <w:rFonts w:hint="eastAsia" w:eastAsia="宋体"/>
                      <w:b/>
                      <w:bCs/>
                      <w:color w:val="000000" w:themeColor="text1"/>
                      <w:szCs w:val="21"/>
                      <w:lang w:val="en-US" w:eastAsia="zh-CN"/>
                      <w14:textFill>
                        <w14:solidFill>
                          <w14:schemeClr w14:val="tx1"/>
                        </w14:solidFill>
                      </w14:textFill>
                    </w:rPr>
                  </w:pPr>
                  <w:r>
                    <w:rPr>
                      <w:rFonts w:hint="eastAsia"/>
                      <w:b/>
                      <w:bCs/>
                      <w:color w:val="000000" w:themeColor="text1"/>
                      <w:szCs w:val="21"/>
                      <w:lang w:val="en-US" w:eastAsia="zh-CN"/>
                      <w14:textFill>
                        <w14:solidFill>
                          <w14:schemeClr w14:val="tx1"/>
                        </w14:solidFill>
                      </w14:textFill>
                    </w:rPr>
                    <w:t>包装规格</w:t>
                  </w:r>
                </w:p>
              </w:tc>
            </w:tr>
            <w:tr w14:paraId="0908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20" w:type="pct"/>
                  <w:vAlign w:val="center"/>
                </w:tcPr>
                <w:p w14:paraId="00FAF071">
                  <w:pPr>
                    <w:autoSpaceDE w:val="0"/>
                    <w:autoSpaceDN w:val="0"/>
                    <w:adjustRightIn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1072" w:type="pct"/>
                  <w:vAlign w:val="center"/>
                </w:tcPr>
                <w:p w14:paraId="561C630F">
                  <w:pPr>
                    <w:autoSpaceDE w:val="0"/>
                    <w:autoSpaceDN w:val="0"/>
                    <w:adjustRightInd w:val="0"/>
                    <w:jc w:val="center"/>
                    <w:rPr>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饲料添加剂</w:t>
                  </w:r>
                </w:p>
              </w:tc>
              <w:tc>
                <w:tcPr>
                  <w:tcW w:w="960" w:type="pct"/>
                  <w:vAlign w:val="center"/>
                </w:tcPr>
                <w:p w14:paraId="050D3421">
                  <w:pPr>
                    <w:autoSpaceDE w:val="0"/>
                    <w:autoSpaceDN w:val="0"/>
                    <w:adjustRightInd w:val="0"/>
                    <w:jc w:val="center"/>
                    <w:rPr>
                      <w:rFonts w:hint="default" w:eastAsia="宋体"/>
                      <w:color w:val="000000" w:themeColor="text1"/>
                      <w:szCs w:val="21"/>
                      <w:lang w:val="en-US" w:eastAsia="zh-CN"/>
                      <w14:textFill>
                        <w14:solidFill>
                          <w14:schemeClr w14:val="tx1"/>
                        </w14:solidFill>
                      </w14:textFill>
                    </w:rPr>
                  </w:pPr>
                  <w:r>
                    <w:rPr>
                      <w:rFonts w:hint="eastAsia"/>
                      <w:iCs/>
                      <w:color w:val="000000" w:themeColor="text1"/>
                      <w:szCs w:val="21"/>
                      <w:lang w:val="en-US" w:eastAsia="zh-CN"/>
                      <w14:textFill>
                        <w14:solidFill>
                          <w14:schemeClr w14:val="tx1"/>
                        </w14:solidFill>
                      </w14:textFill>
                    </w:rPr>
                    <w:t>1000</w:t>
                  </w:r>
                </w:p>
              </w:tc>
              <w:tc>
                <w:tcPr>
                  <w:tcW w:w="1032" w:type="pct"/>
                  <w:vAlign w:val="center"/>
                </w:tcPr>
                <w:p w14:paraId="3AD17068">
                  <w:pPr>
                    <w:autoSpaceDE w:val="0"/>
                    <w:autoSpaceDN w:val="0"/>
                    <w:adjustRightInd w:val="0"/>
                    <w:jc w:val="center"/>
                    <w:rPr>
                      <w:color w:val="000000" w:themeColor="text1"/>
                      <w:szCs w:val="21"/>
                      <w14:textFill>
                        <w14:solidFill>
                          <w14:schemeClr w14:val="tx1"/>
                        </w14:solidFill>
                      </w14:textFill>
                    </w:rPr>
                  </w:pPr>
                  <w:r>
                    <w:rPr>
                      <w:iCs/>
                      <w:color w:val="000000" w:themeColor="text1"/>
                      <w:szCs w:val="21"/>
                      <w14:textFill>
                        <w14:solidFill>
                          <w14:schemeClr w14:val="tx1"/>
                        </w14:solidFill>
                      </w14:textFill>
                    </w:rPr>
                    <w:t>吨</w:t>
                  </w:r>
                  <w:r>
                    <w:rPr>
                      <w:color w:val="000000" w:themeColor="text1"/>
                      <w:szCs w:val="21"/>
                      <w14:textFill>
                        <w14:solidFill>
                          <w14:schemeClr w14:val="tx1"/>
                        </w14:solidFill>
                      </w14:textFill>
                    </w:rPr>
                    <w:t>/年</w:t>
                  </w:r>
                </w:p>
              </w:tc>
              <w:tc>
                <w:tcPr>
                  <w:tcW w:w="1313" w:type="pct"/>
                  <w:vAlign w:val="center"/>
                </w:tcPr>
                <w:p w14:paraId="4E3A90E1">
                  <w:pPr>
                    <w:autoSpaceDE w:val="0"/>
                    <w:autoSpaceDN w:val="0"/>
                    <w:adjustRightInd w:val="0"/>
                    <w:jc w:val="center"/>
                    <w:rPr>
                      <w:iCs/>
                      <w:color w:val="000000" w:themeColor="text1"/>
                      <w:szCs w:val="21"/>
                      <w14:textFill>
                        <w14:solidFill>
                          <w14:schemeClr w14:val="tx1"/>
                        </w14:solidFill>
                      </w14:textFill>
                    </w:rPr>
                  </w:pPr>
                  <w:r>
                    <w:rPr>
                      <w:rFonts w:hint="eastAsia"/>
                      <w:iCs/>
                      <w:color w:val="000000" w:themeColor="text1"/>
                      <w:szCs w:val="21"/>
                      <w:lang w:val="en-US" w:eastAsia="zh-CN"/>
                      <w14:textFill>
                        <w14:solidFill>
                          <w14:schemeClr w14:val="tx1"/>
                        </w14:solidFill>
                      </w14:textFill>
                    </w:rPr>
                    <w:t>瓶</w:t>
                  </w:r>
                  <w:r>
                    <w:rPr>
                      <w:rFonts w:hint="eastAsia"/>
                      <w:iCs/>
                      <w:color w:val="000000" w:themeColor="text1"/>
                      <w:szCs w:val="21"/>
                      <w14:textFill>
                        <w14:solidFill>
                          <w14:schemeClr w14:val="tx1"/>
                        </w14:solidFill>
                      </w14:textFill>
                    </w:rPr>
                    <w:t>装，100ml/瓶</w:t>
                  </w:r>
                </w:p>
              </w:tc>
            </w:tr>
          </w:tbl>
          <w:p w14:paraId="5E3879D6">
            <w:pPr>
              <w:autoSpaceDE w:val="0"/>
              <w:autoSpaceDN w:val="0"/>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2、产品指标要求</w:t>
            </w:r>
          </w:p>
          <w:p w14:paraId="2040C9E3">
            <w:pPr>
              <w:autoSpaceDE w:val="0"/>
              <w:autoSpaceDN w:val="0"/>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（1）外观</w:t>
            </w:r>
          </w:p>
          <w:p w14:paraId="7C84EDE3">
            <w:pPr>
              <w:autoSpaceDE w:val="0"/>
              <w:autoSpaceDN w:val="0"/>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外观为浅棕色液体。</w:t>
            </w:r>
          </w:p>
          <w:p w14:paraId="034B32EC">
            <w:pPr>
              <w:autoSpaceDE w:val="0"/>
              <w:autoSpaceDN w:val="0"/>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（2）技术指标</w:t>
            </w:r>
          </w:p>
          <w:p w14:paraId="2734CECD">
            <w:pPr>
              <w:autoSpaceDE w:val="0"/>
              <w:autoSpaceDN w:val="0"/>
              <w:adjustRightInd w:val="0"/>
              <w:spacing w:line="360" w:lineRule="auto"/>
              <w:ind w:firstLine="480" w:firstLineChars="200"/>
              <w:rPr>
                <w:rFonts w:hint="eastAsia" w:eastAsia="宋体"/>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项目</w:t>
            </w:r>
            <w:r>
              <w:rPr>
                <w:rFonts w:hint="eastAsia"/>
                <w:color w:val="000000" w:themeColor="text1"/>
                <w:sz w:val="24"/>
                <w:lang w:val="en-US" w:eastAsia="zh-CN"/>
                <w14:textFill>
                  <w14:solidFill>
                    <w14:schemeClr w14:val="tx1"/>
                  </w14:solidFill>
                </w14:textFill>
              </w:rPr>
              <w:t>产品技术指标</w:t>
            </w:r>
            <w:r>
              <w:rPr>
                <w:color w:val="000000" w:themeColor="text1"/>
                <w:sz w:val="24"/>
                <w14:textFill>
                  <w14:solidFill>
                    <w14:schemeClr w14:val="tx1"/>
                  </w14:solidFill>
                </w14:textFill>
              </w:rPr>
              <w:t>执行《</w:t>
            </w:r>
            <w:r>
              <w:rPr>
                <w:rFonts w:hint="eastAsia"/>
                <w:color w:val="000000" w:themeColor="text1"/>
                <w:sz w:val="24"/>
                <w:szCs w:val="22"/>
                <w14:textFill>
                  <w14:solidFill>
                    <w14:schemeClr w14:val="tx1"/>
                  </w14:solidFill>
                </w14:textFill>
              </w:rPr>
              <w:t>法博士生物科技有限公司企业标准</w:t>
            </w:r>
            <w:r>
              <w:rPr>
                <w:color w:val="000000" w:themeColor="text1"/>
                <w:sz w:val="24"/>
                <w14:textFill>
                  <w14:solidFill>
                    <w14:schemeClr w14:val="tx1"/>
                  </w14:solidFill>
                </w14:textFill>
              </w:rPr>
              <w:t>》（</w:t>
            </w:r>
            <w:r>
              <w:rPr>
                <w:rFonts w:hint="eastAsia"/>
                <w:color w:val="000000" w:themeColor="text1"/>
                <w:sz w:val="24"/>
                <w:szCs w:val="22"/>
                <w14:textFill>
                  <w14:solidFill>
                    <w14:schemeClr w14:val="tx1"/>
                  </w14:solidFill>
                </w14:textFill>
              </w:rPr>
              <w:t>Q/FBSYMF 0001-2017</w:t>
            </w:r>
            <w:r>
              <w:rPr>
                <w:color w:val="000000" w:themeColor="text1"/>
                <w:sz w:val="24"/>
                <w14:textFill>
                  <w14:solidFill>
                    <w14:schemeClr w14:val="tx1"/>
                  </w14:solidFill>
                </w14:textFill>
              </w:rPr>
              <w:t>）</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限量指标执行《</w:t>
            </w:r>
            <w:r>
              <w:rPr>
                <w:rFonts w:hint="eastAsia"/>
                <w:color w:val="000000" w:themeColor="text1"/>
                <w:sz w:val="24"/>
                <w:lang w:eastAsia="zh-CN"/>
                <w14:textFill>
                  <w14:solidFill>
                    <w14:schemeClr w14:val="tx1"/>
                  </w14:solidFill>
                </w14:textFill>
              </w:rPr>
              <w:t>水溶肥料汞、砷、镉、铅、铬的限量要求</w:t>
            </w:r>
            <w:r>
              <w:rPr>
                <w:rFonts w:hint="eastAsia"/>
                <w:color w:val="000000" w:themeColor="text1"/>
                <w:sz w:val="24"/>
                <w:lang w:val="en-US" w:eastAsia="zh-CN"/>
                <w14:textFill>
                  <w14:solidFill>
                    <w14:schemeClr w14:val="tx1"/>
                  </w14:solidFill>
                </w14:textFill>
              </w:rPr>
              <w:t>》（</w:t>
            </w:r>
            <w:r>
              <w:rPr>
                <w:rFonts w:hint="eastAsia"/>
                <w:color w:val="000000" w:themeColor="text1"/>
                <w:sz w:val="24"/>
                <w:lang w:eastAsia="zh-CN"/>
                <w14:textFill>
                  <w14:solidFill>
                    <w14:schemeClr w14:val="tx1"/>
                  </w14:solidFill>
                </w14:textFill>
              </w:rPr>
              <w:t>NY 1110</w:t>
            </w:r>
            <w:r>
              <w:rPr>
                <w:rFonts w:hint="eastAsia"/>
                <w:color w:val="000000" w:themeColor="text1"/>
                <w:sz w:val="24"/>
                <w:lang w:val="en-US" w:eastAsia="zh-CN"/>
                <w14:textFill>
                  <w14:solidFill>
                    <w14:schemeClr w14:val="tx1"/>
                  </w14:solidFill>
                </w14:textFill>
              </w:rPr>
              <w:t>-2010）</w:t>
            </w:r>
          </w:p>
          <w:p w14:paraId="66004C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000000" w:themeColor="text1"/>
                <w:sz w:val="24"/>
                <w14:textFill>
                  <w14:solidFill>
                    <w14:schemeClr w14:val="tx1"/>
                  </w14:solidFill>
                </w14:textFill>
              </w:rPr>
            </w:pPr>
            <w:r>
              <w:rPr>
                <w:b/>
                <w:color w:val="000000" w:themeColor="text1"/>
                <w:sz w:val="24"/>
                <w14:textFill>
                  <w14:solidFill>
                    <w14:schemeClr w14:val="tx1"/>
                  </w14:solidFill>
                </w14:textFill>
              </w:rPr>
              <w:t>表</w:t>
            </w:r>
            <w:r>
              <w:rPr>
                <w:rFonts w:hint="eastAsia"/>
                <w:b/>
                <w:color w:val="000000" w:themeColor="text1"/>
                <w:sz w:val="24"/>
                <w14:textFill>
                  <w14:solidFill>
                    <w14:schemeClr w14:val="tx1"/>
                  </w14:solidFill>
                </w14:textFill>
              </w:rPr>
              <w:t>2</w:t>
            </w:r>
            <w:r>
              <w:rPr>
                <w:b/>
                <w:color w:val="000000" w:themeColor="text1"/>
                <w:sz w:val="24"/>
                <w14:textFill>
                  <w14:solidFill>
                    <w14:schemeClr w14:val="tx1"/>
                  </w14:solidFill>
                </w14:textFill>
              </w:rPr>
              <w:t>-3 项目产品技术指标要求</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7"/>
              <w:gridCol w:w="1571"/>
              <w:gridCol w:w="1754"/>
            </w:tblGrid>
            <w:tr w14:paraId="1E72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pct"/>
                  <w:vAlign w:val="center"/>
                </w:tcPr>
                <w:p w14:paraId="2739227D">
                  <w:pPr>
                    <w:keepNext w:val="0"/>
                    <w:keepLines w:val="0"/>
                    <w:widowControl/>
                    <w:suppressLineNumbers w:val="0"/>
                    <w:jc w:val="center"/>
                    <w:textAlignment w:val="center"/>
                    <w:rPr>
                      <w:b/>
                      <w:color w:val="000000" w:themeColor="text1"/>
                      <w:kern w:val="0"/>
                      <w:sz w:val="24"/>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项目</w:t>
                  </w:r>
                </w:p>
              </w:tc>
              <w:tc>
                <w:tcPr>
                  <w:tcW w:w="990" w:type="pct"/>
                  <w:vAlign w:val="center"/>
                </w:tcPr>
                <w:p w14:paraId="4A7D84C4">
                  <w:pPr>
                    <w:keepNext w:val="0"/>
                    <w:keepLines w:val="0"/>
                    <w:widowControl/>
                    <w:suppressLineNumbers w:val="0"/>
                    <w:jc w:val="center"/>
                    <w:textAlignment w:val="center"/>
                    <w:rPr>
                      <w:b/>
                      <w:color w:val="000000" w:themeColor="text1"/>
                      <w:sz w:val="24"/>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指标</w:t>
                  </w:r>
                </w:p>
              </w:tc>
              <w:tc>
                <w:tcPr>
                  <w:tcW w:w="1105" w:type="pct"/>
                  <w:vAlign w:val="center"/>
                </w:tcPr>
                <w:p w14:paraId="1BC7CB63">
                  <w:pPr>
                    <w:pStyle w:val="37"/>
                    <w:keepNext w:val="0"/>
                    <w:keepLines w:val="0"/>
                    <w:pageBreakBefore w:val="0"/>
                    <w:kinsoku/>
                    <w:wordWrap/>
                    <w:overflowPunct/>
                    <w:topLinePunct w:val="0"/>
                    <w:autoSpaceDE/>
                    <w:autoSpaceDN/>
                    <w:bidi w:val="0"/>
                    <w:spacing w:beforeLines="0" w:afterLines="0" w:line="240" w:lineRule="auto"/>
                    <w:ind w:right="0" w:firstLine="0" w:firstLineChars="0"/>
                    <w:textAlignment w:val="auto"/>
                    <w:rPr>
                      <w:b/>
                      <w:color w:val="000000" w:themeColor="text1"/>
                      <w:szCs w:val="21"/>
                      <w14:textFill>
                        <w14:solidFill>
                          <w14:schemeClr w14:val="tx1"/>
                        </w14:solidFill>
                      </w14:textFill>
                    </w:rPr>
                  </w:pPr>
                  <w:r>
                    <w:rPr>
                      <w:rFonts w:hint="eastAsia" w:ascii="Times New Roman" w:eastAsia="宋体"/>
                      <w:b/>
                      <w:color w:val="000000" w:themeColor="text1"/>
                      <w:sz w:val="21"/>
                      <w:szCs w:val="21"/>
                      <w:lang w:val="en-US"/>
                      <w14:textFill>
                        <w14:solidFill>
                          <w14:schemeClr w14:val="tx1"/>
                        </w14:solidFill>
                      </w14:textFill>
                    </w:rPr>
                    <w:t>备注</w:t>
                  </w:r>
                </w:p>
              </w:tc>
            </w:tr>
            <w:tr w14:paraId="56D3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pct"/>
                  <w:vAlign w:val="center"/>
                </w:tcPr>
                <w:p w14:paraId="46D29688">
                  <w:pPr>
                    <w:keepNext w:val="0"/>
                    <w:keepLines w:val="0"/>
                    <w:widowControl/>
                    <w:suppressLineNumbers w:val="0"/>
                    <w:jc w:val="center"/>
                    <w:textAlignment w:val="center"/>
                    <w:rPr>
                      <w:b/>
                      <w:color w:val="000000" w:themeColor="text1"/>
                      <w:sz w:val="24"/>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有效活菌数（cfu），万/ml ≥</w:t>
                  </w:r>
                </w:p>
              </w:tc>
              <w:tc>
                <w:tcPr>
                  <w:tcW w:w="990" w:type="pct"/>
                  <w:vAlign w:val="center"/>
                </w:tcPr>
                <w:p w14:paraId="2E90F685">
                  <w:pPr>
                    <w:keepNext w:val="0"/>
                    <w:keepLines w:val="0"/>
                    <w:widowControl/>
                    <w:suppressLineNumbers w:val="0"/>
                    <w:jc w:val="center"/>
                    <w:textAlignment w:val="center"/>
                    <w:rPr>
                      <w:b/>
                      <w:color w:val="000000" w:themeColor="text1"/>
                      <w:sz w:val="24"/>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105" w:type="pct"/>
                  <w:vMerge w:val="restart"/>
                  <w:vAlign w:val="center"/>
                </w:tcPr>
                <w:p w14:paraId="05BE3275">
                  <w:pPr>
                    <w:pStyle w:val="37"/>
                    <w:keepNext w:val="0"/>
                    <w:keepLines w:val="0"/>
                    <w:pageBreakBefore w:val="0"/>
                    <w:kinsoku/>
                    <w:wordWrap/>
                    <w:overflowPunct/>
                    <w:topLinePunct w:val="0"/>
                    <w:autoSpaceDE/>
                    <w:autoSpaceDN/>
                    <w:bidi w:val="0"/>
                    <w:spacing w:beforeLines="0" w:afterLines="0" w:line="240" w:lineRule="auto"/>
                    <w:ind w:left="0" w:right="0" w:firstLine="0" w:firstLineChars="0"/>
                    <w:textAlignment w:val="auto"/>
                    <w:rPr>
                      <w:color w:val="000000" w:themeColor="text1"/>
                      <w:szCs w:val="21"/>
                      <w:lang w:bidi="ar"/>
                      <w14:textFill>
                        <w14:solidFill>
                          <w14:schemeClr w14:val="tx1"/>
                        </w14:solidFill>
                      </w14:textFill>
                    </w:rPr>
                  </w:pPr>
                  <w:r>
                    <w:rPr>
                      <w:rFonts w:hint="eastAsia" w:ascii="Times New Roman" w:eastAsia="宋体"/>
                      <w:color w:val="000000" w:themeColor="text1"/>
                      <w:sz w:val="21"/>
                      <w:szCs w:val="21"/>
                      <w:lang w:val="en-US"/>
                      <w14:textFill>
                        <w14:solidFill>
                          <w14:schemeClr w14:val="tx1"/>
                        </w14:solidFill>
                      </w14:textFill>
                    </w:rPr>
                    <w:t>技术指标</w:t>
                  </w:r>
                </w:p>
              </w:tc>
            </w:tr>
            <w:tr w14:paraId="2757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pct"/>
                  <w:vAlign w:val="center"/>
                </w:tcPr>
                <w:p w14:paraId="5FEB58D8">
                  <w:pPr>
                    <w:keepNext w:val="0"/>
                    <w:keepLines w:val="0"/>
                    <w:widowControl/>
                    <w:suppressLineNumbers w:val="0"/>
                    <w:jc w:val="center"/>
                    <w:textAlignment w:val="center"/>
                    <w:rPr>
                      <w:b/>
                      <w:color w:val="000000" w:themeColor="text1"/>
                      <w:sz w:val="24"/>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游离氨基酸，g/L ≥</w:t>
                  </w:r>
                </w:p>
              </w:tc>
              <w:tc>
                <w:tcPr>
                  <w:tcW w:w="990" w:type="pct"/>
                  <w:vAlign w:val="center"/>
                </w:tcPr>
                <w:p w14:paraId="35E4182A">
                  <w:pPr>
                    <w:keepNext w:val="0"/>
                    <w:keepLines w:val="0"/>
                    <w:widowControl/>
                    <w:suppressLineNumbers w:val="0"/>
                    <w:jc w:val="center"/>
                    <w:textAlignment w:val="center"/>
                    <w:rPr>
                      <w:b/>
                      <w:color w:val="000000" w:themeColor="text1"/>
                      <w:sz w:val="24"/>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105" w:type="pct"/>
                  <w:vMerge w:val="continue"/>
                  <w:vAlign w:val="center"/>
                </w:tcPr>
                <w:p w14:paraId="0245F21C">
                  <w:pPr>
                    <w:keepNext w:val="0"/>
                    <w:keepLines w:val="0"/>
                    <w:pageBreakBefore w:val="0"/>
                    <w:widowControl/>
                    <w:kinsoku/>
                    <w:wordWrap/>
                    <w:overflowPunct/>
                    <w:topLinePunct w:val="0"/>
                    <w:autoSpaceDE/>
                    <w:autoSpaceDN/>
                    <w:bidi w:val="0"/>
                    <w:spacing w:line="240" w:lineRule="auto"/>
                    <w:ind w:right="0" w:firstLine="0" w:firstLineChars="0"/>
                    <w:jc w:val="center"/>
                    <w:textAlignment w:val="auto"/>
                    <w:rPr>
                      <w:color w:val="000000" w:themeColor="text1"/>
                      <w:kern w:val="0"/>
                      <w:szCs w:val="21"/>
                      <w:lang w:bidi="ar"/>
                      <w14:textFill>
                        <w14:solidFill>
                          <w14:schemeClr w14:val="tx1"/>
                        </w14:solidFill>
                      </w14:textFill>
                    </w:rPr>
                  </w:pPr>
                </w:p>
              </w:tc>
            </w:tr>
            <w:tr w14:paraId="3EB1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pct"/>
                  <w:vAlign w:val="center"/>
                </w:tcPr>
                <w:p w14:paraId="16C9F8DB">
                  <w:pPr>
                    <w:keepNext w:val="0"/>
                    <w:keepLines w:val="0"/>
                    <w:widowControl/>
                    <w:suppressLineNumbers w:val="0"/>
                    <w:jc w:val="center"/>
                    <w:textAlignment w:val="center"/>
                    <w:rPr>
                      <w:b/>
                      <w:color w:val="000000" w:themeColor="text1"/>
                      <w:sz w:val="24"/>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有机质，% ≥</w:t>
                  </w:r>
                </w:p>
              </w:tc>
              <w:tc>
                <w:tcPr>
                  <w:tcW w:w="990" w:type="pct"/>
                  <w:vAlign w:val="center"/>
                </w:tcPr>
                <w:p w14:paraId="482D74F7">
                  <w:pPr>
                    <w:keepNext w:val="0"/>
                    <w:keepLines w:val="0"/>
                    <w:widowControl/>
                    <w:suppressLineNumbers w:val="0"/>
                    <w:jc w:val="center"/>
                    <w:textAlignment w:val="center"/>
                    <w:rPr>
                      <w:b/>
                      <w:color w:val="000000" w:themeColor="text1"/>
                      <w:sz w:val="24"/>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105" w:type="pct"/>
                  <w:vMerge w:val="continue"/>
                  <w:vAlign w:val="center"/>
                </w:tcPr>
                <w:p w14:paraId="1DF05220">
                  <w:pPr>
                    <w:keepNext w:val="0"/>
                    <w:keepLines w:val="0"/>
                    <w:pageBreakBefore w:val="0"/>
                    <w:widowControl/>
                    <w:kinsoku/>
                    <w:wordWrap/>
                    <w:overflowPunct/>
                    <w:topLinePunct w:val="0"/>
                    <w:autoSpaceDE/>
                    <w:autoSpaceDN/>
                    <w:bidi w:val="0"/>
                    <w:spacing w:line="240" w:lineRule="auto"/>
                    <w:ind w:right="0" w:firstLine="0" w:firstLineChars="0"/>
                    <w:jc w:val="center"/>
                    <w:textAlignment w:val="auto"/>
                    <w:rPr>
                      <w:color w:val="000000" w:themeColor="text1"/>
                      <w:kern w:val="0"/>
                      <w:szCs w:val="21"/>
                      <w:lang w:bidi="ar"/>
                      <w14:textFill>
                        <w14:solidFill>
                          <w14:schemeClr w14:val="tx1"/>
                        </w14:solidFill>
                      </w14:textFill>
                    </w:rPr>
                  </w:pPr>
                </w:p>
              </w:tc>
            </w:tr>
            <w:tr w14:paraId="1E34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pct"/>
                  <w:vAlign w:val="center"/>
                </w:tcPr>
                <w:p w14:paraId="426BAAA5">
                  <w:pPr>
                    <w:keepNext w:val="0"/>
                    <w:keepLines w:val="0"/>
                    <w:widowControl/>
                    <w:suppressLineNumbers w:val="0"/>
                    <w:jc w:val="center"/>
                    <w:textAlignment w:val="center"/>
                    <w:rPr>
                      <w:b/>
                      <w:color w:val="000000" w:themeColor="text1"/>
                      <w:sz w:val="24"/>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pH值</w:t>
                  </w:r>
                </w:p>
              </w:tc>
              <w:tc>
                <w:tcPr>
                  <w:tcW w:w="990" w:type="pct"/>
                  <w:vAlign w:val="center"/>
                </w:tcPr>
                <w:p w14:paraId="67B4A549">
                  <w:pPr>
                    <w:keepNext w:val="0"/>
                    <w:keepLines w:val="0"/>
                    <w:widowControl/>
                    <w:suppressLineNumbers w:val="0"/>
                    <w:jc w:val="center"/>
                    <w:textAlignment w:val="center"/>
                    <w:rPr>
                      <w:b/>
                      <w:color w:val="000000" w:themeColor="text1"/>
                      <w:sz w:val="24"/>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3.0~9.0</w:t>
                  </w:r>
                </w:p>
              </w:tc>
              <w:tc>
                <w:tcPr>
                  <w:tcW w:w="1105" w:type="pct"/>
                  <w:vMerge w:val="continue"/>
                  <w:vAlign w:val="center"/>
                </w:tcPr>
                <w:p w14:paraId="4E277983">
                  <w:pPr>
                    <w:keepNext w:val="0"/>
                    <w:keepLines w:val="0"/>
                    <w:pageBreakBefore w:val="0"/>
                    <w:widowControl/>
                    <w:kinsoku/>
                    <w:wordWrap/>
                    <w:overflowPunct/>
                    <w:topLinePunct w:val="0"/>
                    <w:autoSpaceDE/>
                    <w:autoSpaceDN/>
                    <w:bidi w:val="0"/>
                    <w:spacing w:line="240" w:lineRule="auto"/>
                    <w:ind w:right="0" w:firstLine="0" w:firstLineChars="0"/>
                    <w:jc w:val="center"/>
                    <w:textAlignment w:val="auto"/>
                    <w:rPr>
                      <w:color w:val="000000" w:themeColor="text1"/>
                      <w:kern w:val="0"/>
                      <w:szCs w:val="21"/>
                      <w:lang w:bidi="ar"/>
                      <w14:textFill>
                        <w14:solidFill>
                          <w14:schemeClr w14:val="tx1"/>
                        </w14:solidFill>
                      </w14:textFill>
                    </w:rPr>
                  </w:pPr>
                </w:p>
              </w:tc>
            </w:tr>
            <w:tr w14:paraId="0375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pct"/>
                  <w:vAlign w:val="center"/>
                </w:tcPr>
                <w:p w14:paraId="214ABAF2">
                  <w:pPr>
                    <w:pStyle w:val="37"/>
                    <w:keepNext w:val="0"/>
                    <w:keepLines w:val="0"/>
                    <w:pageBreakBefore w:val="0"/>
                    <w:kinsoku/>
                    <w:wordWrap/>
                    <w:overflowPunct/>
                    <w:topLinePunct w:val="0"/>
                    <w:autoSpaceDE/>
                    <w:autoSpaceDN/>
                    <w:bidi w:val="0"/>
                    <w:spacing w:beforeLines="0" w:beforeAutospacing="0" w:afterLines="0" w:line="240" w:lineRule="auto"/>
                    <w:ind w:right="0" w:firstLine="0" w:firstLineChars="0"/>
                    <w:textAlignment w:val="auto"/>
                    <w:rPr>
                      <w:b/>
                      <w:color w:val="000000" w:themeColor="text1"/>
                      <w:sz w:val="24"/>
                      <w14:textFill>
                        <w14:solidFill>
                          <w14:schemeClr w14:val="tx1"/>
                        </w14:solidFill>
                      </w14:textFill>
                    </w:rPr>
                  </w:pPr>
                  <w:r>
                    <w:rPr>
                      <w:rFonts w:hint="eastAsia" w:ascii="Times New Roman" w:eastAsia="宋体"/>
                      <w:color w:val="000000" w:themeColor="text1"/>
                      <w:sz w:val="21"/>
                      <w:szCs w:val="21"/>
                      <w:lang w:val="en-US"/>
                      <w14:textFill>
                        <w14:solidFill>
                          <w14:schemeClr w14:val="tx1"/>
                        </w14:solidFill>
                      </w14:textFill>
                    </w:rPr>
                    <w:t>总砷（As），mg/kg</w:t>
                  </w:r>
                </w:p>
              </w:tc>
              <w:tc>
                <w:tcPr>
                  <w:tcW w:w="990" w:type="pct"/>
                  <w:vAlign w:val="center"/>
                </w:tcPr>
                <w:p w14:paraId="7E5E0C07">
                  <w:pPr>
                    <w:pStyle w:val="37"/>
                    <w:keepNext w:val="0"/>
                    <w:keepLines w:val="0"/>
                    <w:pageBreakBefore w:val="0"/>
                    <w:kinsoku/>
                    <w:wordWrap/>
                    <w:overflowPunct/>
                    <w:topLinePunct w:val="0"/>
                    <w:autoSpaceDE/>
                    <w:autoSpaceDN/>
                    <w:bidi w:val="0"/>
                    <w:spacing w:beforeLines="0" w:beforeAutospacing="0" w:afterLines="0" w:line="240" w:lineRule="auto"/>
                    <w:ind w:right="0" w:firstLine="0" w:firstLineChars="0"/>
                    <w:textAlignment w:val="auto"/>
                    <w:rPr>
                      <w:b/>
                      <w:color w:val="000000" w:themeColor="text1"/>
                      <w:sz w:val="24"/>
                      <w14:textFill>
                        <w14:solidFill>
                          <w14:schemeClr w14:val="tx1"/>
                        </w14:solidFill>
                      </w14:textFill>
                    </w:rPr>
                  </w:pPr>
                  <w:r>
                    <w:rPr>
                      <w:rFonts w:ascii="Times New Roman" w:eastAsia="宋体"/>
                      <w:color w:val="000000" w:themeColor="text1"/>
                      <w:sz w:val="21"/>
                      <w:szCs w:val="21"/>
                      <w14:textFill>
                        <w14:solidFill>
                          <w14:schemeClr w14:val="tx1"/>
                        </w14:solidFill>
                      </w14:textFill>
                    </w:rPr>
                    <w:t>≤</w:t>
                  </w:r>
                  <w:r>
                    <w:rPr>
                      <w:rFonts w:hint="eastAsia" w:ascii="Times New Roman" w:eastAsia="宋体"/>
                      <w:color w:val="000000" w:themeColor="text1"/>
                      <w:sz w:val="21"/>
                      <w:szCs w:val="21"/>
                      <w:lang w:val="en-US"/>
                      <w14:textFill>
                        <w14:solidFill>
                          <w14:schemeClr w14:val="tx1"/>
                        </w14:solidFill>
                      </w14:textFill>
                    </w:rPr>
                    <w:t>1</w:t>
                  </w:r>
                  <w:r>
                    <w:rPr>
                      <w:rFonts w:hint="eastAsia" w:ascii="Times New Roman" w:eastAsia="宋体"/>
                      <w:color w:val="000000" w:themeColor="text1"/>
                      <w:sz w:val="21"/>
                      <w:szCs w:val="21"/>
                      <w:lang w:val="en-US" w:eastAsia="zh-CN"/>
                      <w14:textFill>
                        <w14:solidFill>
                          <w14:schemeClr w14:val="tx1"/>
                        </w14:solidFill>
                      </w14:textFill>
                    </w:rPr>
                    <w:t>0</w:t>
                  </w:r>
                  <w:r>
                    <w:rPr>
                      <w:rFonts w:hint="eastAsia" w:ascii="Times New Roman" w:eastAsia="宋体"/>
                      <w:color w:val="000000" w:themeColor="text1"/>
                      <w:sz w:val="21"/>
                      <w:szCs w:val="21"/>
                      <w:lang w:val="en-US"/>
                      <w14:textFill>
                        <w14:solidFill>
                          <w14:schemeClr w14:val="tx1"/>
                        </w14:solidFill>
                      </w14:textFill>
                    </w:rPr>
                    <w:t>.0</w:t>
                  </w:r>
                </w:p>
              </w:tc>
              <w:tc>
                <w:tcPr>
                  <w:tcW w:w="1105" w:type="pct"/>
                  <w:vMerge w:val="restart"/>
                  <w:vAlign w:val="center"/>
                </w:tcPr>
                <w:p w14:paraId="34184AB7">
                  <w:pPr>
                    <w:pStyle w:val="37"/>
                    <w:keepNext w:val="0"/>
                    <w:keepLines w:val="0"/>
                    <w:pageBreakBefore w:val="0"/>
                    <w:kinsoku/>
                    <w:wordWrap/>
                    <w:overflowPunct/>
                    <w:topLinePunct w:val="0"/>
                    <w:autoSpaceDE/>
                    <w:autoSpaceDN/>
                    <w:bidi w:val="0"/>
                    <w:spacing w:beforeLines="0" w:afterLines="0" w:line="240" w:lineRule="auto"/>
                    <w:ind w:left="0" w:right="0" w:firstLine="0" w:firstLineChars="0"/>
                    <w:textAlignment w:val="auto"/>
                    <w:rPr>
                      <w:color w:val="000000" w:themeColor="text1"/>
                      <w:szCs w:val="21"/>
                      <w:lang w:bidi="ar"/>
                      <w14:textFill>
                        <w14:solidFill>
                          <w14:schemeClr w14:val="tx1"/>
                        </w14:solidFill>
                      </w14:textFill>
                    </w:rPr>
                  </w:pPr>
                  <w:r>
                    <w:rPr>
                      <w:rFonts w:hint="eastAsia" w:ascii="Times New Roman" w:eastAsia="宋体"/>
                      <w:color w:val="000000" w:themeColor="text1"/>
                      <w:sz w:val="21"/>
                      <w:szCs w:val="21"/>
                      <w:lang w:val="en-US"/>
                      <w14:textFill>
                        <w14:solidFill>
                          <w14:schemeClr w14:val="tx1"/>
                        </w14:solidFill>
                      </w14:textFill>
                    </w:rPr>
                    <w:t>限量指标</w:t>
                  </w:r>
                </w:p>
              </w:tc>
            </w:tr>
            <w:tr w14:paraId="75F7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pct"/>
                  <w:vAlign w:val="center"/>
                </w:tcPr>
                <w:p w14:paraId="37CEEE0A">
                  <w:pPr>
                    <w:pStyle w:val="37"/>
                    <w:keepNext w:val="0"/>
                    <w:keepLines w:val="0"/>
                    <w:pageBreakBefore w:val="0"/>
                    <w:kinsoku/>
                    <w:wordWrap/>
                    <w:overflowPunct/>
                    <w:topLinePunct w:val="0"/>
                    <w:autoSpaceDE/>
                    <w:autoSpaceDN/>
                    <w:bidi w:val="0"/>
                    <w:spacing w:beforeLines="0" w:beforeAutospacing="0" w:afterLines="0" w:line="240" w:lineRule="auto"/>
                    <w:ind w:right="0" w:firstLine="0" w:firstLineChars="0"/>
                    <w:textAlignment w:val="auto"/>
                    <w:rPr>
                      <w:color w:val="000000" w:themeColor="text1"/>
                      <w:szCs w:val="21"/>
                      <w:lang w:bidi="ar"/>
                      <w14:textFill>
                        <w14:solidFill>
                          <w14:schemeClr w14:val="tx1"/>
                        </w14:solidFill>
                      </w14:textFill>
                    </w:rPr>
                  </w:pPr>
                  <w:r>
                    <w:rPr>
                      <w:rFonts w:hint="eastAsia" w:ascii="Times New Roman" w:eastAsia="宋体"/>
                      <w:color w:val="000000" w:themeColor="text1"/>
                      <w:sz w:val="21"/>
                      <w:szCs w:val="21"/>
                      <w:lang w:val="en-US"/>
                      <w14:textFill>
                        <w14:solidFill>
                          <w14:schemeClr w14:val="tx1"/>
                        </w14:solidFill>
                      </w14:textFill>
                    </w:rPr>
                    <w:t>总汞（Hg），mg/kg</w:t>
                  </w:r>
                </w:p>
              </w:tc>
              <w:tc>
                <w:tcPr>
                  <w:tcW w:w="990" w:type="pct"/>
                  <w:vAlign w:val="center"/>
                </w:tcPr>
                <w:p w14:paraId="2E3D76A8">
                  <w:pPr>
                    <w:pStyle w:val="37"/>
                    <w:keepNext w:val="0"/>
                    <w:keepLines w:val="0"/>
                    <w:pageBreakBefore w:val="0"/>
                    <w:kinsoku/>
                    <w:wordWrap/>
                    <w:overflowPunct/>
                    <w:topLinePunct w:val="0"/>
                    <w:autoSpaceDE/>
                    <w:autoSpaceDN/>
                    <w:bidi w:val="0"/>
                    <w:spacing w:beforeLines="0" w:beforeAutospacing="0" w:afterLines="0" w:line="240" w:lineRule="auto"/>
                    <w:ind w:right="0" w:firstLine="0" w:firstLineChars="0"/>
                    <w:textAlignment w:val="auto"/>
                    <w:rPr>
                      <w:color w:val="000000" w:themeColor="text1"/>
                      <w:szCs w:val="21"/>
                      <w:lang w:bidi="ar"/>
                      <w14:textFill>
                        <w14:solidFill>
                          <w14:schemeClr w14:val="tx1"/>
                        </w14:solidFill>
                      </w14:textFill>
                    </w:rPr>
                  </w:pPr>
                  <w:r>
                    <w:rPr>
                      <w:rFonts w:ascii="Times New Roman" w:eastAsia="宋体"/>
                      <w:color w:val="000000" w:themeColor="text1"/>
                      <w:sz w:val="21"/>
                      <w:szCs w:val="21"/>
                      <w14:textFill>
                        <w14:solidFill>
                          <w14:schemeClr w14:val="tx1"/>
                        </w14:solidFill>
                      </w14:textFill>
                    </w:rPr>
                    <w:t>≤</w:t>
                  </w:r>
                  <w:r>
                    <w:rPr>
                      <w:rFonts w:hint="eastAsia" w:ascii="Times New Roman" w:eastAsia="宋体"/>
                      <w:color w:val="000000" w:themeColor="text1"/>
                      <w:sz w:val="21"/>
                      <w:szCs w:val="21"/>
                      <w:lang w:val="en-US" w:eastAsia="zh-CN"/>
                      <w14:textFill>
                        <w14:solidFill>
                          <w14:schemeClr w14:val="tx1"/>
                        </w14:solidFill>
                      </w14:textFill>
                    </w:rPr>
                    <w:t>5</w:t>
                  </w:r>
                  <w:r>
                    <w:rPr>
                      <w:rFonts w:hint="eastAsia" w:ascii="Times New Roman" w:eastAsia="宋体"/>
                      <w:color w:val="000000" w:themeColor="text1"/>
                      <w:sz w:val="21"/>
                      <w:szCs w:val="21"/>
                      <w:lang w:val="en-US"/>
                      <w14:textFill>
                        <w14:solidFill>
                          <w14:schemeClr w14:val="tx1"/>
                        </w14:solidFill>
                      </w14:textFill>
                    </w:rPr>
                    <w:t>.0</w:t>
                  </w:r>
                </w:p>
              </w:tc>
              <w:tc>
                <w:tcPr>
                  <w:tcW w:w="1105" w:type="pct"/>
                  <w:vMerge w:val="continue"/>
                  <w:vAlign w:val="center"/>
                </w:tcPr>
                <w:p w14:paraId="3CABC5B2">
                  <w:pPr>
                    <w:keepNext w:val="0"/>
                    <w:keepLines w:val="0"/>
                    <w:pageBreakBefore w:val="0"/>
                    <w:widowControl/>
                    <w:kinsoku/>
                    <w:wordWrap/>
                    <w:overflowPunct/>
                    <w:topLinePunct w:val="0"/>
                    <w:autoSpaceDE/>
                    <w:autoSpaceDN/>
                    <w:bidi w:val="0"/>
                    <w:spacing w:line="240" w:lineRule="auto"/>
                    <w:ind w:right="0" w:firstLine="0" w:firstLineChars="0"/>
                    <w:jc w:val="center"/>
                    <w:textAlignment w:val="auto"/>
                    <w:rPr>
                      <w:color w:val="000000" w:themeColor="text1"/>
                      <w:kern w:val="0"/>
                      <w:szCs w:val="21"/>
                      <w:lang w:bidi="ar"/>
                      <w14:textFill>
                        <w14:solidFill>
                          <w14:schemeClr w14:val="tx1"/>
                        </w14:solidFill>
                      </w14:textFill>
                    </w:rPr>
                  </w:pPr>
                </w:p>
              </w:tc>
            </w:tr>
            <w:tr w14:paraId="76AE8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pct"/>
                  <w:vAlign w:val="center"/>
                </w:tcPr>
                <w:p w14:paraId="3A672A99">
                  <w:pPr>
                    <w:pStyle w:val="37"/>
                    <w:keepNext w:val="0"/>
                    <w:keepLines w:val="0"/>
                    <w:pageBreakBefore w:val="0"/>
                    <w:kinsoku/>
                    <w:wordWrap/>
                    <w:overflowPunct/>
                    <w:topLinePunct w:val="0"/>
                    <w:autoSpaceDE/>
                    <w:autoSpaceDN/>
                    <w:bidi w:val="0"/>
                    <w:spacing w:beforeLines="0" w:beforeAutospacing="0" w:afterLines="0" w:line="240" w:lineRule="auto"/>
                    <w:ind w:right="0" w:firstLine="0" w:firstLineChars="0"/>
                    <w:textAlignment w:val="auto"/>
                    <w:rPr>
                      <w:color w:val="000000" w:themeColor="text1"/>
                      <w:szCs w:val="21"/>
                      <w:lang w:bidi="ar"/>
                      <w14:textFill>
                        <w14:solidFill>
                          <w14:schemeClr w14:val="tx1"/>
                        </w14:solidFill>
                      </w14:textFill>
                    </w:rPr>
                  </w:pPr>
                  <w:r>
                    <w:rPr>
                      <w:rFonts w:hint="eastAsia" w:ascii="Times New Roman" w:eastAsia="宋体"/>
                      <w:color w:val="000000" w:themeColor="text1"/>
                      <w:sz w:val="21"/>
                      <w:szCs w:val="21"/>
                      <w:lang w:val="en-US"/>
                      <w14:textFill>
                        <w14:solidFill>
                          <w14:schemeClr w14:val="tx1"/>
                        </w14:solidFill>
                      </w14:textFill>
                    </w:rPr>
                    <w:t>总铅（Pb），mg/kg</w:t>
                  </w:r>
                </w:p>
              </w:tc>
              <w:tc>
                <w:tcPr>
                  <w:tcW w:w="990" w:type="pct"/>
                  <w:vAlign w:val="center"/>
                </w:tcPr>
                <w:p w14:paraId="733562BE">
                  <w:pPr>
                    <w:pStyle w:val="37"/>
                    <w:keepNext w:val="0"/>
                    <w:keepLines w:val="0"/>
                    <w:pageBreakBefore w:val="0"/>
                    <w:kinsoku/>
                    <w:wordWrap/>
                    <w:overflowPunct/>
                    <w:topLinePunct w:val="0"/>
                    <w:autoSpaceDE/>
                    <w:autoSpaceDN/>
                    <w:bidi w:val="0"/>
                    <w:spacing w:beforeLines="0" w:beforeAutospacing="0" w:afterLines="0" w:line="240" w:lineRule="auto"/>
                    <w:ind w:right="0" w:firstLine="0" w:firstLineChars="0"/>
                    <w:textAlignment w:val="auto"/>
                    <w:rPr>
                      <w:color w:val="000000" w:themeColor="text1"/>
                      <w:szCs w:val="21"/>
                      <w:lang w:bidi="ar"/>
                      <w14:textFill>
                        <w14:solidFill>
                          <w14:schemeClr w14:val="tx1"/>
                        </w14:solidFill>
                      </w14:textFill>
                    </w:rPr>
                  </w:pPr>
                  <w:r>
                    <w:rPr>
                      <w:rFonts w:ascii="Times New Roman" w:eastAsia="宋体"/>
                      <w:color w:val="000000" w:themeColor="text1"/>
                      <w:sz w:val="21"/>
                      <w:szCs w:val="21"/>
                      <w14:textFill>
                        <w14:solidFill>
                          <w14:schemeClr w14:val="tx1"/>
                        </w14:solidFill>
                      </w14:textFill>
                    </w:rPr>
                    <w:t>≤</w:t>
                  </w:r>
                  <w:r>
                    <w:rPr>
                      <w:rFonts w:hint="eastAsia" w:ascii="Times New Roman" w:eastAsia="宋体"/>
                      <w:color w:val="000000" w:themeColor="text1"/>
                      <w:sz w:val="21"/>
                      <w:szCs w:val="21"/>
                      <w:lang w:val="en-US"/>
                      <w14:textFill>
                        <w14:solidFill>
                          <w14:schemeClr w14:val="tx1"/>
                        </w14:solidFill>
                      </w14:textFill>
                    </w:rPr>
                    <w:t>50.0</w:t>
                  </w:r>
                </w:p>
              </w:tc>
              <w:tc>
                <w:tcPr>
                  <w:tcW w:w="1105" w:type="pct"/>
                  <w:vMerge w:val="continue"/>
                  <w:vAlign w:val="center"/>
                </w:tcPr>
                <w:p w14:paraId="17AD4E66">
                  <w:pPr>
                    <w:keepNext w:val="0"/>
                    <w:keepLines w:val="0"/>
                    <w:pageBreakBefore w:val="0"/>
                    <w:widowControl/>
                    <w:kinsoku/>
                    <w:wordWrap/>
                    <w:overflowPunct/>
                    <w:topLinePunct w:val="0"/>
                    <w:autoSpaceDE/>
                    <w:autoSpaceDN/>
                    <w:bidi w:val="0"/>
                    <w:spacing w:line="240" w:lineRule="auto"/>
                    <w:ind w:right="0" w:firstLine="0" w:firstLineChars="0"/>
                    <w:jc w:val="center"/>
                    <w:textAlignment w:val="auto"/>
                    <w:rPr>
                      <w:color w:val="000000" w:themeColor="text1"/>
                      <w:kern w:val="0"/>
                      <w:szCs w:val="21"/>
                      <w:lang w:bidi="ar"/>
                      <w14:textFill>
                        <w14:solidFill>
                          <w14:schemeClr w14:val="tx1"/>
                        </w14:solidFill>
                      </w14:textFill>
                    </w:rPr>
                  </w:pPr>
                </w:p>
              </w:tc>
            </w:tr>
            <w:tr w14:paraId="7D88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pct"/>
                  <w:vAlign w:val="center"/>
                </w:tcPr>
                <w:p w14:paraId="68A329F3">
                  <w:pPr>
                    <w:pStyle w:val="37"/>
                    <w:keepNext w:val="0"/>
                    <w:keepLines w:val="0"/>
                    <w:pageBreakBefore w:val="0"/>
                    <w:kinsoku/>
                    <w:wordWrap/>
                    <w:overflowPunct/>
                    <w:topLinePunct w:val="0"/>
                    <w:autoSpaceDE/>
                    <w:autoSpaceDN/>
                    <w:bidi w:val="0"/>
                    <w:spacing w:beforeLines="0" w:beforeAutospacing="0" w:afterLines="0" w:line="240" w:lineRule="auto"/>
                    <w:ind w:right="0" w:firstLine="0" w:firstLineChars="0"/>
                    <w:textAlignment w:val="auto"/>
                    <w:rPr>
                      <w:color w:val="000000" w:themeColor="text1"/>
                      <w:szCs w:val="21"/>
                      <w:lang w:bidi="ar"/>
                      <w14:textFill>
                        <w14:solidFill>
                          <w14:schemeClr w14:val="tx1"/>
                        </w14:solidFill>
                      </w14:textFill>
                    </w:rPr>
                  </w:pPr>
                  <w:r>
                    <w:rPr>
                      <w:rFonts w:hint="eastAsia" w:ascii="Times New Roman" w:eastAsia="宋体"/>
                      <w:color w:val="000000" w:themeColor="text1"/>
                      <w:sz w:val="21"/>
                      <w:szCs w:val="21"/>
                      <w:lang w:val="en-US"/>
                      <w14:textFill>
                        <w14:solidFill>
                          <w14:schemeClr w14:val="tx1"/>
                        </w14:solidFill>
                      </w14:textFill>
                    </w:rPr>
                    <w:t>总镉（Cd），mg/kg</w:t>
                  </w:r>
                </w:p>
              </w:tc>
              <w:tc>
                <w:tcPr>
                  <w:tcW w:w="990" w:type="pct"/>
                  <w:vAlign w:val="center"/>
                </w:tcPr>
                <w:p w14:paraId="082634A0">
                  <w:pPr>
                    <w:pStyle w:val="37"/>
                    <w:keepNext w:val="0"/>
                    <w:keepLines w:val="0"/>
                    <w:pageBreakBefore w:val="0"/>
                    <w:kinsoku/>
                    <w:wordWrap/>
                    <w:overflowPunct/>
                    <w:topLinePunct w:val="0"/>
                    <w:autoSpaceDE/>
                    <w:autoSpaceDN/>
                    <w:bidi w:val="0"/>
                    <w:spacing w:beforeLines="0" w:beforeAutospacing="0" w:afterLines="0" w:line="240" w:lineRule="auto"/>
                    <w:ind w:right="0" w:firstLine="0" w:firstLineChars="0"/>
                    <w:textAlignment w:val="auto"/>
                    <w:rPr>
                      <w:color w:val="000000" w:themeColor="text1"/>
                      <w:szCs w:val="21"/>
                      <w:lang w:bidi="ar"/>
                      <w14:textFill>
                        <w14:solidFill>
                          <w14:schemeClr w14:val="tx1"/>
                        </w14:solidFill>
                      </w14:textFill>
                    </w:rPr>
                  </w:pPr>
                  <w:r>
                    <w:rPr>
                      <w:rFonts w:ascii="Times New Roman" w:eastAsia="宋体"/>
                      <w:color w:val="000000" w:themeColor="text1"/>
                      <w:sz w:val="21"/>
                      <w:szCs w:val="21"/>
                      <w14:textFill>
                        <w14:solidFill>
                          <w14:schemeClr w14:val="tx1"/>
                        </w14:solidFill>
                      </w14:textFill>
                    </w:rPr>
                    <w:t>≤</w:t>
                  </w:r>
                  <w:r>
                    <w:rPr>
                      <w:rFonts w:hint="eastAsia" w:ascii="Times New Roman" w:eastAsia="宋体"/>
                      <w:color w:val="000000" w:themeColor="text1"/>
                      <w:sz w:val="21"/>
                      <w:szCs w:val="21"/>
                      <w:lang w:val="en-US" w:eastAsia="zh-CN"/>
                      <w14:textFill>
                        <w14:solidFill>
                          <w14:schemeClr w14:val="tx1"/>
                        </w14:solidFill>
                      </w14:textFill>
                    </w:rPr>
                    <w:t>10</w:t>
                  </w:r>
                  <w:r>
                    <w:rPr>
                      <w:rFonts w:hint="eastAsia" w:ascii="Times New Roman" w:eastAsia="宋体"/>
                      <w:color w:val="000000" w:themeColor="text1"/>
                      <w:sz w:val="21"/>
                      <w:szCs w:val="21"/>
                      <w:lang w:val="en-US"/>
                      <w14:textFill>
                        <w14:solidFill>
                          <w14:schemeClr w14:val="tx1"/>
                        </w14:solidFill>
                      </w14:textFill>
                    </w:rPr>
                    <w:t>.0</w:t>
                  </w:r>
                </w:p>
              </w:tc>
              <w:tc>
                <w:tcPr>
                  <w:tcW w:w="1105" w:type="pct"/>
                  <w:vMerge w:val="continue"/>
                  <w:vAlign w:val="center"/>
                </w:tcPr>
                <w:p w14:paraId="04D18D3B">
                  <w:pPr>
                    <w:keepNext w:val="0"/>
                    <w:keepLines w:val="0"/>
                    <w:pageBreakBefore w:val="0"/>
                    <w:widowControl/>
                    <w:kinsoku/>
                    <w:wordWrap/>
                    <w:overflowPunct/>
                    <w:topLinePunct w:val="0"/>
                    <w:autoSpaceDE/>
                    <w:autoSpaceDN/>
                    <w:bidi w:val="0"/>
                    <w:spacing w:line="240" w:lineRule="auto"/>
                    <w:ind w:right="0" w:firstLine="0" w:firstLineChars="0"/>
                    <w:jc w:val="center"/>
                    <w:textAlignment w:val="auto"/>
                    <w:rPr>
                      <w:color w:val="000000" w:themeColor="text1"/>
                      <w:kern w:val="0"/>
                      <w:szCs w:val="21"/>
                      <w:lang w:bidi="ar"/>
                      <w14:textFill>
                        <w14:solidFill>
                          <w14:schemeClr w14:val="tx1"/>
                        </w14:solidFill>
                      </w14:textFill>
                    </w:rPr>
                  </w:pPr>
                </w:p>
              </w:tc>
            </w:tr>
            <w:tr w14:paraId="0BC7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pct"/>
                  <w:vAlign w:val="center"/>
                </w:tcPr>
                <w:p w14:paraId="1CF470CD">
                  <w:pPr>
                    <w:pStyle w:val="37"/>
                    <w:keepNext w:val="0"/>
                    <w:keepLines w:val="0"/>
                    <w:pageBreakBefore w:val="0"/>
                    <w:kinsoku/>
                    <w:wordWrap/>
                    <w:overflowPunct/>
                    <w:topLinePunct w:val="0"/>
                    <w:autoSpaceDE/>
                    <w:autoSpaceDN/>
                    <w:bidi w:val="0"/>
                    <w:spacing w:beforeLines="0" w:beforeAutospacing="0" w:afterLines="0" w:line="240" w:lineRule="auto"/>
                    <w:ind w:right="0" w:firstLine="0" w:firstLineChars="0"/>
                    <w:textAlignment w:val="auto"/>
                    <w:rPr>
                      <w:color w:val="000000" w:themeColor="text1"/>
                      <w:szCs w:val="21"/>
                      <w:lang w:bidi="ar"/>
                      <w14:textFill>
                        <w14:solidFill>
                          <w14:schemeClr w14:val="tx1"/>
                        </w14:solidFill>
                      </w14:textFill>
                    </w:rPr>
                  </w:pPr>
                  <w:r>
                    <w:rPr>
                      <w:rFonts w:hint="eastAsia" w:ascii="Times New Roman" w:eastAsia="宋体"/>
                      <w:color w:val="000000" w:themeColor="text1"/>
                      <w:sz w:val="21"/>
                      <w:szCs w:val="21"/>
                      <w:lang w:val="en-US"/>
                      <w14:textFill>
                        <w14:solidFill>
                          <w14:schemeClr w14:val="tx1"/>
                        </w14:solidFill>
                      </w14:textFill>
                    </w:rPr>
                    <w:t>总铬（Cr），mg/kg</w:t>
                  </w:r>
                </w:p>
              </w:tc>
              <w:tc>
                <w:tcPr>
                  <w:tcW w:w="990" w:type="pct"/>
                  <w:vAlign w:val="center"/>
                </w:tcPr>
                <w:p w14:paraId="51CCB304">
                  <w:pPr>
                    <w:pStyle w:val="37"/>
                    <w:keepNext w:val="0"/>
                    <w:keepLines w:val="0"/>
                    <w:pageBreakBefore w:val="0"/>
                    <w:kinsoku/>
                    <w:wordWrap/>
                    <w:overflowPunct/>
                    <w:topLinePunct w:val="0"/>
                    <w:autoSpaceDE/>
                    <w:autoSpaceDN/>
                    <w:bidi w:val="0"/>
                    <w:spacing w:beforeLines="0" w:beforeAutospacing="0" w:afterLines="0" w:line="240" w:lineRule="auto"/>
                    <w:ind w:right="0" w:firstLine="0" w:firstLineChars="0"/>
                    <w:textAlignment w:val="auto"/>
                    <w:rPr>
                      <w:color w:val="000000" w:themeColor="text1"/>
                      <w:szCs w:val="21"/>
                      <w:lang w:bidi="ar"/>
                      <w14:textFill>
                        <w14:solidFill>
                          <w14:schemeClr w14:val="tx1"/>
                        </w14:solidFill>
                      </w14:textFill>
                    </w:rPr>
                  </w:pPr>
                  <w:r>
                    <w:rPr>
                      <w:rFonts w:ascii="Times New Roman" w:eastAsia="宋体"/>
                      <w:color w:val="000000" w:themeColor="text1"/>
                      <w:sz w:val="21"/>
                      <w:szCs w:val="21"/>
                      <w14:textFill>
                        <w14:solidFill>
                          <w14:schemeClr w14:val="tx1"/>
                        </w14:solidFill>
                      </w14:textFill>
                    </w:rPr>
                    <w:t>≤</w:t>
                  </w:r>
                  <w:r>
                    <w:rPr>
                      <w:rFonts w:hint="eastAsia" w:ascii="Times New Roman" w:eastAsia="宋体"/>
                      <w:color w:val="000000" w:themeColor="text1"/>
                      <w:sz w:val="21"/>
                      <w:szCs w:val="21"/>
                      <w:lang w:val="en-US"/>
                      <w14:textFill>
                        <w14:solidFill>
                          <w14:schemeClr w14:val="tx1"/>
                        </w14:solidFill>
                      </w14:textFill>
                    </w:rPr>
                    <w:t>50.0</w:t>
                  </w:r>
                </w:p>
              </w:tc>
              <w:tc>
                <w:tcPr>
                  <w:tcW w:w="1105" w:type="pct"/>
                  <w:vMerge w:val="continue"/>
                  <w:vAlign w:val="center"/>
                </w:tcPr>
                <w:p w14:paraId="4AA8234D">
                  <w:pPr>
                    <w:keepNext w:val="0"/>
                    <w:keepLines w:val="0"/>
                    <w:pageBreakBefore w:val="0"/>
                    <w:widowControl/>
                    <w:kinsoku/>
                    <w:wordWrap/>
                    <w:overflowPunct/>
                    <w:topLinePunct w:val="0"/>
                    <w:autoSpaceDE/>
                    <w:autoSpaceDN/>
                    <w:bidi w:val="0"/>
                    <w:spacing w:line="240" w:lineRule="auto"/>
                    <w:ind w:right="0" w:firstLine="0" w:firstLineChars="0"/>
                    <w:jc w:val="center"/>
                    <w:textAlignment w:val="auto"/>
                    <w:rPr>
                      <w:color w:val="000000" w:themeColor="text1"/>
                      <w:kern w:val="0"/>
                      <w:szCs w:val="21"/>
                      <w:lang w:bidi="ar"/>
                      <w14:textFill>
                        <w14:solidFill>
                          <w14:schemeClr w14:val="tx1"/>
                        </w14:solidFill>
                      </w14:textFill>
                    </w:rPr>
                  </w:pPr>
                </w:p>
              </w:tc>
            </w:tr>
          </w:tbl>
          <w:p w14:paraId="51B76241">
            <w:pPr>
              <w:spacing w:line="360" w:lineRule="auto"/>
              <w:ind w:firstLine="482" w:firstLineChars="200"/>
              <w:rPr>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三</w:t>
            </w:r>
            <w:r>
              <w:rPr>
                <w:b/>
                <w:color w:val="000000" w:themeColor="text1"/>
                <w:kern w:val="0"/>
                <w:sz w:val="24"/>
                <w14:textFill>
                  <w14:solidFill>
                    <w14:schemeClr w14:val="tx1"/>
                  </w14:solidFill>
                </w14:textFill>
              </w:rPr>
              <w:t>、生产设备一览表</w:t>
            </w:r>
          </w:p>
          <w:p w14:paraId="046D05E2">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项目主要生产设备见下表：</w:t>
            </w:r>
          </w:p>
          <w:p w14:paraId="37EA59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b/>
                <w:sz w:val="24"/>
                <w:szCs w:val="24"/>
              </w:rPr>
            </w:pPr>
            <w:r>
              <w:rPr>
                <w:rFonts w:ascii="Times New Roman" w:hAnsi="Times New Roman"/>
                <w:b/>
                <w:bCs/>
                <w:color w:val="000000" w:themeColor="text1"/>
                <w:sz w:val="24"/>
                <w14:textFill>
                  <w14:solidFill>
                    <w14:schemeClr w14:val="tx1"/>
                  </w14:solidFill>
                </w14:textFill>
              </w:rPr>
              <w:t>表</w:t>
            </w:r>
            <w:r>
              <w:rPr>
                <w:rFonts w:hint="eastAsia" w:ascii="Times New Roman" w:hAnsi="Times New Roman"/>
                <w:b/>
                <w:bCs/>
                <w:color w:val="000000" w:themeColor="text1"/>
                <w:sz w:val="24"/>
                <w14:textFill>
                  <w14:solidFill>
                    <w14:schemeClr w14:val="tx1"/>
                  </w14:solidFill>
                </w14:textFill>
              </w:rPr>
              <w:t>2</w:t>
            </w:r>
            <w:r>
              <w:rPr>
                <w:rFonts w:ascii="Times New Roman" w:hAnsi="Times New Roman"/>
                <w:b/>
                <w:bCs/>
                <w:color w:val="000000" w:themeColor="text1"/>
                <w:sz w:val="24"/>
                <w14:textFill>
                  <w14:solidFill>
                    <w14:schemeClr w14:val="tx1"/>
                  </w14:solidFill>
                </w14:textFill>
              </w:rPr>
              <w:t>-4 主要生产设备一览表</w:t>
            </w:r>
            <w:r>
              <w:rPr>
                <w:rFonts w:ascii="Times New Roman" w:hAnsi="Times New Roman" w:cs="Times New Roman"/>
                <w:b/>
                <w:sz w:val="24"/>
                <w:szCs w:val="24"/>
              </w:rPr>
              <w:t>主要设备清单</w:t>
            </w:r>
          </w:p>
          <w:tbl>
            <w:tblPr>
              <w:tblStyle w:val="23"/>
              <w:tblW w:w="83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8"/>
              <w:gridCol w:w="2101"/>
              <w:gridCol w:w="1685"/>
              <w:gridCol w:w="1571"/>
              <w:gridCol w:w="1610"/>
            </w:tblGrid>
            <w:tr w14:paraId="1A9D5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8843">
                  <w:pPr>
                    <w:widowControl/>
                    <w:jc w:val="center"/>
                    <w:textAlignment w:val="center"/>
                    <w:rPr>
                      <w:rFonts w:hint="eastAsia"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序号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91BA">
                  <w:pPr>
                    <w:widowControl/>
                    <w:jc w:val="center"/>
                    <w:textAlignment w:val="center"/>
                    <w:rPr>
                      <w:rFonts w:hint="eastAsia"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设备名称</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D68D">
                  <w:pPr>
                    <w:widowControl/>
                    <w:jc w:val="center"/>
                    <w:textAlignment w:val="center"/>
                    <w:rPr>
                      <w:rFonts w:hint="eastAsia"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单位</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1B57">
                  <w:pPr>
                    <w:widowControl/>
                    <w:jc w:val="center"/>
                    <w:textAlignment w:val="center"/>
                    <w:rPr>
                      <w:rFonts w:hint="eastAsia"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数量</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7ACC">
                  <w:pPr>
                    <w:widowControl/>
                    <w:jc w:val="center"/>
                    <w:textAlignment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规格</w:t>
                  </w:r>
                </w:p>
              </w:tc>
            </w:tr>
            <w:tr w14:paraId="4AE40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A43A">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85F8">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新风系统</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F579">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套</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28BF">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D35C">
                  <w:pPr>
                    <w:widowControl/>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r>
            <w:tr w14:paraId="1F6A3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A6B2">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F95F">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清洗设备</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36F1">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套</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EDED">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8B47">
                  <w:pPr>
                    <w:widowControl/>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r>
            <w:tr w14:paraId="451E5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20" w:type="dxa"/>
                  <w:vMerge w:val="restart"/>
                  <w:tcBorders>
                    <w:top w:val="single" w:color="000000" w:sz="4" w:space="0"/>
                    <w:left w:val="single" w:color="000000" w:sz="4" w:space="0"/>
                    <w:right w:val="single" w:color="000000" w:sz="4" w:space="0"/>
                  </w:tcBorders>
                  <w:shd w:val="clear" w:color="auto" w:fill="auto"/>
                  <w:noWrap/>
                  <w:vAlign w:val="center"/>
                </w:tcPr>
                <w:p w14:paraId="65B149F7">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w:t>
                  </w:r>
                </w:p>
              </w:tc>
              <w:tc>
                <w:tcPr>
                  <w:tcW w:w="2205" w:type="dxa"/>
                  <w:vMerge w:val="restart"/>
                  <w:tcBorders>
                    <w:top w:val="single" w:color="000000" w:sz="4" w:space="0"/>
                    <w:left w:val="single" w:color="000000" w:sz="4" w:space="0"/>
                    <w:right w:val="single" w:color="000000" w:sz="4" w:space="0"/>
                  </w:tcBorders>
                  <w:shd w:val="clear" w:color="auto" w:fill="auto"/>
                  <w:noWrap/>
                  <w:vAlign w:val="center"/>
                </w:tcPr>
                <w:p w14:paraId="0B8FD5FE">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净水设备</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2D24">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套</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D8191">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597C">
                  <w:pPr>
                    <w:widowControl/>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4t/h</w:t>
                  </w:r>
                </w:p>
              </w:tc>
            </w:tr>
            <w:tr w14:paraId="6516A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20" w:type="dxa"/>
                  <w:vMerge w:val="continue"/>
                  <w:tcBorders>
                    <w:left w:val="single" w:color="000000" w:sz="4" w:space="0"/>
                    <w:bottom w:val="single" w:color="000000" w:sz="4" w:space="0"/>
                    <w:right w:val="single" w:color="000000" w:sz="4" w:space="0"/>
                  </w:tcBorders>
                  <w:shd w:val="clear" w:color="auto" w:fill="auto"/>
                  <w:noWrap/>
                  <w:vAlign w:val="center"/>
                </w:tcPr>
                <w:p w14:paraId="531C9A25">
                  <w:pPr>
                    <w:widowControl/>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2205" w:type="dxa"/>
                  <w:vMerge w:val="continue"/>
                  <w:tcBorders>
                    <w:left w:val="single" w:color="000000" w:sz="4" w:space="0"/>
                    <w:bottom w:val="single" w:color="000000" w:sz="4" w:space="0"/>
                    <w:right w:val="single" w:color="000000" w:sz="4" w:space="0"/>
                  </w:tcBorders>
                  <w:shd w:val="clear" w:color="auto" w:fill="auto"/>
                  <w:noWrap/>
                  <w:vAlign w:val="center"/>
                </w:tcPr>
                <w:p w14:paraId="5FECAF54">
                  <w:pPr>
                    <w:widowControl/>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45AC">
                  <w:pPr>
                    <w:widowControl/>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套</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3DC6">
                  <w:pPr>
                    <w:widowControl/>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40DF">
                  <w:pPr>
                    <w:widowControl/>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2t/h</w:t>
                  </w:r>
                </w:p>
              </w:tc>
            </w:tr>
            <w:tr w14:paraId="4CD25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BCAA">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CA9F">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水解罐</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FE95">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个</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3A8E">
                  <w:pPr>
                    <w:widowControl/>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8E62">
                  <w:pPr>
                    <w:widowControl/>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t</w:t>
                  </w:r>
                  <w:r>
                    <w:rPr>
                      <w:rFonts w:hint="eastAsia" w:cs="Times New Roman"/>
                      <w:color w:val="000000" w:themeColor="text1"/>
                      <w:sz w:val="21"/>
                      <w:szCs w:val="21"/>
                      <w:lang w:val="en-US" w:eastAsia="zh-CN"/>
                      <w14:textFill>
                        <w14:solidFill>
                          <w14:schemeClr w14:val="tx1"/>
                        </w14:solidFill>
                      </w14:textFill>
                    </w:rPr>
                    <w:t>，直径1.5m</w:t>
                  </w:r>
                </w:p>
              </w:tc>
            </w:tr>
            <w:tr w14:paraId="7E022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5A01">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5</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CE22">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离心机</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1CF1">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台</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72F8">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C0F8">
                  <w:pPr>
                    <w:widowControl/>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转速3000-10000r/min</w:t>
                  </w:r>
                </w:p>
              </w:tc>
            </w:tr>
            <w:tr w14:paraId="4FDD4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F603">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6</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B4B5">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加热装置</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8173">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套</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CD10">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0CC7">
                  <w:pPr>
                    <w:widowControl/>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电加热</w:t>
                  </w:r>
                </w:p>
              </w:tc>
            </w:tr>
            <w:tr w14:paraId="64CDF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20" w:type="dxa"/>
                  <w:vMerge w:val="restart"/>
                  <w:tcBorders>
                    <w:top w:val="single" w:color="000000" w:sz="4" w:space="0"/>
                    <w:left w:val="single" w:color="000000" w:sz="4" w:space="0"/>
                    <w:right w:val="single" w:color="000000" w:sz="4" w:space="0"/>
                  </w:tcBorders>
                  <w:shd w:val="clear" w:color="auto" w:fill="auto"/>
                  <w:noWrap/>
                  <w:vAlign w:val="center"/>
                </w:tcPr>
                <w:p w14:paraId="6F9891D0">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7</w:t>
                  </w:r>
                </w:p>
              </w:tc>
              <w:tc>
                <w:tcPr>
                  <w:tcW w:w="2205" w:type="dxa"/>
                  <w:vMerge w:val="restart"/>
                  <w:tcBorders>
                    <w:top w:val="single" w:color="000000" w:sz="4" w:space="0"/>
                    <w:left w:val="single" w:color="000000" w:sz="4" w:space="0"/>
                    <w:right w:val="single" w:color="000000" w:sz="4" w:space="0"/>
                  </w:tcBorders>
                  <w:shd w:val="clear" w:color="auto" w:fill="auto"/>
                  <w:noWrap/>
                  <w:vAlign w:val="center"/>
                </w:tcPr>
                <w:p w14:paraId="71082731">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包装设备</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EEB82">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套</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4C2B">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E6C3">
                  <w:pPr>
                    <w:widowControl/>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100ml</w:t>
                  </w:r>
                </w:p>
              </w:tc>
            </w:tr>
            <w:tr w14:paraId="7D1A8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20" w:type="dxa"/>
                  <w:vMerge w:val="continue"/>
                  <w:tcBorders>
                    <w:left w:val="single" w:color="000000" w:sz="4" w:space="0"/>
                    <w:bottom w:val="single" w:color="000000" w:sz="4" w:space="0"/>
                    <w:right w:val="single" w:color="000000" w:sz="4" w:space="0"/>
                  </w:tcBorders>
                  <w:shd w:val="clear" w:color="auto" w:fill="auto"/>
                  <w:noWrap/>
                  <w:vAlign w:val="center"/>
                </w:tcPr>
                <w:p w14:paraId="171FF011">
                  <w:pPr>
                    <w:widowControl/>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2205" w:type="dxa"/>
                  <w:vMerge w:val="continue"/>
                  <w:tcBorders>
                    <w:left w:val="single" w:color="000000" w:sz="4" w:space="0"/>
                    <w:bottom w:val="single" w:color="000000" w:sz="4" w:space="0"/>
                    <w:right w:val="single" w:color="000000" w:sz="4" w:space="0"/>
                  </w:tcBorders>
                  <w:shd w:val="clear" w:color="auto" w:fill="auto"/>
                  <w:noWrap/>
                  <w:vAlign w:val="center"/>
                </w:tcPr>
                <w:p w14:paraId="3638B4CE">
                  <w:pPr>
                    <w:widowControl/>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1B96">
                  <w:pPr>
                    <w:widowControl/>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套</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BBAC">
                  <w:pPr>
                    <w:widowControl/>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3AF8">
                  <w:pPr>
                    <w:widowControl/>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5L</w:t>
                  </w:r>
                </w:p>
              </w:tc>
            </w:tr>
            <w:tr w14:paraId="2C650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99B7">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8</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1AB7">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计量调配设备</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FFBB">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套</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043E">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77B6">
                  <w:pPr>
                    <w:widowControl/>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r>
            <w:tr w14:paraId="5867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7C19">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9</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9138">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传送装置</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35DB">
                  <w:pPr>
                    <w:widowControl/>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个</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BFBC">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数个</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0B41">
                  <w:pPr>
                    <w:widowControl/>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r>
            <w:tr w14:paraId="1573E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73F2">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10</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D2A5">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检测设备</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74EF">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套</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7B44">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5B72">
                  <w:pPr>
                    <w:widowControl/>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r>
            <w:tr w14:paraId="2347E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0425">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11</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2556">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存储罐</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CB9D">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个</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99CE">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E7F0">
                  <w:pPr>
                    <w:widowControl/>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3t</w:t>
                  </w:r>
                </w:p>
              </w:tc>
            </w:tr>
            <w:tr w14:paraId="11552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638A">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12</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77D2B">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数字化控制系统</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B8ED">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套</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59CA">
                  <w:pPr>
                    <w:widowControl/>
                    <w:jc w:val="center"/>
                    <w:textAlignment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5A13">
                  <w:pPr>
                    <w:widowControl/>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r>
          </w:tbl>
          <w:p w14:paraId="57FD5334">
            <w:pPr>
              <w:pStyle w:val="9"/>
              <w:keepNext w:val="0"/>
              <w:keepLines w:val="0"/>
              <w:pageBreakBefore w:val="0"/>
              <w:widowControl w:val="0"/>
              <w:kinsoku/>
              <w:wordWrap/>
              <w:overflowPunct/>
              <w:topLinePunct w:val="0"/>
              <w:autoSpaceDE/>
              <w:autoSpaceDN/>
              <w:bidi w:val="0"/>
              <w:adjustRightInd/>
              <w:snapToGrid/>
              <w:spacing w:line="240" w:lineRule="auto"/>
              <w:ind w:right="0" w:rightChars="0" w:firstLine="0"/>
              <w:jc w:val="center"/>
              <w:textAlignment w:val="auto"/>
              <w:rPr>
                <w:rFonts w:ascii="Times New Roman" w:hAnsi="Times New Roman"/>
                <w:b/>
                <w:bCs/>
                <w:color w:val="000000" w:themeColor="text1"/>
                <w:sz w:val="24"/>
                <w14:textFill>
                  <w14:solidFill>
                    <w14:schemeClr w14:val="tx1"/>
                  </w14:solidFill>
                </w14:textFill>
              </w:rPr>
            </w:pPr>
          </w:p>
          <w:p w14:paraId="025AB5B6">
            <w:pPr>
              <w:widowControl/>
              <w:spacing w:line="360" w:lineRule="auto"/>
              <w:ind w:firstLine="482" w:firstLineChars="200"/>
              <w:textAlignment w:val="center"/>
              <w:rPr>
                <w:b/>
                <w:color w:val="000000" w:themeColor="text1"/>
                <w:kern w:val="0"/>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四</w:t>
            </w:r>
            <w:r>
              <w:rPr>
                <w:b/>
                <w:color w:val="000000" w:themeColor="text1"/>
                <w:kern w:val="0"/>
                <w:sz w:val="24"/>
                <w14:textFill>
                  <w14:solidFill>
                    <w14:schemeClr w14:val="tx1"/>
                  </w14:solidFill>
                </w14:textFill>
              </w:rPr>
              <w:t>、原辅料及能源消耗</w:t>
            </w:r>
          </w:p>
          <w:p w14:paraId="6F288E8A">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b w:val="0"/>
                <w:color w:val="000000" w:themeColor="text1"/>
                <w:sz w:val="24"/>
                <w:szCs w:val="24"/>
                <w14:textFill>
                  <w14:solidFill>
                    <w14:schemeClr w14:val="tx1"/>
                  </w14:solidFill>
                </w14:textFill>
              </w:rPr>
            </w:pPr>
            <w:r>
              <w:rPr>
                <w:b w:val="0"/>
                <w:color w:val="000000" w:themeColor="text1"/>
                <w:sz w:val="24"/>
                <w:szCs w:val="24"/>
                <w14:textFill>
                  <w14:solidFill>
                    <w14:schemeClr w14:val="tx1"/>
                  </w14:solidFill>
                </w14:textFill>
              </w:rPr>
              <w:t>本项目原辅材料及能源消耗情况如下表所示：</w:t>
            </w:r>
          </w:p>
          <w:p w14:paraId="2C5B9329">
            <w:pPr>
              <w:pStyle w:val="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hAnsi="Times New Roman"/>
                <w:b/>
                <w:bCs/>
                <w:color w:val="000000" w:themeColor="text1"/>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t>表</w:t>
            </w:r>
            <w:r>
              <w:rPr>
                <w:rFonts w:hint="eastAsia" w:ascii="Times New Roman" w:hAnsi="Times New Roman"/>
                <w:b/>
                <w:bCs/>
                <w:color w:val="000000" w:themeColor="text1"/>
                <w:sz w:val="24"/>
                <w14:textFill>
                  <w14:solidFill>
                    <w14:schemeClr w14:val="tx1"/>
                  </w14:solidFill>
                </w14:textFill>
              </w:rPr>
              <w:t>2</w:t>
            </w:r>
            <w:r>
              <w:rPr>
                <w:rFonts w:ascii="Times New Roman" w:hAnsi="Times New Roman"/>
                <w:b/>
                <w:bCs/>
                <w:color w:val="000000" w:themeColor="text1"/>
                <w:sz w:val="24"/>
                <w14:textFill>
                  <w14:solidFill>
                    <w14:schemeClr w14:val="tx1"/>
                  </w14:solidFill>
                </w14:textFill>
              </w:rPr>
              <w:t>-</w:t>
            </w:r>
            <w:r>
              <w:rPr>
                <w:rFonts w:hint="eastAsia" w:ascii="Times New Roman" w:hAnsi="Times New Roman"/>
                <w:b/>
                <w:bCs/>
                <w:color w:val="000000" w:themeColor="text1"/>
                <w:sz w:val="24"/>
                <w14:textFill>
                  <w14:solidFill>
                    <w14:schemeClr w14:val="tx1"/>
                  </w14:solidFill>
                </w14:textFill>
              </w:rPr>
              <w:t>5</w:t>
            </w:r>
            <w:r>
              <w:rPr>
                <w:rFonts w:ascii="Times New Roman" w:hAnsi="Times New Roman"/>
                <w:b/>
                <w:bCs/>
                <w:color w:val="000000" w:themeColor="text1"/>
                <w:sz w:val="24"/>
                <w14:textFill>
                  <w14:solidFill>
                    <w14:schemeClr w14:val="tx1"/>
                  </w14:solidFill>
                </w14:textFill>
              </w:rPr>
              <w:t xml:space="preserve"> 主要原辅材料及能源消耗一览表</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188"/>
              <w:gridCol w:w="1032"/>
              <w:gridCol w:w="1004"/>
              <w:gridCol w:w="1530"/>
              <w:gridCol w:w="798"/>
              <w:gridCol w:w="1683"/>
            </w:tblGrid>
            <w:tr w14:paraId="0ABB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485DB398">
                  <w:pPr>
                    <w:keepNext w:val="0"/>
                    <w:keepLines w:val="0"/>
                    <w:pageBreakBefore w:val="0"/>
                    <w:kinsoku/>
                    <w:wordWrap/>
                    <w:overflowPunct/>
                    <w:topLinePunct w:val="0"/>
                    <w:autoSpaceDE/>
                    <w:autoSpaceDN/>
                    <w:bidi w:val="0"/>
                    <w:spacing w:line="240" w:lineRule="auto"/>
                    <w:ind w:right="0"/>
                    <w:jc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序号</w:t>
                  </w:r>
                </w:p>
              </w:tc>
              <w:tc>
                <w:tcPr>
                  <w:tcW w:w="749" w:type="pct"/>
                  <w:vAlign w:val="center"/>
                </w:tcPr>
                <w:p w14:paraId="24A40EA4">
                  <w:pPr>
                    <w:keepNext w:val="0"/>
                    <w:keepLines w:val="0"/>
                    <w:pageBreakBefore w:val="0"/>
                    <w:kinsoku/>
                    <w:wordWrap/>
                    <w:overflowPunct/>
                    <w:topLinePunct w:val="0"/>
                    <w:autoSpaceDE/>
                    <w:autoSpaceDN/>
                    <w:bidi w:val="0"/>
                    <w:spacing w:line="240" w:lineRule="auto"/>
                    <w:ind w:right="0"/>
                    <w:jc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名称</w:t>
                  </w:r>
                </w:p>
              </w:tc>
              <w:tc>
                <w:tcPr>
                  <w:tcW w:w="651" w:type="pct"/>
                  <w:vAlign w:val="center"/>
                </w:tcPr>
                <w:p w14:paraId="76CA3E13">
                  <w:pPr>
                    <w:keepNext w:val="0"/>
                    <w:keepLines w:val="0"/>
                    <w:pageBreakBefore w:val="0"/>
                    <w:kinsoku/>
                    <w:wordWrap/>
                    <w:overflowPunct/>
                    <w:topLinePunct w:val="0"/>
                    <w:autoSpaceDE/>
                    <w:autoSpaceDN/>
                    <w:bidi w:val="0"/>
                    <w:spacing w:line="240" w:lineRule="auto"/>
                    <w:ind w:right="0"/>
                    <w:jc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lang w:val="en-US" w:eastAsia="zh-CN" w:bidi="ar"/>
                      <w14:textFill>
                        <w14:solidFill>
                          <w14:schemeClr w14:val="tx1"/>
                        </w14:solidFill>
                      </w14:textFill>
                    </w:rPr>
                    <w:t>年</w:t>
                  </w:r>
                  <w:r>
                    <w:rPr>
                      <w:rFonts w:hint="default" w:ascii="Times New Roman" w:hAnsi="Times New Roman" w:eastAsia="宋体" w:cs="Times New Roman"/>
                      <w:b/>
                      <w:bCs w:val="0"/>
                      <w:color w:val="000000" w:themeColor="text1"/>
                      <w:sz w:val="21"/>
                      <w:szCs w:val="21"/>
                      <w:lang w:bidi="ar"/>
                      <w14:textFill>
                        <w14:solidFill>
                          <w14:schemeClr w14:val="tx1"/>
                        </w14:solidFill>
                      </w14:textFill>
                    </w:rPr>
                    <w:t>消耗量</w:t>
                  </w:r>
                </w:p>
              </w:tc>
              <w:tc>
                <w:tcPr>
                  <w:tcW w:w="633" w:type="pct"/>
                  <w:vAlign w:val="center"/>
                </w:tcPr>
                <w:p w14:paraId="279E4701">
                  <w:pPr>
                    <w:keepNext w:val="0"/>
                    <w:keepLines w:val="0"/>
                    <w:pageBreakBefore w:val="0"/>
                    <w:kinsoku/>
                    <w:wordWrap/>
                    <w:overflowPunct/>
                    <w:topLinePunct w:val="0"/>
                    <w:autoSpaceDE/>
                    <w:autoSpaceDN/>
                    <w:bidi w:val="0"/>
                    <w:spacing w:line="240" w:lineRule="auto"/>
                    <w:ind w:right="0"/>
                    <w:jc w:val="center"/>
                    <w:rPr>
                      <w:rFonts w:hint="default" w:ascii="Times New Roman" w:hAnsi="Times New Roman" w:eastAsia="宋体" w:cs="Times New Roman"/>
                      <w:b/>
                      <w:bCs w:val="0"/>
                      <w:color w:val="000000" w:themeColor="text1"/>
                      <w:sz w:val="21"/>
                      <w:szCs w:val="21"/>
                      <w:lang w:eastAsia="zh-CN" w:bidi="ar"/>
                      <w14:textFill>
                        <w14:solidFill>
                          <w14:schemeClr w14:val="tx1"/>
                        </w14:solidFill>
                      </w14:textFill>
                    </w:rPr>
                  </w:pPr>
                  <w:r>
                    <w:rPr>
                      <w:rFonts w:hint="default" w:ascii="Times New Roman" w:hAnsi="Times New Roman" w:eastAsia="宋体" w:cs="Times New Roman"/>
                      <w:b/>
                      <w:bCs w:val="0"/>
                      <w:color w:val="000000" w:themeColor="text1"/>
                      <w:sz w:val="21"/>
                      <w:szCs w:val="21"/>
                      <w:lang w:val="en-US" w:eastAsia="zh-CN" w:bidi="ar"/>
                      <w14:textFill>
                        <w14:solidFill>
                          <w14:schemeClr w14:val="tx1"/>
                        </w14:solidFill>
                      </w14:textFill>
                    </w:rPr>
                    <w:t>规格</w:t>
                  </w:r>
                </w:p>
              </w:tc>
              <w:tc>
                <w:tcPr>
                  <w:tcW w:w="965" w:type="pct"/>
                  <w:vAlign w:val="center"/>
                </w:tcPr>
                <w:p w14:paraId="484C45BD">
                  <w:pPr>
                    <w:keepNext w:val="0"/>
                    <w:keepLines w:val="0"/>
                    <w:pageBreakBefore w:val="0"/>
                    <w:kinsoku/>
                    <w:wordWrap/>
                    <w:overflowPunct/>
                    <w:topLinePunct w:val="0"/>
                    <w:autoSpaceDE/>
                    <w:autoSpaceDN/>
                    <w:bidi w:val="0"/>
                    <w:spacing w:line="240" w:lineRule="auto"/>
                    <w:ind w:right="0"/>
                    <w:jc w:val="center"/>
                    <w:rPr>
                      <w:rFonts w:hint="default" w:ascii="Times New Roman" w:hAnsi="Times New Roman" w:eastAsia="宋体" w:cs="Times New Roman"/>
                      <w:b/>
                      <w:bCs w:val="0"/>
                      <w:color w:val="000000" w:themeColor="text1"/>
                      <w:sz w:val="21"/>
                      <w:szCs w:val="21"/>
                      <w:lang w:bidi="ar"/>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最大储存量</w:t>
                  </w:r>
                </w:p>
              </w:tc>
              <w:tc>
                <w:tcPr>
                  <w:tcW w:w="503" w:type="pct"/>
                  <w:vAlign w:val="center"/>
                </w:tcPr>
                <w:p w14:paraId="66348F41">
                  <w:pPr>
                    <w:keepNext w:val="0"/>
                    <w:keepLines w:val="0"/>
                    <w:pageBreakBefore w:val="0"/>
                    <w:kinsoku/>
                    <w:wordWrap/>
                    <w:overflowPunct/>
                    <w:topLinePunct w:val="0"/>
                    <w:autoSpaceDE/>
                    <w:autoSpaceDN/>
                    <w:bidi w:val="0"/>
                    <w:spacing w:line="240" w:lineRule="auto"/>
                    <w:ind w:right="0"/>
                    <w:jc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储存位置</w:t>
                  </w:r>
                </w:p>
              </w:tc>
              <w:tc>
                <w:tcPr>
                  <w:tcW w:w="1059" w:type="pct"/>
                  <w:vAlign w:val="center"/>
                </w:tcPr>
                <w:p w14:paraId="6900B8AB">
                  <w:pPr>
                    <w:keepNext w:val="0"/>
                    <w:keepLines w:val="0"/>
                    <w:pageBreakBefore w:val="0"/>
                    <w:kinsoku/>
                    <w:wordWrap/>
                    <w:overflowPunct/>
                    <w:topLinePunct w:val="0"/>
                    <w:autoSpaceDE/>
                    <w:autoSpaceDN/>
                    <w:bidi w:val="0"/>
                    <w:spacing w:line="240" w:lineRule="auto"/>
                    <w:ind w:right="0"/>
                    <w:jc w:val="center"/>
                    <w:rPr>
                      <w:rFonts w:hint="default" w:ascii="Times New Roman" w:hAnsi="Times New Roman" w:eastAsia="宋体" w:cs="Times New Roman"/>
                      <w:b/>
                      <w:bCs w:val="0"/>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val="en-US" w:eastAsia="zh-CN" w:bidi="ar"/>
                      <w14:textFill>
                        <w14:solidFill>
                          <w14:schemeClr w14:val="tx1"/>
                        </w14:solidFill>
                      </w14:textFill>
                    </w:rPr>
                    <w:t>备注</w:t>
                  </w:r>
                </w:p>
              </w:tc>
            </w:tr>
            <w:tr w14:paraId="3BF5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73CCFF5E">
                  <w:pPr>
                    <w:keepNext w:val="0"/>
                    <w:keepLines w:val="0"/>
                    <w:pageBreakBefore w:val="0"/>
                    <w:widowControl/>
                    <w:kinsoku/>
                    <w:wordWrap/>
                    <w:overflowPunct/>
                    <w:topLinePunct w:val="0"/>
                    <w:autoSpaceDE/>
                    <w:autoSpaceDN/>
                    <w:bidi w:val="0"/>
                    <w:spacing w:line="240" w:lineRule="auto"/>
                    <w:ind w:right="0"/>
                    <w:jc w:val="center"/>
                    <w:textAlignment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1</w:t>
                  </w:r>
                </w:p>
              </w:tc>
              <w:tc>
                <w:tcPr>
                  <w:tcW w:w="749" w:type="pct"/>
                  <w:vAlign w:val="center"/>
                </w:tcPr>
                <w:p w14:paraId="762A8078">
                  <w:pPr>
                    <w:keepNext w:val="0"/>
                    <w:keepLines w:val="0"/>
                    <w:pageBreakBefore w:val="0"/>
                    <w:widowControl/>
                    <w:kinsoku/>
                    <w:wordWrap/>
                    <w:overflowPunct/>
                    <w:topLinePunct w:val="0"/>
                    <w:autoSpaceDE/>
                    <w:autoSpaceDN/>
                    <w:bidi w:val="0"/>
                    <w:spacing w:line="240" w:lineRule="auto"/>
                    <w:ind w:right="0"/>
                    <w:jc w:val="center"/>
                    <w:textAlignment w:val="center"/>
                    <w:rPr>
                      <w:rFonts w:hint="default" w:ascii="Times New Roman" w:hAnsi="Times New Roman" w:eastAsia="宋体" w:cs="Times New Roman"/>
                      <w:b w:val="0"/>
                      <w:bCs/>
                      <w:color w:val="000000" w:themeColor="text1"/>
                      <w:kern w:val="0"/>
                      <w:sz w:val="21"/>
                      <w:szCs w:val="21"/>
                      <w:lang w:bidi="ar"/>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鲜蚯蚓</w:t>
                  </w:r>
                </w:p>
              </w:tc>
              <w:tc>
                <w:tcPr>
                  <w:tcW w:w="651" w:type="pct"/>
                  <w:vAlign w:val="center"/>
                </w:tcPr>
                <w:p w14:paraId="0E9EFF23">
                  <w:pPr>
                    <w:keepNext w:val="0"/>
                    <w:keepLines w:val="0"/>
                    <w:pageBreakBefore w:val="0"/>
                    <w:widowControl/>
                    <w:kinsoku/>
                    <w:wordWrap/>
                    <w:overflowPunct/>
                    <w:topLinePunct w:val="0"/>
                    <w:autoSpaceDE/>
                    <w:autoSpaceDN/>
                    <w:bidi w:val="0"/>
                    <w:spacing w:line="240" w:lineRule="auto"/>
                    <w:ind w:right="0"/>
                    <w:jc w:val="center"/>
                    <w:textAlignment w:val="center"/>
                    <w:rPr>
                      <w:rFonts w:hint="default" w:ascii="Times New Roman" w:hAnsi="Times New Roman" w:eastAsia="宋体" w:cs="Times New Roman"/>
                      <w:b w:val="0"/>
                      <w:bCs/>
                      <w:color w:val="000000" w:themeColor="text1"/>
                      <w:sz w:val="21"/>
                      <w:szCs w:val="21"/>
                      <w:lang w:val="en-US"/>
                      <w14:textFill>
                        <w14:solidFill>
                          <w14:schemeClr w14:val="tx1"/>
                        </w14:solidFill>
                      </w14:textFill>
                    </w:rPr>
                  </w:pPr>
                  <w:r>
                    <w:rPr>
                      <w:rFonts w:hint="eastAsia" w:cs="Times New Roman"/>
                      <w:b w:val="0"/>
                      <w:bCs/>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00</w:t>
                  </w: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t</w:t>
                  </w:r>
                </w:p>
              </w:tc>
              <w:tc>
                <w:tcPr>
                  <w:tcW w:w="633" w:type="pct"/>
                  <w:vAlign w:val="center"/>
                </w:tcPr>
                <w:p w14:paraId="0448FB45">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w:t>
                  </w:r>
                </w:p>
              </w:tc>
              <w:tc>
                <w:tcPr>
                  <w:tcW w:w="965" w:type="pct"/>
                  <w:vAlign w:val="center"/>
                </w:tcPr>
                <w:p w14:paraId="6C14B45B">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鲜活蚯蚓到场后立马加工处理，不存储</w:t>
                  </w:r>
                </w:p>
              </w:tc>
              <w:tc>
                <w:tcPr>
                  <w:tcW w:w="503" w:type="pct"/>
                  <w:vAlign w:val="center"/>
                </w:tcPr>
                <w:p w14:paraId="0A788865">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w:t>
                  </w:r>
                </w:p>
              </w:tc>
              <w:tc>
                <w:tcPr>
                  <w:tcW w:w="1059" w:type="pct"/>
                  <w:vAlign w:val="center"/>
                </w:tcPr>
                <w:p w14:paraId="4307E90D">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来自一期项目。</w:t>
                  </w:r>
                  <w:r>
                    <w:rPr>
                      <w:rFonts w:hint="default" w:ascii="Times New Roman" w:hAnsi="Times New Roman" w:eastAsia="宋体" w:cs="Times New Roman"/>
                      <w:b w:val="0"/>
                      <w:bCs/>
                      <w:color w:val="000000" w:themeColor="text1"/>
                      <w:kern w:val="0"/>
                      <w:sz w:val="21"/>
                      <w:szCs w:val="21"/>
                      <w14:textFill>
                        <w14:solidFill>
                          <w14:schemeClr w14:val="tx1"/>
                        </w14:solidFill>
                      </w14:textFill>
                    </w:rPr>
                    <w:t>死亡率不超过3%，活性高，杂质含量不超过5%。</w:t>
                  </w:r>
                </w:p>
              </w:tc>
            </w:tr>
            <w:tr w14:paraId="78B6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4A5ED06F">
                  <w:pPr>
                    <w:keepNext w:val="0"/>
                    <w:keepLines w:val="0"/>
                    <w:pageBreakBefore w:val="0"/>
                    <w:widowControl/>
                    <w:kinsoku/>
                    <w:wordWrap/>
                    <w:overflowPunct/>
                    <w:topLinePunct w:val="0"/>
                    <w:autoSpaceDE/>
                    <w:autoSpaceDN/>
                    <w:bidi w:val="0"/>
                    <w:spacing w:line="240" w:lineRule="auto"/>
                    <w:ind w:right="0"/>
                    <w:jc w:val="center"/>
                    <w:textAlignment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2</w:t>
                  </w:r>
                </w:p>
              </w:tc>
              <w:tc>
                <w:tcPr>
                  <w:tcW w:w="749" w:type="pct"/>
                  <w:vAlign w:val="center"/>
                </w:tcPr>
                <w:p w14:paraId="075DEA16">
                  <w:pPr>
                    <w:keepNext w:val="0"/>
                    <w:keepLines w:val="0"/>
                    <w:pageBreakBefore w:val="0"/>
                    <w:widowControl/>
                    <w:suppressLineNumbers w:val="0"/>
                    <w:kinsoku/>
                    <w:wordWrap/>
                    <w:overflowPunct/>
                    <w:topLinePunct w:val="0"/>
                    <w:autoSpaceDE/>
                    <w:autoSpaceDN/>
                    <w:bidi w:val="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kern w:val="0"/>
                      <w:sz w:val="21"/>
                      <w:szCs w:val="21"/>
                      <w:lang w:val="en-US" w:eastAsia="zh-CN" w:bidi="ar"/>
                    </w:rPr>
                    <w:t>浓硫酸 H₂SO₄</w:t>
                  </w:r>
                </w:p>
              </w:tc>
              <w:tc>
                <w:tcPr>
                  <w:tcW w:w="651" w:type="pct"/>
                  <w:vAlign w:val="center"/>
                </w:tcPr>
                <w:p w14:paraId="5EDAC580">
                  <w:pPr>
                    <w:keepNext w:val="0"/>
                    <w:keepLines w:val="0"/>
                    <w:pageBreakBefore w:val="0"/>
                    <w:widowControl/>
                    <w:suppressLineNumbers w:val="0"/>
                    <w:kinsoku/>
                    <w:wordWrap/>
                    <w:overflowPunct/>
                    <w:topLinePunct w:val="0"/>
                    <w:autoSpaceDE/>
                    <w:autoSpaceDN/>
                    <w:bidi w:val="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Style w:val="26"/>
                      <w:rFonts w:hint="default" w:ascii="Times New Roman" w:hAnsi="Times New Roman" w:eastAsia="宋体" w:cs="Times New Roman"/>
                      <w:b w:val="0"/>
                      <w:bCs/>
                      <w:kern w:val="0"/>
                      <w:sz w:val="21"/>
                      <w:szCs w:val="21"/>
                      <w:lang w:val="en-US" w:eastAsia="zh-CN" w:bidi="ar"/>
                    </w:rPr>
                    <w:t>720 mL</w:t>
                  </w:r>
                </w:p>
              </w:tc>
              <w:tc>
                <w:tcPr>
                  <w:tcW w:w="633" w:type="pct"/>
                  <w:vAlign w:val="center"/>
                </w:tcPr>
                <w:p w14:paraId="4BB07054">
                  <w:pPr>
                    <w:keepNext w:val="0"/>
                    <w:keepLines w:val="0"/>
                    <w:pageBreakBefore w:val="0"/>
                    <w:widowControl/>
                    <w:suppressLineNumbers w:val="0"/>
                    <w:kinsoku/>
                    <w:wordWrap/>
                    <w:overflowPunct/>
                    <w:topLinePunct w:val="0"/>
                    <w:autoSpaceDE/>
                    <w:autoSpaceDN/>
                    <w:bidi w:val="0"/>
                    <w:jc w:val="cente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b w:val="0"/>
                      <w:bCs/>
                      <w:kern w:val="0"/>
                      <w:sz w:val="21"/>
                      <w:szCs w:val="21"/>
                      <w:lang w:val="en-US" w:eastAsia="zh-CN" w:bidi="ar"/>
                    </w:rPr>
                    <w:t>AR 500mL</w:t>
                  </w:r>
                  <w:r>
                    <w:rPr>
                      <w:rFonts w:hint="eastAsia" w:ascii="Times New Roman" w:hAnsi="Times New Roman" w:eastAsia="宋体" w:cs="Times New Roman"/>
                      <w:b w:val="0"/>
                      <w:bCs/>
                      <w:kern w:val="0"/>
                      <w:sz w:val="21"/>
                      <w:szCs w:val="21"/>
                      <w:lang w:val="en-US" w:eastAsia="zh-CN" w:bidi="ar"/>
                    </w:rPr>
                    <w:t>/瓶</w:t>
                  </w:r>
                </w:p>
              </w:tc>
              <w:tc>
                <w:tcPr>
                  <w:tcW w:w="965" w:type="pct"/>
                  <w:vAlign w:val="center"/>
                </w:tcPr>
                <w:p w14:paraId="7B162A7C">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b w:val="0"/>
                      <w:bCs/>
                      <w:kern w:val="0"/>
                      <w:sz w:val="21"/>
                      <w:szCs w:val="21"/>
                      <w:lang w:val="en-US" w:eastAsia="zh-CN" w:bidi="ar"/>
                    </w:rPr>
                    <w:t>500mL</w:t>
                  </w:r>
                </w:p>
              </w:tc>
              <w:tc>
                <w:tcPr>
                  <w:tcW w:w="503" w:type="pct"/>
                  <w:vAlign w:val="center"/>
                </w:tcPr>
                <w:p w14:paraId="6752520E">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实验室</w:t>
                  </w:r>
                </w:p>
              </w:tc>
              <w:tc>
                <w:tcPr>
                  <w:tcW w:w="1059" w:type="pct"/>
                  <w:vAlign w:val="center"/>
                </w:tcPr>
                <w:p w14:paraId="706E3166">
                  <w:pPr>
                    <w:keepNext w:val="0"/>
                    <w:keepLines w:val="0"/>
                    <w:pageBreakBefore w:val="0"/>
                    <w:widowControl/>
                    <w:suppressLineNumbers w:val="0"/>
                    <w:kinsoku/>
                    <w:wordWrap/>
                    <w:overflowPunct/>
                    <w:topLinePunct w:val="0"/>
                    <w:autoSpaceDE/>
                    <w:autoSpaceDN/>
                    <w:bidi w:val="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kern w:val="0"/>
                      <w:sz w:val="21"/>
                      <w:szCs w:val="21"/>
                      <w:lang w:val="en-US" w:eastAsia="zh-CN" w:bidi="ar"/>
                    </w:rPr>
                    <w:t>用于</w:t>
                  </w:r>
                  <w:r>
                    <w:rPr>
                      <w:rFonts w:hint="eastAsia" w:ascii="Times New Roman" w:hAnsi="Times New Roman" w:eastAsia="宋体" w:cs="Times New Roman"/>
                      <w:b w:val="0"/>
                      <w:bCs/>
                      <w:kern w:val="0"/>
                      <w:sz w:val="21"/>
                      <w:szCs w:val="21"/>
                      <w:lang w:val="en-US" w:eastAsia="zh-CN" w:bidi="ar"/>
                    </w:rPr>
                    <w:t>产品</w:t>
                  </w:r>
                  <w:r>
                    <w:rPr>
                      <w:rFonts w:hint="default" w:ascii="Times New Roman" w:hAnsi="Times New Roman" w:eastAsia="宋体" w:cs="Times New Roman"/>
                      <w:b w:val="0"/>
                      <w:bCs/>
                      <w:kern w:val="0"/>
                      <w:sz w:val="21"/>
                      <w:szCs w:val="21"/>
                      <w:lang w:val="en-US" w:eastAsia="zh-CN" w:bidi="ar"/>
                    </w:rPr>
                    <w:t>检测</w:t>
                  </w:r>
                </w:p>
              </w:tc>
            </w:tr>
            <w:tr w14:paraId="62CAD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24EB622B">
                  <w:pPr>
                    <w:keepNext w:val="0"/>
                    <w:keepLines w:val="0"/>
                    <w:pageBreakBefore w:val="0"/>
                    <w:widowControl/>
                    <w:kinsoku/>
                    <w:wordWrap/>
                    <w:overflowPunct/>
                    <w:topLinePunct w:val="0"/>
                    <w:autoSpaceDE/>
                    <w:autoSpaceDN/>
                    <w:bidi w:val="0"/>
                    <w:spacing w:line="240" w:lineRule="auto"/>
                    <w:ind w:right="0"/>
                    <w:jc w:val="center"/>
                    <w:textAlignment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3</w:t>
                  </w:r>
                </w:p>
              </w:tc>
              <w:tc>
                <w:tcPr>
                  <w:tcW w:w="749" w:type="pct"/>
                  <w:vAlign w:val="center"/>
                </w:tcPr>
                <w:p w14:paraId="2CD99277">
                  <w:pPr>
                    <w:keepNext w:val="0"/>
                    <w:keepLines w:val="0"/>
                    <w:pageBreakBefore w:val="0"/>
                    <w:widowControl/>
                    <w:suppressLineNumbers w:val="0"/>
                    <w:kinsoku/>
                    <w:wordWrap/>
                    <w:overflowPunct/>
                    <w:topLinePunct w:val="0"/>
                    <w:autoSpaceDE/>
                    <w:autoSpaceDN/>
                    <w:bidi w:val="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kern w:val="0"/>
                      <w:sz w:val="21"/>
                      <w:szCs w:val="21"/>
                      <w:lang w:val="en-US" w:eastAsia="zh-CN" w:bidi="ar"/>
                    </w:rPr>
                    <w:t>过氧化氢 H₂O₂ 30%</w:t>
                  </w:r>
                </w:p>
              </w:tc>
              <w:tc>
                <w:tcPr>
                  <w:tcW w:w="651" w:type="pct"/>
                  <w:vAlign w:val="center"/>
                </w:tcPr>
                <w:p w14:paraId="7235CEBE">
                  <w:pPr>
                    <w:keepNext w:val="0"/>
                    <w:keepLines w:val="0"/>
                    <w:pageBreakBefore w:val="0"/>
                    <w:widowControl/>
                    <w:suppressLineNumbers w:val="0"/>
                    <w:kinsoku/>
                    <w:wordWrap/>
                    <w:overflowPunct/>
                    <w:topLinePunct w:val="0"/>
                    <w:autoSpaceDE/>
                    <w:autoSpaceDN/>
                    <w:bidi w:val="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Style w:val="26"/>
                      <w:rFonts w:hint="default" w:ascii="Times New Roman" w:hAnsi="Times New Roman" w:eastAsia="宋体" w:cs="Times New Roman"/>
                      <w:b w:val="0"/>
                      <w:bCs/>
                      <w:kern w:val="0"/>
                      <w:sz w:val="21"/>
                      <w:szCs w:val="21"/>
                      <w:lang w:val="en-US" w:eastAsia="zh-CN" w:bidi="ar"/>
                    </w:rPr>
                    <w:t>360 mL</w:t>
                  </w:r>
                </w:p>
              </w:tc>
              <w:tc>
                <w:tcPr>
                  <w:tcW w:w="633" w:type="pct"/>
                  <w:vAlign w:val="center"/>
                </w:tcPr>
                <w:p w14:paraId="10C4135D">
                  <w:pPr>
                    <w:keepNext w:val="0"/>
                    <w:keepLines w:val="0"/>
                    <w:pageBreakBefore w:val="0"/>
                    <w:widowControl/>
                    <w:suppressLineNumbers w:val="0"/>
                    <w:kinsoku/>
                    <w:wordWrap/>
                    <w:overflowPunct/>
                    <w:topLinePunct w:val="0"/>
                    <w:autoSpaceDE/>
                    <w:autoSpaceDN/>
                    <w:bidi w:val="0"/>
                    <w:jc w:val="cente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b w:val="0"/>
                      <w:bCs/>
                      <w:kern w:val="0"/>
                      <w:sz w:val="21"/>
                      <w:szCs w:val="21"/>
                      <w:lang w:val="en-US" w:eastAsia="zh-CN" w:bidi="ar"/>
                    </w:rPr>
                    <w:t>AR 500mL</w:t>
                  </w:r>
                  <w:r>
                    <w:rPr>
                      <w:rFonts w:hint="eastAsia" w:ascii="Times New Roman" w:hAnsi="Times New Roman" w:eastAsia="宋体" w:cs="Times New Roman"/>
                      <w:b w:val="0"/>
                      <w:bCs/>
                      <w:kern w:val="0"/>
                      <w:sz w:val="21"/>
                      <w:szCs w:val="21"/>
                      <w:lang w:val="en-US" w:eastAsia="zh-CN" w:bidi="ar"/>
                    </w:rPr>
                    <w:t>/瓶</w:t>
                  </w:r>
                </w:p>
              </w:tc>
              <w:tc>
                <w:tcPr>
                  <w:tcW w:w="965" w:type="pct"/>
                  <w:vAlign w:val="center"/>
                </w:tcPr>
                <w:p w14:paraId="5E70BE59">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b w:val="0"/>
                      <w:bCs/>
                      <w:kern w:val="0"/>
                      <w:sz w:val="21"/>
                      <w:szCs w:val="21"/>
                      <w:lang w:val="en-US" w:eastAsia="zh-CN" w:bidi="ar"/>
                    </w:rPr>
                    <w:t>500mL</w:t>
                  </w:r>
                </w:p>
              </w:tc>
              <w:tc>
                <w:tcPr>
                  <w:tcW w:w="503" w:type="pct"/>
                  <w:vAlign w:val="center"/>
                </w:tcPr>
                <w:p w14:paraId="1CC0031E">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实验室</w:t>
                  </w:r>
                </w:p>
              </w:tc>
              <w:tc>
                <w:tcPr>
                  <w:tcW w:w="1059" w:type="pct"/>
                  <w:vAlign w:val="center"/>
                </w:tcPr>
                <w:p w14:paraId="256A9DCE">
                  <w:pPr>
                    <w:keepNext w:val="0"/>
                    <w:keepLines w:val="0"/>
                    <w:pageBreakBefore w:val="0"/>
                    <w:widowControl/>
                    <w:suppressLineNumbers w:val="0"/>
                    <w:kinsoku/>
                    <w:wordWrap/>
                    <w:overflowPunct/>
                    <w:topLinePunct w:val="0"/>
                    <w:autoSpaceDE/>
                    <w:autoSpaceDN/>
                    <w:bidi w:val="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kern w:val="0"/>
                      <w:sz w:val="21"/>
                      <w:szCs w:val="21"/>
                      <w:lang w:val="en-US" w:eastAsia="zh-CN" w:bidi="ar"/>
                    </w:rPr>
                    <w:t>用于</w:t>
                  </w:r>
                  <w:r>
                    <w:rPr>
                      <w:rFonts w:hint="eastAsia" w:ascii="Times New Roman" w:hAnsi="Times New Roman" w:eastAsia="宋体" w:cs="Times New Roman"/>
                      <w:b w:val="0"/>
                      <w:bCs/>
                      <w:kern w:val="0"/>
                      <w:sz w:val="21"/>
                      <w:szCs w:val="21"/>
                      <w:lang w:val="en-US" w:eastAsia="zh-CN" w:bidi="ar"/>
                    </w:rPr>
                    <w:t>产品</w:t>
                  </w:r>
                  <w:r>
                    <w:rPr>
                      <w:rFonts w:hint="default" w:ascii="Times New Roman" w:hAnsi="Times New Roman" w:eastAsia="宋体" w:cs="Times New Roman"/>
                      <w:b w:val="0"/>
                      <w:bCs/>
                      <w:kern w:val="0"/>
                      <w:sz w:val="21"/>
                      <w:szCs w:val="21"/>
                      <w:lang w:val="en-US" w:eastAsia="zh-CN" w:bidi="ar"/>
                    </w:rPr>
                    <w:t>检测</w:t>
                  </w:r>
                </w:p>
              </w:tc>
            </w:tr>
            <w:tr w14:paraId="03C4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19C6D85A">
                  <w:pPr>
                    <w:keepNext w:val="0"/>
                    <w:keepLines w:val="0"/>
                    <w:pageBreakBefore w:val="0"/>
                    <w:widowControl/>
                    <w:kinsoku/>
                    <w:wordWrap/>
                    <w:overflowPunct/>
                    <w:topLinePunct w:val="0"/>
                    <w:autoSpaceDE/>
                    <w:autoSpaceDN/>
                    <w:bidi w:val="0"/>
                    <w:spacing w:line="240" w:lineRule="auto"/>
                    <w:ind w:right="0"/>
                    <w:jc w:val="center"/>
                    <w:textAlignment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4</w:t>
                  </w:r>
                </w:p>
              </w:tc>
              <w:tc>
                <w:tcPr>
                  <w:tcW w:w="749" w:type="pct"/>
                  <w:vAlign w:val="center"/>
                </w:tcPr>
                <w:p w14:paraId="48BB5D10">
                  <w:pPr>
                    <w:keepNext w:val="0"/>
                    <w:keepLines w:val="0"/>
                    <w:pageBreakBefore w:val="0"/>
                    <w:widowControl/>
                    <w:suppressLineNumbers w:val="0"/>
                    <w:kinsoku/>
                    <w:wordWrap/>
                    <w:overflowPunct/>
                    <w:topLinePunct w:val="0"/>
                    <w:autoSpaceDE/>
                    <w:autoSpaceDN/>
                    <w:bidi w:val="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kern w:val="0"/>
                      <w:sz w:val="21"/>
                      <w:szCs w:val="21"/>
                      <w:lang w:val="en-US" w:eastAsia="zh-CN" w:bidi="ar"/>
                    </w:rPr>
                    <w:t>氢氧化钠 NaOH</w:t>
                  </w:r>
                </w:p>
              </w:tc>
              <w:tc>
                <w:tcPr>
                  <w:tcW w:w="651" w:type="pct"/>
                  <w:vAlign w:val="center"/>
                </w:tcPr>
                <w:p w14:paraId="505780F8">
                  <w:pPr>
                    <w:keepNext w:val="0"/>
                    <w:keepLines w:val="0"/>
                    <w:pageBreakBefore w:val="0"/>
                    <w:widowControl/>
                    <w:suppressLineNumbers w:val="0"/>
                    <w:kinsoku/>
                    <w:wordWrap/>
                    <w:overflowPunct/>
                    <w:topLinePunct w:val="0"/>
                    <w:autoSpaceDE/>
                    <w:autoSpaceDN/>
                    <w:bidi w:val="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Style w:val="26"/>
                      <w:rFonts w:hint="default" w:ascii="Times New Roman" w:hAnsi="Times New Roman" w:eastAsia="宋体" w:cs="Times New Roman"/>
                      <w:b w:val="0"/>
                      <w:bCs/>
                      <w:kern w:val="0"/>
                      <w:sz w:val="21"/>
                      <w:szCs w:val="21"/>
                      <w:lang w:val="en-US" w:eastAsia="zh-CN" w:bidi="ar"/>
                    </w:rPr>
                    <w:t>600 g</w:t>
                  </w:r>
                </w:p>
              </w:tc>
              <w:tc>
                <w:tcPr>
                  <w:tcW w:w="633" w:type="pct"/>
                  <w:vAlign w:val="center"/>
                </w:tcPr>
                <w:p w14:paraId="2B970E9B">
                  <w:pPr>
                    <w:keepNext w:val="0"/>
                    <w:keepLines w:val="0"/>
                    <w:pageBreakBefore w:val="0"/>
                    <w:widowControl/>
                    <w:suppressLineNumbers w:val="0"/>
                    <w:kinsoku/>
                    <w:wordWrap/>
                    <w:overflowPunct/>
                    <w:topLinePunct w:val="0"/>
                    <w:autoSpaceDE/>
                    <w:autoSpaceDN/>
                    <w:bidi w:val="0"/>
                    <w:jc w:val="cente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b w:val="0"/>
                      <w:bCs/>
                      <w:kern w:val="0"/>
                      <w:sz w:val="21"/>
                      <w:szCs w:val="21"/>
                      <w:lang w:val="en-US" w:eastAsia="zh-CN" w:bidi="ar"/>
                    </w:rPr>
                    <w:t>AR 500g</w:t>
                  </w:r>
                  <w:r>
                    <w:rPr>
                      <w:rFonts w:hint="eastAsia" w:ascii="Times New Roman" w:hAnsi="Times New Roman" w:eastAsia="宋体" w:cs="Times New Roman"/>
                      <w:b w:val="0"/>
                      <w:bCs/>
                      <w:kern w:val="0"/>
                      <w:sz w:val="21"/>
                      <w:szCs w:val="21"/>
                      <w:lang w:val="en-US" w:eastAsia="zh-CN" w:bidi="ar"/>
                    </w:rPr>
                    <w:t>/瓶</w:t>
                  </w:r>
                </w:p>
              </w:tc>
              <w:tc>
                <w:tcPr>
                  <w:tcW w:w="965" w:type="pct"/>
                  <w:vAlign w:val="center"/>
                </w:tcPr>
                <w:p w14:paraId="3C132B49">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b w:val="0"/>
                      <w:bCs/>
                      <w:kern w:val="0"/>
                      <w:sz w:val="21"/>
                      <w:szCs w:val="21"/>
                      <w:lang w:val="en-US" w:eastAsia="zh-CN" w:bidi="ar"/>
                    </w:rPr>
                    <w:t>500g</w:t>
                  </w:r>
                </w:p>
              </w:tc>
              <w:tc>
                <w:tcPr>
                  <w:tcW w:w="503" w:type="pct"/>
                  <w:vAlign w:val="center"/>
                </w:tcPr>
                <w:p w14:paraId="174D680A">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实验室</w:t>
                  </w:r>
                </w:p>
              </w:tc>
              <w:tc>
                <w:tcPr>
                  <w:tcW w:w="1059" w:type="pct"/>
                  <w:vAlign w:val="center"/>
                </w:tcPr>
                <w:p w14:paraId="0B34BE71">
                  <w:pPr>
                    <w:keepNext w:val="0"/>
                    <w:keepLines w:val="0"/>
                    <w:pageBreakBefore w:val="0"/>
                    <w:widowControl/>
                    <w:suppressLineNumbers w:val="0"/>
                    <w:kinsoku/>
                    <w:wordWrap/>
                    <w:overflowPunct/>
                    <w:topLinePunct w:val="0"/>
                    <w:autoSpaceDE/>
                    <w:autoSpaceDN/>
                    <w:bidi w:val="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kern w:val="0"/>
                      <w:sz w:val="21"/>
                      <w:szCs w:val="21"/>
                      <w:lang w:val="en-US" w:eastAsia="zh-CN" w:bidi="ar"/>
                    </w:rPr>
                    <w:t>用于</w:t>
                  </w:r>
                  <w:r>
                    <w:rPr>
                      <w:rFonts w:hint="eastAsia" w:ascii="Times New Roman" w:hAnsi="Times New Roman" w:eastAsia="宋体" w:cs="Times New Roman"/>
                      <w:b w:val="0"/>
                      <w:bCs/>
                      <w:kern w:val="0"/>
                      <w:sz w:val="21"/>
                      <w:szCs w:val="21"/>
                      <w:lang w:val="en-US" w:eastAsia="zh-CN" w:bidi="ar"/>
                    </w:rPr>
                    <w:t>产品</w:t>
                  </w:r>
                  <w:r>
                    <w:rPr>
                      <w:rFonts w:hint="default" w:ascii="Times New Roman" w:hAnsi="Times New Roman" w:eastAsia="宋体" w:cs="Times New Roman"/>
                      <w:b w:val="0"/>
                      <w:bCs/>
                      <w:kern w:val="0"/>
                      <w:sz w:val="21"/>
                      <w:szCs w:val="21"/>
                      <w:lang w:val="en-US" w:eastAsia="zh-CN" w:bidi="ar"/>
                    </w:rPr>
                    <w:t>检测</w:t>
                  </w:r>
                </w:p>
              </w:tc>
            </w:tr>
            <w:tr w14:paraId="26DD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60B6E82C">
                  <w:pPr>
                    <w:keepNext w:val="0"/>
                    <w:keepLines w:val="0"/>
                    <w:pageBreakBefore w:val="0"/>
                    <w:widowControl/>
                    <w:kinsoku/>
                    <w:wordWrap/>
                    <w:overflowPunct/>
                    <w:topLinePunct w:val="0"/>
                    <w:autoSpaceDE/>
                    <w:autoSpaceDN/>
                    <w:bidi w:val="0"/>
                    <w:spacing w:line="240" w:lineRule="auto"/>
                    <w:ind w:right="0"/>
                    <w:jc w:val="center"/>
                    <w:textAlignment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5</w:t>
                  </w:r>
                </w:p>
              </w:tc>
              <w:tc>
                <w:tcPr>
                  <w:tcW w:w="749" w:type="pct"/>
                  <w:vAlign w:val="center"/>
                </w:tcPr>
                <w:p w14:paraId="711DB681">
                  <w:pPr>
                    <w:keepNext w:val="0"/>
                    <w:keepLines w:val="0"/>
                    <w:pageBreakBefore w:val="0"/>
                    <w:widowControl/>
                    <w:suppressLineNumbers w:val="0"/>
                    <w:kinsoku/>
                    <w:wordWrap/>
                    <w:overflowPunct/>
                    <w:topLinePunct w:val="0"/>
                    <w:autoSpaceDE/>
                    <w:autoSpaceDN/>
                    <w:bidi w:val="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kern w:val="0"/>
                      <w:sz w:val="21"/>
                      <w:szCs w:val="21"/>
                      <w:lang w:val="en-US" w:eastAsia="zh-CN" w:bidi="ar"/>
                    </w:rPr>
                    <w:t>硼酸溶液</w:t>
                  </w:r>
                </w:p>
              </w:tc>
              <w:tc>
                <w:tcPr>
                  <w:tcW w:w="651" w:type="pct"/>
                  <w:vAlign w:val="center"/>
                </w:tcPr>
                <w:p w14:paraId="036AD450">
                  <w:pPr>
                    <w:keepNext w:val="0"/>
                    <w:keepLines w:val="0"/>
                    <w:pageBreakBefore w:val="0"/>
                    <w:widowControl/>
                    <w:suppressLineNumbers w:val="0"/>
                    <w:kinsoku/>
                    <w:wordWrap/>
                    <w:overflowPunct/>
                    <w:topLinePunct w:val="0"/>
                    <w:autoSpaceDE/>
                    <w:autoSpaceDN/>
                    <w:bidi w:val="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Style w:val="26"/>
                      <w:rFonts w:hint="default" w:ascii="Times New Roman" w:hAnsi="Times New Roman" w:eastAsia="宋体" w:cs="Times New Roman"/>
                      <w:b w:val="0"/>
                      <w:bCs/>
                      <w:kern w:val="0"/>
                      <w:sz w:val="21"/>
                      <w:szCs w:val="21"/>
                      <w:lang w:val="en-US" w:eastAsia="zh-CN" w:bidi="ar"/>
                    </w:rPr>
                    <w:t>480 g</w:t>
                  </w:r>
                </w:p>
              </w:tc>
              <w:tc>
                <w:tcPr>
                  <w:tcW w:w="633" w:type="pct"/>
                  <w:vAlign w:val="center"/>
                </w:tcPr>
                <w:p w14:paraId="18383229">
                  <w:pPr>
                    <w:keepNext w:val="0"/>
                    <w:keepLines w:val="0"/>
                    <w:pageBreakBefore w:val="0"/>
                    <w:widowControl/>
                    <w:suppressLineNumbers w:val="0"/>
                    <w:kinsoku/>
                    <w:wordWrap/>
                    <w:overflowPunct/>
                    <w:topLinePunct w:val="0"/>
                    <w:autoSpaceDE/>
                    <w:autoSpaceDN/>
                    <w:bidi w:val="0"/>
                    <w:jc w:val="cente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b w:val="0"/>
                      <w:bCs/>
                      <w:kern w:val="0"/>
                      <w:sz w:val="21"/>
                      <w:szCs w:val="21"/>
                      <w:lang w:val="en-US" w:eastAsia="zh-CN" w:bidi="ar"/>
                    </w:rPr>
                    <w:t>AR 500g</w:t>
                  </w:r>
                  <w:r>
                    <w:rPr>
                      <w:rFonts w:hint="eastAsia" w:ascii="Times New Roman" w:hAnsi="Times New Roman" w:eastAsia="宋体" w:cs="Times New Roman"/>
                      <w:b w:val="0"/>
                      <w:bCs/>
                      <w:kern w:val="0"/>
                      <w:sz w:val="21"/>
                      <w:szCs w:val="21"/>
                      <w:lang w:val="en-US" w:eastAsia="zh-CN" w:bidi="ar"/>
                    </w:rPr>
                    <w:t>/瓶</w:t>
                  </w:r>
                </w:p>
              </w:tc>
              <w:tc>
                <w:tcPr>
                  <w:tcW w:w="965" w:type="pct"/>
                  <w:vAlign w:val="center"/>
                </w:tcPr>
                <w:p w14:paraId="4B41E21E">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b w:val="0"/>
                      <w:bCs/>
                      <w:kern w:val="0"/>
                      <w:sz w:val="21"/>
                      <w:szCs w:val="21"/>
                      <w:lang w:val="en-US" w:eastAsia="zh-CN" w:bidi="ar"/>
                    </w:rPr>
                    <w:t>500g</w:t>
                  </w:r>
                </w:p>
              </w:tc>
              <w:tc>
                <w:tcPr>
                  <w:tcW w:w="503" w:type="pct"/>
                  <w:vAlign w:val="center"/>
                </w:tcPr>
                <w:p w14:paraId="54908653">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实验室</w:t>
                  </w:r>
                </w:p>
              </w:tc>
              <w:tc>
                <w:tcPr>
                  <w:tcW w:w="1059" w:type="pct"/>
                  <w:vAlign w:val="center"/>
                </w:tcPr>
                <w:p w14:paraId="65A770E5">
                  <w:pPr>
                    <w:keepNext w:val="0"/>
                    <w:keepLines w:val="0"/>
                    <w:pageBreakBefore w:val="0"/>
                    <w:widowControl/>
                    <w:suppressLineNumbers w:val="0"/>
                    <w:kinsoku/>
                    <w:wordWrap/>
                    <w:overflowPunct/>
                    <w:topLinePunct w:val="0"/>
                    <w:autoSpaceDE/>
                    <w:autoSpaceDN/>
                    <w:bidi w:val="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kern w:val="0"/>
                      <w:sz w:val="21"/>
                      <w:szCs w:val="21"/>
                      <w:lang w:val="en-US" w:eastAsia="zh-CN" w:bidi="ar"/>
                    </w:rPr>
                    <w:t>用于</w:t>
                  </w:r>
                  <w:r>
                    <w:rPr>
                      <w:rFonts w:hint="eastAsia" w:ascii="Times New Roman" w:hAnsi="Times New Roman" w:eastAsia="宋体" w:cs="Times New Roman"/>
                      <w:b w:val="0"/>
                      <w:bCs/>
                      <w:kern w:val="0"/>
                      <w:sz w:val="21"/>
                      <w:szCs w:val="21"/>
                      <w:lang w:val="en-US" w:eastAsia="zh-CN" w:bidi="ar"/>
                    </w:rPr>
                    <w:t>产品</w:t>
                  </w:r>
                  <w:r>
                    <w:rPr>
                      <w:rFonts w:hint="default" w:ascii="Times New Roman" w:hAnsi="Times New Roman" w:eastAsia="宋体" w:cs="Times New Roman"/>
                      <w:b w:val="0"/>
                      <w:bCs/>
                      <w:kern w:val="0"/>
                      <w:sz w:val="21"/>
                      <w:szCs w:val="21"/>
                      <w:lang w:val="en-US" w:eastAsia="zh-CN" w:bidi="ar"/>
                    </w:rPr>
                    <w:t>检测</w:t>
                  </w:r>
                </w:p>
              </w:tc>
            </w:tr>
            <w:tr w14:paraId="0DA9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5860D409">
                  <w:pPr>
                    <w:keepNext w:val="0"/>
                    <w:keepLines w:val="0"/>
                    <w:pageBreakBefore w:val="0"/>
                    <w:widowControl/>
                    <w:kinsoku/>
                    <w:wordWrap/>
                    <w:overflowPunct/>
                    <w:topLinePunct w:val="0"/>
                    <w:autoSpaceDE/>
                    <w:autoSpaceDN/>
                    <w:bidi w:val="0"/>
                    <w:spacing w:line="240" w:lineRule="auto"/>
                    <w:ind w:right="0"/>
                    <w:jc w:val="center"/>
                    <w:textAlignment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6</w:t>
                  </w:r>
                </w:p>
              </w:tc>
              <w:tc>
                <w:tcPr>
                  <w:tcW w:w="749" w:type="pct"/>
                  <w:vAlign w:val="center"/>
                </w:tcPr>
                <w:p w14:paraId="0E97E266">
                  <w:pPr>
                    <w:keepNext w:val="0"/>
                    <w:keepLines w:val="0"/>
                    <w:pageBreakBefore w:val="0"/>
                    <w:widowControl/>
                    <w:suppressLineNumbers w:val="0"/>
                    <w:kinsoku/>
                    <w:wordWrap/>
                    <w:overflowPunct/>
                    <w:topLinePunct w:val="0"/>
                    <w:autoSpaceDE/>
                    <w:autoSpaceDN/>
                    <w:bidi w:val="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kern w:val="0"/>
                      <w:sz w:val="21"/>
                      <w:szCs w:val="21"/>
                      <w:lang w:val="en-US" w:eastAsia="zh-CN" w:bidi="ar"/>
                    </w:rPr>
                    <w:t>混合指示剂（溴甲酚绿 + 甲基红）</w:t>
                  </w:r>
                </w:p>
              </w:tc>
              <w:tc>
                <w:tcPr>
                  <w:tcW w:w="651" w:type="pct"/>
                  <w:vAlign w:val="center"/>
                </w:tcPr>
                <w:p w14:paraId="0AE23F45">
                  <w:pPr>
                    <w:keepNext w:val="0"/>
                    <w:keepLines w:val="0"/>
                    <w:pageBreakBefore w:val="0"/>
                    <w:widowControl/>
                    <w:suppressLineNumbers w:val="0"/>
                    <w:kinsoku/>
                    <w:wordWrap/>
                    <w:overflowPunct/>
                    <w:topLinePunct w:val="0"/>
                    <w:autoSpaceDE/>
                    <w:autoSpaceDN/>
                    <w:bidi w:val="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Style w:val="26"/>
                      <w:rFonts w:hint="default" w:ascii="Times New Roman" w:hAnsi="Times New Roman" w:eastAsia="宋体" w:cs="Times New Roman"/>
                      <w:b w:val="0"/>
                      <w:bCs/>
                      <w:kern w:val="0"/>
                      <w:sz w:val="21"/>
                      <w:szCs w:val="21"/>
                      <w:lang w:val="en-US" w:eastAsia="zh-CN" w:bidi="ar"/>
                    </w:rPr>
                    <w:t>48 mL</w:t>
                  </w:r>
                </w:p>
              </w:tc>
              <w:tc>
                <w:tcPr>
                  <w:tcW w:w="633" w:type="pct"/>
                  <w:vAlign w:val="center"/>
                </w:tcPr>
                <w:p w14:paraId="0D1339CD">
                  <w:pPr>
                    <w:keepNext w:val="0"/>
                    <w:keepLines w:val="0"/>
                    <w:pageBreakBefore w:val="0"/>
                    <w:widowControl/>
                    <w:suppressLineNumbers w:val="0"/>
                    <w:kinsoku/>
                    <w:wordWrap/>
                    <w:overflowPunct/>
                    <w:topLinePunct w:val="0"/>
                    <w:autoSpaceDE/>
                    <w:autoSpaceDN/>
                    <w:bidi w:val="0"/>
                    <w:jc w:val="cente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b w:val="0"/>
                      <w:bCs/>
                      <w:kern w:val="0"/>
                      <w:sz w:val="21"/>
                      <w:szCs w:val="21"/>
                      <w:lang w:val="en-US" w:eastAsia="zh-CN" w:bidi="ar"/>
                    </w:rPr>
                    <w:t>100mL</w:t>
                  </w:r>
                  <w:r>
                    <w:rPr>
                      <w:rFonts w:hint="eastAsia" w:ascii="Times New Roman" w:hAnsi="Times New Roman" w:eastAsia="宋体" w:cs="Times New Roman"/>
                      <w:b w:val="0"/>
                      <w:bCs/>
                      <w:kern w:val="0"/>
                      <w:sz w:val="21"/>
                      <w:szCs w:val="21"/>
                      <w:lang w:val="en-US" w:eastAsia="zh-CN" w:bidi="ar"/>
                    </w:rPr>
                    <w:t>/瓶</w:t>
                  </w:r>
                </w:p>
              </w:tc>
              <w:tc>
                <w:tcPr>
                  <w:tcW w:w="965" w:type="pct"/>
                  <w:vAlign w:val="center"/>
                </w:tcPr>
                <w:p w14:paraId="768A5EB2">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b w:val="0"/>
                      <w:bCs/>
                      <w:kern w:val="0"/>
                      <w:sz w:val="21"/>
                      <w:szCs w:val="21"/>
                      <w:lang w:val="en-US" w:eastAsia="zh-CN" w:bidi="ar"/>
                    </w:rPr>
                    <w:t>100mL</w:t>
                  </w:r>
                </w:p>
              </w:tc>
              <w:tc>
                <w:tcPr>
                  <w:tcW w:w="503" w:type="pct"/>
                  <w:vAlign w:val="center"/>
                </w:tcPr>
                <w:p w14:paraId="333B006A">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实验室</w:t>
                  </w:r>
                </w:p>
              </w:tc>
              <w:tc>
                <w:tcPr>
                  <w:tcW w:w="1059" w:type="pct"/>
                  <w:vAlign w:val="center"/>
                </w:tcPr>
                <w:p w14:paraId="072AD8D8">
                  <w:pPr>
                    <w:keepNext w:val="0"/>
                    <w:keepLines w:val="0"/>
                    <w:pageBreakBefore w:val="0"/>
                    <w:widowControl/>
                    <w:suppressLineNumbers w:val="0"/>
                    <w:kinsoku/>
                    <w:wordWrap/>
                    <w:overflowPunct/>
                    <w:topLinePunct w:val="0"/>
                    <w:autoSpaceDE/>
                    <w:autoSpaceDN/>
                    <w:bidi w:val="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kern w:val="0"/>
                      <w:sz w:val="21"/>
                      <w:szCs w:val="21"/>
                      <w:lang w:val="en-US" w:eastAsia="zh-CN" w:bidi="ar"/>
                    </w:rPr>
                    <w:t>用于</w:t>
                  </w:r>
                  <w:r>
                    <w:rPr>
                      <w:rFonts w:hint="eastAsia" w:ascii="Times New Roman" w:hAnsi="Times New Roman" w:eastAsia="宋体" w:cs="Times New Roman"/>
                      <w:b w:val="0"/>
                      <w:bCs/>
                      <w:kern w:val="0"/>
                      <w:sz w:val="21"/>
                      <w:szCs w:val="21"/>
                      <w:lang w:val="en-US" w:eastAsia="zh-CN" w:bidi="ar"/>
                    </w:rPr>
                    <w:t>产品</w:t>
                  </w:r>
                  <w:r>
                    <w:rPr>
                      <w:rFonts w:hint="default" w:ascii="Times New Roman" w:hAnsi="Times New Roman" w:eastAsia="宋体" w:cs="Times New Roman"/>
                      <w:b w:val="0"/>
                      <w:bCs/>
                      <w:kern w:val="0"/>
                      <w:sz w:val="21"/>
                      <w:szCs w:val="21"/>
                      <w:lang w:val="en-US" w:eastAsia="zh-CN" w:bidi="ar"/>
                    </w:rPr>
                    <w:t>检测</w:t>
                  </w:r>
                </w:p>
              </w:tc>
            </w:tr>
            <w:tr w14:paraId="0499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7551B8E7">
                  <w:pPr>
                    <w:keepNext w:val="0"/>
                    <w:keepLines w:val="0"/>
                    <w:pageBreakBefore w:val="0"/>
                    <w:widowControl/>
                    <w:kinsoku/>
                    <w:wordWrap/>
                    <w:overflowPunct/>
                    <w:topLinePunct w:val="0"/>
                    <w:autoSpaceDE/>
                    <w:autoSpaceDN/>
                    <w:bidi w:val="0"/>
                    <w:spacing w:line="240" w:lineRule="auto"/>
                    <w:ind w:right="0"/>
                    <w:jc w:val="center"/>
                    <w:textAlignment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7</w:t>
                  </w:r>
                </w:p>
              </w:tc>
              <w:tc>
                <w:tcPr>
                  <w:tcW w:w="749" w:type="pct"/>
                  <w:vAlign w:val="center"/>
                </w:tcPr>
                <w:p w14:paraId="467BD3F4">
                  <w:pPr>
                    <w:keepNext w:val="0"/>
                    <w:keepLines w:val="0"/>
                    <w:pageBreakBefore w:val="0"/>
                    <w:widowControl/>
                    <w:suppressLineNumbers w:val="0"/>
                    <w:kinsoku/>
                    <w:wordWrap/>
                    <w:overflowPunct/>
                    <w:topLinePunct w:val="0"/>
                    <w:autoSpaceDE/>
                    <w:autoSpaceDN/>
                    <w:bidi w:val="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kern w:val="0"/>
                      <w:sz w:val="21"/>
                      <w:szCs w:val="21"/>
                      <w:lang w:val="en-US" w:eastAsia="zh-CN" w:bidi="ar"/>
                    </w:rPr>
                    <w:t>盐酸标准溶液 0.02mol/L</w:t>
                  </w:r>
                </w:p>
              </w:tc>
              <w:tc>
                <w:tcPr>
                  <w:tcW w:w="651" w:type="pct"/>
                  <w:vAlign w:val="center"/>
                </w:tcPr>
                <w:p w14:paraId="04CE9DFF">
                  <w:pPr>
                    <w:keepNext w:val="0"/>
                    <w:keepLines w:val="0"/>
                    <w:pageBreakBefore w:val="0"/>
                    <w:widowControl/>
                    <w:suppressLineNumbers w:val="0"/>
                    <w:kinsoku/>
                    <w:wordWrap/>
                    <w:overflowPunct/>
                    <w:topLinePunct w:val="0"/>
                    <w:autoSpaceDE/>
                    <w:autoSpaceDN/>
                    <w:bidi w:val="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Style w:val="26"/>
                      <w:rFonts w:hint="default" w:ascii="Times New Roman" w:hAnsi="Times New Roman" w:eastAsia="宋体" w:cs="Times New Roman"/>
                      <w:b w:val="0"/>
                      <w:bCs/>
                      <w:kern w:val="0"/>
                      <w:sz w:val="21"/>
                      <w:szCs w:val="21"/>
                      <w:lang w:val="en-US" w:eastAsia="zh-CN" w:bidi="ar"/>
                    </w:rPr>
                    <w:t>1200 mL</w:t>
                  </w:r>
                </w:p>
              </w:tc>
              <w:tc>
                <w:tcPr>
                  <w:tcW w:w="633" w:type="pct"/>
                  <w:vAlign w:val="center"/>
                </w:tcPr>
                <w:p w14:paraId="0B0A0FF1">
                  <w:pPr>
                    <w:keepNext w:val="0"/>
                    <w:keepLines w:val="0"/>
                    <w:pageBreakBefore w:val="0"/>
                    <w:widowControl/>
                    <w:suppressLineNumbers w:val="0"/>
                    <w:kinsoku/>
                    <w:wordWrap/>
                    <w:overflowPunct/>
                    <w:topLinePunct w:val="0"/>
                    <w:autoSpaceDE/>
                    <w:autoSpaceDN/>
                    <w:bidi w:val="0"/>
                    <w:jc w:val="cente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b w:val="0"/>
                      <w:bCs/>
                      <w:kern w:val="0"/>
                      <w:sz w:val="21"/>
                      <w:szCs w:val="21"/>
                      <w:lang w:val="en-US" w:eastAsia="zh-CN" w:bidi="ar"/>
                    </w:rPr>
                    <w:t>1000mL</w:t>
                  </w:r>
                  <w:r>
                    <w:rPr>
                      <w:rFonts w:hint="eastAsia" w:ascii="Times New Roman" w:hAnsi="Times New Roman" w:eastAsia="宋体" w:cs="Times New Roman"/>
                      <w:b w:val="0"/>
                      <w:bCs/>
                      <w:kern w:val="0"/>
                      <w:sz w:val="21"/>
                      <w:szCs w:val="21"/>
                      <w:lang w:val="en-US" w:eastAsia="zh-CN" w:bidi="ar"/>
                    </w:rPr>
                    <w:t>/瓶</w:t>
                  </w:r>
                </w:p>
              </w:tc>
              <w:tc>
                <w:tcPr>
                  <w:tcW w:w="965" w:type="pct"/>
                  <w:vAlign w:val="center"/>
                </w:tcPr>
                <w:p w14:paraId="67FF4859">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b w:val="0"/>
                      <w:bCs/>
                      <w:kern w:val="0"/>
                      <w:sz w:val="21"/>
                      <w:szCs w:val="21"/>
                      <w:lang w:val="en-US" w:eastAsia="zh-CN" w:bidi="ar"/>
                    </w:rPr>
                    <w:t>1000mL</w:t>
                  </w:r>
                </w:p>
              </w:tc>
              <w:tc>
                <w:tcPr>
                  <w:tcW w:w="503" w:type="pct"/>
                  <w:vAlign w:val="center"/>
                </w:tcPr>
                <w:p w14:paraId="1E53F22E">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实验室</w:t>
                  </w:r>
                </w:p>
              </w:tc>
              <w:tc>
                <w:tcPr>
                  <w:tcW w:w="1059" w:type="pct"/>
                  <w:vAlign w:val="center"/>
                </w:tcPr>
                <w:p w14:paraId="0B9170BC">
                  <w:pPr>
                    <w:keepNext w:val="0"/>
                    <w:keepLines w:val="0"/>
                    <w:pageBreakBefore w:val="0"/>
                    <w:widowControl/>
                    <w:suppressLineNumbers w:val="0"/>
                    <w:kinsoku/>
                    <w:wordWrap/>
                    <w:overflowPunct/>
                    <w:topLinePunct w:val="0"/>
                    <w:autoSpaceDE/>
                    <w:autoSpaceDN/>
                    <w:bidi w:val="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kern w:val="0"/>
                      <w:sz w:val="21"/>
                      <w:szCs w:val="21"/>
                      <w:lang w:val="en-US" w:eastAsia="zh-CN" w:bidi="ar"/>
                    </w:rPr>
                    <w:t>用于</w:t>
                  </w:r>
                  <w:r>
                    <w:rPr>
                      <w:rFonts w:hint="eastAsia" w:ascii="Times New Roman" w:hAnsi="Times New Roman" w:eastAsia="宋体" w:cs="Times New Roman"/>
                      <w:b w:val="0"/>
                      <w:bCs/>
                      <w:kern w:val="0"/>
                      <w:sz w:val="21"/>
                      <w:szCs w:val="21"/>
                      <w:lang w:val="en-US" w:eastAsia="zh-CN" w:bidi="ar"/>
                    </w:rPr>
                    <w:t>产品</w:t>
                  </w:r>
                  <w:r>
                    <w:rPr>
                      <w:rFonts w:hint="default" w:ascii="Times New Roman" w:hAnsi="Times New Roman" w:eastAsia="宋体" w:cs="Times New Roman"/>
                      <w:b w:val="0"/>
                      <w:bCs/>
                      <w:kern w:val="0"/>
                      <w:sz w:val="21"/>
                      <w:szCs w:val="21"/>
                      <w:lang w:val="en-US" w:eastAsia="zh-CN" w:bidi="ar"/>
                    </w:rPr>
                    <w:t>检测</w:t>
                  </w:r>
                </w:p>
              </w:tc>
            </w:tr>
            <w:tr w14:paraId="5A10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09E52E9B">
                  <w:pPr>
                    <w:keepNext w:val="0"/>
                    <w:keepLines w:val="0"/>
                    <w:pageBreakBefore w:val="0"/>
                    <w:widowControl/>
                    <w:kinsoku/>
                    <w:wordWrap/>
                    <w:overflowPunct/>
                    <w:topLinePunct w:val="0"/>
                    <w:autoSpaceDE/>
                    <w:autoSpaceDN/>
                    <w:bidi w:val="0"/>
                    <w:spacing w:line="240" w:lineRule="auto"/>
                    <w:ind w:right="0"/>
                    <w:jc w:val="center"/>
                    <w:textAlignment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8</w:t>
                  </w:r>
                </w:p>
              </w:tc>
              <w:tc>
                <w:tcPr>
                  <w:tcW w:w="749" w:type="pct"/>
                  <w:vAlign w:val="center"/>
                </w:tcPr>
                <w:p w14:paraId="092209F8">
                  <w:pPr>
                    <w:keepNext w:val="0"/>
                    <w:keepLines w:val="0"/>
                    <w:pageBreakBefore w:val="0"/>
                    <w:widowControl/>
                    <w:suppressLineNumbers w:val="0"/>
                    <w:kinsoku/>
                    <w:wordWrap/>
                    <w:overflowPunct/>
                    <w:topLinePunct w:val="0"/>
                    <w:autoSpaceDE/>
                    <w:autoSpaceDN/>
                    <w:bidi w:val="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kern w:val="0"/>
                      <w:sz w:val="21"/>
                      <w:szCs w:val="21"/>
                      <w:lang w:val="en-US" w:eastAsia="zh-CN" w:bidi="ar"/>
                    </w:rPr>
                    <w:t>四苯硼钠</w:t>
                  </w:r>
                </w:p>
              </w:tc>
              <w:tc>
                <w:tcPr>
                  <w:tcW w:w="651" w:type="pct"/>
                  <w:vAlign w:val="center"/>
                </w:tcPr>
                <w:p w14:paraId="5F26E417">
                  <w:pPr>
                    <w:keepNext w:val="0"/>
                    <w:keepLines w:val="0"/>
                    <w:pageBreakBefore w:val="0"/>
                    <w:widowControl/>
                    <w:suppressLineNumbers w:val="0"/>
                    <w:kinsoku/>
                    <w:wordWrap/>
                    <w:overflowPunct/>
                    <w:topLinePunct w:val="0"/>
                    <w:autoSpaceDE/>
                    <w:autoSpaceDN/>
                    <w:bidi w:val="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Style w:val="26"/>
                      <w:rFonts w:hint="default" w:ascii="Times New Roman" w:hAnsi="Times New Roman" w:eastAsia="宋体" w:cs="Times New Roman"/>
                      <w:b w:val="0"/>
                      <w:bCs/>
                      <w:kern w:val="0"/>
                      <w:sz w:val="21"/>
                      <w:szCs w:val="21"/>
                      <w:lang w:val="en-US" w:eastAsia="zh-CN" w:bidi="ar"/>
                    </w:rPr>
                    <w:t>24 g</w:t>
                  </w:r>
                </w:p>
              </w:tc>
              <w:tc>
                <w:tcPr>
                  <w:tcW w:w="633" w:type="pct"/>
                  <w:vAlign w:val="center"/>
                </w:tcPr>
                <w:p w14:paraId="3867600D">
                  <w:pPr>
                    <w:keepNext w:val="0"/>
                    <w:keepLines w:val="0"/>
                    <w:pageBreakBefore w:val="0"/>
                    <w:widowControl/>
                    <w:suppressLineNumbers w:val="0"/>
                    <w:kinsoku/>
                    <w:wordWrap/>
                    <w:overflowPunct/>
                    <w:topLinePunct w:val="0"/>
                    <w:autoSpaceDE/>
                    <w:autoSpaceDN/>
                    <w:bidi w:val="0"/>
                    <w:jc w:val="cente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b w:val="0"/>
                      <w:bCs/>
                      <w:kern w:val="0"/>
                      <w:sz w:val="21"/>
                      <w:szCs w:val="21"/>
                      <w:lang w:val="en-US" w:eastAsia="zh-CN" w:bidi="ar"/>
                    </w:rPr>
                    <w:t>AR 100g</w:t>
                  </w:r>
                  <w:r>
                    <w:rPr>
                      <w:rFonts w:hint="eastAsia" w:ascii="Times New Roman" w:hAnsi="Times New Roman" w:eastAsia="宋体" w:cs="Times New Roman"/>
                      <w:b w:val="0"/>
                      <w:bCs/>
                      <w:kern w:val="0"/>
                      <w:sz w:val="21"/>
                      <w:szCs w:val="21"/>
                      <w:lang w:val="en-US" w:eastAsia="zh-CN" w:bidi="ar"/>
                    </w:rPr>
                    <w:t>/瓶</w:t>
                  </w:r>
                </w:p>
              </w:tc>
              <w:tc>
                <w:tcPr>
                  <w:tcW w:w="965" w:type="pct"/>
                  <w:vAlign w:val="center"/>
                </w:tcPr>
                <w:p w14:paraId="7DC852A5">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b w:val="0"/>
                      <w:bCs/>
                      <w:kern w:val="0"/>
                      <w:sz w:val="21"/>
                      <w:szCs w:val="21"/>
                      <w:lang w:val="en-US" w:eastAsia="zh-CN" w:bidi="ar"/>
                    </w:rPr>
                    <w:t>100g</w:t>
                  </w:r>
                </w:p>
              </w:tc>
              <w:tc>
                <w:tcPr>
                  <w:tcW w:w="503" w:type="pct"/>
                  <w:vAlign w:val="center"/>
                </w:tcPr>
                <w:p w14:paraId="4BD9EF3C">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实验室</w:t>
                  </w:r>
                </w:p>
              </w:tc>
              <w:tc>
                <w:tcPr>
                  <w:tcW w:w="1059" w:type="pct"/>
                  <w:vAlign w:val="center"/>
                </w:tcPr>
                <w:p w14:paraId="68110E53">
                  <w:pPr>
                    <w:keepNext w:val="0"/>
                    <w:keepLines w:val="0"/>
                    <w:pageBreakBefore w:val="0"/>
                    <w:widowControl/>
                    <w:suppressLineNumbers w:val="0"/>
                    <w:kinsoku/>
                    <w:wordWrap/>
                    <w:overflowPunct/>
                    <w:topLinePunct w:val="0"/>
                    <w:autoSpaceDE/>
                    <w:autoSpaceDN/>
                    <w:bidi w:val="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kern w:val="0"/>
                      <w:sz w:val="21"/>
                      <w:szCs w:val="21"/>
                      <w:lang w:val="en-US" w:eastAsia="zh-CN" w:bidi="ar"/>
                    </w:rPr>
                    <w:t>用于</w:t>
                  </w:r>
                  <w:r>
                    <w:rPr>
                      <w:rFonts w:hint="eastAsia" w:ascii="Times New Roman" w:hAnsi="Times New Roman" w:eastAsia="宋体" w:cs="Times New Roman"/>
                      <w:b w:val="0"/>
                      <w:bCs/>
                      <w:kern w:val="0"/>
                      <w:sz w:val="21"/>
                      <w:szCs w:val="21"/>
                      <w:lang w:val="en-US" w:eastAsia="zh-CN" w:bidi="ar"/>
                    </w:rPr>
                    <w:t>产品</w:t>
                  </w:r>
                  <w:r>
                    <w:rPr>
                      <w:rFonts w:hint="default" w:ascii="Times New Roman" w:hAnsi="Times New Roman" w:eastAsia="宋体" w:cs="Times New Roman"/>
                      <w:b w:val="0"/>
                      <w:bCs/>
                      <w:kern w:val="0"/>
                      <w:sz w:val="21"/>
                      <w:szCs w:val="21"/>
                      <w:lang w:val="en-US" w:eastAsia="zh-CN" w:bidi="ar"/>
                    </w:rPr>
                    <w:t>检测</w:t>
                  </w:r>
                </w:p>
              </w:tc>
            </w:tr>
            <w:tr w14:paraId="272F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4F633EB9">
                  <w:pPr>
                    <w:keepNext w:val="0"/>
                    <w:keepLines w:val="0"/>
                    <w:pageBreakBefore w:val="0"/>
                    <w:widowControl/>
                    <w:kinsoku/>
                    <w:wordWrap/>
                    <w:overflowPunct/>
                    <w:topLinePunct w:val="0"/>
                    <w:autoSpaceDE/>
                    <w:autoSpaceDN/>
                    <w:bidi w:val="0"/>
                    <w:spacing w:line="240" w:lineRule="auto"/>
                    <w:ind w:right="0"/>
                    <w:jc w:val="center"/>
                    <w:textAlignment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9</w:t>
                  </w:r>
                </w:p>
              </w:tc>
              <w:tc>
                <w:tcPr>
                  <w:tcW w:w="749" w:type="pct"/>
                  <w:vAlign w:val="center"/>
                </w:tcPr>
                <w:p w14:paraId="32AD4EF9">
                  <w:pPr>
                    <w:keepNext w:val="0"/>
                    <w:keepLines w:val="0"/>
                    <w:pageBreakBefore w:val="0"/>
                    <w:widowControl/>
                    <w:suppressLineNumbers w:val="0"/>
                    <w:kinsoku/>
                    <w:wordWrap/>
                    <w:overflowPunct/>
                    <w:topLinePunct w:val="0"/>
                    <w:autoSpaceDE/>
                    <w:autoSpaceDN/>
                    <w:bidi w:val="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kern w:val="0"/>
                      <w:sz w:val="21"/>
                      <w:szCs w:val="21"/>
                      <w:lang w:val="en-US" w:eastAsia="zh-CN" w:bidi="ar"/>
                    </w:rPr>
                    <w:t>钒钼酸铵显色剂</w:t>
                  </w:r>
                </w:p>
              </w:tc>
              <w:tc>
                <w:tcPr>
                  <w:tcW w:w="651" w:type="pct"/>
                  <w:vAlign w:val="center"/>
                </w:tcPr>
                <w:p w14:paraId="0E1525E7">
                  <w:pPr>
                    <w:keepNext w:val="0"/>
                    <w:keepLines w:val="0"/>
                    <w:pageBreakBefore w:val="0"/>
                    <w:widowControl/>
                    <w:suppressLineNumbers w:val="0"/>
                    <w:kinsoku/>
                    <w:wordWrap/>
                    <w:overflowPunct/>
                    <w:topLinePunct w:val="0"/>
                    <w:autoSpaceDE/>
                    <w:autoSpaceDN/>
                    <w:bidi w:val="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Style w:val="26"/>
                      <w:rFonts w:hint="default" w:ascii="Times New Roman" w:hAnsi="Times New Roman" w:eastAsia="宋体" w:cs="Times New Roman"/>
                      <w:b w:val="0"/>
                      <w:bCs/>
                      <w:kern w:val="0"/>
                      <w:sz w:val="21"/>
                      <w:szCs w:val="21"/>
                      <w:lang w:val="en-US" w:eastAsia="zh-CN" w:bidi="ar"/>
                    </w:rPr>
                    <w:t>240 mL</w:t>
                  </w:r>
                </w:p>
              </w:tc>
              <w:tc>
                <w:tcPr>
                  <w:tcW w:w="633" w:type="pct"/>
                  <w:vAlign w:val="center"/>
                </w:tcPr>
                <w:p w14:paraId="568D2DFA">
                  <w:pPr>
                    <w:keepNext w:val="0"/>
                    <w:keepLines w:val="0"/>
                    <w:pageBreakBefore w:val="0"/>
                    <w:widowControl/>
                    <w:suppressLineNumbers w:val="0"/>
                    <w:kinsoku/>
                    <w:wordWrap/>
                    <w:overflowPunct/>
                    <w:topLinePunct w:val="0"/>
                    <w:autoSpaceDE/>
                    <w:autoSpaceDN/>
                    <w:bidi w:val="0"/>
                    <w:jc w:val="cente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b w:val="0"/>
                      <w:bCs/>
                      <w:kern w:val="0"/>
                      <w:sz w:val="21"/>
                      <w:szCs w:val="21"/>
                      <w:lang w:val="en-US" w:eastAsia="zh-CN" w:bidi="ar"/>
                    </w:rPr>
                    <w:t>1000mL</w:t>
                  </w:r>
                  <w:r>
                    <w:rPr>
                      <w:rFonts w:hint="eastAsia" w:ascii="Times New Roman" w:hAnsi="Times New Roman" w:eastAsia="宋体" w:cs="Times New Roman"/>
                      <w:b w:val="0"/>
                      <w:bCs/>
                      <w:kern w:val="0"/>
                      <w:sz w:val="21"/>
                      <w:szCs w:val="21"/>
                      <w:lang w:val="en-US" w:eastAsia="zh-CN" w:bidi="ar"/>
                    </w:rPr>
                    <w:t>/瓶</w:t>
                  </w:r>
                </w:p>
              </w:tc>
              <w:tc>
                <w:tcPr>
                  <w:tcW w:w="965" w:type="pct"/>
                  <w:vAlign w:val="center"/>
                </w:tcPr>
                <w:p w14:paraId="614C1F00">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b w:val="0"/>
                      <w:bCs/>
                      <w:kern w:val="0"/>
                      <w:sz w:val="21"/>
                      <w:szCs w:val="21"/>
                      <w:lang w:val="en-US" w:eastAsia="zh-CN" w:bidi="ar"/>
                    </w:rPr>
                    <w:t>1000mL</w:t>
                  </w:r>
                </w:p>
              </w:tc>
              <w:tc>
                <w:tcPr>
                  <w:tcW w:w="503" w:type="pct"/>
                  <w:vAlign w:val="center"/>
                </w:tcPr>
                <w:p w14:paraId="249131AF">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实验室</w:t>
                  </w:r>
                </w:p>
              </w:tc>
              <w:tc>
                <w:tcPr>
                  <w:tcW w:w="1059" w:type="pct"/>
                  <w:vAlign w:val="center"/>
                </w:tcPr>
                <w:p w14:paraId="6CC772F4">
                  <w:pPr>
                    <w:keepNext w:val="0"/>
                    <w:keepLines w:val="0"/>
                    <w:pageBreakBefore w:val="0"/>
                    <w:widowControl/>
                    <w:suppressLineNumbers w:val="0"/>
                    <w:kinsoku/>
                    <w:wordWrap/>
                    <w:overflowPunct/>
                    <w:topLinePunct w:val="0"/>
                    <w:autoSpaceDE/>
                    <w:autoSpaceDN/>
                    <w:bidi w:val="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kern w:val="0"/>
                      <w:sz w:val="21"/>
                      <w:szCs w:val="21"/>
                      <w:lang w:val="en-US" w:eastAsia="zh-CN" w:bidi="ar"/>
                    </w:rPr>
                    <w:t>用于</w:t>
                  </w:r>
                  <w:r>
                    <w:rPr>
                      <w:rFonts w:hint="eastAsia" w:ascii="Times New Roman" w:hAnsi="Times New Roman" w:eastAsia="宋体" w:cs="Times New Roman"/>
                      <w:b w:val="0"/>
                      <w:bCs/>
                      <w:kern w:val="0"/>
                      <w:sz w:val="21"/>
                      <w:szCs w:val="21"/>
                      <w:lang w:val="en-US" w:eastAsia="zh-CN" w:bidi="ar"/>
                    </w:rPr>
                    <w:t>产品</w:t>
                  </w:r>
                  <w:r>
                    <w:rPr>
                      <w:rFonts w:hint="default" w:ascii="Times New Roman" w:hAnsi="Times New Roman" w:eastAsia="宋体" w:cs="Times New Roman"/>
                      <w:b w:val="0"/>
                      <w:bCs/>
                      <w:kern w:val="0"/>
                      <w:sz w:val="21"/>
                      <w:szCs w:val="21"/>
                      <w:lang w:val="en-US" w:eastAsia="zh-CN" w:bidi="ar"/>
                    </w:rPr>
                    <w:t>检测</w:t>
                  </w:r>
                </w:p>
              </w:tc>
            </w:tr>
            <w:tr w14:paraId="3534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32B80D60">
                  <w:pPr>
                    <w:keepNext w:val="0"/>
                    <w:keepLines w:val="0"/>
                    <w:pageBreakBefore w:val="0"/>
                    <w:widowControl/>
                    <w:kinsoku/>
                    <w:wordWrap/>
                    <w:overflowPunct/>
                    <w:topLinePunct w:val="0"/>
                    <w:autoSpaceDE/>
                    <w:autoSpaceDN/>
                    <w:bidi w:val="0"/>
                    <w:spacing w:line="240" w:lineRule="auto"/>
                    <w:ind w:right="0"/>
                    <w:jc w:val="center"/>
                    <w:textAlignment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10</w:t>
                  </w:r>
                </w:p>
              </w:tc>
              <w:tc>
                <w:tcPr>
                  <w:tcW w:w="749" w:type="pct"/>
                  <w:vAlign w:val="center"/>
                </w:tcPr>
                <w:p w14:paraId="1A166960">
                  <w:pPr>
                    <w:keepNext w:val="0"/>
                    <w:keepLines w:val="0"/>
                    <w:pageBreakBefore w:val="0"/>
                    <w:widowControl/>
                    <w:suppressLineNumbers w:val="0"/>
                    <w:kinsoku/>
                    <w:wordWrap/>
                    <w:overflowPunct/>
                    <w:topLinePunct w:val="0"/>
                    <w:autoSpaceDE/>
                    <w:autoSpaceDN/>
                    <w:bidi w:val="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kern w:val="0"/>
                      <w:sz w:val="21"/>
                      <w:szCs w:val="21"/>
                      <w:lang w:val="en-US" w:eastAsia="zh-CN" w:bidi="ar"/>
                    </w:rPr>
                    <w:t>重铬酸钾 K₂Cr₂O₇</w:t>
                  </w:r>
                </w:p>
              </w:tc>
              <w:tc>
                <w:tcPr>
                  <w:tcW w:w="651" w:type="pct"/>
                  <w:vAlign w:val="center"/>
                </w:tcPr>
                <w:p w14:paraId="19FA6584">
                  <w:pPr>
                    <w:keepNext w:val="0"/>
                    <w:keepLines w:val="0"/>
                    <w:pageBreakBefore w:val="0"/>
                    <w:widowControl/>
                    <w:suppressLineNumbers w:val="0"/>
                    <w:kinsoku/>
                    <w:wordWrap/>
                    <w:overflowPunct/>
                    <w:topLinePunct w:val="0"/>
                    <w:autoSpaceDE/>
                    <w:autoSpaceDN/>
                    <w:bidi w:val="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Style w:val="26"/>
                      <w:rFonts w:hint="default" w:ascii="Times New Roman" w:hAnsi="Times New Roman" w:eastAsia="宋体" w:cs="Times New Roman"/>
                      <w:b w:val="0"/>
                      <w:bCs/>
                      <w:kern w:val="0"/>
                      <w:sz w:val="21"/>
                      <w:szCs w:val="21"/>
                      <w:lang w:val="en-US" w:eastAsia="zh-CN" w:bidi="ar"/>
                    </w:rPr>
                    <w:t>240 g</w:t>
                  </w:r>
                </w:p>
              </w:tc>
              <w:tc>
                <w:tcPr>
                  <w:tcW w:w="633" w:type="pct"/>
                  <w:vAlign w:val="center"/>
                </w:tcPr>
                <w:p w14:paraId="46EB9583">
                  <w:pPr>
                    <w:keepNext w:val="0"/>
                    <w:keepLines w:val="0"/>
                    <w:pageBreakBefore w:val="0"/>
                    <w:widowControl/>
                    <w:suppressLineNumbers w:val="0"/>
                    <w:kinsoku/>
                    <w:wordWrap/>
                    <w:overflowPunct/>
                    <w:topLinePunct w:val="0"/>
                    <w:autoSpaceDE/>
                    <w:autoSpaceDN/>
                    <w:bidi w:val="0"/>
                    <w:jc w:val="cente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b w:val="0"/>
                      <w:bCs/>
                      <w:kern w:val="0"/>
                      <w:sz w:val="21"/>
                      <w:szCs w:val="21"/>
                      <w:lang w:val="en-US" w:eastAsia="zh-CN" w:bidi="ar"/>
                    </w:rPr>
                    <w:t>AR 500g</w:t>
                  </w:r>
                  <w:r>
                    <w:rPr>
                      <w:rFonts w:hint="eastAsia" w:ascii="Times New Roman" w:hAnsi="Times New Roman" w:eastAsia="宋体" w:cs="Times New Roman"/>
                      <w:b w:val="0"/>
                      <w:bCs/>
                      <w:kern w:val="0"/>
                      <w:sz w:val="21"/>
                      <w:szCs w:val="21"/>
                      <w:lang w:val="en-US" w:eastAsia="zh-CN" w:bidi="ar"/>
                    </w:rPr>
                    <w:t>/瓶</w:t>
                  </w:r>
                </w:p>
              </w:tc>
              <w:tc>
                <w:tcPr>
                  <w:tcW w:w="965" w:type="pct"/>
                  <w:vAlign w:val="center"/>
                </w:tcPr>
                <w:p w14:paraId="5CB55D71">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b w:val="0"/>
                      <w:bCs/>
                      <w:kern w:val="0"/>
                      <w:sz w:val="21"/>
                      <w:szCs w:val="21"/>
                      <w:lang w:val="en-US" w:eastAsia="zh-CN" w:bidi="ar"/>
                    </w:rPr>
                    <w:t>500g</w:t>
                  </w:r>
                </w:p>
              </w:tc>
              <w:tc>
                <w:tcPr>
                  <w:tcW w:w="503" w:type="pct"/>
                  <w:vAlign w:val="center"/>
                </w:tcPr>
                <w:p w14:paraId="431BABEE">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bidi="ar"/>
                      <w14:textFill>
                        <w14:solidFill>
                          <w14:schemeClr w14:val="tx1"/>
                        </w14:solidFill>
                      </w14:textFill>
                    </w:rPr>
                    <w:t>实验室</w:t>
                  </w:r>
                </w:p>
              </w:tc>
              <w:tc>
                <w:tcPr>
                  <w:tcW w:w="1059" w:type="pct"/>
                  <w:vAlign w:val="center"/>
                </w:tcPr>
                <w:p w14:paraId="6DD212BA">
                  <w:pPr>
                    <w:keepNext w:val="0"/>
                    <w:keepLines w:val="0"/>
                    <w:pageBreakBefore w:val="0"/>
                    <w:widowControl/>
                    <w:suppressLineNumbers w:val="0"/>
                    <w:kinsoku/>
                    <w:wordWrap/>
                    <w:overflowPunct/>
                    <w:topLinePunct w:val="0"/>
                    <w:autoSpaceDE/>
                    <w:autoSpaceDN/>
                    <w:bidi w:val="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kern w:val="0"/>
                      <w:sz w:val="21"/>
                      <w:szCs w:val="21"/>
                      <w:lang w:val="en-US" w:eastAsia="zh-CN" w:bidi="ar"/>
                    </w:rPr>
                    <w:t>用于</w:t>
                  </w:r>
                  <w:r>
                    <w:rPr>
                      <w:rFonts w:hint="eastAsia" w:ascii="Times New Roman" w:hAnsi="Times New Roman" w:eastAsia="宋体" w:cs="Times New Roman"/>
                      <w:b w:val="0"/>
                      <w:bCs/>
                      <w:kern w:val="0"/>
                      <w:sz w:val="21"/>
                      <w:szCs w:val="21"/>
                      <w:lang w:val="en-US" w:eastAsia="zh-CN" w:bidi="ar"/>
                    </w:rPr>
                    <w:t>产品</w:t>
                  </w:r>
                  <w:r>
                    <w:rPr>
                      <w:rFonts w:hint="default" w:ascii="Times New Roman" w:hAnsi="Times New Roman" w:eastAsia="宋体" w:cs="Times New Roman"/>
                      <w:b w:val="0"/>
                      <w:bCs/>
                      <w:kern w:val="0"/>
                      <w:sz w:val="21"/>
                      <w:szCs w:val="21"/>
                      <w:lang w:val="en-US" w:eastAsia="zh-CN" w:bidi="ar"/>
                    </w:rPr>
                    <w:t>检测</w:t>
                  </w:r>
                </w:p>
              </w:tc>
            </w:tr>
            <w:tr w14:paraId="6CC1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vAlign w:val="center"/>
                </w:tcPr>
                <w:p w14:paraId="1A329AD4">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Times New Roman" w:hAnsi="Times New Roman" w:eastAsia="宋体" w:cs="Times New Roman"/>
                      <w:b w:val="0"/>
                      <w:bCs/>
                      <w:color w:val="000000" w:themeColor="text1"/>
                      <w:sz w:val="21"/>
                      <w:szCs w:val="21"/>
                      <w:lang w:bidi="ar"/>
                      <w14:textFill>
                        <w14:solidFill>
                          <w14:schemeClr w14:val="tx1"/>
                        </w14:solidFill>
                      </w14:textFill>
                    </w:rPr>
                  </w:pPr>
                  <w:r>
                    <w:rPr>
                      <w:rFonts w:hint="default" w:ascii="Times New Roman" w:hAnsi="Times New Roman" w:eastAsia="宋体" w:cs="Times New Roman"/>
                      <w:b w:val="0"/>
                      <w:bCs/>
                      <w:color w:val="000000" w:themeColor="text1"/>
                      <w:sz w:val="21"/>
                      <w:szCs w:val="21"/>
                      <w:lang w:bidi="ar"/>
                      <w14:textFill>
                        <w14:solidFill>
                          <w14:schemeClr w14:val="tx1"/>
                        </w14:solidFill>
                      </w14:textFill>
                    </w:rPr>
                    <w:t>能源消耗情况</w:t>
                  </w:r>
                </w:p>
              </w:tc>
            </w:tr>
            <w:tr w14:paraId="3C6A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5935FB39">
                  <w:pPr>
                    <w:keepNext w:val="0"/>
                    <w:keepLines w:val="0"/>
                    <w:pageBreakBefore w:val="0"/>
                    <w:kinsoku/>
                    <w:wordWrap/>
                    <w:overflowPunct/>
                    <w:topLinePunct w:val="0"/>
                    <w:autoSpaceDE/>
                    <w:autoSpaceDN/>
                    <w:bidi w:val="0"/>
                    <w:spacing w:line="240" w:lineRule="auto"/>
                    <w:ind w:right="0"/>
                    <w:jc w:val="center"/>
                    <w:rPr>
                      <w:rFonts w:hint="default" w:ascii="Times New Roman" w:hAnsi="Times New Roman" w:eastAsia="宋体" w:cs="Times New Roman"/>
                      <w:b w:val="0"/>
                      <w:bCs/>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14:textFill>
                        <w14:solidFill>
                          <w14:schemeClr w14:val="tx1"/>
                        </w14:solidFill>
                      </w14:textFill>
                    </w:rPr>
                    <w:t>11</w:t>
                  </w:r>
                </w:p>
              </w:tc>
              <w:tc>
                <w:tcPr>
                  <w:tcW w:w="749" w:type="pct"/>
                  <w:vAlign w:val="center"/>
                </w:tcPr>
                <w:p w14:paraId="2E5E92E1">
                  <w:pPr>
                    <w:pStyle w:val="33"/>
                    <w:keepNext w:val="0"/>
                    <w:keepLines w:val="0"/>
                    <w:pageBreakBefore w:val="0"/>
                    <w:kinsoku/>
                    <w:wordWrap/>
                    <w:overflowPunct/>
                    <w:topLinePunct w:val="0"/>
                    <w:autoSpaceDE/>
                    <w:autoSpaceDN/>
                    <w:bidi w:val="0"/>
                    <w:spacing w:before="0" w:after="0" w:line="240" w:lineRule="auto"/>
                    <w:ind w:right="0"/>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水</w:t>
                  </w:r>
                </w:p>
              </w:tc>
              <w:tc>
                <w:tcPr>
                  <w:tcW w:w="651" w:type="pct"/>
                  <w:vAlign w:val="center"/>
                </w:tcPr>
                <w:p w14:paraId="2BF8BD84">
                  <w:pPr>
                    <w:keepNext w:val="0"/>
                    <w:keepLines w:val="0"/>
                    <w:pageBreakBefore w:val="0"/>
                    <w:kinsoku/>
                    <w:wordWrap/>
                    <w:overflowPunct/>
                    <w:topLinePunct w:val="0"/>
                    <w:autoSpaceDE/>
                    <w:autoSpaceDN/>
                    <w:bidi w:val="0"/>
                    <w:spacing w:line="240" w:lineRule="auto"/>
                    <w:ind w:right="0"/>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14127</w:t>
                  </w:r>
                </w:p>
              </w:tc>
              <w:tc>
                <w:tcPr>
                  <w:tcW w:w="633" w:type="pct"/>
                  <w:vAlign w:val="center"/>
                </w:tcPr>
                <w:p w14:paraId="7BB88A31">
                  <w:pPr>
                    <w:keepNext w:val="0"/>
                    <w:keepLines w:val="0"/>
                    <w:pageBreakBefore w:val="0"/>
                    <w:kinsoku/>
                    <w:wordWrap/>
                    <w:overflowPunct/>
                    <w:topLinePunct w:val="0"/>
                    <w:autoSpaceDE/>
                    <w:autoSpaceDN/>
                    <w:bidi w:val="0"/>
                    <w:spacing w:line="240" w:lineRule="auto"/>
                    <w:ind w:right="0"/>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w:t>
                  </w:r>
                </w:p>
              </w:tc>
              <w:tc>
                <w:tcPr>
                  <w:tcW w:w="965" w:type="pct"/>
                  <w:vAlign w:val="center"/>
                </w:tcPr>
                <w:p w14:paraId="3C3BA60E">
                  <w:pPr>
                    <w:pStyle w:val="33"/>
                    <w:keepNext w:val="0"/>
                    <w:keepLines w:val="0"/>
                    <w:pageBreakBefore w:val="0"/>
                    <w:kinsoku/>
                    <w:wordWrap/>
                    <w:overflowPunct/>
                    <w:topLinePunct w:val="0"/>
                    <w:autoSpaceDE/>
                    <w:autoSpaceDN/>
                    <w:bidi w:val="0"/>
                    <w:spacing w:before="0" w:after="0" w:line="240" w:lineRule="auto"/>
                    <w:ind w:right="0"/>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立方米/年</w:t>
                  </w:r>
                </w:p>
              </w:tc>
              <w:tc>
                <w:tcPr>
                  <w:tcW w:w="503" w:type="pct"/>
                  <w:vAlign w:val="center"/>
                </w:tcPr>
                <w:p w14:paraId="03910124">
                  <w:pPr>
                    <w:keepNext w:val="0"/>
                    <w:keepLines w:val="0"/>
                    <w:pageBreakBefore w:val="0"/>
                    <w:kinsoku/>
                    <w:wordWrap/>
                    <w:overflowPunct/>
                    <w:topLinePunct w:val="0"/>
                    <w:autoSpaceDE/>
                    <w:autoSpaceDN/>
                    <w:bidi w:val="0"/>
                    <w:spacing w:line="240" w:lineRule="auto"/>
                    <w:ind w:right="0"/>
                    <w:jc w:val="center"/>
                    <w:rPr>
                      <w:rFonts w:hint="default" w:ascii="Times New Roman" w:hAnsi="Times New Roman" w:eastAsia="宋体" w:cs="Times New Roman"/>
                      <w:b w:val="0"/>
                      <w:bCs/>
                      <w:color w:val="000000" w:themeColor="text1"/>
                      <w:sz w:val="21"/>
                      <w:szCs w:val="21"/>
                      <w:lang w:bidi="ar"/>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w:t>
                  </w:r>
                </w:p>
              </w:tc>
              <w:tc>
                <w:tcPr>
                  <w:tcW w:w="1059" w:type="pct"/>
                  <w:vAlign w:val="center"/>
                </w:tcPr>
                <w:p w14:paraId="02C48742">
                  <w:pPr>
                    <w:keepNext w:val="0"/>
                    <w:keepLines w:val="0"/>
                    <w:pageBreakBefore w:val="0"/>
                    <w:kinsoku/>
                    <w:wordWrap/>
                    <w:overflowPunct/>
                    <w:topLinePunct w:val="0"/>
                    <w:autoSpaceDE/>
                    <w:autoSpaceDN/>
                    <w:bidi w:val="0"/>
                    <w:spacing w:line="240" w:lineRule="auto"/>
                    <w:ind w:right="0"/>
                    <w:jc w:val="center"/>
                    <w:rPr>
                      <w:rFonts w:hint="default" w:ascii="Times New Roman" w:hAnsi="Times New Roman" w:eastAsia="宋体" w:cs="Times New Roman"/>
                      <w:b w:val="0"/>
                      <w:bCs/>
                      <w:color w:val="000000" w:themeColor="text1"/>
                      <w:sz w:val="21"/>
                      <w:szCs w:val="21"/>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bidi="ar"/>
                      <w14:textFill>
                        <w14:solidFill>
                          <w14:schemeClr w14:val="tx1"/>
                        </w14:solidFill>
                      </w14:textFill>
                    </w:rPr>
                    <w:t>市政供水管网</w:t>
                  </w:r>
                </w:p>
              </w:tc>
            </w:tr>
            <w:tr w14:paraId="37C6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74895F23">
                  <w:pPr>
                    <w:keepNext w:val="0"/>
                    <w:keepLines w:val="0"/>
                    <w:pageBreakBefore w:val="0"/>
                    <w:kinsoku/>
                    <w:wordWrap/>
                    <w:overflowPunct/>
                    <w:topLinePunct w:val="0"/>
                    <w:autoSpaceDE/>
                    <w:autoSpaceDN/>
                    <w:bidi w:val="0"/>
                    <w:spacing w:line="240" w:lineRule="auto"/>
                    <w:ind w:right="0"/>
                    <w:jc w:val="center"/>
                    <w:rPr>
                      <w:rFonts w:hint="default" w:ascii="Times New Roman" w:hAnsi="Times New Roman" w:eastAsia="宋体" w:cs="Times New Roman"/>
                      <w:b w:val="0"/>
                      <w:bCs/>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14:textFill>
                        <w14:solidFill>
                          <w14:schemeClr w14:val="tx1"/>
                        </w14:solidFill>
                      </w14:textFill>
                    </w:rPr>
                    <w:t>12</w:t>
                  </w:r>
                </w:p>
              </w:tc>
              <w:tc>
                <w:tcPr>
                  <w:tcW w:w="749" w:type="pct"/>
                  <w:vAlign w:val="center"/>
                </w:tcPr>
                <w:p w14:paraId="60B7E7AC">
                  <w:pPr>
                    <w:pStyle w:val="33"/>
                    <w:keepNext w:val="0"/>
                    <w:keepLines w:val="0"/>
                    <w:pageBreakBefore w:val="0"/>
                    <w:kinsoku/>
                    <w:wordWrap/>
                    <w:overflowPunct/>
                    <w:topLinePunct w:val="0"/>
                    <w:autoSpaceDE/>
                    <w:autoSpaceDN/>
                    <w:bidi w:val="0"/>
                    <w:spacing w:before="0" w:after="0" w:line="240" w:lineRule="auto"/>
                    <w:ind w:right="0"/>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电</w:t>
                  </w:r>
                </w:p>
              </w:tc>
              <w:tc>
                <w:tcPr>
                  <w:tcW w:w="651" w:type="pct"/>
                  <w:vAlign w:val="center"/>
                </w:tcPr>
                <w:p w14:paraId="071278FD">
                  <w:pPr>
                    <w:keepNext w:val="0"/>
                    <w:keepLines w:val="0"/>
                    <w:pageBreakBefore w:val="0"/>
                    <w:kinsoku/>
                    <w:wordWrap/>
                    <w:overflowPunct/>
                    <w:topLinePunct w:val="0"/>
                    <w:autoSpaceDE/>
                    <w:autoSpaceDN/>
                    <w:bidi w:val="0"/>
                    <w:spacing w:line="240" w:lineRule="auto"/>
                    <w:ind w:right="0"/>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549000</w:t>
                  </w:r>
                </w:p>
              </w:tc>
              <w:tc>
                <w:tcPr>
                  <w:tcW w:w="633" w:type="pct"/>
                  <w:vAlign w:val="center"/>
                </w:tcPr>
                <w:p w14:paraId="2C3FB531">
                  <w:pPr>
                    <w:keepNext w:val="0"/>
                    <w:keepLines w:val="0"/>
                    <w:pageBreakBefore w:val="0"/>
                    <w:kinsoku/>
                    <w:wordWrap/>
                    <w:overflowPunct/>
                    <w:topLinePunct w:val="0"/>
                    <w:autoSpaceDE/>
                    <w:autoSpaceDN/>
                    <w:bidi w:val="0"/>
                    <w:spacing w:line="240" w:lineRule="auto"/>
                    <w:ind w:right="0"/>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w:t>
                  </w:r>
                </w:p>
              </w:tc>
              <w:tc>
                <w:tcPr>
                  <w:tcW w:w="965" w:type="pct"/>
                  <w:vAlign w:val="center"/>
                </w:tcPr>
                <w:p w14:paraId="2A2AC347">
                  <w:pPr>
                    <w:pStyle w:val="33"/>
                    <w:keepNext w:val="0"/>
                    <w:keepLines w:val="0"/>
                    <w:pageBreakBefore w:val="0"/>
                    <w:kinsoku/>
                    <w:wordWrap/>
                    <w:overflowPunct/>
                    <w:topLinePunct w:val="0"/>
                    <w:autoSpaceDE/>
                    <w:autoSpaceDN/>
                    <w:bidi w:val="0"/>
                    <w:spacing w:before="0" w:after="0" w:line="240" w:lineRule="auto"/>
                    <w:ind w:right="0"/>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千瓦时/年</w:t>
                  </w:r>
                </w:p>
              </w:tc>
              <w:tc>
                <w:tcPr>
                  <w:tcW w:w="503" w:type="pct"/>
                  <w:vAlign w:val="center"/>
                </w:tcPr>
                <w:p w14:paraId="71AB1991">
                  <w:pPr>
                    <w:keepNext w:val="0"/>
                    <w:keepLines w:val="0"/>
                    <w:pageBreakBefore w:val="0"/>
                    <w:kinsoku/>
                    <w:wordWrap/>
                    <w:overflowPunct/>
                    <w:topLinePunct w:val="0"/>
                    <w:autoSpaceDE/>
                    <w:autoSpaceDN/>
                    <w:bidi w:val="0"/>
                    <w:spacing w:line="240" w:lineRule="auto"/>
                    <w:ind w:right="0"/>
                    <w:jc w:val="center"/>
                    <w:rPr>
                      <w:rFonts w:hint="default" w:ascii="Times New Roman" w:hAnsi="Times New Roman" w:eastAsia="宋体" w:cs="Times New Roman"/>
                      <w:b w:val="0"/>
                      <w:bCs/>
                      <w:color w:val="000000" w:themeColor="text1"/>
                      <w:sz w:val="21"/>
                      <w:szCs w:val="21"/>
                      <w:lang w:bidi="ar"/>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w:t>
                  </w:r>
                </w:p>
              </w:tc>
              <w:tc>
                <w:tcPr>
                  <w:tcW w:w="1059" w:type="pct"/>
                  <w:vAlign w:val="center"/>
                </w:tcPr>
                <w:p w14:paraId="54EDD97E">
                  <w:pPr>
                    <w:keepNext w:val="0"/>
                    <w:keepLines w:val="0"/>
                    <w:pageBreakBefore w:val="0"/>
                    <w:kinsoku/>
                    <w:wordWrap/>
                    <w:overflowPunct/>
                    <w:topLinePunct w:val="0"/>
                    <w:autoSpaceDE/>
                    <w:autoSpaceDN/>
                    <w:bidi w:val="0"/>
                    <w:spacing w:line="240" w:lineRule="auto"/>
                    <w:ind w:right="0"/>
                    <w:jc w:val="center"/>
                    <w:rPr>
                      <w:rFonts w:hint="default" w:ascii="Times New Roman" w:hAnsi="Times New Roman" w:eastAsia="宋体" w:cs="Times New Roman"/>
                      <w:b w:val="0"/>
                      <w:bCs/>
                      <w:color w:val="000000" w:themeColor="text1"/>
                      <w:sz w:val="21"/>
                      <w:szCs w:val="21"/>
                      <w:lang w:bidi="ar"/>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bidi="ar"/>
                      <w14:textFill>
                        <w14:solidFill>
                          <w14:schemeClr w14:val="tx1"/>
                        </w14:solidFill>
                      </w14:textFill>
                    </w:rPr>
                    <w:t>市政</w:t>
                  </w:r>
                  <w:r>
                    <w:rPr>
                      <w:rFonts w:hint="default" w:ascii="Times New Roman" w:hAnsi="Times New Roman" w:eastAsia="宋体" w:cs="Times New Roman"/>
                      <w:b w:val="0"/>
                      <w:bCs/>
                      <w:color w:val="000000" w:themeColor="text1"/>
                      <w:sz w:val="21"/>
                      <w:szCs w:val="21"/>
                      <w:lang w:bidi="ar"/>
                      <w14:textFill>
                        <w14:solidFill>
                          <w14:schemeClr w14:val="tx1"/>
                        </w14:solidFill>
                      </w14:textFill>
                    </w:rPr>
                    <w:t>供电管网</w:t>
                  </w:r>
                </w:p>
              </w:tc>
            </w:tr>
          </w:tbl>
          <w:p w14:paraId="65330BE2">
            <w:pPr>
              <w:pStyle w:val="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hAnsi="Times New Roman" w:eastAsia="宋体" w:cs="Times New Roman"/>
                <w:b/>
                <w:bCs/>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sz w:val="24"/>
                <w14:textFill>
                  <w14:solidFill>
                    <w14:schemeClr w14:val="tx1"/>
                  </w14:solidFill>
                </w14:textFill>
              </w:rPr>
              <w:t>表2-6原辅材料理化性质一览表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3"/>
              <w:gridCol w:w="719"/>
              <w:gridCol w:w="1687"/>
              <w:gridCol w:w="1597"/>
              <w:gridCol w:w="3419"/>
            </w:tblGrid>
            <w:tr w14:paraId="5095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23" w:type="pct"/>
                  <w:shd w:val="clear" w:color="auto" w:fill="auto"/>
                  <w:noWrap/>
                  <w:vAlign w:val="center"/>
                </w:tcPr>
                <w:p w14:paraId="7229A6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试剂名称</w:t>
                  </w:r>
                </w:p>
              </w:tc>
              <w:tc>
                <w:tcPr>
                  <w:tcW w:w="453" w:type="pct"/>
                  <w:shd w:val="clear" w:color="auto" w:fill="auto"/>
                  <w:noWrap/>
                  <w:vAlign w:val="center"/>
                </w:tcPr>
                <w:p w14:paraId="7EB294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化学式/规格</w:t>
                  </w:r>
                </w:p>
              </w:tc>
              <w:tc>
                <w:tcPr>
                  <w:tcW w:w="1063" w:type="pct"/>
                  <w:shd w:val="clear" w:color="auto" w:fill="auto"/>
                  <w:noWrap/>
                  <w:vAlign w:val="center"/>
                </w:tcPr>
                <w:p w14:paraId="18684A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理化性质</w:t>
                  </w:r>
                </w:p>
              </w:tc>
              <w:tc>
                <w:tcPr>
                  <w:tcW w:w="1006" w:type="pct"/>
                  <w:shd w:val="clear" w:color="auto" w:fill="auto"/>
                  <w:noWrap/>
                  <w:vAlign w:val="center"/>
                </w:tcPr>
                <w:p w14:paraId="063680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燃烧爆炸性</w:t>
                  </w:r>
                </w:p>
              </w:tc>
              <w:tc>
                <w:tcPr>
                  <w:tcW w:w="2154" w:type="pct"/>
                  <w:shd w:val="clear" w:color="auto" w:fill="auto"/>
                  <w:noWrap/>
                  <w:vAlign w:val="center"/>
                </w:tcPr>
                <w:p w14:paraId="161A73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毒理毒性</w:t>
                  </w:r>
                </w:p>
              </w:tc>
            </w:tr>
            <w:tr w14:paraId="63BA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23" w:type="pct"/>
                  <w:shd w:val="clear" w:color="auto" w:fill="auto"/>
                  <w:noWrap/>
                  <w:vAlign w:val="center"/>
                </w:tcPr>
                <w:p w14:paraId="5608A4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浓硫酸</w:t>
                  </w:r>
                </w:p>
              </w:tc>
              <w:tc>
                <w:tcPr>
                  <w:tcW w:w="453" w:type="pct"/>
                  <w:shd w:val="clear" w:color="auto" w:fill="auto"/>
                  <w:noWrap/>
                  <w:vAlign w:val="center"/>
                </w:tcPr>
                <w:p w14:paraId="5F2AE2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SO</w:t>
                  </w:r>
                  <w:r>
                    <w:rPr>
                      <w:rFonts w:hint="default" w:ascii="Times New Roman" w:hAnsi="Times New Roman" w:eastAsia="宋体" w:cs="Times New Roman"/>
                      <w:i w:val="0"/>
                      <w:iCs w:val="0"/>
                      <w:color w:val="000000"/>
                      <w:kern w:val="0"/>
                      <w:sz w:val="21"/>
                      <w:szCs w:val="21"/>
                      <w:u w:val="none"/>
                      <w:vertAlign w:val="subscript"/>
                      <w:lang w:val="en-US" w:eastAsia="zh-CN" w:bidi="ar"/>
                    </w:rPr>
                    <w:t>4</w:t>
                  </w:r>
                </w:p>
              </w:tc>
              <w:tc>
                <w:tcPr>
                  <w:tcW w:w="1063" w:type="pct"/>
                  <w:shd w:val="clear" w:color="auto" w:fill="auto"/>
                  <w:noWrap/>
                  <w:vAlign w:val="center"/>
                </w:tcPr>
                <w:p w14:paraId="69C484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无色透明油状黏稠液体，强酸性、强吸水性、强脱水性、强氧化性；沸点约337℃，密度远大于水；遇水剧烈放热，可使有机物炭化；能与多数金属、碱性物质发生剧烈反应。</w:t>
                  </w:r>
                </w:p>
              </w:tc>
              <w:tc>
                <w:tcPr>
                  <w:tcW w:w="1006" w:type="pct"/>
                  <w:shd w:val="clear" w:color="auto" w:fill="auto"/>
                  <w:noWrap/>
                  <w:vAlign w:val="center"/>
                </w:tcPr>
                <w:p w14:paraId="385297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不燃，但具强氧化性，可助燃；与易燃物、有机物、还原剂（硫、磷、木屑等）接触易引发燃烧、爆炸；遇水、碱液剧烈飞溅，存在物理爆炸风险。</w:t>
                  </w:r>
                </w:p>
              </w:tc>
              <w:tc>
                <w:tcPr>
                  <w:tcW w:w="2154" w:type="pct"/>
                  <w:shd w:val="clear" w:color="auto" w:fill="auto"/>
                  <w:noWrap/>
                  <w:vAlign w:val="center"/>
                </w:tcPr>
                <w:p w14:paraId="7D3984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核心毒理数据：大鼠经口LD₅₀：2140mg/kg大鼠吸入LC₅₀：510mg/m³（2h）小鼠吸入LC₅₀：320mg/m³（2h）毒性与危害：1.皮肤/黏膜：强腐蚀，接触立即造成灼伤、溃烂，难以愈合；2.吸入：挥发酸雾刺激呼吸道，引发咽痛、肺水肿，严重可致死；3.食入：灼伤消化道，出现剧痛、穿孔、休克；4.长期接触可损伤牙齿、呼吸道，无致癌性。</w:t>
                  </w:r>
                </w:p>
              </w:tc>
            </w:tr>
            <w:tr w14:paraId="3B79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23" w:type="pct"/>
                  <w:shd w:val="clear" w:color="auto" w:fill="auto"/>
                  <w:noWrap/>
                  <w:vAlign w:val="center"/>
                </w:tcPr>
                <w:p w14:paraId="12F60E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过氧化氢（30%）</w:t>
                  </w:r>
                </w:p>
              </w:tc>
              <w:tc>
                <w:tcPr>
                  <w:tcW w:w="453" w:type="pct"/>
                  <w:shd w:val="clear" w:color="auto" w:fill="auto"/>
                  <w:noWrap/>
                  <w:vAlign w:val="center"/>
                </w:tcPr>
                <w:p w14:paraId="05A6F1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O</w:t>
                  </w:r>
                  <w:r>
                    <w:rPr>
                      <w:rFonts w:hint="default" w:ascii="Times New Roman" w:hAnsi="Times New Roman" w:eastAsia="宋体" w:cs="Times New Roman"/>
                      <w:i w:val="0"/>
                      <w:iCs w:val="0"/>
                      <w:color w:val="000000"/>
                      <w:kern w:val="0"/>
                      <w:sz w:val="21"/>
                      <w:szCs w:val="21"/>
                      <w:u w:val="none"/>
                      <w:vertAlign w:val="subscript"/>
                      <w:lang w:val="en-US" w:eastAsia="zh-CN" w:bidi="ar"/>
                    </w:rPr>
                    <w:t>2</w:t>
                  </w:r>
                </w:p>
              </w:tc>
              <w:tc>
                <w:tcPr>
                  <w:tcW w:w="1063" w:type="pct"/>
                  <w:shd w:val="clear" w:color="auto" w:fill="auto"/>
                  <w:noWrap/>
                  <w:vAlign w:val="center"/>
                </w:tcPr>
                <w:p w14:paraId="0CA6BF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无色透明液体，弱酸性；强氧化剂，易分解为水和氧气，光照、受热、接触金属/杂质会加速分解；密度大于水，30%浓度氧化性极强。</w:t>
                  </w:r>
                </w:p>
              </w:tc>
              <w:tc>
                <w:tcPr>
                  <w:tcW w:w="1006" w:type="pct"/>
                  <w:shd w:val="clear" w:color="auto" w:fill="auto"/>
                  <w:noWrap/>
                  <w:vAlign w:val="center"/>
                </w:tcPr>
                <w:p w14:paraId="1C56CE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本身不燃，强助燃剂；高浓度遇有机物、易燃物、还原剂剧烈反应，易起火、爆燃；密闭容器中分解产气会引发容器超压爆炸。</w:t>
                  </w:r>
                </w:p>
              </w:tc>
              <w:tc>
                <w:tcPr>
                  <w:tcW w:w="2154" w:type="pct"/>
                  <w:shd w:val="clear" w:color="auto" w:fill="auto"/>
                  <w:noWrap/>
                  <w:vAlign w:val="center"/>
                </w:tcPr>
                <w:p w14:paraId="19DB43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核心毒理数据：大鼠经口LD₅₀：1200–1500mg/kg（30%）大鼠吸入LC₅₀：2000mg/m³（4h）兔经皮LD₅₀：&gt;3000mg/kg人经口TDL₀：女性1200mg/kg、男性1429mg/kg（30%）毒性与危害：1.皮肤接触：发白、刺痛、化学灼伤；2.吸入气雾：刺激鼻、咽喉、气道，引发咳嗽、胸闷，高浓度可致肺水肿、氧栓塞；3.食入：口腔、食道灼伤，腹痛、呕吐；4.高浓度可造成眼部严重损伤。</w:t>
                  </w:r>
                </w:p>
              </w:tc>
            </w:tr>
            <w:tr w14:paraId="5391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23" w:type="pct"/>
                  <w:shd w:val="clear" w:color="auto" w:fill="auto"/>
                  <w:noWrap/>
                  <w:vAlign w:val="center"/>
                </w:tcPr>
                <w:p w14:paraId="210F04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氢氧化钠</w:t>
                  </w:r>
                </w:p>
              </w:tc>
              <w:tc>
                <w:tcPr>
                  <w:tcW w:w="453" w:type="pct"/>
                  <w:shd w:val="clear" w:color="auto" w:fill="auto"/>
                  <w:noWrap/>
                  <w:vAlign w:val="center"/>
                </w:tcPr>
                <w:p w14:paraId="37B09B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NaOH</w:t>
                  </w:r>
                </w:p>
              </w:tc>
              <w:tc>
                <w:tcPr>
                  <w:tcW w:w="1063" w:type="pct"/>
                  <w:shd w:val="clear" w:color="auto" w:fill="auto"/>
                  <w:noWrap/>
                  <w:vAlign w:val="center"/>
                </w:tcPr>
                <w:p w14:paraId="372C57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常态为白色片状/粒状固体，易潮解、极易溶于水，溶解剧烈放热；强碱性、强腐蚀性；可吸收空气中二氧化碳变质；能与酸、油脂、两性物质反应。</w:t>
                  </w:r>
                </w:p>
              </w:tc>
              <w:tc>
                <w:tcPr>
                  <w:tcW w:w="1006" w:type="pct"/>
                  <w:shd w:val="clear" w:color="auto" w:fill="auto"/>
                  <w:noWrap/>
                  <w:vAlign w:val="center"/>
                </w:tcPr>
                <w:p w14:paraId="5D7D15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不燃、无爆炸危险性；遇水放热，接触易燃物一般不引燃，但高温可助长周边可燃物燃烧；与铵盐反应释放氨气。</w:t>
                  </w:r>
                </w:p>
              </w:tc>
              <w:tc>
                <w:tcPr>
                  <w:tcW w:w="2154" w:type="pct"/>
                  <w:shd w:val="clear" w:color="auto" w:fill="auto"/>
                  <w:noWrap/>
                  <w:vAlign w:val="center"/>
                </w:tcPr>
                <w:p w14:paraId="2792AE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核心毒理数据：小鼠腹腔LD₅₀：40mg/kg毒性与危害：1.皮肤/眼睛：严重化学灼伤，眼部接触易致失明，碱烧伤创面难愈合；2.吸入粉尘：刺激呼吸道，引发炎症、咽痛；3.食入：消化道腐蚀、穿孔，危及生命，无致癌性。</w:t>
                  </w:r>
                </w:p>
              </w:tc>
            </w:tr>
            <w:tr w14:paraId="440B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23" w:type="pct"/>
                  <w:shd w:val="clear" w:color="auto" w:fill="auto"/>
                  <w:noWrap/>
                  <w:vAlign w:val="center"/>
                </w:tcPr>
                <w:p w14:paraId="604400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硼酸溶液</w:t>
                  </w:r>
                </w:p>
              </w:tc>
              <w:tc>
                <w:tcPr>
                  <w:tcW w:w="453" w:type="pct"/>
                  <w:shd w:val="clear" w:color="auto" w:fill="auto"/>
                  <w:noWrap/>
                  <w:vAlign w:val="center"/>
                </w:tcPr>
                <w:p w14:paraId="75C9C0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BO</w:t>
                  </w:r>
                  <w:r>
                    <w:rPr>
                      <w:rFonts w:hint="default" w:ascii="Times New Roman" w:hAnsi="Times New Roman" w:eastAsia="宋体" w:cs="Times New Roman"/>
                      <w:i w:val="0"/>
                      <w:iCs w:val="0"/>
                      <w:color w:val="000000"/>
                      <w:kern w:val="0"/>
                      <w:sz w:val="21"/>
                      <w:szCs w:val="21"/>
                      <w:u w:val="none"/>
                      <w:vertAlign w:val="subscript"/>
                      <w:lang w:val="en-US" w:eastAsia="zh-CN" w:bidi="ar"/>
                    </w:rPr>
                    <w:t>3</w:t>
                  </w:r>
                </w:p>
              </w:tc>
              <w:tc>
                <w:tcPr>
                  <w:tcW w:w="1063" w:type="pct"/>
                  <w:shd w:val="clear" w:color="auto" w:fill="auto"/>
                  <w:noWrap/>
                  <w:vAlign w:val="center"/>
                </w:tcPr>
                <w:p w14:paraId="19673F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通常为无色澄清液体，弱酸，性质温和；固体硼酸为白色结晶粉末，微溶于冷水、易溶于热水；抑菌性弱，化学性质稳定。</w:t>
                  </w:r>
                </w:p>
              </w:tc>
              <w:tc>
                <w:tcPr>
                  <w:tcW w:w="1006" w:type="pct"/>
                  <w:shd w:val="clear" w:color="auto" w:fill="auto"/>
                  <w:noWrap/>
                  <w:vAlign w:val="center"/>
                </w:tcPr>
                <w:p w14:paraId="0848D0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不燃、无燃烧爆炸风险，化学性质稳定，不与常见易燃物发生危险反应。</w:t>
                  </w:r>
                </w:p>
              </w:tc>
              <w:tc>
                <w:tcPr>
                  <w:tcW w:w="2154" w:type="pct"/>
                  <w:shd w:val="clear" w:color="auto" w:fill="auto"/>
                  <w:noWrap/>
                  <w:vAlign w:val="center"/>
                </w:tcPr>
                <w:p w14:paraId="4CAE95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核心毒理数据：大鼠经口LD₅₀：2660mg/kg小鼠经口LD₅₀：3450mg/kg人致死量：成人15–20g、婴儿3–6g毒性与危害：1.皮肤常规接触基本无害，高浓度长期接触轻微刺激皮肤，禁止大面积用于破损皮肤、婴幼儿皮肤；2.大量食入有毒，引发恶心、呕吐、腹泻，过量可损伤肝肾；3.长期接触可影响生殖系统。</w:t>
                  </w:r>
                </w:p>
              </w:tc>
            </w:tr>
            <w:tr w14:paraId="5F0E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23" w:type="pct"/>
                  <w:shd w:val="clear" w:color="auto" w:fill="auto"/>
                  <w:noWrap/>
                  <w:vAlign w:val="center"/>
                </w:tcPr>
                <w:p w14:paraId="3D4A05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混合指示剂（溴甲酚绿+甲基红）</w:t>
                  </w:r>
                </w:p>
              </w:tc>
              <w:tc>
                <w:tcPr>
                  <w:tcW w:w="453" w:type="pct"/>
                  <w:shd w:val="clear" w:color="auto" w:fill="auto"/>
                  <w:noWrap/>
                  <w:vAlign w:val="center"/>
                </w:tcPr>
                <w:p w14:paraId="3FE544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溴甲酚绿+甲基红混合有机染料水溶液</w:t>
                  </w:r>
                </w:p>
              </w:tc>
              <w:tc>
                <w:tcPr>
                  <w:tcW w:w="1063" w:type="pct"/>
                  <w:shd w:val="clear" w:color="auto" w:fill="auto"/>
                  <w:noWrap/>
                  <w:vAlign w:val="center"/>
                </w:tcPr>
                <w:p w14:paraId="20CD1F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常温为有色液体，根据pH改变颜色；化学性质稳定，水溶性较好，弱酸类有机指示剂，无强反应活性。</w:t>
                  </w:r>
                </w:p>
              </w:tc>
              <w:tc>
                <w:tcPr>
                  <w:tcW w:w="1006" w:type="pct"/>
                  <w:shd w:val="clear" w:color="auto" w:fill="auto"/>
                  <w:noWrap/>
                  <w:vAlign w:val="center"/>
                </w:tcPr>
                <w:p w14:paraId="039616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不易燃，有机组分闪点较高，常规实验室条件下无爆炸风险；大量挥发后蒸气遇明火可轻微燃烧。</w:t>
                  </w:r>
                </w:p>
              </w:tc>
              <w:tc>
                <w:tcPr>
                  <w:tcW w:w="2154" w:type="pct"/>
                  <w:shd w:val="clear" w:color="auto" w:fill="auto"/>
                  <w:noWrap/>
                  <w:vAlign w:val="center"/>
                </w:tcPr>
                <w:p w14:paraId="519D69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核心毒理数据：无标准混合物LD₅₀数据，按组分估算：溴甲酚绿：大鼠经口LD₅₀&gt;5000mg/kg甲基红：大鼠经口LD₅₀&gt;2000mg/kg毒性与危害：常规滴定接触危害极低；吸入少量气雾轻微刺激呼吸道；皮肤接触基本无伤害，避免大量食入，整体为低毒、弱刺激性。</w:t>
                  </w:r>
                </w:p>
              </w:tc>
            </w:tr>
            <w:tr w14:paraId="529D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23" w:type="pct"/>
                  <w:shd w:val="clear" w:color="auto" w:fill="auto"/>
                  <w:noWrap/>
                  <w:vAlign w:val="center"/>
                </w:tcPr>
                <w:p w14:paraId="56272E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盐酸标准溶液0.02mol/L</w:t>
                  </w:r>
                </w:p>
              </w:tc>
              <w:tc>
                <w:tcPr>
                  <w:tcW w:w="453" w:type="pct"/>
                  <w:shd w:val="clear" w:color="auto" w:fill="auto"/>
                  <w:noWrap/>
                  <w:vAlign w:val="center"/>
                </w:tcPr>
                <w:p w14:paraId="2C15A9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HCl</w:t>
                  </w:r>
                </w:p>
              </w:tc>
              <w:tc>
                <w:tcPr>
                  <w:tcW w:w="1063" w:type="pct"/>
                  <w:shd w:val="clear" w:color="auto" w:fill="auto"/>
                  <w:noWrap/>
                  <w:vAlign w:val="center"/>
                </w:tcPr>
                <w:p w14:paraId="1C9F46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无色透明液体，弱酸性；挥发性弱（低浓度），化学性质稳定，仅与碱性物质、活泼金属发生常规反应。</w:t>
                  </w:r>
                </w:p>
              </w:tc>
              <w:tc>
                <w:tcPr>
                  <w:tcW w:w="1006" w:type="pct"/>
                  <w:shd w:val="clear" w:color="auto" w:fill="auto"/>
                  <w:noWrap/>
                  <w:vAlign w:val="center"/>
                </w:tcPr>
                <w:p w14:paraId="30AC0F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不燃、无爆炸危险；低浓度盐酸无强挥发性酸雾，不助燃、不引爆其他物质。</w:t>
                  </w:r>
                </w:p>
              </w:tc>
              <w:tc>
                <w:tcPr>
                  <w:tcW w:w="2154" w:type="pct"/>
                  <w:shd w:val="clear" w:color="auto" w:fill="auto"/>
                  <w:noWrap/>
                  <w:vAlign w:val="center"/>
                </w:tcPr>
                <w:p w14:paraId="4C5EC0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核心毒理数据：稀溶液无系统LD₅₀数据，按浓盐酸（37%）参考估算：大鼠经口LD₅₀&gt;5000mg/kg（0.02mol/L）浓盐酸大鼠经口LD₅₀：900mg/kg、大鼠吸入LC₅₀：3124ppm（1h）毒性与危害：低浓度酸雾仅轻微刺激呼吸道，长期频繁接触可致咽喉不适；皮肤短暂接触无明显灼伤，大量溅入眼部需及时冲洗，整体为微毒、弱刺激性。</w:t>
                  </w:r>
                </w:p>
              </w:tc>
            </w:tr>
            <w:tr w14:paraId="7744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23" w:type="pct"/>
                  <w:shd w:val="clear" w:color="auto" w:fill="auto"/>
                  <w:noWrap/>
                  <w:vAlign w:val="center"/>
                </w:tcPr>
                <w:p w14:paraId="3692E5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四苯硼钠</w:t>
                  </w:r>
                </w:p>
              </w:tc>
              <w:tc>
                <w:tcPr>
                  <w:tcW w:w="453" w:type="pct"/>
                  <w:shd w:val="clear" w:color="auto" w:fill="auto"/>
                  <w:noWrap/>
                  <w:vAlign w:val="center"/>
                </w:tcPr>
                <w:p w14:paraId="2701ED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Na[B(C6H5)4]</w:t>
                  </w:r>
                </w:p>
              </w:tc>
              <w:tc>
                <w:tcPr>
                  <w:tcW w:w="1063" w:type="pct"/>
                  <w:shd w:val="clear" w:color="auto" w:fill="auto"/>
                  <w:noWrap/>
                  <w:vAlign w:val="center"/>
                </w:tcPr>
                <w:p w14:paraId="544978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白色结晶粉末，易溶于水、乙醇；水溶液较稳定，常用作钾离子沉淀剂；有机盐类，常温下理化性质稳定。</w:t>
                  </w:r>
                </w:p>
              </w:tc>
              <w:tc>
                <w:tcPr>
                  <w:tcW w:w="1006" w:type="pct"/>
                  <w:shd w:val="clear" w:color="auto" w:fill="auto"/>
                  <w:noWrap/>
                  <w:vAlign w:val="center"/>
                </w:tcPr>
                <w:p w14:paraId="5343BA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可燃，属于有机化合物，遇明火、高温可燃烧；燃烧产生刺激性烟气；无爆炸性。</w:t>
                  </w:r>
                </w:p>
              </w:tc>
              <w:tc>
                <w:tcPr>
                  <w:tcW w:w="2154" w:type="pct"/>
                  <w:shd w:val="clear" w:color="auto" w:fill="auto"/>
                  <w:noWrap/>
                  <w:vAlign w:val="center"/>
                </w:tcPr>
                <w:p w14:paraId="1DB5FD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核心毒理数据：大鼠经口LD₅₀：288mg/kg兔经皮LD₅₀：2000mg/kg毒性与危害：粉尘刺激眼、鼻、呼吸道；皮肤接触基本安全；严禁食入，误食会引发肠胃不适、震颤、抽搐、肝损伤，有轻度蓄积性，整体为中等毒性。</w:t>
                  </w:r>
                </w:p>
              </w:tc>
            </w:tr>
            <w:tr w14:paraId="5328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23" w:type="pct"/>
                  <w:shd w:val="clear" w:color="auto" w:fill="auto"/>
                  <w:noWrap/>
                  <w:vAlign w:val="center"/>
                </w:tcPr>
                <w:p w14:paraId="13BE87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钒钼酸铵显色剂</w:t>
                  </w:r>
                </w:p>
              </w:tc>
              <w:tc>
                <w:tcPr>
                  <w:tcW w:w="453" w:type="pct"/>
                  <w:shd w:val="clear" w:color="auto" w:fill="auto"/>
                  <w:noWrap/>
                  <w:vAlign w:val="center"/>
                </w:tcPr>
                <w:p w14:paraId="1DA369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钒酸铵+钼酸铵混合酸性水溶液</w:t>
                  </w:r>
                </w:p>
              </w:tc>
              <w:tc>
                <w:tcPr>
                  <w:tcW w:w="1063" w:type="pct"/>
                  <w:shd w:val="clear" w:color="auto" w:fill="auto"/>
                  <w:noWrap/>
                  <w:vAlign w:val="center"/>
                </w:tcPr>
                <w:p w14:paraId="1C8CFE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淡黄色/黄色澄清液体，无机盐混合溶液；化学性质稳定，弱酸性，主要用于磷、硅等物质显色检测。</w:t>
                  </w:r>
                </w:p>
              </w:tc>
              <w:tc>
                <w:tcPr>
                  <w:tcW w:w="1006" w:type="pct"/>
                  <w:shd w:val="clear" w:color="auto" w:fill="auto"/>
                  <w:noWrap/>
                  <w:vAlign w:val="center"/>
                </w:tcPr>
                <w:p w14:paraId="7C1FD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不燃、无爆炸风险，全为无机盐水溶液，无易燃组分。</w:t>
                  </w:r>
                </w:p>
              </w:tc>
              <w:tc>
                <w:tcPr>
                  <w:tcW w:w="2154" w:type="pct"/>
                  <w:shd w:val="clear" w:color="auto" w:fill="auto"/>
                  <w:noWrap/>
                  <w:vAlign w:val="center"/>
                </w:tcPr>
                <w:p w14:paraId="489E22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核心毒理数据：无直接混合物LD₅₀数据，按核心组分参考：偏钒酸铵：大鼠经口LD₅₀158mg/kg钼酸铵：大鼠经口LD₅₀333mg/kg混合物估算大鼠经口LD₅₀：150–350mg/kg毒性与危害：含钒、钼重金属离子，长期皮肤接触或反复吸入气雾有肝肾累积毒性；避免食入，废液需按重金属废液处理，整体为中等毒性、轻微刺激性。</w:t>
                  </w:r>
                </w:p>
              </w:tc>
            </w:tr>
            <w:tr w14:paraId="3DE8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23" w:type="pct"/>
                  <w:shd w:val="clear" w:color="auto" w:fill="auto"/>
                  <w:noWrap/>
                  <w:vAlign w:val="center"/>
                </w:tcPr>
                <w:p w14:paraId="1FF219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重铬酸钾</w:t>
                  </w:r>
                </w:p>
              </w:tc>
              <w:tc>
                <w:tcPr>
                  <w:tcW w:w="453" w:type="pct"/>
                  <w:shd w:val="clear" w:color="auto" w:fill="auto"/>
                  <w:noWrap/>
                  <w:vAlign w:val="center"/>
                </w:tcPr>
                <w:p w14:paraId="146378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K</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Cr</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O</w:t>
                  </w:r>
                  <w:r>
                    <w:rPr>
                      <w:rFonts w:hint="default" w:ascii="Times New Roman" w:hAnsi="Times New Roman" w:eastAsia="宋体" w:cs="Times New Roman"/>
                      <w:i w:val="0"/>
                      <w:iCs w:val="0"/>
                      <w:color w:val="000000"/>
                      <w:kern w:val="0"/>
                      <w:sz w:val="21"/>
                      <w:szCs w:val="21"/>
                      <w:u w:val="none"/>
                      <w:vertAlign w:val="subscript"/>
                      <w:lang w:val="en-US" w:eastAsia="zh-CN" w:bidi="ar"/>
                    </w:rPr>
                    <w:t>7</w:t>
                  </w:r>
                </w:p>
              </w:tc>
              <w:tc>
                <w:tcPr>
                  <w:tcW w:w="1063" w:type="pct"/>
                  <w:shd w:val="clear" w:color="auto" w:fill="auto"/>
                  <w:noWrap/>
                  <w:vAlign w:val="center"/>
                </w:tcPr>
                <w:p w14:paraId="07CBB4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橙红色结晶粉末，溶于水，水溶液呈酸性；强氧化剂，化学活性高，稳定性较好。</w:t>
                  </w:r>
                </w:p>
              </w:tc>
              <w:tc>
                <w:tcPr>
                  <w:tcW w:w="1006" w:type="pct"/>
                  <w:shd w:val="clear" w:color="auto" w:fill="auto"/>
                  <w:noWrap/>
                  <w:vAlign w:val="center"/>
                </w:tcPr>
                <w:p w14:paraId="53AE32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本身不燃，强助燃剂；与有机物、还原剂、硫、磷、乙醇、油脂等混合，受撞击、摩擦、高温极易起火、爆炸；属于危险氧化剂。</w:t>
                  </w:r>
                </w:p>
              </w:tc>
              <w:tc>
                <w:tcPr>
                  <w:tcW w:w="2154" w:type="pct"/>
                  <w:shd w:val="clear" w:color="auto" w:fill="auto"/>
                  <w:noWrap/>
                  <w:vAlign w:val="center"/>
                </w:tcPr>
                <w:p w14:paraId="66B827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急性毒性-经口，类别3*；</w:t>
                  </w:r>
                </w:p>
                <w:p w14:paraId="4EDCED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急性毒性-吸入，类别2*；毒性与危害：1.铬(VI)具有强毒性、生殖毒性、I类致癌性，可诱发呼吸道癌；2.皮肤接触：引发皮炎、溃疡，伤口接触易深入体内；3.吸入粉尘：损伤呼吸道，长期接触致癌风险极高；4.食入：严重中毒，呕吐、肝肾坏死，致死剂量极低。</w:t>
                  </w:r>
                </w:p>
              </w:tc>
            </w:tr>
          </w:tbl>
          <w:p w14:paraId="5B534294">
            <w:pPr>
              <w:pStyle w:val="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hAnsi="Times New Roman" w:eastAsia="宋体" w:cs="Times New Roman"/>
                <w:b/>
                <w:bCs/>
                <w:color w:val="000000" w:themeColor="text1"/>
                <w:sz w:val="24"/>
                <w14:textFill>
                  <w14:solidFill>
                    <w14:schemeClr w14:val="tx1"/>
                  </w14:solidFill>
                </w14:textFill>
              </w:rPr>
            </w:pPr>
          </w:p>
          <w:p w14:paraId="456549A5">
            <w:pPr>
              <w:spacing w:line="360" w:lineRule="auto"/>
              <w:ind w:firstLine="482" w:firstLineChars="200"/>
              <w:rPr>
                <w:b/>
                <w:color w:val="000000" w:themeColor="text1"/>
                <w:kern w:val="0"/>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五</w:t>
            </w:r>
            <w:r>
              <w:rPr>
                <w:b/>
                <w:color w:val="000000" w:themeColor="text1"/>
                <w:kern w:val="0"/>
                <w:sz w:val="24"/>
                <w14:textFill>
                  <w14:solidFill>
                    <w14:schemeClr w14:val="tx1"/>
                  </w14:solidFill>
                </w14:textFill>
              </w:rPr>
              <w:t>、劳动定员和工作</w:t>
            </w:r>
            <w:r>
              <w:rPr>
                <w:rFonts w:hint="eastAsia"/>
                <w:b/>
                <w:color w:val="000000" w:themeColor="text1"/>
                <w:kern w:val="0"/>
                <w:sz w:val="24"/>
                <w14:textFill>
                  <w14:solidFill>
                    <w14:schemeClr w14:val="tx1"/>
                  </w14:solidFill>
                </w14:textFill>
              </w:rPr>
              <w:t>制度</w:t>
            </w:r>
          </w:p>
          <w:p w14:paraId="72131660">
            <w:pPr>
              <w:spacing w:line="360" w:lineRule="auto"/>
              <w:ind w:firstLine="480" w:firstLineChars="200"/>
              <w:jc w:val="left"/>
              <w:rPr>
                <w:b/>
                <w:color w:val="000000" w:themeColor="text1"/>
                <w:kern w:val="0"/>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项目劳动定员30人，</w:t>
            </w:r>
            <w:r>
              <w:rPr>
                <w:bCs/>
                <w:color w:val="000000" w:themeColor="text1"/>
                <w:kern w:val="0"/>
                <w:sz w:val="24"/>
                <w14:textFill>
                  <w14:solidFill>
                    <w14:schemeClr w14:val="tx1"/>
                  </w14:solidFill>
                </w14:textFill>
              </w:rPr>
              <w:t>年工作日300天，1班制，每班</w:t>
            </w:r>
            <w:r>
              <w:rPr>
                <w:rFonts w:hint="eastAsia"/>
                <w:bCs/>
                <w:color w:val="000000" w:themeColor="text1"/>
                <w:kern w:val="0"/>
                <w:sz w:val="24"/>
                <w14:textFill>
                  <w14:solidFill>
                    <w14:schemeClr w14:val="tx1"/>
                  </w14:solidFill>
                </w14:textFill>
              </w:rPr>
              <w:t>8</w:t>
            </w:r>
            <w:r>
              <w:rPr>
                <w:bCs/>
                <w:color w:val="000000" w:themeColor="text1"/>
                <w:kern w:val="0"/>
                <w:sz w:val="24"/>
                <w14:textFill>
                  <w14:solidFill>
                    <w14:schemeClr w14:val="tx1"/>
                  </w14:solidFill>
                </w14:textFill>
              </w:rPr>
              <w:t>小时。</w:t>
            </w:r>
          </w:p>
          <w:p w14:paraId="31EAE214">
            <w:pPr>
              <w:autoSpaceDE w:val="0"/>
              <w:autoSpaceDN w:val="0"/>
              <w:adjustRightInd w:val="0"/>
              <w:spacing w:before="1" w:line="360" w:lineRule="auto"/>
              <w:ind w:right="286" w:firstLine="482" w:firstLineChars="200"/>
              <w:rPr>
                <w:b/>
                <w:color w:val="000000" w:themeColor="text1"/>
                <w:kern w:val="0"/>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六</w:t>
            </w:r>
            <w:r>
              <w:rPr>
                <w:b/>
                <w:color w:val="000000" w:themeColor="text1"/>
                <w:kern w:val="0"/>
                <w:sz w:val="24"/>
                <w14:textFill>
                  <w14:solidFill>
                    <w14:schemeClr w14:val="tx1"/>
                  </w14:solidFill>
                </w14:textFill>
              </w:rPr>
              <w:t>、</w:t>
            </w:r>
            <w:r>
              <w:rPr>
                <w:rFonts w:hint="eastAsia"/>
                <w:b/>
                <w:color w:val="000000" w:themeColor="text1"/>
                <w:kern w:val="0"/>
                <w:sz w:val="24"/>
                <w14:textFill>
                  <w14:solidFill>
                    <w14:schemeClr w14:val="tx1"/>
                  </w14:solidFill>
                </w14:textFill>
              </w:rPr>
              <w:t>项目用水情况</w:t>
            </w:r>
          </w:p>
          <w:p w14:paraId="5D4FB85E">
            <w:pPr>
              <w:spacing w:line="360" w:lineRule="auto"/>
              <w:ind w:firstLine="480" w:firstLineChars="200"/>
              <w:jc w:val="left"/>
              <w:rPr>
                <w:rFonts w:hint="default"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项目用水包括生活用水、</w:t>
            </w:r>
            <w:r>
              <w:rPr>
                <w:rFonts w:hint="eastAsia" w:cs="Times New Roman"/>
                <w:bCs/>
                <w:sz w:val="24"/>
                <w:szCs w:val="24"/>
                <w:lang w:val="en-US" w:eastAsia="zh-CN"/>
              </w:rPr>
              <w:t>水解用水</w:t>
            </w:r>
            <w:r>
              <w:rPr>
                <w:rFonts w:hint="eastAsia" w:ascii="Times New Roman" w:hAnsi="Times New Roman" w:eastAsia="宋体" w:cs="Times New Roman"/>
                <w:bCs/>
                <w:sz w:val="24"/>
                <w:szCs w:val="24"/>
                <w:lang w:val="en-US" w:eastAsia="zh-CN"/>
              </w:rPr>
              <w:t>和纯水制备用水。</w:t>
            </w:r>
          </w:p>
          <w:p w14:paraId="051CE5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000000"/>
                <w:kern w:val="0"/>
                <w:sz w:val="24"/>
                <w:szCs w:val="20"/>
                <w:lang w:val="en-US" w:eastAsia="zh-CN" w:bidi="ar-SA"/>
              </w:rPr>
            </w:pPr>
            <w:r>
              <w:rPr>
                <w:rFonts w:hint="eastAsia" w:ascii="Times New Roman" w:hAnsi="Times New Roman" w:eastAsia="宋体" w:cs="Times New Roman"/>
                <w:color w:val="000000"/>
                <w:kern w:val="0"/>
                <w:sz w:val="24"/>
                <w:szCs w:val="20"/>
                <w:lang w:val="en-US" w:eastAsia="zh-CN" w:bidi="ar-SA"/>
              </w:rPr>
              <w:t>（1）生活用水</w:t>
            </w:r>
          </w:p>
          <w:p w14:paraId="6531DD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kern w:val="0"/>
                <w:sz w:val="24"/>
                <w:szCs w:val="20"/>
                <w:lang w:val="en-US" w:eastAsia="zh-CN" w:bidi="ar-SA"/>
              </w:rPr>
            </w:pPr>
            <w:r>
              <w:rPr>
                <w:rFonts w:hint="eastAsia" w:ascii="Times New Roman" w:hAnsi="Times New Roman" w:eastAsia="宋体" w:cs="Times New Roman"/>
                <w:color w:val="000000"/>
                <w:kern w:val="0"/>
                <w:sz w:val="24"/>
                <w:szCs w:val="20"/>
                <w:lang w:val="en-US" w:eastAsia="zh-CN" w:bidi="ar-SA"/>
              </w:rPr>
              <w:t>本项目劳动定员</w:t>
            </w:r>
            <w:r>
              <w:rPr>
                <w:rFonts w:hint="eastAsia" w:cs="Times New Roman"/>
                <w:color w:val="000000"/>
                <w:kern w:val="0"/>
                <w:sz w:val="24"/>
                <w:szCs w:val="20"/>
                <w:lang w:val="en-US" w:eastAsia="zh-CN" w:bidi="ar-SA"/>
              </w:rPr>
              <w:t>30</w:t>
            </w:r>
            <w:r>
              <w:rPr>
                <w:rFonts w:hint="eastAsia" w:ascii="Times New Roman" w:hAnsi="Times New Roman" w:eastAsia="宋体" w:cs="Times New Roman"/>
                <w:color w:val="000000"/>
                <w:kern w:val="0"/>
                <w:sz w:val="24"/>
                <w:szCs w:val="20"/>
                <w:lang w:val="en-US" w:eastAsia="zh-CN" w:bidi="ar-SA"/>
              </w:rPr>
              <w:t>人，厂区不提供食宿，根据《安徽省行业用水定额》（DB34/T 679-2025），员工用水定额按</w:t>
            </w:r>
            <w:r>
              <w:rPr>
                <w:rFonts w:hint="eastAsia" w:cs="Times New Roman"/>
                <w:color w:val="000000"/>
                <w:kern w:val="0"/>
                <w:sz w:val="24"/>
                <w:szCs w:val="20"/>
                <w:lang w:val="en-US" w:eastAsia="zh-CN" w:bidi="ar-SA"/>
              </w:rPr>
              <w:t>15m</w:t>
            </w:r>
            <w:r>
              <w:rPr>
                <w:rFonts w:hint="eastAsia" w:cs="Times New Roman"/>
                <w:color w:val="000000"/>
                <w:kern w:val="0"/>
                <w:sz w:val="24"/>
                <w:szCs w:val="20"/>
                <w:vertAlign w:val="superscript"/>
                <w:lang w:val="en-US" w:eastAsia="zh-CN" w:bidi="ar-SA"/>
              </w:rPr>
              <w:t>3</w:t>
            </w:r>
            <w:r>
              <w:rPr>
                <w:rFonts w:hint="eastAsia" w:ascii="Times New Roman" w:hAnsi="Times New Roman" w:eastAsia="宋体" w:cs="Times New Roman"/>
                <w:color w:val="000000"/>
                <w:kern w:val="0"/>
                <w:sz w:val="24"/>
                <w:szCs w:val="20"/>
                <w:lang w:val="en-US" w:eastAsia="zh-CN" w:bidi="ar-SA"/>
              </w:rPr>
              <w:t>/人·</w:t>
            </w:r>
            <w:r>
              <w:rPr>
                <w:rFonts w:hint="eastAsia" w:cs="Times New Roman"/>
                <w:color w:val="000000"/>
                <w:kern w:val="0"/>
                <w:sz w:val="24"/>
                <w:szCs w:val="20"/>
                <w:lang w:val="en-US" w:eastAsia="zh-CN" w:bidi="ar-SA"/>
              </w:rPr>
              <w:t>a</w:t>
            </w:r>
            <w:r>
              <w:rPr>
                <w:rFonts w:hint="eastAsia" w:ascii="Times New Roman" w:hAnsi="Times New Roman" w:eastAsia="宋体" w:cs="Times New Roman"/>
                <w:color w:val="000000"/>
                <w:kern w:val="0"/>
                <w:sz w:val="24"/>
                <w:szCs w:val="20"/>
                <w:lang w:val="en-US" w:eastAsia="zh-CN" w:bidi="ar-SA"/>
              </w:rPr>
              <w:t>计算，生活用水量为</w:t>
            </w:r>
            <w:r>
              <w:rPr>
                <w:rFonts w:hint="eastAsia" w:cs="Times New Roman"/>
                <w:color w:val="000000"/>
                <w:kern w:val="0"/>
                <w:sz w:val="24"/>
                <w:szCs w:val="20"/>
                <w:lang w:val="en-US" w:eastAsia="zh-CN" w:bidi="ar-SA"/>
              </w:rPr>
              <w:t>450</w:t>
            </w:r>
            <w:r>
              <w:rPr>
                <w:rFonts w:hint="eastAsia" w:ascii="Times New Roman" w:hAnsi="Times New Roman" w:eastAsia="宋体" w:cs="Times New Roman"/>
                <w:color w:val="000000"/>
                <w:kern w:val="0"/>
                <w:sz w:val="24"/>
                <w:szCs w:val="20"/>
                <w:lang w:val="en-US" w:eastAsia="zh-CN" w:bidi="ar-SA"/>
              </w:rPr>
              <w:t>t/a</w:t>
            </w:r>
            <w:r>
              <w:rPr>
                <w:rFonts w:hint="eastAsia" w:cs="Times New Roman"/>
                <w:color w:val="000000"/>
                <w:kern w:val="0"/>
                <w:sz w:val="24"/>
                <w:szCs w:val="20"/>
                <w:lang w:val="en-US" w:eastAsia="zh-CN" w:bidi="ar-SA"/>
              </w:rPr>
              <w:t>。</w:t>
            </w:r>
          </w:p>
          <w:p w14:paraId="10ECE7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000000"/>
                <w:kern w:val="0"/>
                <w:sz w:val="24"/>
                <w:szCs w:val="20"/>
                <w:lang w:val="en-US" w:eastAsia="zh-CN" w:bidi="ar-SA"/>
              </w:rPr>
            </w:pPr>
            <w:r>
              <w:rPr>
                <w:rFonts w:hint="eastAsia" w:ascii="Times New Roman" w:hAnsi="Times New Roman" w:eastAsia="宋体" w:cs="Times New Roman"/>
                <w:color w:val="000000"/>
                <w:kern w:val="0"/>
                <w:sz w:val="24"/>
                <w:szCs w:val="20"/>
                <w:lang w:val="en-US" w:eastAsia="zh-CN" w:bidi="ar-SA"/>
              </w:rPr>
              <w:t>（2）纯水制备用水及浓水排放</w:t>
            </w:r>
          </w:p>
          <w:p w14:paraId="2E9B35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000000"/>
                <w:kern w:val="0"/>
                <w:sz w:val="24"/>
                <w:szCs w:val="20"/>
                <w:lang w:val="en-US" w:eastAsia="zh-CN" w:bidi="ar-SA"/>
              </w:rPr>
            </w:pPr>
            <w:r>
              <w:rPr>
                <w:rFonts w:hint="eastAsia" w:ascii="Times New Roman" w:hAnsi="Times New Roman" w:eastAsia="宋体" w:cs="Times New Roman"/>
                <w:color w:val="000000"/>
                <w:kern w:val="0"/>
                <w:sz w:val="24"/>
                <w:szCs w:val="20"/>
                <w:lang w:val="en-US" w:eastAsia="zh-CN" w:bidi="ar-SA"/>
              </w:rPr>
              <w:t>项目清洗和水解工序用水为纯水，其中清洗工序纯水用量约7500t/a，水解工序纯水用量约500t/a，合计纯水用量约为</w:t>
            </w:r>
            <w:r>
              <w:rPr>
                <w:rFonts w:hint="eastAsia" w:cs="Times New Roman"/>
                <w:color w:val="000000"/>
                <w:kern w:val="0"/>
                <w:sz w:val="24"/>
                <w:szCs w:val="20"/>
                <w:lang w:val="en-US" w:eastAsia="zh-CN" w:bidi="ar-SA"/>
              </w:rPr>
              <w:t>8</w:t>
            </w:r>
            <w:r>
              <w:rPr>
                <w:rFonts w:hint="eastAsia" w:ascii="Times New Roman" w:hAnsi="Times New Roman" w:eastAsia="宋体" w:cs="Times New Roman"/>
                <w:color w:val="000000"/>
                <w:kern w:val="0"/>
                <w:sz w:val="24"/>
                <w:szCs w:val="20"/>
                <w:lang w:val="en-US" w:eastAsia="zh-CN" w:bidi="ar-SA"/>
              </w:rPr>
              <w:t>000t/a（</w:t>
            </w:r>
            <w:r>
              <w:rPr>
                <w:rFonts w:hint="eastAsia" w:cs="Times New Roman"/>
                <w:color w:val="000000"/>
                <w:kern w:val="0"/>
                <w:sz w:val="24"/>
                <w:szCs w:val="20"/>
                <w:lang w:val="en-US" w:eastAsia="zh-CN" w:bidi="ar-SA"/>
              </w:rPr>
              <w:t>26.67</w:t>
            </w:r>
            <w:r>
              <w:rPr>
                <w:rFonts w:hint="eastAsia" w:ascii="Times New Roman" w:hAnsi="Times New Roman" w:eastAsia="宋体" w:cs="Times New Roman"/>
                <w:color w:val="000000"/>
                <w:kern w:val="0"/>
                <w:sz w:val="24"/>
                <w:szCs w:val="20"/>
                <w:lang w:val="en-US" w:eastAsia="zh-CN" w:bidi="ar-SA"/>
              </w:rPr>
              <w:t>t/d）。本项目设置2台纯水制备机供应纯水，纯水制备机规格分别为2t/h和4t/h，纯水出水率约为60%，则新鲜水用量为1</w:t>
            </w:r>
            <w:r>
              <w:rPr>
                <w:rFonts w:hint="eastAsia" w:cs="Times New Roman"/>
                <w:color w:val="000000"/>
                <w:kern w:val="0"/>
                <w:sz w:val="24"/>
                <w:szCs w:val="20"/>
                <w:lang w:val="en-US" w:eastAsia="zh-CN" w:bidi="ar-SA"/>
              </w:rPr>
              <w:t>3333.33</w:t>
            </w:r>
            <w:r>
              <w:rPr>
                <w:rFonts w:hint="eastAsia" w:ascii="Times New Roman" w:hAnsi="Times New Roman" w:eastAsia="宋体" w:cs="Times New Roman"/>
                <w:color w:val="000000"/>
                <w:kern w:val="0"/>
                <w:sz w:val="24"/>
                <w:szCs w:val="20"/>
                <w:lang w:val="en-US" w:eastAsia="zh-CN" w:bidi="ar-SA"/>
              </w:rPr>
              <w:t>t/a（</w:t>
            </w:r>
            <w:r>
              <w:rPr>
                <w:rFonts w:hint="eastAsia" w:cs="Times New Roman"/>
                <w:color w:val="000000"/>
                <w:kern w:val="0"/>
                <w:sz w:val="24"/>
                <w:szCs w:val="20"/>
                <w:lang w:val="en-US" w:eastAsia="zh-CN" w:bidi="ar-SA"/>
              </w:rPr>
              <w:t>44.44</w:t>
            </w:r>
            <w:r>
              <w:rPr>
                <w:rFonts w:hint="eastAsia" w:ascii="Times New Roman" w:hAnsi="Times New Roman" w:eastAsia="宋体" w:cs="Times New Roman"/>
                <w:color w:val="000000"/>
                <w:kern w:val="0"/>
                <w:sz w:val="24"/>
                <w:szCs w:val="20"/>
                <w:lang w:val="en-US" w:eastAsia="zh-CN" w:bidi="ar-SA"/>
              </w:rPr>
              <w:t>t/d）。</w:t>
            </w:r>
          </w:p>
          <w:p w14:paraId="130FB024">
            <w:pPr>
              <w:spacing w:line="360" w:lineRule="auto"/>
              <w:ind w:firstLine="480" w:firstLineChars="200"/>
              <w:outlineLvl w:val="0"/>
              <w:rPr>
                <w:rFonts w:hint="default" w:ascii="宋体" w:hAnsi="宋体" w:eastAsia="宋体" w:cs="宋体"/>
                <w:color w:val="000000" w:themeColor="text1"/>
                <w:sz w:val="24"/>
                <w:lang w:val="en-US" w:eastAsia="zh-CN"/>
                <w14:textFill>
                  <w14:solidFill>
                    <w14:schemeClr w14:val="tx1"/>
                  </w14:solidFill>
                </w14:textFill>
              </w:rPr>
            </w:pPr>
            <w:r>
              <w:rPr>
                <w:rFonts w:hint="eastAsia"/>
                <w:bCs/>
                <w:color w:val="000000" w:themeColor="text1"/>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3</w:t>
            </w:r>
            <w:r>
              <w:rPr>
                <w:rFonts w:hint="eastAsia"/>
                <w:bCs/>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生物除臭塔用水</w:t>
            </w:r>
          </w:p>
          <w:p w14:paraId="521CAA55">
            <w:pPr>
              <w:spacing w:line="360" w:lineRule="auto"/>
              <w:ind w:firstLine="480" w:firstLineChars="200"/>
              <w:outlineLvl w:val="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项目设置一套生物除臭装置，用于处理水解工序产生的恶臭气体，其废水成分有COD、盐类等。</w:t>
            </w:r>
          </w:p>
          <w:p w14:paraId="530F044A">
            <w:pPr>
              <w:spacing w:line="360" w:lineRule="auto"/>
              <w:ind w:firstLine="480" w:firstLineChars="200"/>
              <w:outlineLvl w:val="0"/>
              <w:rPr>
                <w:rFonts w:hint="eastAsia"/>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生物除臭塔</w:t>
            </w:r>
            <w:r>
              <w:rPr>
                <w:rFonts w:hint="eastAsia"/>
                <w:color w:val="000000" w:themeColor="text1"/>
                <w:sz w:val="24"/>
                <w:lang w:val="en-US" w:eastAsia="zh-CN"/>
                <w14:textFill>
                  <w14:solidFill>
                    <w14:schemeClr w14:val="tx1"/>
                  </w14:solidFill>
                </w14:textFill>
              </w:rPr>
              <w:t>配套风机风量7500m</w:t>
            </w:r>
            <w:r>
              <w:rPr>
                <w:rFonts w:hint="eastAsia"/>
                <w:color w:val="000000" w:themeColor="text1"/>
                <w:sz w:val="24"/>
                <w:vertAlign w:val="superscript"/>
                <w:lang w:val="en-US" w:eastAsia="zh-CN"/>
                <w14:textFill>
                  <w14:solidFill>
                    <w14:schemeClr w14:val="tx1"/>
                  </w14:solidFill>
                </w14:textFill>
              </w:rPr>
              <w:t>3</w:t>
            </w:r>
            <w:r>
              <w:rPr>
                <w:rFonts w:hint="eastAsia"/>
                <w:color w:val="000000" w:themeColor="text1"/>
                <w:sz w:val="24"/>
                <w:lang w:val="en-US" w:eastAsia="zh-CN"/>
                <w14:textFill>
                  <w14:solidFill>
                    <w14:schemeClr w14:val="tx1"/>
                  </w14:solidFill>
                </w14:textFill>
              </w:rPr>
              <w:t>/h，液气比以2L/m</w:t>
            </w:r>
            <w:r>
              <w:rPr>
                <w:rFonts w:hint="eastAsia"/>
                <w:color w:val="000000" w:themeColor="text1"/>
                <w:sz w:val="24"/>
                <w:vertAlign w:val="superscript"/>
                <w:lang w:val="en-US" w:eastAsia="zh-CN"/>
                <w14:textFill>
                  <w14:solidFill>
                    <w14:schemeClr w14:val="tx1"/>
                  </w14:solidFill>
                </w14:textFill>
              </w:rPr>
              <w:t>3</w:t>
            </w:r>
            <w:r>
              <w:rPr>
                <w:rFonts w:hint="eastAsia"/>
                <w:color w:val="000000" w:themeColor="text1"/>
                <w:sz w:val="24"/>
                <w:lang w:val="en-US" w:eastAsia="zh-CN"/>
                <w14:textFill>
                  <w14:solidFill>
                    <w14:schemeClr w14:val="tx1"/>
                  </w14:solidFill>
                </w14:textFill>
              </w:rPr>
              <w:t>计，循环水量为15m</w:t>
            </w:r>
            <w:r>
              <w:rPr>
                <w:rFonts w:hint="eastAsia"/>
                <w:color w:val="000000" w:themeColor="text1"/>
                <w:sz w:val="24"/>
                <w:vertAlign w:val="superscript"/>
                <w:lang w:val="en-US" w:eastAsia="zh-CN"/>
                <w14:textFill>
                  <w14:solidFill>
                    <w14:schemeClr w14:val="tx1"/>
                  </w14:solidFill>
                </w14:textFill>
              </w:rPr>
              <w:t>3</w:t>
            </w:r>
            <w:r>
              <w:rPr>
                <w:rFonts w:hint="eastAsia"/>
                <w:color w:val="000000" w:themeColor="text1"/>
                <w:sz w:val="24"/>
                <w:lang w:val="en-US" w:eastAsia="zh-CN"/>
                <w14:textFill>
                  <w14:solidFill>
                    <w14:schemeClr w14:val="tx1"/>
                  </w14:solidFill>
                </w14:textFill>
              </w:rPr>
              <w:t>/h，喷淋用水循环使用，储水槽有效容积为16.5m</w:t>
            </w:r>
            <w:r>
              <w:rPr>
                <w:rFonts w:hint="eastAsia"/>
                <w:color w:val="000000" w:themeColor="text1"/>
                <w:sz w:val="24"/>
                <w:vertAlign w:val="superscript"/>
                <w:lang w:val="en-US" w:eastAsia="zh-CN"/>
                <w14:textFill>
                  <w14:solidFill>
                    <w14:schemeClr w14:val="tx1"/>
                  </w14:solidFill>
                </w14:textFill>
              </w:rPr>
              <w:t>3</w:t>
            </w:r>
            <w:r>
              <w:rPr>
                <w:rFonts w:hint="eastAsia"/>
                <w:color w:val="000000" w:themeColor="text1"/>
                <w:sz w:val="24"/>
                <w:lang w:val="en-US" w:eastAsia="zh-CN"/>
                <w14:textFill>
                  <w14:solidFill>
                    <w14:schemeClr w14:val="tx1"/>
                  </w14:solidFill>
                </w14:textFill>
              </w:rPr>
              <w:t>，30天更换处理一次，年更换次数按10次计，则喷淋废水更换量为165m</w:t>
            </w:r>
            <w:r>
              <w:rPr>
                <w:rFonts w:hint="eastAsia"/>
                <w:color w:val="000000" w:themeColor="text1"/>
                <w:sz w:val="24"/>
                <w:vertAlign w:val="superscript"/>
                <w:lang w:val="en-US" w:eastAsia="zh-CN"/>
                <w14:textFill>
                  <w14:solidFill>
                    <w14:schemeClr w14:val="tx1"/>
                  </w14:solidFill>
                </w14:textFill>
              </w:rPr>
              <w:t>3</w:t>
            </w:r>
            <w:r>
              <w:rPr>
                <w:rFonts w:hint="eastAsia"/>
                <w:color w:val="000000" w:themeColor="text1"/>
                <w:sz w:val="24"/>
                <w:lang w:val="en-US" w:eastAsia="zh-CN"/>
                <w14:textFill>
                  <w14:solidFill>
                    <w14:schemeClr w14:val="tx1"/>
                  </w14:solidFill>
                </w14:textFill>
              </w:rPr>
              <w:t>/a（0.55m</w:t>
            </w:r>
            <w:r>
              <w:rPr>
                <w:rFonts w:hint="eastAsia"/>
                <w:color w:val="000000" w:themeColor="text1"/>
                <w:sz w:val="24"/>
                <w:vertAlign w:val="superscript"/>
                <w:lang w:val="en-US" w:eastAsia="zh-CN"/>
                <w14:textFill>
                  <w14:solidFill>
                    <w14:schemeClr w14:val="tx1"/>
                  </w14:solidFill>
                </w14:textFill>
              </w:rPr>
              <w:t>3</w:t>
            </w:r>
            <w:r>
              <w:rPr>
                <w:rFonts w:hint="eastAsia"/>
                <w:color w:val="000000" w:themeColor="text1"/>
                <w:sz w:val="24"/>
                <w:lang w:val="en-US" w:eastAsia="zh-CN"/>
                <w14:textFill>
                  <w14:solidFill>
                    <w14:schemeClr w14:val="tx1"/>
                  </w14:solidFill>
                </w14:textFill>
              </w:rPr>
              <w:t>/d）。每天按照循环水量的0.5%补充新鲜水，补充用水即0.075m</w:t>
            </w:r>
            <w:r>
              <w:rPr>
                <w:rFonts w:hint="eastAsia"/>
                <w:color w:val="000000" w:themeColor="text1"/>
                <w:sz w:val="24"/>
                <w:vertAlign w:val="superscript"/>
                <w:lang w:val="en-US" w:eastAsia="zh-CN"/>
                <w14:textFill>
                  <w14:solidFill>
                    <w14:schemeClr w14:val="tx1"/>
                  </w14:solidFill>
                </w14:textFill>
              </w:rPr>
              <w:t>3</w:t>
            </w:r>
            <w:r>
              <w:rPr>
                <w:rFonts w:hint="eastAsia"/>
                <w:color w:val="000000" w:themeColor="text1"/>
                <w:sz w:val="24"/>
                <w:lang w:val="en-US" w:eastAsia="zh-CN"/>
                <w14:textFill>
                  <w14:solidFill>
                    <w14:schemeClr w14:val="tx1"/>
                  </w14:solidFill>
                </w14:textFill>
              </w:rPr>
              <w:t>/h（0.6m</w:t>
            </w:r>
            <w:r>
              <w:rPr>
                <w:rFonts w:hint="eastAsia"/>
                <w:color w:val="000000" w:themeColor="text1"/>
                <w:sz w:val="24"/>
                <w:vertAlign w:val="superscript"/>
                <w:lang w:val="en-US" w:eastAsia="zh-CN"/>
                <w14:textFill>
                  <w14:solidFill>
                    <w14:schemeClr w14:val="tx1"/>
                  </w14:solidFill>
                </w14:textFill>
              </w:rPr>
              <w:t>3</w:t>
            </w:r>
            <w:r>
              <w:rPr>
                <w:rFonts w:hint="eastAsia"/>
                <w:color w:val="000000" w:themeColor="text1"/>
                <w:sz w:val="24"/>
                <w:lang w:val="en-US" w:eastAsia="zh-CN"/>
                <w14:textFill>
                  <w14:solidFill>
                    <w14:schemeClr w14:val="tx1"/>
                  </w14:solidFill>
                </w14:textFill>
              </w:rPr>
              <w:t>/d），总用水量为345m</w:t>
            </w:r>
            <w:r>
              <w:rPr>
                <w:rFonts w:hint="eastAsia"/>
                <w:color w:val="000000" w:themeColor="text1"/>
                <w:sz w:val="24"/>
                <w:vertAlign w:val="superscript"/>
                <w:lang w:val="en-US" w:eastAsia="zh-CN"/>
                <w14:textFill>
                  <w14:solidFill>
                    <w14:schemeClr w14:val="tx1"/>
                  </w14:solidFill>
                </w14:textFill>
              </w:rPr>
              <w:t>3</w:t>
            </w:r>
            <w:r>
              <w:rPr>
                <w:rFonts w:hint="eastAsia"/>
                <w:color w:val="000000" w:themeColor="text1"/>
                <w:sz w:val="24"/>
                <w:lang w:val="en-US" w:eastAsia="zh-CN"/>
                <w14:textFill>
                  <w14:solidFill>
                    <w14:schemeClr w14:val="tx1"/>
                  </w14:solidFill>
                </w14:textFill>
              </w:rPr>
              <w:t>/a（1.15m</w:t>
            </w:r>
            <w:r>
              <w:rPr>
                <w:rFonts w:hint="eastAsia"/>
                <w:color w:val="000000" w:themeColor="text1"/>
                <w:sz w:val="24"/>
                <w:vertAlign w:val="superscript"/>
                <w:lang w:val="en-US" w:eastAsia="zh-CN"/>
                <w14:textFill>
                  <w14:solidFill>
                    <w14:schemeClr w14:val="tx1"/>
                  </w14:solidFill>
                </w14:textFill>
              </w:rPr>
              <w:t>3</w:t>
            </w:r>
            <w:r>
              <w:rPr>
                <w:rFonts w:hint="eastAsia"/>
                <w:color w:val="000000" w:themeColor="text1"/>
                <w:sz w:val="24"/>
                <w:lang w:val="en-US" w:eastAsia="zh-CN"/>
                <w14:textFill>
                  <w14:solidFill>
                    <w14:schemeClr w14:val="tx1"/>
                  </w14:solidFill>
                </w14:textFill>
              </w:rPr>
              <w:t>/d）。</w:t>
            </w:r>
          </w:p>
          <w:p w14:paraId="62B0E794">
            <w:pPr>
              <w:spacing w:line="360" w:lineRule="auto"/>
              <w:ind w:firstLine="480" w:firstLineChars="200"/>
              <w:outlineLvl w:val="0"/>
              <w:rPr>
                <w:rFonts w:hint="default"/>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项目水平衡如下。</w:t>
            </w:r>
          </w:p>
          <w:p w14:paraId="37FCC0B8">
            <w:pPr>
              <w:pStyle w:val="75"/>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lang w:val="en-US" w:eastAsia="zh-CN"/>
              </w:rPr>
            </w:pPr>
            <w:r>
              <w:rPr>
                <w:rFonts w:hint="default" w:ascii="Times New Roman" w:hAnsi="Times New Roman" w:cs="Times New Roman"/>
                <w:color w:val="000000"/>
                <w:spacing w:val="0"/>
                <w:position w:val="0"/>
              </w:rPr>
              <w:object>
                <v:shape id="_x0000_i1025" o:spt="75" type="#_x0000_t75" style="height:295.6pt;width:395.35pt;" o:ole="t" filled="f" o:preferrelative="t" stroked="f" coordsize="21600,21600">
                  <v:path/>
                  <v:fill on="f" focussize="0,0"/>
                  <v:stroke on="f"/>
                  <v:imagedata r:id="rId9" cropleft="1343f" croptop="6493f" cropright="7276f" cropbottom="7512f" o:title=""/>
                  <o:lock v:ext="edit" aspectratio="f"/>
                  <w10:wrap type="none"/>
                  <w10:anchorlock/>
                </v:shape>
                <o:OLEObject Type="Embed" ProgID="Visio.Drawing.15" ShapeID="_x0000_i1025" DrawAspect="Content" ObjectID="_1468075725" r:id="rId8">
                  <o:LockedField>false</o:LockedField>
                </o:OLEObject>
              </w:object>
            </w:r>
          </w:p>
          <w:p w14:paraId="1618F554">
            <w:pPr>
              <w:pStyle w:val="75"/>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宋体" w:cs="Times New Roman"/>
                <w:b/>
                <w:bCs/>
                <w:lang w:val="en-US" w:eastAsia="zh-CN"/>
              </w:rPr>
            </w:pPr>
            <w:r>
              <w:rPr>
                <w:rFonts w:hint="default" w:ascii="Times New Roman" w:hAnsi="Times New Roman" w:cs="Times New Roman"/>
                <w:b/>
                <w:bCs/>
                <w:color w:val="auto"/>
                <w:sz w:val="24"/>
                <w:highlight w:val="none"/>
                <w:lang w:val="en-US" w:eastAsia="zh-CN"/>
              </w:rPr>
              <w:t>图</w:t>
            </w:r>
            <w:r>
              <w:rPr>
                <w:rFonts w:hint="eastAsia" w:ascii="Times New Roman" w:hAnsi="Times New Roman" w:cs="Times New Roman"/>
                <w:b/>
                <w:bCs/>
                <w:color w:val="auto"/>
                <w:sz w:val="24"/>
                <w:highlight w:val="none"/>
                <w:lang w:val="en-US" w:eastAsia="zh-CN"/>
              </w:rPr>
              <w:t>2-</w:t>
            </w:r>
            <w:r>
              <w:rPr>
                <w:rFonts w:hint="default" w:ascii="Times New Roman" w:hAnsi="Times New Roman" w:cs="Times New Roman"/>
                <w:b/>
                <w:bCs/>
                <w:color w:val="auto"/>
                <w:sz w:val="24"/>
                <w:highlight w:val="none"/>
                <w:lang w:val="en-US" w:eastAsia="zh-CN"/>
              </w:rPr>
              <w:t xml:space="preserve">1 </w:t>
            </w:r>
            <w:r>
              <w:rPr>
                <w:rFonts w:hint="eastAsia" w:ascii="Times New Roman" w:hAnsi="Times New Roman" w:cs="Times New Roman"/>
                <w:b/>
                <w:bCs/>
                <w:color w:val="auto"/>
                <w:sz w:val="24"/>
                <w:highlight w:val="none"/>
                <w:lang w:val="en-US" w:eastAsia="zh-CN"/>
              </w:rPr>
              <w:t>项目</w:t>
            </w:r>
            <w:r>
              <w:rPr>
                <w:rFonts w:hint="default" w:ascii="Times New Roman" w:hAnsi="Times New Roman" w:cs="Times New Roman"/>
                <w:b/>
                <w:bCs/>
                <w:color w:val="auto"/>
                <w:sz w:val="24"/>
                <w:highlight w:val="none"/>
                <w:lang w:val="en-US" w:eastAsia="zh-CN"/>
              </w:rPr>
              <w:t>水量平衡图（单位：t/d）</w:t>
            </w:r>
          </w:p>
          <w:p w14:paraId="0DF77B4E">
            <w:pPr>
              <w:spacing w:line="360" w:lineRule="auto"/>
              <w:ind w:firstLine="482" w:firstLineChars="200"/>
              <w:jc w:val="left"/>
              <w:rPr>
                <w:b/>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七</w:t>
            </w:r>
            <w:r>
              <w:rPr>
                <w:b/>
                <w:color w:val="000000" w:themeColor="text1"/>
                <w:kern w:val="0"/>
                <w:sz w:val="24"/>
                <w14:textFill>
                  <w14:solidFill>
                    <w14:schemeClr w14:val="tx1"/>
                  </w14:solidFill>
                </w14:textFill>
              </w:rPr>
              <w:t>、总平面布置合理性分析</w:t>
            </w:r>
          </w:p>
          <w:p w14:paraId="74A01078">
            <w:pPr>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项目位于</w:t>
            </w:r>
            <w:r>
              <w:rPr>
                <w:rFonts w:hint="eastAsia"/>
                <w:color w:val="000000" w:themeColor="text1"/>
                <w:sz w:val="24"/>
                <w14:textFill>
                  <w14:solidFill>
                    <w14:schemeClr w14:val="tx1"/>
                  </w14:solidFill>
                </w14:textFill>
              </w:rPr>
              <w:t>泗县虹城街道长三角绿色食品产业园</w:t>
            </w: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占地面积约20000m</w:t>
            </w:r>
            <w:r>
              <w:rPr>
                <w:rFonts w:hint="eastAsia"/>
                <w:color w:val="000000" w:themeColor="text1"/>
                <w:sz w:val="24"/>
                <w:vertAlign w:val="superscript"/>
                <w:lang w:val="en-US" w:eastAsia="zh-CN"/>
                <w14:textFill>
                  <w14:solidFill>
                    <w14:schemeClr w14:val="tx1"/>
                  </w14:solidFill>
                </w14:textFill>
              </w:rPr>
              <w:t>2</w:t>
            </w:r>
            <w:r>
              <w:rPr>
                <w:rFonts w:hint="eastAsia"/>
                <w:color w:val="000000" w:themeColor="text1"/>
                <w:sz w:val="24"/>
                <w:lang w:val="en-US" w:eastAsia="zh-CN"/>
                <w14:textFill>
                  <w14:solidFill>
                    <w14:schemeClr w14:val="tx1"/>
                  </w14:solidFill>
                </w14:textFill>
              </w:rPr>
              <w:t>，车间一位于厂区南侧、车间二位于厂区北侧、车间三位于厂区东南侧、仓库位于车间二和车间三中间区域，综合楼位于厂区北侧</w:t>
            </w:r>
            <w:r>
              <w:rPr>
                <w:bCs/>
                <w:color w:val="000000" w:themeColor="text1"/>
                <w:kern w:val="0"/>
                <w:sz w:val="24"/>
                <w14:textFill>
                  <w14:solidFill>
                    <w14:schemeClr w14:val="tx1"/>
                  </w14:solidFill>
                </w14:textFill>
              </w:rPr>
              <w:t>。</w:t>
            </w:r>
            <w:r>
              <w:rPr>
                <w:color w:val="000000" w:themeColor="text1"/>
                <w:sz w:val="24"/>
                <w14:textFill>
                  <w14:solidFill>
                    <w14:schemeClr w14:val="tx1"/>
                  </w14:solidFill>
                </w14:textFill>
              </w:rPr>
              <w:t>项目平面布置满足生产人流、物流分离、互不交叉干扰的原则（具体见附图）</w:t>
            </w:r>
            <w:r>
              <w:rPr>
                <w:rFonts w:hint="eastAsia"/>
                <w:color w:val="000000" w:themeColor="text1"/>
                <w:sz w:val="24"/>
                <w:lang w:eastAsia="zh-CN"/>
                <w14:textFill>
                  <w14:solidFill>
                    <w14:schemeClr w14:val="tx1"/>
                  </w14:solidFill>
                </w14:textFill>
              </w:rPr>
              <w:t>。</w:t>
            </w:r>
          </w:p>
          <w:p w14:paraId="756173C0">
            <w:pPr>
              <w:spacing w:line="360" w:lineRule="auto"/>
              <w:ind w:firstLine="480" w:firstLineChars="200"/>
              <w:rPr>
                <w:rFonts w:ascii="宋体" w:hAnsi="宋体" w:cs="宋体"/>
                <w:bCs/>
                <w:color w:val="000000" w:themeColor="text1"/>
                <w:szCs w:val="21"/>
                <w14:textFill>
                  <w14:solidFill>
                    <w14:schemeClr w14:val="tx1"/>
                  </w14:solidFill>
                </w14:textFill>
              </w:rPr>
            </w:pPr>
            <w:r>
              <w:rPr>
                <w:color w:val="000000" w:themeColor="text1"/>
                <w:sz w:val="24"/>
                <w14:textFill>
                  <w14:solidFill>
                    <w14:schemeClr w14:val="tx1"/>
                  </w14:solidFill>
                </w14:textFill>
              </w:rPr>
              <w:t>综上所述，本项目厂区平面布局较合理。</w:t>
            </w:r>
          </w:p>
        </w:tc>
      </w:tr>
      <w:tr w14:paraId="130D77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24" w:hRule="atLeast"/>
          <w:jc w:val="center"/>
        </w:trPr>
        <w:tc>
          <w:tcPr>
            <w:tcW w:w="823" w:type="dxa"/>
            <w:vAlign w:val="center"/>
          </w:tcPr>
          <w:p w14:paraId="2A23BA45">
            <w:pPr>
              <w:pStyle w:val="19"/>
              <w:adjustRightInd w:val="0"/>
              <w:snapToGrid w:val="0"/>
              <w:spacing w:before="0" w:beforeAutospacing="0" w:after="0" w:afterAutospacing="0"/>
              <w:jc w:val="center"/>
              <w:rPr>
                <w:rFonts w:cs="宋体"/>
                <w:color w:val="000000" w:themeColor="text1"/>
                <w:sz w:val="21"/>
                <w:szCs w:val="21"/>
                <w14:textFill>
                  <w14:solidFill>
                    <w14:schemeClr w14:val="tx1"/>
                  </w14:solidFill>
                </w14:textFill>
              </w:rPr>
            </w:pPr>
            <w:r>
              <w:rPr>
                <w:rFonts w:hint="eastAsia" w:cs="宋体"/>
                <w:color w:val="000000" w:themeColor="text1"/>
                <w:szCs w:val="24"/>
                <w14:textFill>
                  <w14:solidFill>
                    <w14:schemeClr w14:val="tx1"/>
                  </w14:solidFill>
                </w14:textFill>
              </w:rPr>
              <w:t>工艺流程和产排污环节</w:t>
            </w:r>
          </w:p>
        </w:tc>
        <w:tc>
          <w:tcPr>
            <w:tcW w:w="8161" w:type="dxa"/>
          </w:tcPr>
          <w:p w14:paraId="223B7CA0">
            <w:pPr>
              <w:spacing w:line="360" w:lineRule="auto"/>
              <w:ind w:firstLine="480" w:firstLineChars="200"/>
              <w:outlineLvl w:val="0"/>
              <w:rPr>
                <w:rFonts w:ascii="宋体" w:hAnsi="宋体" w:cs="宋体"/>
                <w:bCs/>
                <w:color w:val="000000" w:themeColor="text1"/>
                <w:szCs w:val="21"/>
                <w14:textFill>
                  <w14:solidFill>
                    <w14:schemeClr w14:val="tx1"/>
                  </w14:solidFill>
                </w14:textFill>
              </w:rPr>
            </w:pPr>
            <w:r>
              <w:rPr>
                <w:rFonts w:hint="eastAsia"/>
                <w:color w:val="000000" w:themeColor="text1"/>
                <w:sz w:val="24"/>
                <w14:textFill>
                  <w14:solidFill>
                    <w14:schemeClr w14:val="tx1"/>
                  </w14:solidFill>
                </w14:textFill>
              </w:rPr>
              <w:t>生产工艺</w:t>
            </w:r>
            <w:r>
              <w:rPr>
                <w:rFonts w:hint="eastAsia"/>
                <w:color w:val="000000" w:themeColor="text1"/>
                <w:sz w:val="24"/>
                <w:lang w:val="en-US" w:eastAsia="zh-CN"/>
                <w14:textFill>
                  <w14:solidFill>
                    <w14:schemeClr w14:val="tx1"/>
                  </w14:solidFill>
                </w14:textFill>
              </w:rPr>
              <w:t>流程：</w:t>
            </w:r>
          </w:p>
          <w:p w14:paraId="3B3A0BBB">
            <w:pPr>
              <w:spacing w:line="360" w:lineRule="auto"/>
              <w:jc w:val="center"/>
              <w:rPr>
                <w:rFonts w:ascii="Times New Roman" w:hAnsi="Times New Roman"/>
                <w:sz w:val="24"/>
                <w:szCs w:val="24"/>
              </w:rPr>
            </w:pPr>
            <w:r>
              <w:rPr>
                <w:rFonts w:ascii="Times New Roman" w:hAnsi="Times New Roman"/>
                <w:sz w:val="24"/>
                <w:szCs w:val="24"/>
              </w:rPr>
              <w:object>
                <v:shape id="_x0000_i1026" o:spt="75" type="#_x0000_t75" style="height:353.95pt;width:256pt;" o:ole="t" filled="f" o:preferrelative="t" stroked="f" coordsize="21600,21600">
                  <v:path/>
                  <v:fill on="f" focussize="0,0"/>
                  <v:stroke on="f"/>
                  <v:imagedata r:id="rId11" cropleft="22419f" croptop="13603f" cropright="10916f" cropbottom="15558f" o:title=""/>
                  <o:lock v:ext="edit" aspectratio="f"/>
                  <w10:wrap type="none"/>
                  <w10:anchorlock/>
                </v:shape>
                <o:OLEObject Type="Embed" ProgID="Visio.Drawing.11" ShapeID="_x0000_i1026" DrawAspect="Content" ObjectID="_1468075726" r:id="rId10">
                  <o:LockedField>false</o:LockedField>
                </o:OLEObject>
              </w:object>
            </w:r>
          </w:p>
          <w:p w14:paraId="354B4CB7">
            <w:pPr>
              <w:spacing w:line="360" w:lineRule="auto"/>
              <w:jc w:val="center"/>
              <w:rPr>
                <w:bCs/>
                <w:color w:val="000000" w:themeColor="text1"/>
                <w:szCs w:val="21"/>
                <w14:textFill>
                  <w14:solidFill>
                    <w14:schemeClr w14:val="tx1"/>
                  </w14:solidFill>
                </w14:textFill>
              </w:rPr>
            </w:pPr>
            <w:r>
              <w:rPr>
                <w:b/>
                <w:bCs/>
                <w:color w:val="000000" w:themeColor="text1"/>
                <w:sz w:val="24"/>
                <w14:textFill>
                  <w14:solidFill>
                    <w14:schemeClr w14:val="tx1"/>
                  </w14:solidFill>
                </w14:textFill>
              </w:rPr>
              <w:t>图2-</w:t>
            </w:r>
            <w:r>
              <w:rPr>
                <w:rFonts w:hint="eastAsia"/>
                <w:b/>
                <w:bCs/>
                <w:color w:val="000000" w:themeColor="text1"/>
                <w:sz w:val="24"/>
                <w:lang w:val="en-US" w:eastAsia="zh-CN"/>
                <w14:textFill>
                  <w14:solidFill>
                    <w14:schemeClr w14:val="tx1"/>
                  </w14:solidFill>
                </w14:textFill>
              </w:rPr>
              <w:t>2</w:t>
            </w:r>
            <w:r>
              <w:rPr>
                <w:b/>
                <w:bCs/>
                <w:color w:val="000000" w:themeColor="text1"/>
                <w:sz w:val="24"/>
                <w14:textFill>
                  <w14:solidFill>
                    <w14:schemeClr w14:val="tx1"/>
                  </w14:solidFill>
                </w14:textFill>
              </w:rPr>
              <w:t xml:space="preserve">  </w:t>
            </w:r>
            <w:r>
              <w:rPr>
                <w:rFonts w:hint="eastAsia"/>
                <w:b/>
                <w:bCs/>
                <w:iCs/>
                <w:color w:val="000000" w:themeColor="text1"/>
                <w:sz w:val="24"/>
                <w:lang w:val="en-US" w:eastAsia="zh-CN"/>
                <w14:textFill>
                  <w14:solidFill>
                    <w14:schemeClr w14:val="tx1"/>
                  </w14:solidFill>
                </w14:textFill>
              </w:rPr>
              <w:t>生产</w:t>
            </w:r>
            <w:r>
              <w:rPr>
                <w:b/>
                <w:bCs/>
                <w:color w:val="000000" w:themeColor="text1"/>
                <w:sz w:val="24"/>
                <w14:textFill>
                  <w14:solidFill>
                    <w14:schemeClr w14:val="tx1"/>
                  </w14:solidFill>
                </w14:textFill>
              </w:rPr>
              <w:t>工艺流程及产污环节示意图</w:t>
            </w:r>
          </w:p>
          <w:p w14:paraId="06FE7297">
            <w:pPr>
              <w:spacing w:line="360" w:lineRule="auto"/>
              <w:ind w:firstLine="482" w:firstLineChars="20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工艺流程简述</w:t>
            </w:r>
            <w:r>
              <w:rPr>
                <w:rFonts w:hint="eastAsia"/>
                <w:color w:val="000000" w:themeColor="text1"/>
                <w:sz w:val="24"/>
                <w14:textFill>
                  <w14:solidFill>
                    <w14:schemeClr w14:val="tx1"/>
                  </w14:solidFill>
                </w14:textFill>
              </w:rPr>
              <w:t>：</w:t>
            </w:r>
          </w:p>
          <w:p w14:paraId="2677D445">
            <w:pPr>
              <w:numPr>
                <w:ilvl w:val="0"/>
                <w:numId w:val="0"/>
              </w:num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1</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刮泥沙</w:t>
            </w:r>
            <w:r>
              <w:rPr>
                <w:color w:val="000000" w:themeColor="text1"/>
                <w:sz w:val="24"/>
                <w14:textFill>
                  <w14:solidFill>
                    <w14:schemeClr w14:val="tx1"/>
                  </w14:solidFill>
                </w14:textFill>
              </w:rPr>
              <w:t>：</w:t>
            </w:r>
          </w:p>
          <w:p w14:paraId="7F4C3D03">
            <w:pPr>
              <w:numPr>
                <w:ilvl w:val="0"/>
                <w:numId w:val="0"/>
              </w:numPr>
              <w:spacing w:line="360" w:lineRule="auto"/>
              <w:ind w:firstLine="480" w:firstLineChars="200"/>
              <w:rPr>
                <w:rFonts w:hint="eastAsia" w:eastAsia="宋体"/>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本项目原料由</w:t>
            </w:r>
            <w:r>
              <w:rPr>
                <w:rFonts w:hint="eastAsia"/>
                <w:color w:val="000000" w:themeColor="text1"/>
                <w:sz w:val="24"/>
                <w:lang w:val="en-US" w:eastAsia="zh-CN"/>
                <w14:textFill>
                  <w14:solidFill>
                    <w14:schemeClr w14:val="tx1"/>
                  </w14:solidFill>
                </w14:textFill>
              </w:rPr>
              <w:t>企业一期项目</w:t>
            </w:r>
            <w:r>
              <w:rPr>
                <w:rFonts w:hint="eastAsia"/>
                <w:color w:val="000000" w:themeColor="text1"/>
                <w:sz w:val="24"/>
                <w14:textFill>
                  <w14:solidFill>
                    <w14:schemeClr w14:val="tx1"/>
                  </w14:solidFill>
                </w14:textFill>
              </w:rPr>
              <w:t>供给，接收新鲜蚯蚓原料，先送入泥沙刮除设备（采用滚筒式刮泥机，转速20-30r/min），通过机械摩擦作用，将蚯蚓体表附着的泥沙、土壤颗粒及少量杂质刮除，刮除后的泥沙</w:t>
            </w:r>
            <w:r>
              <w:rPr>
                <w:rFonts w:hint="eastAsia"/>
                <w:color w:val="000000" w:themeColor="text1"/>
                <w:sz w:val="24"/>
                <w:lang w:val="en-US" w:eastAsia="zh-CN"/>
                <w14:textFill>
                  <w14:solidFill>
                    <w14:schemeClr w14:val="tx1"/>
                  </w14:solidFill>
                </w14:textFill>
              </w:rPr>
              <w:t>S1</w:t>
            </w:r>
            <w:r>
              <w:rPr>
                <w:rFonts w:hint="eastAsia"/>
                <w:color w:val="000000" w:themeColor="text1"/>
                <w:sz w:val="24"/>
                <w14:textFill>
                  <w14:solidFill>
                    <w14:schemeClr w14:val="tx1"/>
                  </w14:solidFill>
                </w14:textFill>
              </w:rPr>
              <w:t>经设备底部集料斗收集，暂存于固废堆放区。</w:t>
            </w:r>
          </w:p>
          <w:p w14:paraId="33D453F4">
            <w:pPr>
              <w:numPr>
                <w:ilvl w:val="0"/>
                <w:numId w:val="0"/>
              </w:numPr>
              <w:spacing w:line="360" w:lineRule="auto"/>
              <w:ind w:firstLine="480" w:firstLineChars="200"/>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2</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清洗</w:t>
            </w:r>
          </w:p>
          <w:p w14:paraId="5602543C">
            <w:pPr>
              <w:numPr>
                <w:ilvl w:val="0"/>
                <w:numId w:val="0"/>
              </w:numPr>
              <w:spacing w:line="360" w:lineRule="auto"/>
              <w:ind w:firstLine="480" w:firstLineChars="200"/>
              <w:rPr>
                <w:rFonts w:hint="default" w:eastAsia="宋体"/>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刮除泥沙后的蚯蚓送入清洗</w:t>
            </w:r>
            <w:r>
              <w:rPr>
                <w:rFonts w:hint="eastAsia"/>
                <w:color w:val="000000" w:themeColor="text1"/>
                <w:sz w:val="24"/>
                <w:lang w:val="en-US" w:eastAsia="zh-CN"/>
                <w14:textFill>
                  <w14:solidFill>
                    <w14:schemeClr w14:val="tx1"/>
                  </w14:solidFill>
                </w14:textFill>
              </w:rPr>
              <w:t>设备</w:t>
            </w:r>
            <w:r>
              <w:rPr>
                <w:rFonts w:hint="eastAsia"/>
                <w:color w:val="000000" w:themeColor="text1"/>
                <w:sz w:val="24"/>
                <w14:textFill>
                  <w14:solidFill>
                    <w14:schemeClr w14:val="tx1"/>
                  </w14:solidFill>
                </w14:textFill>
              </w:rPr>
              <w:t>（采用不锈钢材质，容积</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m³），用常温</w:t>
            </w:r>
            <w:r>
              <w:rPr>
                <w:rFonts w:hint="eastAsia"/>
                <w:color w:val="000000" w:themeColor="text1"/>
                <w:sz w:val="24"/>
                <w:lang w:val="en-US" w:eastAsia="zh-CN"/>
                <w14:textFill>
                  <w14:solidFill>
                    <w14:schemeClr w14:val="tx1"/>
                  </w14:solidFill>
                </w14:textFill>
              </w:rPr>
              <w:t>纯水</w:t>
            </w:r>
            <w:r>
              <w:rPr>
                <w:rFonts w:hint="eastAsia"/>
                <w:color w:val="000000" w:themeColor="text1"/>
                <w:sz w:val="24"/>
                <w14:textFill>
                  <w14:solidFill>
                    <w14:schemeClr w14:val="tx1"/>
                  </w14:solidFill>
                </w14:textFill>
              </w:rPr>
              <w:t>（水压0.2-0.3MPa）进行喷淋冲洗，冲洗时间15-20min，期间采用搅拌装置（搅拌转速60-80r/min）辅助清洗，确保去除蚯蚓体表残留泥沙、黏液及少量变质组织，清洗完成后通过滤网（孔径0.5mm）过滤，得到洁净蚯蚓原料，备用。</w:t>
            </w:r>
          </w:p>
          <w:p w14:paraId="47641838">
            <w:pPr>
              <w:numPr>
                <w:ilvl w:val="0"/>
                <w:numId w:val="0"/>
              </w:numPr>
              <w:spacing w:line="360" w:lineRule="auto"/>
              <w:ind w:firstLine="480" w:firstLineChars="200"/>
              <w:rPr>
                <w:rFonts w:hint="default"/>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喷淋清洗水使用纯水，用量约7500t/a，该工序产生清洗废水W1，清洗废水进入厂区污水处理站处理后进入泗县工业污水处理厂进一步处理。清洗废物S2回用于一期项目，不外排。</w:t>
            </w:r>
          </w:p>
          <w:p w14:paraId="19B87246">
            <w:pPr>
              <w:numPr>
                <w:ilvl w:val="0"/>
                <w:numId w:val="0"/>
              </w:numPr>
              <w:spacing w:line="360" w:lineRule="auto"/>
              <w:ind w:firstLine="480" w:firstLineChars="200"/>
              <w:rPr>
                <w:rFonts w:hint="default"/>
                <w:color w:val="000000" w:themeColor="text1"/>
                <w:sz w:val="24"/>
                <w:lang w:val="en-US" w:eastAsia="zh-CN"/>
                <w14:textFill>
                  <w14:solidFill>
                    <w14:schemeClr w14:val="tx1"/>
                  </w14:solidFill>
                </w14:textFill>
              </w:rPr>
            </w:pP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3</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水解</w:t>
            </w:r>
          </w:p>
          <w:p w14:paraId="6664048D">
            <w:pPr>
              <w:numPr>
                <w:ilvl w:val="0"/>
                <w:numId w:val="0"/>
              </w:numPr>
              <w:spacing w:line="360" w:lineRule="auto"/>
              <w:ind w:firstLine="480" w:firstLineChars="200"/>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将预处理后的洁净蚯蚓与纯净水按质量比1:1精准计量（采用电子计量秤，精度±0.1kg），同步投入不锈钢水解罐（容积</w:t>
            </w:r>
            <w:r>
              <w:rPr>
                <w:rFonts w:hint="eastAsia"/>
                <w:color w:val="000000" w:themeColor="text1"/>
                <w:sz w:val="24"/>
                <w:lang w:val="en-US" w:eastAsia="zh-CN"/>
                <w14:textFill>
                  <w14:solidFill>
                    <w14:schemeClr w14:val="tx1"/>
                  </w14:solidFill>
                </w14:textFill>
              </w:rPr>
              <w:t>3</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5</w:t>
            </w:r>
            <w:r>
              <w:rPr>
                <w:rFonts w:hint="eastAsia"/>
                <w:color w:val="000000" w:themeColor="text1"/>
                <w:sz w:val="24"/>
                <w:lang w:eastAsia="zh-CN"/>
                <w14:textFill>
                  <w14:solidFill>
                    <w14:schemeClr w14:val="tx1"/>
                  </w14:solidFill>
                </w14:textFill>
              </w:rPr>
              <w:t>m³，带夹套加热及搅拌功能）；关闭罐盖后，启动夹套加热系统，将罐内物料温度调整至设定值（常规</w:t>
            </w:r>
            <w:r>
              <w:rPr>
                <w:rFonts w:hint="eastAsia"/>
                <w:color w:val="000000" w:themeColor="text1"/>
                <w:sz w:val="24"/>
                <w:lang w:val="en-US" w:eastAsia="zh-CN"/>
                <w14:textFill>
                  <w14:solidFill>
                    <w14:schemeClr w14:val="tx1"/>
                  </w14:solidFill>
                </w14:textFill>
              </w:rPr>
              <w:t>60</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70</w:t>
            </w:r>
            <w:r>
              <w:rPr>
                <w:rFonts w:hint="eastAsia"/>
                <w:color w:val="000000" w:themeColor="text1"/>
                <w:sz w:val="24"/>
                <w:lang w:eastAsia="zh-CN"/>
                <w14:textFill>
                  <w14:solidFill>
                    <w14:schemeClr w14:val="tx1"/>
                  </w14:solidFill>
                </w14:textFill>
              </w:rPr>
              <w:t>℃，具体根据工艺要求微调），同时启动搅拌装置（转速40-50r/min），保持恒温搅拌水解12小时，期间通过罐顶压力表（量程0-0.1MPa）监测罐内压力，确保水解反应稳定进行，水解过程中蚯蚓体壁破裂，蛋白、氨基酸等可溶性成分充分溶解于纯净水中，形成混合水解液。</w:t>
            </w:r>
          </w:p>
          <w:p w14:paraId="51C6F541">
            <w:pPr>
              <w:numPr>
                <w:ilvl w:val="0"/>
                <w:numId w:val="0"/>
              </w:numPr>
              <w:spacing w:line="360" w:lineRule="auto"/>
              <w:ind w:firstLine="480" w:firstLineChars="200"/>
              <w:rPr>
                <w:rFonts w:hint="default"/>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水解工序纯水用量为500t/a，水解液进入离心工序。</w:t>
            </w:r>
          </w:p>
          <w:p w14:paraId="02F4FDC5">
            <w:pPr>
              <w:numPr>
                <w:ilvl w:val="0"/>
                <w:numId w:val="0"/>
              </w:numPr>
              <w:spacing w:line="360" w:lineRule="auto"/>
              <w:ind w:firstLine="480" w:firstLineChars="200"/>
              <w:rPr>
                <w:rFonts w:hint="default"/>
                <w:color w:val="000000" w:themeColor="text1"/>
                <w:sz w:val="24"/>
                <w:lang w:val="en-US" w:eastAsia="zh-CN"/>
                <w14:textFill>
                  <w14:solidFill>
                    <w14:schemeClr w14:val="tx1"/>
                  </w14:solidFill>
                </w14:textFill>
              </w:rPr>
            </w:pP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4</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低温离心</w:t>
            </w:r>
          </w:p>
          <w:p w14:paraId="58B05955">
            <w:pPr>
              <w:numPr>
                <w:ilvl w:val="0"/>
                <w:numId w:val="0"/>
              </w:numPr>
              <w:spacing w:line="360" w:lineRule="auto"/>
              <w:ind w:firstLine="480" w:firstLineChars="200"/>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水解反应完成后，将罐内混合水解液通过输送泵（流量1-2m³/h）送入低温离心机（转速3000-</w:t>
            </w:r>
            <w:r>
              <w:rPr>
                <w:rFonts w:hint="eastAsia"/>
                <w:color w:val="000000" w:themeColor="text1"/>
                <w:sz w:val="24"/>
                <w:lang w:val="en-US" w:eastAsia="zh-CN"/>
                <w14:textFill>
                  <w14:solidFill>
                    <w14:schemeClr w14:val="tx1"/>
                  </w14:solidFill>
                </w14:textFill>
              </w:rPr>
              <w:t>100</w:t>
            </w:r>
            <w:r>
              <w:rPr>
                <w:rFonts w:hint="eastAsia"/>
                <w:color w:val="000000" w:themeColor="text1"/>
                <w:sz w:val="24"/>
                <w:lang w:eastAsia="zh-CN"/>
                <w14:textFill>
                  <w14:solidFill>
                    <w14:schemeClr w14:val="tx1"/>
                  </w14:solidFill>
                </w14:textFill>
              </w:rPr>
              <w:t>00r/min，温度控制在0-5℃），进行固液分离；离心过程中，利用离心力将水解液中的不溶性杂质（未水解的蚯蚓体壁、结缔组织等）分离至离心机渣斗，得到澄清的上清液（即为目标中间产品），上清液经管道输送至暂存罐（不锈钢材质，容积</w:t>
            </w:r>
            <w:r>
              <w:rPr>
                <w:rFonts w:hint="eastAsia"/>
                <w:color w:val="000000" w:themeColor="text1"/>
                <w:sz w:val="24"/>
                <w:lang w:val="en-US" w:eastAsia="zh-CN"/>
                <w14:textFill>
                  <w14:solidFill>
                    <w14:schemeClr w14:val="tx1"/>
                  </w14:solidFill>
                </w14:textFill>
              </w:rPr>
              <w:t>3</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5</w:t>
            </w:r>
            <w:r>
              <w:rPr>
                <w:rFonts w:hint="eastAsia"/>
                <w:color w:val="000000" w:themeColor="text1"/>
                <w:sz w:val="24"/>
                <w:lang w:eastAsia="zh-CN"/>
                <w14:textFill>
                  <w14:solidFill>
                    <w14:schemeClr w14:val="tx1"/>
                  </w14:solidFill>
                </w14:textFill>
              </w:rPr>
              <w:t>m³），暂存备用；离心残渣</w:t>
            </w:r>
            <w:r>
              <w:rPr>
                <w:rFonts w:hint="eastAsia"/>
                <w:color w:val="000000" w:themeColor="text1"/>
                <w:sz w:val="24"/>
                <w:lang w:val="en-US" w:eastAsia="zh-CN"/>
                <w14:textFill>
                  <w14:solidFill>
                    <w14:schemeClr w14:val="tx1"/>
                  </w14:solidFill>
                </w14:textFill>
              </w:rPr>
              <w:t>S3</w:t>
            </w:r>
            <w:r>
              <w:rPr>
                <w:rFonts w:hint="eastAsia"/>
                <w:color w:val="000000" w:themeColor="text1"/>
                <w:sz w:val="24"/>
                <w:lang w:eastAsia="zh-CN"/>
                <w14:textFill>
                  <w14:solidFill>
                    <w14:schemeClr w14:val="tx1"/>
                  </w14:solidFill>
                </w14:textFill>
              </w:rPr>
              <w:t>定期从渣斗排出，收集至固废堆放区。</w:t>
            </w:r>
          </w:p>
          <w:p w14:paraId="0D5410DB">
            <w:pPr>
              <w:numPr>
                <w:ilvl w:val="0"/>
                <w:numId w:val="0"/>
              </w:numPr>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5</w:t>
            </w:r>
            <w:r>
              <w:rPr>
                <w:rFonts w:hint="eastAsia"/>
                <w:color w:val="000000" w:themeColor="text1"/>
                <w:sz w:val="24"/>
                <w:lang w:eastAsia="zh-CN"/>
                <w14:textFill>
                  <w14:solidFill>
                    <w14:schemeClr w14:val="tx1"/>
                  </w14:solidFill>
                </w14:textFill>
              </w:rPr>
              <w:t>）检</w:t>
            </w:r>
            <w:r>
              <w:rPr>
                <w:rFonts w:hint="eastAsia"/>
                <w:color w:val="000000" w:themeColor="text1"/>
                <w:sz w:val="24"/>
                <w:lang w:val="en-US" w:eastAsia="zh-CN"/>
                <w14:textFill>
                  <w14:solidFill>
                    <w14:schemeClr w14:val="tx1"/>
                  </w14:solidFill>
                </w14:textFill>
              </w:rPr>
              <w:t>测</w:t>
            </w:r>
          </w:p>
          <w:p w14:paraId="572AC89C">
            <w:pPr>
              <w:numPr>
                <w:ilvl w:val="0"/>
                <w:numId w:val="0"/>
              </w:numPr>
              <w:spacing w:line="360" w:lineRule="auto"/>
              <w:ind w:firstLine="480" w:firstLineChars="200"/>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eastAsia="zh-CN"/>
                <w14:textFill>
                  <w14:solidFill>
                    <w14:schemeClr w14:val="tx1"/>
                  </w14:solidFill>
                </w14:textFill>
              </w:rPr>
              <w:t>对</w:t>
            </w:r>
            <w:r>
              <w:rPr>
                <w:rFonts w:hint="eastAsia"/>
                <w:color w:val="000000" w:themeColor="text1"/>
                <w:sz w:val="24"/>
                <w:lang w:val="en-US" w:eastAsia="zh-CN"/>
                <w14:textFill>
                  <w14:solidFill>
                    <w14:schemeClr w14:val="tx1"/>
                  </w14:solidFill>
                </w14:textFill>
              </w:rPr>
              <w:t>离心后的</w:t>
            </w:r>
            <w:r>
              <w:rPr>
                <w:rFonts w:hint="eastAsia"/>
                <w:color w:val="000000" w:themeColor="text1"/>
                <w:sz w:val="24"/>
                <w:lang w:eastAsia="zh-CN"/>
                <w14:textFill>
                  <w14:solidFill>
                    <w14:schemeClr w14:val="tx1"/>
                  </w14:solidFill>
                </w14:textFill>
              </w:rPr>
              <w:t>上清液</w:t>
            </w:r>
            <w:r>
              <w:rPr>
                <w:rFonts w:hint="eastAsia"/>
                <w:color w:val="000000" w:themeColor="text1"/>
                <w:sz w:val="24"/>
                <w:lang w:val="en-US" w:eastAsia="zh-CN"/>
                <w14:textFill>
                  <w14:solidFill>
                    <w14:schemeClr w14:val="tx1"/>
                  </w14:solidFill>
                </w14:textFill>
              </w:rPr>
              <w:t>外观</w:t>
            </w:r>
            <w:r>
              <w:rPr>
                <w:rFonts w:hint="eastAsia"/>
                <w:color w:val="000000" w:themeColor="text1"/>
                <w:sz w:val="24"/>
                <w:lang w:eastAsia="zh-CN"/>
                <w14:textFill>
                  <w14:solidFill>
                    <w14:schemeClr w14:val="tx1"/>
                  </w14:solidFill>
                </w14:textFill>
              </w:rPr>
              <w:t>、有效活菌数（cfu）、游离氨基酸、有机质、pH值</w:t>
            </w:r>
            <w:r>
              <w:rPr>
                <w:rFonts w:hint="eastAsia"/>
                <w:color w:val="000000" w:themeColor="text1"/>
                <w:sz w:val="24"/>
                <w:lang w:val="en-US" w:eastAsia="zh-CN"/>
                <w14:textFill>
                  <w14:solidFill>
                    <w14:schemeClr w14:val="tx1"/>
                  </w14:solidFill>
                </w14:textFill>
              </w:rPr>
              <w:t>和重金属</w:t>
            </w:r>
            <w:r>
              <w:rPr>
                <w:rFonts w:hint="eastAsia"/>
                <w:color w:val="000000" w:themeColor="text1"/>
                <w:sz w:val="24"/>
                <w:lang w:eastAsia="zh-CN"/>
                <w14:textFill>
                  <w14:solidFill>
                    <w14:schemeClr w14:val="tx1"/>
                  </w14:solidFill>
                </w14:textFill>
              </w:rPr>
              <w:t>等指标进行检测。此工段将产生不合格产品，少量检测</w:t>
            </w:r>
            <w:r>
              <w:rPr>
                <w:rFonts w:hint="eastAsia"/>
                <w:color w:val="000000" w:themeColor="text1"/>
                <w:sz w:val="24"/>
                <w:lang w:val="en-US" w:eastAsia="zh-CN"/>
                <w14:textFill>
                  <w14:solidFill>
                    <w14:schemeClr w14:val="tx1"/>
                  </w14:solidFill>
                </w14:textFill>
              </w:rPr>
              <w:t>废物</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合格进入</w:t>
            </w:r>
            <w:r>
              <w:rPr>
                <w:rFonts w:hint="eastAsia"/>
                <w:color w:val="000000" w:themeColor="text1"/>
                <w:sz w:val="24"/>
                <w:lang w:val="en-US" w:eastAsia="zh-CN"/>
                <w14:textFill>
                  <w14:solidFill>
                    <w14:schemeClr w14:val="tx1"/>
                  </w14:solidFill>
                </w14:textFill>
              </w:rPr>
              <w:t>下一步，不合格返回上一步工序。</w:t>
            </w:r>
          </w:p>
          <w:p w14:paraId="0926419F">
            <w:pPr>
              <w:numPr>
                <w:ilvl w:val="0"/>
                <w:numId w:val="0"/>
              </w:num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6</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计量包装</w:t>
            </w: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经检验后合格的</w:t>
            </w:r>
            <w:r>
              <w:rPr>
                <w:color w:val="000000" w:themeColor="text1"/>
                <w:sz w:val="24"/>
                <w14:textFill>
                  <w14:solidFill>
                    <w14:schemeClr w14:val="tx1"/>
                  </w14:solidFill>
                </w14:textFill>
              </w:rPr>
              <w:t>成品</w:t>
            </w:r>
            <w:r>
              <w:rPr>
                <w:rFonts w:hint="eastAsia"/>
                <w:color w:val="000000" w:themeColor="text1"/>
                <w:sz w:val="24"/>
                <w:lang w:val="en-US" w:eastAsia="zh-CN"/>
                <w14:textFill>
                  <w14:solidFill>
                    <w14:schemeClr w14:val="tx1"/>
                  </w14:solidFill>
                </w14:textFill>
              </w:rPr>
              <w:t>采用自动包装机进行计量包装，</w:t>
            </w:r>
            <w:r>
              <w:rPr>
                <w:color w:val="000000" w:themeColor="text1"/>
                <w:sz w:val="24"/>
                <w14:textFill>
                  <w14:solidFill>
                    <w14:schemeClr w14:val="tx1"/>
                  </w14:solidFill>
                </w14:textFill>
              </w:rPr>
              <w:t>入库待售。</w:t>
            </w:r>
          </w:p>
          <w:p w14:paraId="5C4163EE">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产污环节</w:t>
            </w:r>
            <w:r>
              <w:rPr>
                <w:rFonts w:hint="eastAsia"/>
                <w:color w:val="000000" w:themeColor="text1"/>
                <w:sz w:val="24"/>
                <w14:textFill>
                  <w14:solidFill>
                    <w14:schemeClr w14:val="tx1"/>
                  </w14:solidFill>
                </w14:textFill>
              </w:rPr>
              <w:t>简述：</w:t>
            </w:r>
          </w:p>
          <w:p w14:paraId="75A5312F">
            <w:pPr>
              <w:numPr>
                <w:ilvl w:val="0"/>
                <w:numId w:val="0"/>
              </w:numPr>
              <w:spacing w:line="360" w:lineRule="auto"/>
              <w:ind w:firstLine="480" w:firstLineChars="200"/>
              <w:rPr>
                <w:color w:val="000000" w:themeColor="text1"/>
                <w:sz w:val="24"/>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（1）</w:t>
            </w:r>
            <w:r>
              <w:rPr>
                <w:rFonts w:hint="eastAsia"/>
                <w:color w:val="000000" w:themeColor="text1"/>
                <w:sz w:val="24"/>
                <w14:textFill>
                  <w14:solidFill>
                    <w14:schemeClr w14:val="tx1"/>
                  </w14:solidFill>
                </w14:textFill>
              </w:rPr>
              <w:t>废气：</w:t>
            </w:r>
            <w:r>
              <w:rPr>
                <w:rFonts w:hint="eastAsia" w:ascii="宋体" w:hAnsi="宋体" w:cs="宋体"/>
                <w:color w:val="000000" w:themeColor="text1"/>
                <w:sz w:val="24"/>
                <w:lang w:val="en-US" w:eastAsia="zh-CN"/>
                <w14:textFill>
                  <w14:solidFill>
                    <w14:schemeClr w14:val="tx1"/>
                  </w14:solidFill>
                </w14:textFill>
              </w:rPr>
              <w:t>水解</w:t>
            </w:r>
            <w:r>
              <w:rPr>
                <w:rFonts w:ascii="宋体" w:hAnsi="宋体" w:cs="宋体"/>
                <w:color w:val="000000" w:themeColor="text1"/>
                <w:sz w:val="24"/>
                <w14:textFill>
                  <w14:solidFill>
                    <w14:schemeClr w14:val="tx1"/>
                  </w14:solidFill>
                </w14:textFill>
              </w:rPr>
              <w:t>产生的恶臭气体</w:t>
            </w:r>
            <w:r>
              <w:rPr>
                <w:rFonts w:hint="eastAsia"/>
                <w:color w:val="000000" w:themeColor="text1"/>
                <w:sz w:val="24"/>
                <w14:textFill>
                  <w14:solidFill>
                    <w14:schemeClr w14:val="tx1"/>
                  </w14:solidFill>
                </w14:textFill>
              </w:rPr>
              <w:t>；</w:t>
            </w:r>
          </w:p>
          <w:p w14:paraId="2F2E9E3C">
            <w:pPr>
              <w:numPr>
                <w:ilvl w:val="0"/>
                <w:numId w:val="0"/>
              </w:numPr>
              <w:spacing w:line="360" w:lineRule="auto"/>
              <w:ind w:firstLine="480" w:firstLineChars="200"/>
              <w:rPr>
                <w:color w:val="000000" w:themeColor="text1"/>
                <w:sz w:val="24"/>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（2）</w:t>
            </w:r>
            <w:r>
              <w:rPr>
                <w:rFonts w:hint="eastAsia"/>
                <w:color w:val="000000" w:themeColor="text1"/>
                <w:sz w:val="24"/>
                <w14:textFill>
                  <w14:solidFill>
                    <w14:schemeClr w14:val="tx1"/>
                  </w14:solidFill>
                </w14:textFill>
              </w:rPr>
              <w:t>废水：</w:t>
            </w:r>
            <w:r>
              <w:rPr>
                <w:rFonts w:hint="eastAsia"/>
                <w:color w:val="000000" w:themeColor="text1"/>
                <w:sz w:val="24"/>
                <w:lang w:val="en-US" w:eastAsia="zh-CN"/>
                <w14:textFill>
                  <w14:solidFill>
                    <w14:schemeClr w14:val="tx1"/>
                  </w14:solidFill>
                </w14:textFill>
              </w:rPr>
              <w:t>生活污水、清洗废水、废气处理装置废水</w:t>
            </w:r>
            <w:r>
              <w:rPr>
                <w:rFonts w:hint="eastAsia"/>
                <w:color w:val="000000" w:themeColor="text1"/>
                <w:sz w:val="24"/>
                <w14:textFill>
                  <w14:solidFill>
                    <w14:schemeClr w14:val="tx1"/>
                  </w14:solidFill>
                </w14:textFill>
              </w:rPr>
              <w:t>；</w:t>
            </w:r>
          </w:p>
          <w:p w14:paraId="64420EED">
            <w:pPr>
              <w:numPr>
                <w:ilvl w:val="0"/>
                <w:numId w:val="0"/>
              </w:numPr>
              <w:spacing w:line="360" w:lineRule="auto"/>
              <w:ind w:firstLine="480" w:firstLineChars="200"/>
              <w:rPr>
                <w:color w:val="000000" w:themeColor="text1"/>
                <w:sz w:val="24"/>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（3）</w:t>
            </w:r>
            <w:r>
              <w:rPr>
                <w:rFonts w:hint="eastAsia"/>
                <w:color w:val="000000" w:themeColor="text1"/>
                <w:sz w:val="24"/>
                <w14:textFill>
                  <w14:solidFill>
                    <w14:schemeClr w14:val="tx1"/>
                  </w14:solidFill>
                </w14:textFill>
              </w:rPr>
              <w:t>噪声：设备运转噪声；</w:t>
            </w:r>
          </w:p>
          <w:p w14:paraId="4C9CAC6A">
            <w:pPr>
              <w:numPr>
                <w:ilvl w:val="0"/>
                <w:numId w:val="0"/>
              </w:numPr>
              <w:spacing w:line="360" w:lineRule="auto"/>
              <w:ind w:firstLine="480" w:firstLineChars="200"/>
              <w:rPr>
                <w:color w:val="000000" w:themeColor="text1"/>
                <w:sz w:val="24"/>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（4）</w:t>
            </w:r>
            <w:r>
              <w:rPr>
                <w:rFonts w:hint="eastAsia"/>
                <w:color w:val="000000" w:themeColor="text1"/>
                <w:sz w:val="24"/>
                <w14:textFill>
                  <w14:solidFill>
                    <w14:schemeClr w14:val="tx1"/>
                  </w14:solidFill>
                </w14:textFill>
              </w:rPr>
              <w:t>固废：</w:t>
            </w:r>
            <w:r>
              <w:rPr>
                <w:rFonts w:hint="eastAsia"/>
                <w:color w:val="000000" w:themeColor="text1"/>
                <w:sz w:val="24"/>
                <w:lang w:val="en-US" w:eastAsia="zh-CN"/>
                <w14:textFill>
                  <w14:solidFill>
                    <w14:schemeClr w14:val="tx1"/>
                  </w14:solidFill>
                </w14:textFill>
              </w:rPr>
              <w:t>生活垃圾、泥沙S1、清洗废物S2、蚯蚓残渣S3、实验检验废物S4</w:t>
            </w:r>
            <w:r>
              <w:rPr>
                <w:rFonts w:hint="eastAsia"/>
                <w:color w:val="000000" w:themeColor="text1"/>
                <w:sz w:val="24"/>
                <w:lang w:eastAsia="zh-CN"/>
                <w14:textFill>
                  <w14:solidFill>
                    <w14:schemeClr w14:val="tx1"/>
                  </w14:solidFill>
                </w14:textFill>
              </w:rPr>
              <w:t>、废纯水制备材料、</w:t>
            </w:r>
            <w:r>
              <w:rPr>
                <w:rFonts w:hint="eastAsia"/>
                <w:color w:val="000000" w:themeColor="text1"/>
                <w:sz w:val="24"/>
                <w:lang w:val="en-US" w:eastAsia="zh-CN"/>
                <w14:textFill>
                  <w14:solidFill>
                    <w14:schemeClr w14:val="tx1"/>
                  </w14:solidFill>
                </w14:textFill>
              </w:rPr>
              <w:t>污水处理站污泥</w:t>
            </w:r>
            <w:r>
              <w:rPr>
                <w:rFonts w:hint="eastAsia"/>
                <w:color w:val="000000" w:themeColor="text1"/>
                <w:sz w:val="24"/>
                <w14:textFill>
                  <w14:solidFill>
                    <w14:schemeClr w14:val="tx1"/>
                  </w14:solidFill>
                </w14:textFill>
              </w:rPr>
              <w:t>。</w:t>
            </w:r>
          </w:p>
          <w:p w14:paraId="078C7284">
            <w:pPr>
              <w:spacing w:line="240" w:lineRule="auto"/>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表2</w:t>
            </w:r>
            <w:r>
              <w:rPr>
                <w:rFonts w:hint="eastAsia"/>
                <w:b/>
                <w:bCs/>
                <w:color w:val="000000" w:themeColor="text1"/>
                <w:sz w:val="24"/>
                <w:lang w:val="en-US" w:eastAsia="zh-CN"/>
                <w14:textFill>
                  <w14:solidFill>
                    <w14:schemeClr w14:val="tx1"/>
                  </w14:solidFill>
                </w14:textFill>
              </w:rPr>
              <w:t>-7</w:t>
            </w:r>
            <w:r>
              <w:rPr>
                <w:b/>
                <w:bCs/>
                <w:color w:val="000000" w:themeColor="text1"/>
                <w:sz w:val="24"/>
                <w14:textFill>
                  <w14:solidFill>
                    <w14:schemeClr w14:val="tx1"/>
                  </w14:solidFill>
                </w14:textFill>
              </w:rPr>
              <w:t xml:space="preserve"> 产污环节一览表</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359"/>
              <w:gridCol w:w="1656"/>
              <w:gridCol w:w="1837"/>
              <w:gridCol w:w="1752"/>
            </w:tblGrid>
            <w:tr w14:paraId="59751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7" w:type="pct"/>
                  <w:vAlign w:val="center"/>
                </w:tcPr>
                <w:p w14:paraId="0020895F">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污染物类型</w:t>
                  </w:r>
                </w:p>
              </w:tc>
              <w:tc>
                <w:tcPr>
                  <w:tcW w:w="856" w:type="pct"/>
                  <w:vAlign w:val="center"/>
                </w:tcPr>
                <w:p w14:paraId="749144DE">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产污环节</w:t>
                  </w:r>
                </w:p>
              </w:tc>
              <w:tc>
                <w:tcPr>
                  <w:tcW w:w="1043" w:type="pct"/>
                  <w:vAlign w:val="center"/>
                </w:tcPr>
                <w:p w14:paraId="330AF65B">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污染因子</w:t>
                  </w:r>
                </w:p>
              </w:tc>
              <w:tc>
                <w:tcPr>
                  <w:tcW w:w="1157" w:type="pct"/>
                  <w:vAlign w:val="center"/>
                </w:tcPr>
                <w:p w14:paraId="01ED3C3D">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处理措施</w:t>
                  </w:r>
                </w:p>
              </w:tc>
              <w:tc>
                <w:tcPr>
                  <w:tcW w:w="1104" w:type="pct"/>
                  <w:vAlign w:val="center"/>
                </w:tcPr>
                <w:p w14:paraId="3110D976">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排放去向</w:t>
                  </w:r>
                </w:p>
              </w:tc>
            </w:tr>
            <w:tr w14:paraId="1096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7" w:type="pct"/>
                  <w:vAlign w:val="center"/>
                </w:tcPr>
                <w:p w14:paraId="3F518E8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废气</w:t>
                  </w:r>
                </w:p>
              </w:tc>
              <w:tc>
                <w:tcPr>
                  <w:tcW w:w="856" w:type="pct"/>
                  <w:vAlign w:val="center"/>
                </w:tcPr>
                <w:p w14:paraId="1BE92326">
                  <w:pPr>
                    <w:jc w:val="center"/>
                    <w:rPr>
                      <w:rFonts w:hint="eastAsia" w:eastAsia="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水解</w:t>
                  </w:r>
                </w:p>
              </w:tc>
              <w:tc>
                <w:tcPr>
                  <w:tcW w:w="1043" w:type="pct"/>
                  <w:vAlign w:val="center"/>
                </w:tcPr>
                <w:p w14:paraId="02366F72">
                  <w:pPr>
                    <w:jc w:val="center"/>
                    <w:rPr>
                      <w:rFonts w:hint="default" w:eastAsia="宋体"/>
                      <w:color w:val="000000" w:themeColor="text1"/>
                      <w:szCs w:val="21"/>
                      <w:lang w:val="en-US" w:eastAsia="zh-CN"/>
                      <w14:textFill>
                        <w14:solidFill>
                          <w14:schemeClr w14:val="tx1"/>
                        </w14:solidFill>
                      </w14:textFill>
                    </w:rPr>
                  </w:pPr>
                  <w:r>
                    <w:rPr>
                      <w:color w:val="000000" w:themeColor="text1"/>
                      <w:szCs w:val="21"/>
                      <w14:textFill>
                        <w14:solidFill>
                          <w14:schemeClr w14:val="tx1"/>
                        </w14:solidFill>
                      </w14:textFill>
                    </w:rPr>
                    <w:t>NH</w:t>
                  </w:r>
                  <w:r>
                    <w:rPr>
                      <w:color w:val="000000" w:themeColor="text1"/>
                      <w:szCs w:val="21"/>
                      <w:vertAlign w:val="subscript"/>
                      <w14:textFill>
                        <w14:solidFill>
                          <w14:schemeClr w14:val="tx1"/>
                        </w14:solidFill>
                      </w14:textFill>
                    </w:rPr>
                    <w:t>3</w:t>
                  </w:r>
                  <w:r>
                    <w:rPr>
                      <w:color w:val="000000" w:themeColor="text1"/>
                      <w:szCs w:val="21"/>
                      <w14:textFill>
                        <w14:solidFill>
                          <w14:schemeClr w14:val="tx1"/>
                        </w14:solidFill>
                      </w14:textFill>
                    </w:rPr>
                    <w:t>、H</w:t>
                  </w:r>
                  <w:r>
                    <w:rPr>
                      <w:color w:val="000000" w:themeColor="text1"/>
                      <w:szCs w:val="21"/>
                      <w:vertAlign w:val="subscript"/>
                      <w14:textFill>
                        <w14:solidFill>
                          <w14:schemeClr w14:val="tx1"/>
                        </w14:solidFill>
                      </w14:textFill>
                    </w:rPr>
                    <w:t>2</w:t>
                  </w:r>
                  <w:r>
                    <w:rPr>
                      <w:color w:val="000000" w:themeColor="text1"/>
                      <w:szCs w:val="21"/>
                      <w14:textFill>
                        <w14:solidFill>
                          <w14:schemeClr w14:val="tx1"/>
                        </w14:solidFill>
                      </w14:textFill>
                    </w:rPr>
                    <w:t>S</w:t>
                  </w:r>
                  <w:r>
                    <w:rPr>
                      <w:rFonts w:hint="eastAsia"/>
                      <w:lang w:eastAsia="zh-CN"/>
                    </w:rPr>
                    <w:t>、</w:t>
                  </w:r>
                  <w:r>
                    <w:rPr>
                      <w:rFonts w:hint="eastAsia"/>
                      <w:lang w:val="en-US" w:eastAsia="zh-CN"/>
                    </w:rPr>
                    <w:t>臭气浓度</w:t>
                  </w:r>
                </w:p>
              </w:tc>
              <w:tc>
                <w:tcPr>
                  <w:tcW w:w="1157" w:type="pct"/>
                  <w:vAlign w:val="center"/>
                </w:tcPr>
                <w:p w14:paraId="4FF03573">
                  <w:pPr>
                    <w:jc w:val="center"/>
                    <w:rPr>
                      <w:rFonts w:hint="default" w:eastAsia="宋体"/>
                      <w:color w:val="000000" w:themeColor="text1"/>
                      <w:szCs w:val="21"/>
                      <w:lang w:val="en-US" w:eastAsia="zh-CN"/>
                      <w14:textFill>
                        <w14:solidFill>
                          <w14:schemeClr w14:val="tx1"/>
                        </w14:solidFill>
                      </w14:textFill>
                    </w:rPr>
                  </w:pPr>
                  <w:r>
                    <w:rPr>
                      <w:rFonts w:hint="default" w:ascii="Times New Roman" w:hAnsi="Times New Roman" w:cs="Times New Roman"/>
                      <w:sz w:val="21"/>
                      <w:szCs w:val="21"/>
                      <w:lang w:val="en-US" w:eastAsia="zh-CN"/>
                    </w:rPr>
                    <w:t>生产车间密闭，</w:t>
                  </w:r>
                  <w:r>
                    <w:rPr>
                      <w:rFonts w:hint="eastAsia" w:cs="Times New Roman"/>
                      <w:sz w:val="21"/>
                      <w:szCs w:val="21"/>
                      <w:lang w:val="en-US" w:eastAsia="zh-CN"/>
                    </w:rPr>
                    <w:t>水解</w:t>
                  </w:r>
                  <w:r>
                    <w:rPr>
                      <w:rFonts w:hint="default" w:ascii="Times New Roman" w:hAnsi="Times New Roman" w:cs="Times New Roman"/>
                      <w:sz w:val="21"/>
                      <w:szCs w:val="21"/>
                      <w:lang w:val="en-US" w:eastAsia="zh-CN"/>
                    </w:rPr>
                    <w:t>工序恶臭</w:t>
                  </w:r>
                  <w:r>
                    <w:rPr>
                      <w:rFonts w:hint="eastAsia" w:cs="Times New Roman"/>
                      <w:sz w:val="21"/>
                      <w:szCs w:val="21"/>
                      <w:lang w:val="en-US" w:eastAsia="zh-CN"/>
                    </w:rPr>
                    <w:t>密闭</w:t>
                  </w:r>
                  <w:r>
                    <w:rPr>
                      <w:rFonts w:hint="default" w:ascii="Times New Roman" w:hAnsi="Times New Roman" w:cs="Times New Roman"/>
                      <w:sz w:val="21"/>
                      <w:szCs w:val="21"/>
                      <w:lang w:val="en-US" w:eastAsia="zh-CN"/>
                    </w:rPr>
                    <w:t>收集后经一套生物除臭塔处理</w:t>
                  </w:r>
                </w:p>
              </w:tc>
              <w:tc>
                <w:tcPr>
                  <w:tcW w:w="1104" w:type="pct"/>
                  <w:vAlign w:val="center"/>
                </w:tcPr>
                <w:p w14:paraId="06EE78BC">
                  <w:pPr>
                    <w:jc w:val="center"/>
                    <w:rPr>
                      <w:rFonts w:hint="default" w:eastAsia="宋体"/>
                      <w:color w:val="000000" w:themeColor="text1"/>
                      <w:szCs w:val="21"/>
                      <w:lang w:val="en-US" w:eastAsia="zh-CN"/>
                      <w14:textFill>
                        <w14:solidFill>
                          <w14:schemeClr w14:val="tx1"/>
                        </w14:solidFill>
                      </w14:textFill>
                    </w:rPr>
                  </w:pPr>
                  <w:r>
                    <w:rPr>
                      <w:rFonts w:hint="default" w:ascii="Times New Roman" w:hAnsi="Times New Roman" w:cs="Times New Roman"/>
                      <w:sz w:val="21"/>
                      <w:szCs w:val="21"/>
                      <w:lang w:val="en-US" w:eastAsia="zh-CN"/>
                    </w:rPr>
                    <w:t>15m高排气筒（DA001）</w:t>
                  </w:r>
                </w:p>
              </w:tc>
            </w:tr>
            <w:tr w14:paraId="0609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7" w:type="pct"/>
                  <w:vMerge w:val="restart"/>
                  <w:vAlign w:val="center"/>
                </w:tcPr>
                <w:p w14:paraId="3244D16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废水</w:t>
                  </w:r>
                </w:p>
              </w:tc>
              <w:tc>
                <w:tcPr>
                  <w:tcW w:w="856" w:type="pct"/>
                  <w:vAlign w:val="center"/>
                </w:tcPr>
                <w:p w14:paraId="44A46A30">
                  <w:pPr>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清洗废水</w:t>
                  </w:r>
                </w:p>
              </w:tc>
              <w:tc>
                <w:tcPr>
                  <w:tcW w:w="1043" w:type="pct"/>
                  <w:vAlign w:val="center"/>
                </w:tcPr>
                <w:p w14:paraId="2BE0BD38">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COD、氨氮等</w:t>
                  </w:r>
                </w:p>
              </w:tc>
              <w:tc>
                <w:tcPr>
                  <w:tcW w:w="1157" w:type="pct"/>
                  <w:vAlign w:val="center"/>
                </w:tcPr>
                <w:p w14:paraId="4D8409B0">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经厂区污水处理设施处理</w:t>
                  </w:r>
                </w:p>
              </w:tc>
              <w:tc>
                <w:tcPr>
                  <w:tcW w:w="1104" w:type="pct"/>
                  <w:vMerge w:val="restart"/>
                  <w:vAlign w:val="center"/>
                </w:tcPr>
                <w:p w14:paraId="56BB5883">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经厂区</w:t>
                  </w:r>
                  <w:r>
                    <w:rPr>
                      <w:rFonts w:hint="default" w:ascii="Times New Roman" w:hAnsi="Times New Roman" w:cs="Times New Roman"/>
                      <w:spacing w:val="0"/>
                      <w:sz w:val="21"/>
                      <w:szCs w:val="21"/>
                      <w:lang w:val="en-US" w:eastAsia="zh-CN"/>
                    </w:rPr>
                    <w:t>废水排放口（DW001）</w:t>
                  </w:r>
                  <w:r>
                    <w:rPr>
                      <w:rFonts w:hint="eastAsia"/>
                      <w:color w:val="000000" w:themeColor="text1"/>
                      <w:szCs w:val="21"/>
                      <w:lang w:val="en-US" w:eastAsia="zh-CN"/>
                      <w14:textFill>
                        <w14:solidFill>
                          <w14:schemeClr w14:val="tx1"/>
                        </w14:solidFill>
                      </w14:textFill>
                    </w:rPr>
                    <w:t>排放进入泗县工业污水处理厂处理</w:t>
                  </w:r>
                </w:p>
              </w:tc>
            </w:tr>
            <w:tr w14:paraId="546D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7" w:type="pct"/>
                  <w:vMerge w:val="continue"/>
                  <w:vAlign w:val="center"/>
                </w:tcPr>
                <w:p w14:paraId="7099D14A">
                  <w:pPr>
                    <w:jc w:val="center"/>
                    <w:rPr>
                      <w:color w:val="000000" w:themeColor="text1"/>
                      <w:szCs w:val="21"/>
                      <w14:textFill>
                        <w14:solidFill>
                          <w14:schemeClr w14:val="tx1"/>
                        </w14:solidFill>
                      </w14:textFill>
                    </w:rPr>
                  </w:pPr>
                </w:p>
              </w:tc>
              <w:tc>
                <w:tcPr>
                  <w:tcW w:w="856" w:type="pct"/>
                  <w:vAlign w:val="center"/>
                </w:tcPr>
                <w:p w14:paraId="37CAD77D">
                  <w:pPr>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生活污水</w:t>
                  </w:r>
                </w:p>
              </w:tc>
              <w:tc>
                <w:tcPr>
                  <w:tcW w:w="1043" w:type="pct"/>
                  <w:vAlign w:val="center"/>
                </w:tcPr>
                <w:p w14:paraId="0E881D28">
                  <w:pPr>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COD、氨氮等</w:t>
                  </w:r>
                </w:p>
              </w:tc>
              <w:tc>
                <w:tcPr>
                  <w:tcW w:w="1157" w:type="pct"/>
                  <w:vAlign w:val="center"/>
                </w:tcPr>
                <w:p w14:paraId="3E265582">
                  <w:pPr>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化粪池处理</w:t>
                  </w:r>
                </w:p>
              </w:tc>
              <w:tc>
                <w:tcPr>
                  <w:tcW w:w="1104" w:type="pct"/>
                  <w:vMerge w:val="continue"/>
                  <w:vAlign w:val="center"/>
                </w:tcPr>
                <w:p w14:paraId="4F0D470C">
                  <w:pPr>
                    <w:jc w:val="center"/>
                    <w:rPr>
                      <w:rFonts w:hint="eastAsia"/>
                      <w:color w:val="000000" w:themeColor="text1"/>
                      <w:szCs w:val="21"/>
                      <w:lang w:val="en-US" w:eastAsia="zh-CN"/>
                      <w14:textFill>
                        <w14:solidFill>
                          <w14:schemeClr w14:val="tx1"/>
                        </w14:solidFill>
                      </w14:textFill>
                    </w:rPr>
                  </w:pPr>
                </w:p>
              </w:tc>
            </w:tr>
            <w:tr w14:paraId="1045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7" w:type="pct"/>
                  <w:vMerge w:val="continue"/>
                  <w:vAlign w:val="center"/>
                </w:tcPr>
                <w:p w14:paraId="48866A34">
                  <w:pPr>
                    <w:jc w:val="center"/>
                    <w:rPr>
                      <w:color w:val="000000" w:themeColor="text1"/>
                      <w:szCs w:val="21"/>
                      <w14:textFill>
                        <w14:solidFill>
                          <w14:schemeClr w14:val="tx1"/>
                        </w14:solidFill>
                      </w14:textFill>
                    </w:rPr>
                  </w:pPr>
                </w:p>
              </w:tc>
              <w:tc>
                <w:tcPr>
                  <w:tcW w:w="856" w:type="pct"/>
                  <w:vAlign w:val="center"/>
                </w:tcPr>
                <w:p w14:paraId="7535DB85">
                  <w:pPr>
                    <w:jc w:val="center"/>
                    <w:rPr>
                      <w:rFonts w:hint="eastAsia"/>
                      <w:color w:val="000000" w:themeColor="text1"/>
                      <w:szCs w:val="21"/>
                      <w:lang w:val="en-US" w:eastAsia="zh-CN"/>
                      <w14:textFill>
                        <w14:solidFill>
                          <w14:schemeClr w14:val="tx1"/>
                        </w14:solidFill>
                      </w14:textFill>
                    </w:rPr>
                  </w:pPr>
                  <w:r>
                    <w:rPr>
                      <w:rFonts w:hint="default" w:ascii="Times New Roman" w:hAnsi="Times New Roman" w:eastAsia="宋体" w:cs="Times New Roman"/>
                      <w:spacing w:val="0"/>
                      <w:sz w:val="21"/>
                      <w:szCs w:val="21"/>
                      <w:lang w:val="en-US" w:eastAsia="zh-CN"/>
                    </w:rPr>
                    <w:t>纯水制备浓水</w:t>
                  </w:r>
                </w:p>
              </w:tc>
              <w:tc>
                <w:tcPr>
                  <w:tcW w:w="1043" w:type="pct"/>
                  <w:vAlign w:val="center"/>
                </w:tcPr>
                <w:p w14:paraId="6C8F745E">
                  <w:pPr>
                    <w:jc w:val="center"/>
                    <w:rPr>
                      <w:rFonts w:hint="eastAsia"/>
                      <w:color w:val="000000" w:themeColor="text1"/>
                      <w:szCs w:val="21"/>
                      <w:lang w:val="en-US" w:eastAsia="zh-CN"/>
                      <w14:textFill>
                        <w14:solidFill>
                          <w14:schemeClr w14:val="tx1"/>
                        </w14:solidFill>
                      </w14:textFill>
                    </w:rPr>
                  </w:pPr>
                  <w:r>
                    <w:rPr>
                      <w:rFonts w:hint="default" w:ascii="Times New Roman" w:hAnsi="Times New Roman" w:cs="Times New Roman"/>
                      <w:spacing w:val="0"/>
                      <w:sz w:val="21"/>
                      <w:szCs w:val="21"/>
                      <w:lang w:val="en-US" w:eastAsia="zh-CN"/>
                    </w:rPr>
                    <w:t>COD、</w:t>
                  </w:r>
                  <w:r>
                    <w:rPr>
                      <w:rFonts w:hint="eastAsia" w:ascii="Times New Roman" w:hAnsi="Times New Roman" w:cs="Times New Roman"/>
                      <w:spacing w:val="0"/>
                      <w:sz w:val="21"/>
                      <w:szCs w:val="21"/>
                      <w:lang w:val="en-US" w:eastAsia="zh-CN"/>
                    </w:rPr>
                    <w:t>全盐量</w:t>
                  </w:r>
                  <w:r>
                    <w:rPr>
                      <w:rFonts w:hint="default" w:ascii="Times New Roman" w:hAnsi="Times New Roman" w:cs="Times New Roman"/>
                      <w:spacing w:val="0"/>
                      <w:sz w:val="21"/>
                      <w:szCs w:val="21"/>
                      <w:lang w:val="en-US" w:eastAsia="zh-CN"/>
                    </w:rPr>
                    <w:t>等</w:t>
                  </w:r>
                </w:p>
              </w:tc>
              <w:tc>
                <w:tcPr>
                  <w:tcW w:w="1157" w:type="pct"/>
                  <w:vAlign w:val="center"/>
                </w:tcPr>
                <w:p w14:paraId="41F6ADF5">
                  <w:pPr>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c>
                <w:tcPr>
                  <w:tcW w:w="1104" w:type="pct"/>
                  <w:vMerge w:val="continue"/>
                  <w:vAlign w:val="center"/>
                </w:tcPr>
                <w:p w14:paraId="26CEADF3">
                  <w:pPr>
                    <w:jc w:val="center"/>
                    <w:rPr>
                      <w:rFonts w:hint="eastAsia"/>
                      <w:color w:val="000000" w:themeColor="text1"/>
                      <w:szCs w:val="21"/>
                      <w:lang w:val="en-US" w:eastAsia="zh-CN"/>
                      <w14:textFill>
                        <w14:solidFill>
                          <w14:schemeClr w14:val="tx1"/>
                        </w14:solidFill>
                      </w14:textFill>
                    </w:rPr>
                  </w:pPr>
                </w:p>
              </w:tc>
            </w:tr>
            <w:tr w14:paraId="180E0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7" w:type="pct"/>
                  <w:vAlign w:val="center"/>
                </w:tcPr>
                <w:p w14:paraId="5F0165F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噪声</w:t>
                  </w:r>
                </w:p>
              </w:tc>
              <w:tc>
                <w:tcPr>
                  <w:tcW w:w="856" w:type="pct"/>
                  <w:vAlign w:val="center"/>
                </w:tcPr>
                <w:p w14:paraId="31EBC5C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设备运转</w:t>
                  </w:r>
                </w:p>
              </w:tc>
              <w:tc>
                <w:tcPr>
                  <w:tcW w:w="1043" w:type="pct"/>
                  <w:vAlign w:val="center"/>
                </w:tcPr>
                <w:p w14:paraId="5AC9323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1157" w:type="pct"/>
                  <w:vAlign w:val="center"/>
                </w:tcPr>
                <w:p w14:paraId="1EB6819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选用低噪声设备，并安装减振垫</w:t>
                  </w:r>
                </w:p>
              </w:tc>
              <w:tc>
                <w:tcPr>
                  <w:tcW w:w="1104" w:type="pct"/>
                  <w:vAlign w:val="center"/>
                </w:tcPr>
                <w:p w14:paraId="758BAB9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r w14:paraId="1D1C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7" w:type="pct"/>
                  <w:vMerge w:val="restart"/>
                  <w:vAlign w:val="center"/>
                </w:tcPr>
                <w:p w14:paraId="0506F8B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固废</w:t>
                  </w:r>
                </w:p>
              </w:tc>
              <w:tc>
                <w:tcPr>
                  <w:tcW w:w="856" w:type="pct"/>
                  <w:vAlign w:val="center"/>
                </w:tcPr>
                <w:p w14:paraId="037C9149">
                  <w:pPr>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生活</w:t>
                  </w:r>
                </w:p>
              </w:tc>
              <w:tc>
                <w:tcPr>
                  <w:tcW w:w="1043" w:type="pct"/>
                  <w:vAlign w:val="center"/>
                </w:tcPr>
                <w:p w14:paraId="09269331">
                  <w:pPr>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生活垃圾</w:t>
                  </w:r>
                </w:p>
              </w:tc>
              <w:tc>
                <w:tcPr>
                  <w:tcW w:w="1157" w:type="pct"/>
                  <w:vAlign w:val="center"/>
                </w:tcPr>
                <w:p w14:paraId="2949AC5E">
                  <w:pPr>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垃圾桶收集</w:t>
                  </w:r>
                </w:p>
              </w:tc>
              <w:tc>
                <w:tcPr>
                  <w:tcW w:w="1104" w:type="pct"/>
                  <w:vAlign w:val="center"/>
                </w:tcPr>
                <w:p w14:paraId="7DA4A333">
                  <w:pPr>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环卫部门处理</w:t>
                  </w:r>
                </w:p>
              </w:tc>
            </w:tr>
            <w:tr w14:paraId="4462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7" w:type="pct"/>
                  <w:vMerge w:val="continue"/>
                  <w:vAlign w:val="center"/>
                </w:tcPr>
                <w:p w14:paraId="7252E80F">
                  <w:pPr>
                    <w:jc w:val="center"/>
                    <w:rPr>
                      <w:color w:val="000000" w:themeColor="text1"/>
                      <w:szCs w:val="21"/>
                      <w14:textFill>
                        <w14:solidFill>
                          <w14:schemeClr w14:val="tx1"/>
                        </w14:solidFill>
                      </w14:textFill>
                    </w:rPr>
                  </w:pPr>
                </w:p>
              </w:tc>
              <w:tc>
                <w:tcPr>
                  <w:tcW w:w="856" w:type="pct"/>
                  <w:vMerge w:val="restart"/>
                  <w:vAlign w:val="center"/>
                </w:tcPr>
                <w:p w14:paraId="6BFC1351">
                  <w:pPr>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生产</w:t>
                  </w:r>
                </w:p>
              </w:tc>
              <w:tc>
                <w:tcPr>
                  <w:tcW w:w="1043" w:type="pct"/>
                  <w:vAlign w:val="center"/>
                </w:tcPr>
                <w:p w14:paraId="5E90E6F9">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泥沙S1</w:t>
                  </w:r>
                </w:p>
              </w:tc>
              <w:tc>
                <w:tcPr>
                  <w:tcW w:w="1157" w:type="pct"/>
                  <w:vAlign w:val="center"/>
                </w:tcPr>
                <w:p w14:paraId="53E72E90">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暂存在一般固废暂存间</w:t>
                  </w:r>
                </w:p>
              </w:tc>
              <w:tc>
                <w:tcPr>
                  <w:tcW w:w="1104" w:type="pct"/>
                  <w:vAlign w:val="center"/>
                </w:tcPr>
                <w:p w14:paraId="35D9AA52">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用于一期蚯蚓养殖项目</w:t>
                  </w:r>
                </w:p>
              </w:tc>
            </w:tr>
            <w:tr w14:paraId="048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7" w:type="pct"/>
                  <w:vMerge w:val="continue"/>
                  <w:vAlign w:val="center"/>
                </w:tcPr>
                <w:p w14:paraId="4182A340">
                  <w:pPr>
                    <w:jc w:val="center"/>
                    <w:rPr>
                      <w:color w:val="000000" w:themeColor="text1"/>
                      <w:szCs w:val="21"/>
                      <w14:textFill>
                        <w14:solidFill>
                          <w14:schemeClr w14:val="tx1"/>
                        </w14:solidFill>
                      </w14:textFill>
                    </w:rPr>
                  </w:pPr>
                </w:p>
              </w:tc>
              <w:tc>
                <w:tcPr>
                  <w:tcW w:w="856" w:type="pct"/>
                  <w:vMerge w:val="continue"/>
                  <w:vAlign w:val="center"/>
                </w:tcPr>
                <w:p w14:paraId="44B3173E">
                  <w:pPr>
                    <w:jc w:val="center"/>
                    <w:rPr>
                      <w:color w:val="000000" w:themeColor="text1"/>
                      <w:szCs w:val="21"/>
                      <w14:textFill>
                        <w14:solidFill>
                          <w14:schemeClr w14:val="tx1"/>
                        </w14:solidFill>
                      </w14:textFill>
                    </w:rPr>
                  </w:pPr>
                </w:p>
              </w:tc>
              <w:tc>
                <w:tcPr>
                  <w:tcW w:w="1043" w:type="pct"/>
                  <w:vAlign w:val="center"/>
                </w:tcPr>
                <w:p w14:paraId="074A0BA7">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清洗废物S2</w:t>
                  </w:r>
                </w:p>
              </w:tc>
              <w:tc>
                <w:tcPr>
                  <w:tcW w:w="1157" w:type="pct"/>
                  <w:vAlign w:val="center"/>
                </w:tcPr>
                <w:p w14:paraId="7F2AD07E">
                  <w:pPr>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暂存在一般固废暂存间</w:t>
                  </w:r>
                </w:p>
              </w:tc>
              <w:tc>
                <w:tcPr>
                  <w:tcW w:w="1104" w:type="pct"/>
                  <w:vAlign w:val="center"/>
                </w:tcPr>
                <w:p w14:paraId="151ABA78">
                  <w:pPr>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用于一期蚯蚓养殖项目</w:t>
                  </w:r>
                </w:p>
              </w:tc>
            </w:tr>
            <w:tr w14:paraId="45E6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7" w:type="pct"/>
                  <w:vMerge w:val="continue"/>
                  <w:vAlign w:val="center"/>
                </w:tcPr>
                <w:p w14:paraId="408B6C7E">
                  <w:pPr>
                    <w:jc w:val="center"/>
                    <w:rPr>
                      <w:color w:val="000000" w:themeColor="text1"/>
                      <w:szCs w:val="21"/>
                      <w14:textFill>
                        <w14:solidFill>
                          <w14:schemeClr w14:val="tx1"/>
                        </w14:solidFill>
                      </w14:textFill>
                    </w:rPr>
                  </w:pPr>
                </w:p>
              </w:tc>
              <w:tc>
                <w:tcPr>
                  <w:tcW w:w="856" w:type="pct"/>
                  <w:vMerge w:val="continue"/>
                  <w:vAlign w:val="center"/>
                </w:tcPr>
                <w:p w14:paraId="6B98275E">
                  <w:pPr>
                    <w:jc w:val="center"/>
                    <w:rPr>
                      <w:color w:val="000000" w:themeColor="text1"/>
                      <w:szCs w:val="21"/>
                      <w14:textFill>
                        <w14:solidFill>
                          <w14:schemeClr w14:val="tx1"/>
                        </w14:solidFill>
                      </w14:textFill>
                    </w:rPr>
                  </w:pPr>
                </w:p>
              </w:tc>
              <w:tc>
                <w:tcPr>
                  <w:tcW w:w="1043" w:type="pct"/>
                  <w:vAlign w:val="center"/>
                </w:tcPr>
                <w:p w14:paraId="3FFC2A3D">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蚯蚓残渣S3</w:t>
                  </w:r>
                </w:p>
              </w:tc>
              <w:tc>
                <w:tcPr>
                  <w:tcW w:w="1157" w:type="pct"/>
                  <w:vAlign w:val="center"/>
                </w:tcPr>
                <w:p w14:paraId="733CA710">
                  <w:pPr>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暂存在一般固废暂存间</w:t>
                  </w:r>
                </w:p>
              </w:tc>
              <w:tc>
                <w:tcPr>
                  <w:tcW w:w="1104" w:type="pct"/>
                  <w:vAlign w:val="center"/>
                </w:tcPr>
                <w:p w14:paraId="787EDDDB">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用于一期蚯蚓养殖项目</w:t>
                  </w:r>
                </w:p>
              </w:tc>
            </w:tr>
            <w:tr w14:paraId="282C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7" w:type="pct"/>
                  <w:vMerge w:val="continue"/>
                  <w:vAlign w:val="center"/>
                </w:tcPr>
                <w:p w14:paraId="70C875EE">
                  <w:pPr>
                    <w:jc w:val="center"/>
                    <w:rPr>
                      <w:color w:val="000000" w:themeColor="text1"/>
                      <w:szCs w:val="21"/>
                      <w14:textFill>
                        <w14:solidFill>
                          <w14:schemeClr w14:val="tx1"/>
                        </w14:solidFill>
                      </w14:textFill>
                    </w:rPr>
                  </w:pPr>
                </w:p>
              </w:tc>
              <w:tc>
                <w:tcPr>
                  <w:tcW w:w="856" w:type="pct"/>
                  <w:vAlign w:val="center"/>
                </w:tcPr>
                <w:p w14:paraId="65DCC359">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污水处理</w:t>
                  </w:r>
                </w:p>
              </w:tc>
              <w:tc>
                <w:tcPr>
                  <w:tcW w:w="1043" w:type="pct"/>
                  <w:vAlign w:val="center"/>
                </w:tcPr>
                <w:p w14:paraId="29526C61">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污泥</w:t>
                  </w:r>
                </w:p>
              </w:tc>
              <w:tc>
                <w:tcPr>
                  <w:tcW w:w="1157" w:type="pct"/>
                  <w:vAlign w:val="center"/>
                </w:tcPr>
                <w:p w14:paraId="3CC4668E">
                  <w:pPr>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暂存在一般固废暂存间</w:t>
                  </w:r>
                </w:p>
              </w:tc>
              <w:tc>
                <w:tcPr>
                  <w:tcW w:w="1104" w:type="pct"/>
                  <w:vAlign w:val="center"/>
                </w:tcPr>
                <w:p w14:paraId="2D13F746">
                  <w:pPr>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委托一般固废处置单位处理</w:t>
                  </w:r>
                </w:p>
              </w:tc>
            </w:tr>
            <w:tr w14:paraId="4090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7" w:type="pct"/>
                  <w:vMerge w:val="continue"/>
                  <w:vAlign w:val="center"/>
                </w:tcPr>
                <w:p w14:paraId="2498ADD0">
                  <w:pPr>
                    <w:jc w:val="center"/>
                    <w:rPr>
                      <w:color w:val="000000" w:themeColor="text1"/>
                      <w:szCs w:val="21"/>
                      <w14:textFill>
                        <w14:solidFill>
                          <w14:schemeClr w14:val="tx1"/>
                        </w14:solidFill>
                      </w14:textFill>
                    </w:rPr>
                  </w:pPr>
                </w:p>
              </w:tc>
              <w:tc>
                <w:tcPr>
                  <w:tcW w:w="856" w:type="pct"/>
                  <w:vAlign w:val="center"/>
                </w:tcPr>
                <w:p w14:paraId="30B7E55B">
                  <w:pPr>
                    <w:jc w:val="center"/>
                    <w:rPr>
                      <w:color w:val="000000" w:themeColor="text1"/>
                      <w:szCs w:val="21"/>
                      <w14:textFill>
                        <w14:solidFill>
                          <w14:schemeClr w14:val="tx1"/>
                        </w14:solidFill>
                      </w14:textFill>
                    </w:rPr>
                  </w:pPr>
                  <w:r>
                    <w:rPr>
                      <w:rFonts w:hint="default" w:ascii="Times New Roman" w:hAnsi="Times New Roman" w:cs="Times New Roman"/>
                      <w:sz w:val="21"/>
                      <w:szCs w:val="21"/>
                      <w:lang w:val="en-US" w:eastAsia="zh-CN"/>
                    </w:rPr>
                    <w:t>纯水制备</w:t>
                  </w:r>
                </w:p>
              </w:tc>
              <w:tc>
                <w:tcPr>
                  <w:tcW w:w="1043" w:type="pct"/>
                  <w:vAlign w:val="center"/>
                </w:tcPr>
                <w:p w14:paraId="3FB478AF">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spacing w:val="0"/>
                      <w:sz w:val="21"/>
                      <w:szCs w:val="21"/>
                      <w:lang w:val="en-US" w:eastAsia="zh-CN"/>
                    </w:rPr>
                    <w:t>废纯水制备材料</w:t>
                  </w:r>
                </w:p>
              </w:tc>
              <w:tc>
                <w:tcPr>
                  <w:tcW w:w="1157" w:type="pct"/>
                  <w:vAlign w:val="center"/>
                </w:tcPr>
                <w:p w14:paraId="0809FD0C">
                  <w:pPr>
                    <w:jc w:val="center"/>
                    <w:rPr>
                      <w:rFonts w:hint="eastAsia"/>
                      <w:color w:val="000000" w:themeColor="text1"/>
                      <w:szCs w:val="21"/>
                      <w:lang w:val="en-US" w:eastAsia="zh-CN"/>
                      <w14:textFill>
                        <w14:solidFill>
                          <w14:schemeClr w14:val="tx1"/>
                        </w14:solidFill>
                      </w14:textFill>
                    </w:rPr>
                  </w:pPr>
                  <w:r>
                    <w:rPr>
                      <w:rFonts w:hint="default" w:ascii="Times New Roman" w:hAnsi="Times New Roman" w:cs="Times New Roman"/>
                      <w:sz w:val="21"/>
                      <w:szCs w:val="21"/>
                    </w:rPr>
                    <w:t>集中收集后放置在一般固废库</w:t>
                  </w:r>
                </w:p>
              </w:tc>
              <w:tc>
                <w:tcPr>
                  <w:tcW w:w="1104" w:type="pct"/>
                  <w:vAlign w:val="center"/>
                </w:tcPr>
                <w:p w14:paraId="7C3351EB">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交由一般固废处置单位处理</w:t>
                  </w:r>
                </w:p>
              </w:tc>
            </w:tr>
            <w:tr w14:paraId="4011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7" w:type="pct"/>
                  <w:vMerge w:val="continue"/>
                  <w:vAlign w:val="center"/>
                </w:tcPr>
                <w:p w14:paraId="0744643A">
                  <w:pPr>
                    <w:jc w:val="center"/>
                    <w:rPr>
                      <w:color w:val="000000" w:themeColor="text1"/>
                      <w:szCs w:val="21"/>
                      <w14:textFill>
                        <w14:solidFill>
                          <w14:schemeClr w14:val="tx1"/>
                        </w14:solidFill>
                      </w14:textFill>
                    </w:rPr>
                  </w:pPr>
                </w:p>
              </w:tc>
              <w:tc>
                <w:tcPr>
                  <w:tcW w:w="856" w:type="pct"/>
                  <w:vAlign w:val="center"/>
                </w:tcPr>
                <w:p w14:paraId="3318927C">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产品检测</w:t>
                  </w:r>
                </w:p>
              </w:tc>
              <w:tc>
                <w:tcPr>
                  <w:tcW w:w="1043" w:type="pct"/>
                  <w:vAlign w:val="center"/>
                </w:tcPr>
                <w:p w14:paraId="00DC9EEB">
                  <w:pPr>
                    <w:jc w:val="center"/>
                    <w:rPr>
                      <w:rFonts w:hint="default"/>
                      <w:color w:val="000000" w:themeColor="text1"/>
                      <w:szCs w:val="21"/>
                      <w:lang w:val="en-US"/>
                      <w14:textFill>
                        <w14:solidFill>
                          <w14:schemeClr w14:val="tx1"/>
                        </w14:solidFill>
                      </w14:textFill>
                    </w:rPr>
                  </w:pPr>
                  <w:r>
                    <w:rPr>
                      <w:rFonts w:hint="eastAsia"/>
                      <w:color w:val="000000" w:themeColor="text1"/>
                      <w14:textFill>
                        <w14:solidFill>
                          <w14:schemeClr w14:val="tx1"/>
                        </w14:solidFill>
                      </w14:textFill>
                    </w:rPr>
                    <w:t>实验检验废物</w:t>
                  </w:r>
                  <w:r>
                    <w:rPr>
                      <w:rFonts w:hint="eastAsia" w:ascii="Times New Roman" w:hAnsi="Times New Roman" w:eastAsia="宋体" w:cs="Times New Roman"/>
                      <w:color w:val="000000" w:themeColor="text1"/>
                      <w:szCs w:val="21"/>
                      <w:lang w:val="en-US" w:eastAsia="zh-CN"/>
                      <w14:textFill>
                        <w14:solidFill>
                          <w14:schemeClr w14:val="tx1"/>
                        </w14:solidFill>
                      </w14:textFill>
                    </w:rPr>
                    <w:t>S</w:t>
                  </w:r>
                  <w:r>
                    <w:rPr>
                      <w:rFonts w:hint="eastAsia" w:cs="Times New Roman"/>
                      <w:color w:val="000000" w:themeColor="text1"/>
                      <w:szCs w:val="21"/>
                      <w:lang w:val="en-US" w:eastAsia="zh-CN"/>
                      <w14:textFill>
                        <w14:solidFill>
                          <w14:schemeClr w14:val="tx1"/>
                        </w14:solidFill>
                      </w14:textFill>
                    </w:rPr>
                    <w:t>4</w:t>
                  </w:r>
                </w:p>
              </w:tc>
              <w:tc>
                <w:tcPr>
                  <w:tcW w:w="1157" w:type="pct"/>
                  <w:vAlign w:val="center"/>
                </w:tcPr>
                <w:p w14:paraId="4D4FBE9A">
                  <w:pPr>
                    <w:jc w:val="center"/>
                    <w:rPr>
                      <w:color w:val="000000" w:themeColor="text1"/>
                      <w:szCs w:val="21"/>
                      <w14:textFill>
                        <w14:solidFill>
                          <w14:schemeClr w14:val="tx1"/>
                        </w14:solidFill>
                      </w14:textFill>
                    </w:rPr>
                  </w:pPr>
                  <w:r>
                    <w:rPr>
                      <w:rFonts w:hint="eastAsia"/>
                      <w:sz w:val="21"/>
                      <w:szCs w:val="21"/>
                      <w:lang w:val="en-US" w:eastAsia="zh-CN" w:bidi="ar"/>
                    </w:rPr>
                    <w:t>暂存在危废暂存间</w:t>
                  </w:r>
                </w:p>
              </w:tc>
              <w:tc>
                <w:tcPr>
                  <w:tcW w:w="1104" w:type="pct"/>
                  <w:vAlign w:val="center"/>
                </w:tcPr>
                <w:p w14:paraId="40561AAE">
                  <w:pPr>
                    <w:jc w:val="center"/>
                    <w:rPr>
                      <w:color w:val="000000" w:themeColor="text1"/>
                      <w:szCs w:val="21"/>
                      <w14:textFill>
                        <w14:solidFill>
                          <w14:schemeClr w14:val="tx1"/>
                        </w14:solidFill>
                      </w14:textFill>
                    </w:rPr>
                  </w:pPr>
                  <w:r>
                    <w:rPr>
                      <w:rFonts w:hint="eastAsia"/>
                      <w:sz w:val="21"/>
                      <w:szCs w:val="21"/>
                      <w:lang w:bidi="ar"/>
                    </w:rPr>
                    <w:t>委托有资质单位处理</w:t>
                  </w:r>
                </w:p>
              </w:tc>
            </w:tr>
          </w:tbl>
          <w:p w14:paraId="73D2871B">
            <w:pPr>
              <w:spacing w:line="360" w:lineRule="auto"/>
              <w:rPr>
                <w:rFonts w:ascii="宋体" w:hAnsi="宋体" w:cs="宋体"/>
                <w:bCs/>
                <w:color w:val="000000" w:themeColor="text1"/>
                <w:szCs w:val="21"/>
                <w14:textFill>
                  <w14:solidFill>
                    <w14:schemeClr w14:val="tx1"/>
                  </w14:solidFill>
                </w14:textFill>
              </w:rPr>
            </w:pPr>
          </w:p>
        </w:tc>
      </w:tr>
      <w:tr w14:paraId="3727E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823" w:type="dxa"/>
            <w:vAlign w:val="center"/>
          </w:tcPr>
          <w:p w14:paraId="26EE2CF7">
            <w:pPr>
              <w:pStyle w:val="19"/>
              <w:adjustRightInd w:val="0"/>
              <w:snapToGrid w:val="0"/>
              <w:spacing w:before="0" w:beforeAutospacing="0" w:after="0" w:afterAutospacing="0"/>
              <w:jc w:val="center"/>
              <w:rPr>
                <w:rFonts w:cs="宋体"/>
                <w:color w:val="000000" w:themeColor="text1"/>
                <w:sz w:val="21"/>
                <w:szCs w:val="21"/>
                <w14:textFill>
                  <w14:solidFill>
                    <w14:schemeClr w14:val="tx1"/>
                  </w14:solidFill>
                </w14:textFill>
              </w:rPr>
            </w:pPr>
            <w:r>
              <w:rPr>
                <w:rFonts w:hint="eastAsia" w:cs="宋体"/>
                <w:bCs/>
                <w:color w:val="000000" w:themeColor="text1"/>
                <w:kern w:val="2"/>
                <w:szCs w:val="24"/>
                <w14:textFill>
                  <w14:solidFill>
                    <w14:schemeClr w14:val="tx1"/>
                  </w14:solidFill>
                </w14:textFill>
              </w:rPr>
              <w:t>与项目有关的原有环境污染问题</w:t>
            </w:r>
          </w:p>
        </w:tc>
        <w:tc>
          <w:tcPr>
            <w:tcW w:w="8161" w:type="dxa"/>
          </w:tcPr>
          <w:p w14:paraId="0C23B485">
            <w:pPr>
              <w:spacing w:line="360" w:lineRule="auto"/>
              <w:ind w:left="110" w:right="37" w:firstLine="480" w:firstLineChars="200"/>
              <w:rPr>
                <w:rFonts w:hint="default"/>
                <w:color w:val="000000" w:themeColor="text1"/>
                <w:sz w:val="24"/>
                <w:lang w:val="en-US" w:eastAsia="zh-CN" w:bidi="ar"/>
                <w14:textFill>
                  <w14:solidFill>
                    <w14:schemeClr w14:val="tx1"/>
                  </w14:solidFill>
                </w14:textFill>
              </w:rPr>
            </w:pPr>
            <w:r>
              <w:rPr>
                <w:rFonts w:hint="eastAsia"/>
                <w:color w:val="000000" w:themeColor="text1"/>
                <w:sz w:val="24"/>
                <w:lang w:val="en-US" w:eastAsia="zh-CN" w:bidi="ar"/>
                <w14:textFill>
                  <w14:solidFill>
                    <w14:schemeClr w14:val="tx1"/>
                  </w14:solidFill>
                </w14:textFill>
              </w:rPr>
              <w:t>本项目为新建，现状为空地，不存在与项目有关的原有环境污染问题。</w:t>
            </w:r>
          </w:p>
        </w:tc>
      </w:tr>
    </w:tbl>
    <w:p w14:paraId="5C4E9C18">
      <w:pPr>
        <w:pStyle w:val="19"/>
        <w:jc w:val="center"/>
        <w:rPr>
          <w:rFonts w:cs="宋体"/>
          <w:snapToGrid w:val="0"/>
          <w:sz w:val="36"/>
          <w:szCs w:val="36"/>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67FD30D9">
      <w:pPr>
        <w:pStyle w:val="19"/>
        <w:adjustRightInd w:val="0"/>
        <w:snapToGrid w:val="0"/>
        <w:spacing w:before="0" w:beforeAutospacing="0" w:after="0" w:afterAutospacing="0" w:line="14" w:lineRule="auto"/>
        <w:jc w:val="center"/>
        <w:rPr>
          <w:rFonts w:cs="宋体"/>
          <w:snapToGrid w:val="0"/>
          <w:sz w:val="30"/>
          <w:szCs w:val="30"/>
        </w:rPr>
      </w:pPr>
    </w:p>
    <w:p w14:paraId="6EA14C39">
      <w:pPr>
        <w:pStyle w:val="19"/>
        <w:jc w:val="center"/>
        <w:outlineLvl w:val="0"/>
        <w:rPr>
          <w:rFonts w:ascii="黑体" w:hAnsi="黑体" w:eastAsia="黑体" w:cs="黑体"/>
          <w:snapToGrid w:val="0"/>
          <w:sz w:val="30"/>
          <w:szCs w:val="30"/>
        </w:rPr>
      </w:pPr>
      <w:r>
        <w:rPr>
          <w:rFonts w:hint="eastAsia" w:ascii="黑体" w:hAnsi="黑体" w:eastAsia="黑体" w:cs="黑体"/>
          <w:snapToGrid w:val="0"/>
          <w:sz w:val="30"/>
          <w:szCs w:val="30"/>
        </w:rPr>
        <w:t>三、区域环境质量现状、环境保护目标及评价标准</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190"/>
      </w:tblGrid>
      <w:tr w14:paraId="266DA9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800" w:type="dxa"/>
            <w:vAlign w:val="center"/>
          </w:tcPr>
          <w:p w14:paraId="63A78755">
            <w:pPr>
              <w:adjustRightInd w:val="0"/>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区域</w:t>
            </w:r>
          </w:p>
          <w:p w14:paraId="7ABECCBC">
            <w:pPr>
              <w:adjustRightInd w:val="0"/>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环境</w:t>
            </w:r>
          </w:p>
          <w:p w14:paraId="3763310B">
            <w:pPr>
              <w:adjustRightInd w:val="0"/>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质量</w:t>
            </w:r>
          </w:p>
          <w:p w14:paraId="26DCCCBF">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现状</w:t>
            </w:r>
          </w:p>
        </w:tc>
        <w:tc>
          <w:tcPr>
            <w:tcW w:w="8190" w:type="dxa"/>
            <w:vAlign w:val="center"/>
          </w:tcPr>
          <w:p w14:paraId="51C8CE39">
            <w:pPr>
              <w:spacing w:line="36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建设项目所在地区域环境质量现状及主要环境问题</w:t>
            </w:r>
            <w:r>
              <w:rPr>
                <w:rFonts w:hint="default" w:ascii="Times New Roman" w:hAnsi="Times New Roman" w:cs="Times New Roman"/>
                <w:color w:val="000000" w:themeColor="text1"/>
                <w:sz w:val="28"/>
                <w:szCs w:val="28"/>
                <w14:textFill>
                  <w14:solidFill>
                    <w14:schemeClr w14:val="tx1"/>
                  </w14:solidFill>
                </w14:textFill>
              </w:rPr>
              <w:t>（环境空气、地面水、地下水、声环境、辐射环境、生态环境等）</w:t>
            </w:r>
          </w:p>
          <w:p w14:paraId="01D30B88">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1、环境空气质量现状</w:t>
            </w:r>
          </w:p>
          <w:p w14:paraId="57FA2E66">
            <w:pPr>
              <w:spacing w:line="360" w:lineRule="auto"/>
              <w:ind w:firstLine="480" w:firstLineChars="200"/>
              <w:rPr>
                <w:rFonts w:hint="default" w:ascii="Times New Roman" w:hAnsi="Times New Roman" w:eastAsia="宋体" w:cs="Times New Roman"/>
                <w:color w:val="auto"/>
                <w:sz w:val="24"/>
                <w:szCs w:val="24"/>
              </w:rPr>
            </w:pPr>
            <w:r>
              <w:rPr>
                <w:color w:val="auto"/>
                <w:sz w:val="24"/>
              </w:rPr>
              <w:t>根据《202</w:t>
            </w:r>
            <w:r>
              <w:rPr>
                <w:rFonts w:hint="eastAsia"/>
                <w:color w:val="auto"/>
                <w:sz w:val="24"/>
                <w:lang w:val="en-US" w:eastAsia="zh-CN"/>
              </w:rPr>
              <w:t>4</w:t>
            </w:r>
            <w:r>
              <w:rPr>
                <w:color w:val="auto"/>
                <w:sz w:val="24"/>
              </w:rPr>
              <w:t>年宿州市环境质量状况公报》以及</w:t>
            </w:r>
            <w:r>
              <w:rPr>
                <w:rFonts w:hint="default" w:ascii="Times New Roman" w:hAnsi="Times New Roman" w:eastAsia="宋体" w:cs="Times New Roman"/>
                <w:color w:val="auto"/>
                <w:sz w:val="24"/>
                <w:szCs w:val="24"/>
              </w:rPr>
              <w:t>《环境空气质量模型技术支持服务系统》对区域达标情况进行判定，宿州市202</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年SO</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、NO</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、PM</w:t>
            </w:r>
            <w:r>
              <w:rPr>
                <w:rFonts w:hint="default" w:ascii="Times New Roman" w:hAnsi="Times New Roman" w:eastAsia="宋体" w:cs="Times New Roman"/>
                <w:color w:val="auto"/>
                <w:sz w:val="24"/>
                <w:szCs w:val="24"/>
                <w:vertAlign w:val="subscript"/>
              </w:rPr>
              <w:t>10</w:t>
            </w:r>
            <w:r>
              <w:rPr>
                <w:rFonts w:hint="default" w:ascii="Times New Roman" w:hAnsi="Times New Roman" w:eastAsia="宋体" w:cs="Times New Roman"/>
                <w:color w:val="auto"/>
                <w:sz w:val="24"/>
                <w:szCs w:val="24"/>
              </w:rPr>
              <w:t>、PM</w:t>
            </w:r>
            <w:r>
              <w:rPr>
                <w:rFonts w:hint="default" w:ascii="Times New Roman" w:hAnsi="Times New Roman" w:eastAsia="宋体" w:cs="Times New Roman"/>
                <w:color w:val="auto"/>
                <w:sz w:val="24"/>
                <w:szCs w:val="24"/>
                <w:vertAlign w:val="subscript"/>
              </w:rPr>
              <w:t>2.5</w:t>
            </w:r>
            <w:r>
              <w:rPr>
                <w:rFonts w:hint="default" w:ascii="Times New Roman" w:hAnsi="Times New Roman" w:eastAsia="宋体" w:cs="Times New Roman"/>
                <w:color w:val="auto"/>
                <w:sz w:val="24"/>
                <w:szCs w:val="24"/>
              </w:rPr>
              <w:t>年均浓度分别为6</w:t>
            </w:r>
            <w:r>
              <w:rPr>
                <w:rFonts w:hint="default" w:ascii="Times New Roman" w:hAnsi="Times New Roman" w:eastAsia="宋体" w:cs="Times New Roman"/>
                <w:color w:val="auto"/>
                <w:sz w:val="24"/>
                <w:szCs w:val="24"/>
                <w:lang w:eastAsia="zh-CN"/>
              </w:rPr>
              <w:t>μg/m</w:t>
            </w:r>
            <w:r>
              <w:rPr>
                <w:rFonts w:hint="default" w:ascii="Times New Roman" w:hAnsi="Times New Roman" w:eastAsia="宋体" w:cs="Times New Roman"/>
                <w:color w:val="auto"/>
                <w:sz w:val="24"/>
                <w:szCs w:val="24"/>
                <w:vertAlign w:val="superscript"/>
                <w:lang w:eastAsia="zh-CN"/>
              </w:rPr>
              <w:t>3</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8</w:t>
            </w:r>
            <w:r>
              <w:rPr>
                <w:rFonts w:hint="default" w:ascii="Times New Roman" w:hAnsi="Times New Roman" w:eastAsia="宋体" w:cs="Times New Roman"/>
                <w:color w:val="auto"/>
                <w:sz w:val="24"/>
                <w:szCs w:val="24"/>
                <w:lang w:eastAsia="zh-CN"/>
              </w:rPr>
              <w:t>μg/m</w:t>
            </w:r>
            <w:r>
              <w:rPr>
                <w:rFonts w:hint="default" w:ascii="Times New Roman" w:hAnsi="Times New Roman" w:eastAsia="宋体" w:cs="Times New Roman"/>
                <w:color w:val="auto"/>
                <w:sz w:val="24"/>
                <w:szCs w:val="24"/>
                <w:vertAlign w:val="superscript"/>
                <w:lang w:eastAsia="zh-CN"/>
              </w:rPr>
              <w:t>3</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71</w:t>
            </w:r>
            <w:r>
              <w:rPr>
                <w:rFonts w:hint="default" w:ascii="Times New Roman" w:hAnsi="Times New Roman" w:eastAsia="宋体" w:cs="Times New Roman"/>
                <w:color w:val="auto"/>
                <w:sz w:val="24"/>
                <w:szCs w:val="24"/>
                <w:lang w:eastAsia="zh-CN"/>
              </w:rPr>
              <w:t>μg/m</w:t>
            </w:r>
            <w:r>
              <w:rPr>
                <w:rFonts w:hint="default" w:ascii="Times New Roman" w:hAnsi="Times New Roman" w:eastAsia="宋体" w:cs="Times New Roman"/>
                <w:color w:val="auto"/>
                <w:sz w:val="24"/>
                <w:szCs w:val="24"/>
                <w:vertAlign w:val="superscript"/>
                <w:lang w:eastAsia="zh-CN"/>
              </w:rPr>
              <w:t>3</w:t>
            </w:r>
            <w:r>
              <w:rPr>
                <w:rFonts w:hint="default" w:ascii="Times New Roman" w:hAnsi="Times New Roman" w:eastAsia="宋体" w:cs="Times New Roman"/>
                <w:color w:val="auto"/>
                <w:sz w:val="24"/>
                <w:szCs w:val="24"/>
              </w:rPr>
              <w:t>、4</w:t>
            </w: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eastAsia="zh-CN"/>
              </w:rPr>
              <w:t>μg/m</w:t>
            </w:r>
            <w:r>
              <w:rPr>
                <w:rFonts w:hint="default" w:ascii="Times New Roman" w:hAnsi="Times New Roman" w:eastAsia="宋体" w:cs="Times New Roman"/>
                <w:color w:val="auto"/>
                <w:sz w:val="24"/>
                <w:szCs w:val="24"/>
                <w:vertAlign w:val="superscript"/>
                <w:lang w:eastAsia="zh-CN"/>
              </w:rPr>
              <w:t>3</w:t>
            </w:r>
            <w:r>
              <w:rPr>
                <w:rFonts w:hint="default" w:ascii="Times New Roman" w:hAnsi="Times New Roman" w:eastAsia="宋体" w:cs="Times New Roman"/>
                <w:color w:val="auto"/>
                <w:sz w:val="24"/>
                <w:szCs w:val="24"/>
              </w:rPr>
              <w:t>；CO24小时平均第95百分位数为</w:t>
            </w:r>
            <w:r>
              <w:rPr>
                <w:rFonts w:hint="eastAsia" w:ascii="Times New Roman" w:hAnsi="Times New Roman" w:eastAsia="宋体" w:cs="Times New Roman"/>
                <w:color w:val="auto"/>
                <w:sz w:val="24"/>
                <w:szCs w:val="24"/>
                <w:lang w:val="en-US" w:eastAsia="zh-CN"/>
              </w:rPr>
              <w:t>0.9</w:t>
            </w:r>
            <w:r>
              <w:rPr>
                <w:rFonts w:hint="default" w:ascii="Times New Roman" w:hAnsi="Times New Roman" w:eastAsia="宋体" w:cs="Times New Roman"/>
                <w:color w:val="auto"/>
                <w:sz w:val="24"/>
                <w:szCs w:val="24"/>
              </w:rPr>
              <w:t>mg/m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，O</w:t>
            </w:r>
            <w:r>
              <w:rPr>
                <w:rFonts w:hint="default" w:ascii="Times New Roman" w:hAnsi="Times New Roman" w:eastAsia="宋体" w:cs="Times New Roman"/>
                <w:color w:val="auto"/>
                <w:sz w:val="24"/>
                <w:szCs w:val="24"/>
                <w:vertAlign w:val="subscript"/>
              </w:rPr>
              <w:t>3</w:t>
            </w:r>
            <w:r>
              <w:rPr>
                <w:rFonts w:hint="default" w:ascii="Times New Roman" w:hAnsi="Times New Roman" w:eastAsia="宋体" w:cs="Times New Roman"/>
                <w:color w:val="auto"/>
                <w:sz w:val="24"/>
                <w:szCs w:val="24"/>
              </w:rPr>
              <w:t>日最大8小时平均第90百分位数为1</w:t>
            </w:r>
            <w:r>
              <w:rPr>
                <w:rFonts w:hint="eastAsia" w:ascii="Times New Roman" w:hAnsi="Times New Roman" w:eastAsia="宋体" w:cs="Times New Roman"/>
                <w:color w:val="auto"/>
                <w:sz w:val="24"/>
                <w:szCs w:val="24"/>
                <w:lang w:val="en-US" w:eastAsia="zh-CN"/>
              </w:rPr>
              <w:t>70</w:t>
            </w:r>
            <w:r>
              <w:rPr>
                <w:rFonts w:hint="default" w:ascii="Times New Roman" w:hAnsi="Times New Roman" w:eastAsia="宋体" w:cs="Times New Roman"/>
                <w:color w:val="auto"/>
                <w:sz w:val="24"/>
                <w:szCs w:val="24"/>
                <w:lang w:eastAsia="zh-CN"/>
              </w:rPr>
              <w:t>μg/m</w:t>
            </w:r>
            <w:r>
              <w:rPr>
                <w:rFonts w:hint="default" w:ascii="Times New Roman" w:hAnsi="Times New Roman" w:eastAsia="宋体" w:cs="Times New Roman"/>
                <w:color w:val="auto"/>
                <w:sz w:val="24"/>
                <w:szCs w:val="24"/>
                <w:vertAlign w:val="superscript"/>
                <w:lang w:eastAsia="zh-CN"/>
              </w:rPr>
              <w:t>3</w:t>
            </w:r>
            <w:r>
              <w:rPr>
                <w:rFonts w:hint="default" w:ascii="Times New Roman" w:hAnsi="Times New Roman" w:eastAsia="宋体" w:cs="Times New Roman"/>
                <w:color w:val="auto"/>
                <w:sz w:val="24"/>
                <w:szCs w:val="24"/>
              </w:rPr>
              <w:t>；超过《环境空气质量标准》（GB3095-20</w:t>
            </w:r>
            <w:r>
              <w:rPr>
                <w:rFonts w:hint="eastAsia" w:cs="Times New Roman"/>
                <w:color w:val="auto"/>
                <w:sz w:val="24"/>
                <w:szCs w:val="24"/>
                <w:lang w:val="en-US" w:eastAsia="zh-CN"/>
              </w:rPr>
              <w:t>26</w:t>
            </w:r>
            <w:r>
              <w:rPr>
                <w:rFonts w:hint="default" w:ascii="Times New Roman" w:hAnsi="Times New Roman" w:eastAsia="宋体" w:cs="Times New Roman"/>
                <w:color w:val="auto"/>
                <w:sz w:val="24"/>
                <w:szCs w:val="24"/>
              </w:rPr>
              <w:t>）中</w:t>
            </w:r>
            <w:r>
              <w:rPr>
                <w:rFonts w:hint="eastAsia" w:cs="Times New Roman"/>
                <w:color w:val="auto"/>
                <w:sz w:val="24"/>
                <w:szCs w:val="24"/>
                <w:lang w:val="en-US" w:eastAsia="zh-CN"/>
              </w:rPr>
              <w:t>过渡阶段</w:t>
            </w:r>
            <w:r>
              <w:rPr>
                <w:rFonts w:hint="default" w:ascii="Times New Roman" w:hAnsi="Times New Roman" w:eastAsia="宋体" w:cs="Times New Roman"/>
                <w:color w:val="auto"/>
                <w:sz w:val="24"/>
                <w:szCs w:val="24"/>
              </w:rPr>
              <w:t>二级标准</w:t>
            </w:r>
            <w:r>
              <w:rPr>
                <w:rFonts w:hint="eastAsia" w:cs="Times New Roman"/>
                <w:color w:val="auto"/>
                <w:sz w:val="24"/>
                <w:szCs w:val="24"/>
                <w:lang w:val="en-US" w:eastAsia="zh-CN"/>
              </w:rPr>
              <w:t>浓度</w:t>
            </w:r>
            <w:r>
              <w:rPr>
                <w:rFonts w:hint="default" w:ascii="Times New Roman" w:hAnsi="Times New Roman" w:eastAsia="宋体" w:cs="Times New Roman"/>
                <w:color w:val="auto"/>
                <w:sz w:val="24"/>
                <w:szCs w:val="24"/>
              </w:rPr>
              <w:t>限值的污染物为PM</w:t>
            </w:r>
            <w:r>
              <w:rPr>
                <w:rFonts w:hint="default" w:ascii="Times New Roman" w:hAnsi="Times New Roman" w:eastAsia="宋体" w:cs="Times New Roman"/>
                <w:color w:val="auto"/>
                <w:sz w:val="24"/>
                <w:szCs w:val="24"/>
                <w:vertAlign w:val="subscript"/>
              </w:rPr>
              <w:t>10</w:t>
            </w:r>
            <w:r>
              <w:rPr>
                <w:rFonts w:hint="default" w:ascii="Times New Roman" w:hAnsi="Times New Roman" w:eastAsia="宋体" w:cs="Times New Roman"/>
                <w:color w:val="auto"/>
                <w:sz w:val="24"/>
                <w:szCs w:val="24"/>
              </w:rPr>
              <w:t>、O</w:t>
            </w:r>
            <w:r>
              <w:rPr>
                <w:rFonts w:hint="default" w:ascii="Times New Roman" w:hAnsi="Times New Roman" w:eastAsia="宋体" w:cs="Times New Roman"/>
                <w:color w:val="auto"/>
                <w:sz w:val="24"/>
                <w:szCs w:val="24"/>
                <w:vertAlign w:val="subscript"/>
              </w:rPr>
              <w:t>3</w:t>
            </w:r>
            <w:r>
              <w:rPr>
                <w:rFonts w:hint="default" w:ascii="Times New Roman" w:hAnsi="Times New Roman" w:eastAsia="宋体" w:cs="Times New Roman"/>
                <w:color w:val="auto"/>
                <w:sz w:val="24"/>
                <w:szCs w:val="24"/>
              </w:rPr>
              <w:t>、PM</w:t>
            </w:r>
            <w:r>
              <w:rPr>
                <w:rFonts w:hint="default" w:ascii="Times New Roman" w:hAnsi="Times New Roman" w:eastAsia="宋体" w:cs="Times New Roman"/>
                <w:color w:val="auto"/>
                <w:sz w:val="24"/>
                <w:szCs w:val="24"/>
                <w:vertAlign w:val="subscript"/>
              </w:rPr>
              <w:t>2.5</w:t>
            </w:r>
            <w:r>
              <w:rPr>
                <w:rFonts w:hint="default" w:ascii="Times New Roman" w:hAnsi="Times New Roman" w:eastAsia="宋体" w:cs="Times New Roman"/>
                <w:color w:val="auto"/>
                <w:sz w:val="24"/>
                <w:szCs w:val="24"/>
              </w:rPr>
              <w:t>。宿州市202</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年环境空气质量基础污染物监测浓度见下表</w:t>
            </w:r>
            <w:r>
              <w:rPr>
                <w:rFonts w:hint="default" w:ascii="Times New Roman" w:hAnsi="Times New Roman" w:eastAsia="宋体" w:cs="Times New Roman"/>
                <w:color w:val="auto"/>
                <w:sz w:val="24"/>
                <w:szCs w:val="24"/>
                <w:lang w:eastAsia="zh-CN"/>
              </w:rPr>
              <w:t>。</w:t>
            </w:r>
          </w:p>
          <w:p w14:paraId="49EBFAD6">
            <w:pPr>
              <w:pStyle w:val="10"/>
              <w:keepNext w:val="0"/>
              <w:keepLines w:val="0"/>
              <w:pageBreakBefore w:val="0"/>
              <w:widowControl w:val="0"/>
              <w:kinsoku/>
              <w:wordWrap/>
              <w:overflowPunct/>
              <w:topLinePunct w:val="0"/>
              <w:autoSpaceDE/>
              <w:autoSpaceDN/>
              <w:bidi w:val="0"/>
              <w:adjustRightInd/>
              <w:snapToGrid/>
              <w:spacing w:before="0" w:line="240" w:lineRule="auto"/>
              <w:textAlignment w:val="auto"/>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表3-1区域基本污染物环境质量现状评价表</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804"/>
              <w:gridCol w:w="1340"/>
              <w:gridCol w:w="1340"/>
              <w:gridCol w:w="1196"/>
              <w:gridCol w:w="1286"/>
            </w:tblGrid>
            <w:tr w14:paraId="133B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0" w:type="pct"/>
                  <w:vAlign w:val="center"/>
                </w:tcPr>
                <w:p w14:paraId="47CADEFF">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b/>
                      <w:bCs/>
                      <w:color w:val="auto"/>
                      <w:kern w:val="0"/>
                      <w:sz w:val="21"/>
                      <w:szCs w:val="21"/>
                    </w:rPr>
                    <w:t>污染物</w:t>
                  </w:r>
                </w:p>
              </w:tc>
              <w:tc>
                <w:tcPr>
                  <w:tcW w:w="1159" w:type="pct"/>
                  <w:vAlign w:val="center"/>
                </w:tcPr>
                <w:p w14:paraId="6CC662D3">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b/>
                      <w:bCs/>
                      <w:color w:val="auto"/>
                      <w:kern w:val="0"/>
                      <w:sz w:val="21"/>
                      <w:szCs w:val="21"/>
                    </w:rPr>
                    <w:t>评价标准</w:t>
                  </w:r>
                </w:p>
              </w:tc>
              <w:tc>
                <w:tcPr>
                  <w:tcW w:w="783" w:type="pct"/>
                  <w:vAlign w:val="center"/>
                </w:tcPr>
                <w:p w14:paraId="384406E7">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b/>
                      <w:bCs/>
                      <w:color w:val="auto"/>
                      <w:kern w:val="0"/>
                      <w:sz w:val="21"/>
                      <w:szCs w:val="21"/>
                    </w:rPr>
                    <w:t>年均浓度（μg/m</w:t>
                  </w:r>
                  <w:r>
                    <w:rPr>
                      <w:rFonts w:hint="default" w:ascii="Times New Roman" w:hAnsi="Times New Roman" w:eastAsia="宋体" w:cs="Times New Roman"/>
                      <w:b/>
                      <w:bCs/>
                      <w:color w:val="auto"/>
                      <w:kern w:val="0"/>
                      <w:sz w:val="21"/>
                      <w:szCs w:val="21"/>
                      <w:vertAlign w:val="superscript"/>
                    </w:rPr>
                    <w:t>3</w:t>
                  </w:r>
                  <w:r>
                    <w:rPr>
                      <w:rFonts w:hint="default" w:ascii="Times New Roman" w:hAnsi="Times New Roman" w:eastAsia="宋体" w:cs="Times New Roman"/>
                      <w:b/>
                      <w:bCs/>
                      <w:color w:val="auto"/>
                      <w:kern w:val="0"/>
                      <w:sz w:val="21"/>
                      <w:szCs w:val="21"/>
                    </w:rPr>
                    <w:t>）</w:t>
                  </w:r>
                </w:p>
              </w:tc>
              <w:tc>
                <w:tcPr>
                  <w:tcW w:w="795" w:type="pct"/>
                  <w:vAlign w:val="center"/>
                </w:tcPr>
                <w:p w14:paraId="49FAE2BD">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b/>
                      <w:bCs/>
                      <w:color w:val="auto"/>
                      <w:kern w:val="0"/>
                      <w:sz w:val="21"/>
                      <w:szCs w:val="21"/>
                    </w:rPr>
                    <w:t>标准值（μg/m</w:t>
                  </w:r>
                  <w:r>
                    <w:rPr>
                      <w:rFonts w:hint="default" w:ascii="Times New Roman" w:hAnsi="Times New Roman" w:eastAsia="宋体" w:cs="Times New Roman"/>
                      <w:b/>
                      <w:bCs/>
                      <w:color w:val="auto"/>
                      <w:kern w:val="0"/>
                      <w:sz w:val="21"/>
                      <w:szCs w:val="21"/>
                      <w:vertAlign w:val="superscript"/>
                    </w:rPr>
                    <w:t>3</w:t>
                  </w:r>
                  <w:r>
                    <w:rPr>
                      <w:rFonts w:hint="default" w:ascii="Times New Roman" w:hAnsi="Times New Roman" w:eastAsia="宋体" w:cs="Times New Roman"/>
                      <w:b/>
                      <w:bCs/>
                      <w:color w:val="auto"/>
                      <w:kern w:val="0"/>
                      <w:sz w:val="21"/>
                      <w:szCs w:val="21"/>
                    </w:rPr>
                    <w:t>）</w:t>
                  </w:r>
                </w:p>
              </w:tc>
              <w:tc>
                <w:tcPr>
                  <w:tcW w:w="777" w:type="pct"/>
                  <w:vAlign w:val="center"/>
                </w:tcPr>
                <w:p w14:paraId="3404C41F">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b/>
                      <w:bCs/>
                      <w:color w:val="auto"/>
                      <w:kern w:val="0"/>
                      <w:sz w:val="21"/>
                      <w:szCs w:val="21"/>
                    </w:rPr>
                    <w:t>占标率</w:t>
                  </w:r>
                  <w:r>
                    <w:rPr>
                      <w:rFonts w:hint="eastAsia" w:ascii="Times New Roman" w:hAnsi="Times New Roman" w:eastAsia="宋体" w:cs="Times New Roman"/>
                      <w:b/>
                      <w:bCs/>
                      <w:color w:val="auto"/>
                      <w:kern w:val="0"/>
                      <w:sz w:val="21"/>
                      <w:szCs w:val="21"/>
                      <w:lang w:eastAsia="zh-CN"/>
                    </w:rPr>
                    <w:t>（</w:t>
                  </w:r>
                  <w:r>
                    <w:rPr>
                      <w:rFonts w:hint="default" w:ascii="Times New Roman" w:hAnsi="Times New Roman" w:eastAsia="宋体" w:cs="Times New Roman"/>
                      <w:b/>
                      <w:bCs/>
                      <w:color w:val="auto"/>
                      <w:kern w:val="0"/>
                      <w:sz w:val="21"/>
                      <w:szCs w:val="21"/>
                    </w:rPr>
                    <w:t>%</w:t>
                  </w:r>
                  <w:r>
                    <w:rPr>
                      <w:rFonts w:hint="eastAsia" w:ascii="Times New Roman" w:hAnsi="Times New Roman" w:eastAsia="宋体" w:cs="Times New Roman"/>
                      <w:b/>
                      <w:bCs/>
                      <w:color w:val="auto"/>
                      <w:kern w:val="0"/>
                      <w:sz w:val="21"/>
                      <w:szCs w:val="21"/>
                      <w:lang w:eastAsia="zh-CN"/>
                    </w:rPr>
                    <w:t>）</w:t>
                  </w:r>
                </w:p>
              </w:tc>
              <w:tc>
                <w:tcPr>
                  <w:tcW w:w="833" w:type="pct"/>
                  <w:vAlign w:val="center"/>
                </w:tcPr>
                <w:p w14:paraId="1E767DB0">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b/>
                      <w:bCs/>
                      <w:color w:val="auto"/>
                      <w:kern w:val="0"/>
                      <w:sz w:val="21"/>
                      <w:szCs w:val="21"/>
                    </w:rPr>
                    <w:t>达标情况</w:t>
                  </w:r>
                </w:p>
              </w:tc>
            </w:tr>
            <w:tr w14:paraId="5D8B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0" w:type="pct"/>
                  <w:vAlign w:val="center"/>
                </w:tcPr>
                <w:p w14:paraId="13F39D64">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1"/>
                      <w:szCs w:val="21"/>
                    </w:rPr>
                    <w:t>PM</w:t>
                  </w:r>
                  <w:r>
                    <w:rPr>
                      <w:rFonts w:hint="default" w:ascii="Times New Roman" w:hAnsi="Times New Roman" w:eastAsia="宋体" w:cs="Times New Roman"/>
                      <w:color w:val="auto"/>
                      <w:kern w:val="0"/>
                      <w:sz w:val="21"/>
                      <w:szCs w:val="21"/>
                      <w:vertAlign w:val="subscript"/>
                    </w:rPr>
                    <w:t>10</w:t>
                  </w:r>
                </w:p>
              </w:tc>
              <w:tc>
                <w:tcPr>
                  <w:tcW w:w="1159" w:type="pct"/>
                  <w:vAlign w:val="center"/>
                </w:tcPr>
                <w:p w14:paraId="1C1DC0F8">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1"/>
                      <w:szCs w:val="21"/>
                    </w:rPr>
                    <w:t>年平均浓度</w:t>
                  </w:r>
                </w:p>
              </w:tc>
              <w:tc>
                <w:tcPr>
                  <w:tcW w:w="783" w:type="pct"/>
                  <w:vAlign w:val="center"/>
                </w:tcPr>
                <w:p w14:paraId="5CF76A10">
                  <w:pPr>
                    <w:adjustRightInd w:val="0"/>
                    <w:snapToGrid w:val="0"/>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 w:val="21"/>
                      <w:szCs w:val="21"/>
                      <w:lang w:val="en-US" w:eastAsia="zh-CN"/>
                    </w:rPr>
                    <w:t>71</w:t>
                  </w:r>
                </w:p>
              </w:tc>
              <w:tc>
                <w:tcPr>
                  <w:tcW w:w="795" w:type="pct"/>
                  <w:vAlign w:val="center"/>
                </w:tcPr>
                <w:p w14:paraId="66E1B1DF">
                  <w:pPr>
                    <w:adjustRightInd w:val="0"/>
                    <w:snapToGrid w:val="0"/>
                    <w:jc w:val="center"/>
                    <w:rPr>
                      <w:rFonts w:hint="default" w:ascii="Times New Roman" w:hAnsi="Times New Roman" w:eastAsia="宋体" w:cs="Times New Roman"/>
                      <w:color w:val="auto"/>
                      <w:kern w:val="0"/>
                      <w:szCs w:val="21"/>
                    </w:rPr>
                  </w:pPr>
                  <w:r>
                    <w:rPr>
                      <w:rFonts w:hint="eastAsia" w:cs="Times New Roman"/>
                      <w:color w:val="auto"/>
                      <w:kern w:val="0"/>
                      <w:sz w:val="21"/>
                      <w:szCs w:val="21"/>
                      <w:lang w:val="en-US" w:eastAsia="zh-CN"/>
                    </w:rPr>
                    <w:t>6</w:t>
                  </w:r>
                  <w:r>
                    <w:rPr>
                      <w:rFonts w:hint="default" w:ascii="Times New Roman" w:hAnsi="Times New Roman" w:eastAsia="宋体" w:cs="Times New Roman"/>
                      <w:color w:val="auto"/>
                      <w:kern w:val="0"/>
                      <w:sz w:val="21"/>
                      <w:szCs w:val="21"/>
                    </w:rPr>
                    <w:t>0</w:t>
                  </w:r>
                </w:p>
              </w:tc>
              <w:tc>
                <w:tcPr>
                  <w:tcW w:w="1239" w:type="dxa"/>
                  <w:vAlign w:val="center"/>
                </w:tcPr>
                <w:p w14:paraId="51813714">
                  <w:pPr>
                    <w:keepNext w:val="0"/>
                    <w:keepLines w:val="0"/>
                    <w:widowControl/>
                    <w:suppressLineNumbers w:val="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118.3</w:t>
                  </w:r>
                </w:p>
              </w:tc>
              <w:tc>
                <w:tcPr>
                  <w:tcW w:w="833" w:type="pct"/>
                  <w:vAlign w:val="center"/>
                </w:tcPr>
                <w:p w14:paraId="7EE937D8">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1"/>
                      <w:szCs w:val="21"/>
                    </w:rPr>
                    <w:t>不达标</w:t>
                  </w:r>
                </w:p>
              </w:tc>
            </w:tr>
            <w:tr w14:paraId="0224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0" w:type="pct"/>
                  <w:vAlign w:val="center"/>
                </w:tcPr>
                <w:p w14:paraId="3F6A7D1B">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1"/>
                      <w:szCs w:val="21"/>
                    </w:rPr>
                    <w:t>PM</w:t>
                  </w:r>
                  <w:r>
                    <w:rPr>
                      <w:rFonts w:hint="default" w:ascii="Times New Roman" w:hAnsi="Times New Roman" w:eastAsia="宋体" w:cs="Times New Roman"/>
                      <w:color w:val="auto"/>
                      <w:kern w:val="0"/>
                      <w:sz w:val="21"/>
                      <w:szCs w:val="21"/>
                      <w:vertAlign w:val="subscript"/>
                    </w:rPr>
                    <w:t>2.5</w:t>
                  </w:r>
                </w:p>
              </w:tc>
              <w:tc>
                <w:tcPr>
                  <w:tcW w:w="1159" w:type="pct"/>
                  <w:vAlign w:val="center"/>
                </w:tcPr>
                <w:p w14:paraId="4015398C">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1"/>
                      <w:szCs w:val="21"/>
                    </w:rPr>
                    <w:t>年平均浓度</w:t>
                  </w:r>
                </w:p>
              </w:tc>
              <w:tc>
                <w:tcPr>
                  <w:tcW w:w="783" w:type="pct"/>
                  <w:vAlign w:val="center"/>
                </w:tcPr>
                <w:p w14:paraId="3F36C3EB">
                  <w:pPr>
                    <w:adjustRightInd w:val="0"/>
                    <w:snapToGrid w:val="0"/>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 w:val="21"/>
                      <w:szCs w:val="21"/>
                      <w:lang w:val="en-US" w:eastAsia="zh-CN"/>
                    </w:rPr>
                    <w:t>43</w:t>
                  </w:r>
                </w:p>
              </w:tc>
              <w:tc>
                <w:tcPr>
                  <w:tcW w:w="795" w:type="pct"/>
                  <w:vAlign w:val="center"/>
                </w:tcPr>
                <w:p w14:paraId="6B0876FB">
                  <w:pPr>
                    <w:adjustRightInd w:val="0"/>
                    <w:snapToGrid w:val="0"/>
                    <w:jc w:val="center"/>
                    <w:rPr>
                      <w:rFonts w:hint="eastAsia"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 w:val="21"/>
                      <w:szCs w:val="21"/>
                    </w:rPr>
                    <w:t>3</w:t>
                  </w:r>
                  <w:r>
                    <w:rPr>
                      <w:rFonts w:hint="eastAsia" w:cs="Times New Roman"/>
                      <w:color w:val="auto"/>
                      <w:kern w:val="0"/>
                      <w:sz w:val="21"/>
                      <w:szCs w:val="21"/>
                      <w:lang w:val="en-US" w:eastAsia="zh-CN"/>
                    </w:rPr>
                    <w:t>0</w:t>
                  </w:r>
                </w:p>
              </w:tc>
              <w:tc>
                <w:tcPr>
                  <w:tcW w:w="1239" w:type="dxa"/>
                  <w:vAlign w:val="center"/>
                </w:tcPr>
                <w:p w14:paraId="14CC7FA2">
                  <w:pPr>
                    <w:keepNext w:val="0"/>
                    <w:keepLines w:val="0"/>
                    <w:widowControl/>
                    <w:suppressLineNumbers w:val="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143.3</w:t>
                  </w:r>
                </w:p>
              </w:tc>
              <w:tc>
                <w:tcPr>
                  <w:tcW w:w="833" w:type="pct"/>
                  <w:vAlign w:val="center"/>
                </w:tcPr>
                <w:p w14:paraId="003A1332">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1"/>
                      <w:szCs w:val="21"/>
                    </w:rPr>
                    <w:t>不达标</w:t>
                  </w:r>
                </w:p>
              </w:tc>
            </w:tr>
            <w:tr w14:paraId="5FF1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0" w:type="pct"/>
                  <w:vAlign w:val="center"/>
                </w:tcPr>
                <w:p w14:paraId="2693BC06">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1"/>
                      <w:szCs w:val="21"/>
                    </w:rPr>
                    <w:t>SO</w:t>
                  </w:r>
                  <w:r>
                    <w:rPr>
                      <w:rFonts w:hint="default" w:ascii="Times New Roman" w:hAnsi="Times New Roman" w:eastAsia="宋体" w:cs="Times New Roman"/>
                      <w:color w:val="auto"/>
                      <w:kern w:val="0"/>
                      <w:sz w:val="21"/>
                      <w:szCs w:val="21"/>
                      <w:vertAlign w:val="subscript"/>
                    </w:rPr>
                    <w:t>2</w:t>
                  </w:r>
                </w:p>
              </w:tc>
              <w:tc>
                <w:tcPr>
                  <w:tcW w:w="1159" w:type="pct"/>
                  <w:vAlign w:val="center"/>
                </w:tcPr>
                <w:p w14:paraId="02B49D9C">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1"/>
                      <w:szCs w:val="21"/>
                    </w:rPr>
                    <w:t>年平均浓度</w:t>
                  </w:r>
                </w:p>
              </w:tc>
              <w:tc>
                <w:tcPr>
                  <w:tcW w:w="783" w:type="pct"/>
                  <w:vAlign w:val="center"/>
                </w:tcPr>
                <w:p w14:paraId="65F8DC6C">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1"/>
                      <w:szCs w:val="21"/>
                    </w:rPr>
                    <w:t>6</w:t>
                  </w:r>
                </w:p>
              </w:tc>
              <w:tc>
                <w:tcPr>
                  <w:tcW w:w="795" w:type="pct"/>
                  <w:vAlign w:val="center"/>
                </w:tcPr>
                <w:p w14:paraId="0C3F7E03">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1"/>
                      <w:szCs w:val="21"/>
                    </w:rPr>
                    <w:t>60</w:t>
                  </w:r>
                </w:p>
              </w:tc>
              <w:tc>
                <w:tcPr>
                  <w:tcW w:w="777" w:type="pct"/>
                  <w:vAlign w:val="center"/>
                </w:tcPr>
                <w:p w14:paraId="37C70685">
                  <w:pPr>
                    <w:keepNext w:val="0"/>
                    <w:keepLines w:val="0"/>
                    <w:widowControl/>
                    <w:suppressLineNumbers w:val="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833" w:type="pct"/>
                  <w:vAlign w:val="center"/>
                </w:tcPr>
                <w:p w14:paraId="7A788CD5">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1"/>
                      <w:szCs w:val="21"/>
                    </w:rPr>
                    <w:t>达标</w:t>
                  </w:r>
                </w:p>
              </w:tc>
            </w:tr>
            <w:tr w14:paraId="33F8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0" w:type="pct"/>
                  <w:vAlign w:val="center"/>
                </w:tcPr>
                <w:p w14:paraId="7E040BF4">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1"/>
                      <w:szCs w:val="21"/>
                    </w:rPr>
                    <w:t>NO</w:t>
                  </w:r>
                  <w:r>
                    <w:rPr>
                      <w:rFonts w:hint="default" w:ascii="Times New Roman" w:hAnsi="Times New Roman" w:eastAsia="宋体" w:cs="Times New Roman"/>
                      <w:color w:val="auto"/>
                      <w:kern w:val="0"/>
                      <w:sz w:val="21"/>
                      <w:szCs w:val="21"/>
                      <w:vertAlign w:val="subscript"/>
                    </w:rPr>
                    <w:t>2</w:t>
                  </w:r>
                </w:p>
              </w:tc>
              <w:tc>
                <w:tcPr>
                  <w:tcW w:w="1159" w:type="pct"/>
                  <w:vAlign w:val="center"/>
                </w:tcPr>
                <w:p w14:paraId="690DC438">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1"/>
                      <w:szCs w:val="21"/>
                    </w:rPr>
                    <w:t>年平均浓度</w:t>
                  </w:r>
                </w:p>
              </w:tc>
              <w:tc>
                <w:tcPr>
                  <w:tcW w:w="783" w:type="pct"/>
                  <w:vAlign w:val="center"/>
                </w:tcPr>
                <w:p w14:paraId="55FAFCCE">
                  <w:pPr>
                    <w:adjustRightInd w:val="0"/>
                    <w:snapToGrid w:val="0"/>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 w:val="21"/>
                      <w:szCs w:val="21"/>
                      <w:lang w:val="en-US" w:eastAsia="zh-CN"/>
                    </w:rPr>
                    <w:t>18</w:t>
                  </w:r>
                </w:p>
              </w:tc>
              <w:tc>
                <w:tcPr>
                  <w:tcW w:w="795" w:type="pct"/>
                  <w:vAlign w:val="center"/>
                </w:tcPr>
                <w:p w14:paraId="0DD641B2">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1"/>
                      <w:szCs w:val="21"/>
                    </w:rPr>
                    <w:t>40</w:t>
                  </w:r>
                </w:p>
              </w:tc>
              <w:tc>
                <w:tcPr>
                  <w:tcW w:w="777" w:type="pct"/>
                  <w:vAlign w:val="center"/>
                </w:tcPr>
                <w:p w14:paraId="75AE018E">
                  <w:pPr>
                    <w:keepNext w:val="0"/>
                    <w:keepLines w:val="0"/>
                    <w:widowControl/>
                    <w:suppressLineNumbers w:val="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45.0</w:t>
                  </w:r>
                </w:p>
              </w:tc>
              <w:tc>
                <w:tcPr>
                  <w:tcW w:w="833" w:type="pct"/>
                  <w:vAlign w:val="center"/>
                </w:tcPr>
                <w:p w14:paraId="4D108A35">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1"/>
                      <w:szCs w:val="21"/>
                    </w:rPr>
                    <w:t>达标</w:t>
                  </w:r>
                </w:p>
              </w:tc>
            </w:tr>
            <w:tr w14:paraId="541B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0" w:type="pct"/>
                  <w:vAlign w:val="center"/>
                </w:tcPr>
                <w:p w14:paraId="45CF6FBD">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1"/>
                      <w:szCs w:val="21"/>
                    </w:rPr>
                    <w:t>CO</w:t>
                  </w:r>
                </w:p>
              </w:tc>
              <w:tc>
                <w:tcPr>
                  <w:tcW w:w="1159" w:type="pct"/>
                  <w:vAlign w:val="center"/>
                </w:tcPr>
                <w:p w14:paraId="1F72935C">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1"/>
                      <w:szCs w:val="21"/>
                    </w:rPr>
                    <w:t>日平均第95百分位质量浓度</w:t>
                  </w:r>
                </w:p>
              </w:tc>
              <w:tc>
                <w:tcPr>
                  <w:tcW w:w="783" w:type="pct"/>
                  <w:vAlign w:val="center"/>
                </w:tcPr>
                <w:p w14:paraId="7D5A735C">
                  <w:pPr>
                    <w:adjustRightInd w:val="0"/>
                    <w:snapToGrid w:val="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 w:val="21"/>
                      <w:szCs w:val="21"/>
                      <w:lang w:val="en-US" w:eastAsia="zh-CN"/>
                    </w:rPr>
                    <w:t>0.9</w:t>
                  </w:r>
                  <w:r>
                    <w:rPr>
                      <w:rFonts w:hint="default" w:ascii="Times New Roman" w:hAnsi="Times New Roman" w:eastAsia="宋体" w:cs="Times New Roman"/>
                      <w:color w:val="auto"/>
                      <w:kern w:val="0"/>
                      <w:sz w:val="21"/>
                      <w:szCs w:val="21"/>
                    </w:rPr>
                    <w:t>mg/m</w:t>
                  </w:r>
                  <w:r>
                    <w:rPr>
                      <w:rFonts w:hint="default" w:ascii="Times New Roman" w:hAnsi="Times New Roman" w:eastAsia="宋体" w:cs="Times New Roman"/>
                      <w:color w:val="auto"/>
                      <w:kern w:val="0"/>
                      <w:sz w:val="21"/>
                      <w:szCs w:val="21"/>
                      <w:vertAlign w:val="superscript"/>
                    </w:rPr>
                    <w:t>3</w:t>
                  </w:r>
                </w:p>
              </w:tc>
              <w:tc>
                <w:tcPr>
                  <w:tcW w:w="795" w:type="pct"/>
                  <w:vAlign w:val="center"/>
                </w:tcPr>
                <w:p w14:paraId="46B0E6AB">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1"/>
                      <w:szCs w:val="21"/>
                    </w:rPr>
                    <w:t>4mg/m</w:t>
                  </w:r>
                  <w:r>
                    <w:rPr>
                      <w:rFonts w:hint="default" w:ascii="Times New Roman" w:hAnsi="Times New Roman" w:eastAsia="宋体" w:cs="Times New Roman"/>
                      <w:color w:val="auto"/>
                      <w:kern w:val="0"/>
                      <w:sz w:val="21"/>
                      <w:szCs w:val="21"/>
                      <w:vertAlign w:val="superscript"/>
                    </w:rPr>
                    <w:t>3</w:t>
                  </w:r>
                </w:p>
              </w:tc>
              <w:tc>
                <w:tcPr>
                  <w:tcW w:w="777" w:type="pct"/>
                  <w:vAlign w:val="center"/>
                </w:tcPr>
                <w:p w14:paraId="32809EB6">
                  <w:pPr>
                    <w:keepNext w:val="0"/>
                    <w:keepLines w:val="0"/>
                    <w:widowControl/>
                    <w:suppressLineNumbers w:val="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22.5</w:t>
                  </w:r>
                </w:p>
              </w:tc>
              <w:tc>
                <w:tcPr>
                  <w:tcW w:w="833" w:type="pct"/>
                  <w:vAlign w:val="center"/>
                </w:tcPr>
                <w:p w14:paraId="67A4AF50">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1"/>
                      <w:szCs w:val="21"/>
                    </w:rPr>
                    <w:t>达标</w:t>
                  </w:r>
                </w:p>
              </w:tc>
            </w:tr>
            <w:tr w14:paraId="6963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0" w:type="pct"/>
                  <w:vAlign w:val="center"/>
                </w:tcPr>
                <w:p w14:paraId="03177761">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1"/>
                      <w:szCs w:val="21"/>
                    </w:rPr>
                    <w:t>O</w:t>
                  </w:r>
                  <w:r>
                    <w:rPr>
                      <w:rFonts w:hint="default" w:ascii="Times New Roman" w:hAnsi="Times New Roman" w:eastAsia="宋体" w:cs="Times New Roman"/>
                      <w:color w:val="auto"/>
                      <w:kern w:val="0"/>
                      <w:sz w:val="21"/>
                      <w:szCs w:val="21"/>
                      <w:vertAlign w:val="subscript"/>
                    </w:rPr>
                    <w:t>3</w:t>
                  </w:r>
                </w:p>
              </w:tc>
              <w:tc>
                <w:tcPr>
                  <w:tcW w:w="1159" w:type="pct"/>
                  <w:vAlign w:val="center"/>
                </w:tcPr>
                <w:p w14:paraId="46801B66">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1"/>
                      <w:szCs w:val="21"/>
                    </w:rPr>
                    <w:t>日最大8小时平均第90百分位质量浓度</w:t>
                  </w:r>
                </w:p>
              </w:tc>
              <w:tc>
                <w:tcPr>
                  <w:tcW w:w="783" w:type="pct"/>
                  <w:vAlign w:val="center"/>
                </w:tcPr>
                <w:p w14:paraId="789A3700">
                  <w:pPr>
                    <w:adjustRightInd w:val="0"/>
                    <w:snapToGrid w:val="0"/>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 w:val="21"/>
                      <w:szCs w:val="21"/>
                      <w:lang w:val="en-US" w:eastAsia="zh-CN"/>
                    </w:rPr>
                    <w:t>170</w:t>
                  </w:r>
                </w:p>
              </w:tc>
              <w:tc>
                <w:tcPr>
                  <w:tcW w:w="795" w:type="pct"/>
                  <w:vAlign w:val="center"/>
                </w:tcPr>
                <w:p w14:paraId="15FCC8EE">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1"/>
                      <w:szCs w:val="21"/>
                    </w:rPr>
                    <w:t>160</w:t>
                  </w:r>
                </w:p>
              </w:tc>
              <w:tc>
                <w:tcPr>
                  <w:tcW w:w="777" w:type="pct"/>
                  <w:vAlign w:val="center"/>
                </w:tcPr>
                <w:p w14:paraId="4C022E3D">
                  <w:pPr>
                    <w:keepNext w:val="0"/>
                    <w:keepLines w:val="0"/>
                    <w:widowControl/>
                    <w:suppressLineNumbers w:val="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106.3</w:t>
                  </w:r>
                </w:p>
              </w:tc>
              <w:tc>
                <w:tcPr>
                  <w:tcW w:w="833" w:type="pct"/>
                  <w:vAlign w:val="center"/>
                </w:tcPr>
                <w:p w14:paraId="3E12B234">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1"/>
                      <w:szCs w:val="21"/>
                    </w:rPr>
                    <w:t>不达标</w:t>
                  </w:r>
                </w:p>
              </w:tc>
            </w:tr>
          </w:tbl>
          <w:p w14:paraId="782F5E89">
            <w:pPr>
              <w:spacing w:line="360" w:lineRule="auto"/>
              <w:ind w:firstLine="480" w:firstLineChars="200"/>
              <w:rPr>
                <w:sz w:val="24"/>
              </w:rPr>
            </w:pPr>
            <w:r>
              <w:rPr>
                <w:sz w:val="24"/>
              </w:rPr>
              <w:t>综上所述，区域内二氧化硫、二氧化氮年平均浓度均达标；CO的24小时平均第95百分位数浓度达标；可吸入颗粒物、细颗粒物年平均浓度均不达标，</w:t>
            </w:r>
            <w:r>
              <w:rPr>
                <w:rFonts w:hint="eastAsia"/>
                <w:sz w:val="24"/>
              </w:rPr>
              <w:t>O</w:t>
            </w:r>
            <w:r>
              <w:rPr>
                <w:rFonts w:hint="eastAsia"/>
                <w:sz w:val="24"/>
                <w:vertAlign w:val="subscript"/>
              </w:rPr>
              <w:t>3</w:t>
            </w:r>
            <w:r>
              <w:rPr>
                <w:sz w:val="24"/>
              </w:rPr>
              <w:t>日最大8小时平均值的第90百分位数不达标；由此判定项目所在区域为不达标区。</w:t>
            </w:r>
          </w:p>
          <w:p w14:paraId="76F950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针对区域环境空气质量不达标状况，宿州市生态环境保护委员会办公室于202</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lang w:val="en-US" w:eastAsia="zh-CN"/>
              </w:rPr>
              <w:t>12</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lang w:val="en-US" w:eastAsia="zh-CN"/>
              </w:rPr>
              <w:t>30</w:t>
            </w:r>
            <w:r>
              <w:rPr>
                <w:rFonts w:hint="default" w:ascii="Times New Roman" w:hAnsi="Times New Roman" w:eastAsia="宋体" w:cs="Times New Roman"/>
                <w:sz w:val="24"/>
                <w:szCs w:val="24"/>
              </w:rPr>
              <w:t>日印发了</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宿州市环境空气质量达标规划（2025-2030年）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文件，对各类污染物减排提出了具体的要求，以切实改善区域环境空气质量。</w:t>
            </w:r>
          </w:p>
          <w:p w14:paraId="5D784B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Cs/>
                <w:kern w:val="0"/>
                <w:sz w:val="24"/>
                <w:szCs w:val="24"/>
              </w:rPr>
              <w:t>根据</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宿州市环境空气质量达标规划（2025-2030年）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bCs/>
                <w:kern w:val="0"/>
                <w:sz w:val="24"/>
                <w:szCs w:val="24"/>
              </w:rPr>
              <w:t>：</w:t>
            </w:r>
            <w:r>
              <w:rPr>
                <w:rFonts w:hint="default" w:ascii="Times New Roman" w:hAnsi="Times New Roman" w:eastAsia="宋体" w:cs="Times New Roman"/>
                <w:sz w:val="24"/>
                <w:szCs w:val="24"/>
              </w:rPr>
              <w:t>近期目标2025年为短期规划年，以减排污染物为核心，开展多种源的污染防治，大气污染物排放量得到有效控制。，实现PM</w:t>
            </w:r>
            <w:r>
              <w:rPr>
                <w:rFonts w:hint="default" w:ascii="Times New Roman" w:hAnsi="Times New Roman" w:eastAsia="宋体" w:cs="Times New Roman"/>
                <w:sz w:val="24"/>
                <w:szCs w:val="24"/>
                <w:vertAlign w:val="subscript"/>
              </w:rPr>
              <w:t>2.5</w:t>
            </w:r>
            <w:r>
              <w:rPr>
                <w:rFonts w:hint="default" w:ascii="Times New Roman" w:hAnsi="Times New Roman" w:eastAsia="宋体" w:cs="Times New Roman"/>
                <w:sz w:val="24"/>
                <w:szCs w:val="24"/>
              </w:rPr>
              <w:t>全面达标，年均值浓度小于等于39微克/立方米，优良率高于75%，重污染天数小于等于3天，大气环境质量呈改善态势。——中期目标2027年为中期规划年，通过宏观手段从源头减少污染物，实施联防联控，全面深化污染防治，大气污染物排放总量持续稳定下降，实现空气质量持续改善，O</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4"/>
                <w:szCs w:val="24"/>
              </w:rPr>
              <w:t>日最大8小时平均值的第90百分位数达到国家二级标准要求，PM</w:t>
            </w:r>
            <w:r>
              <w:rPr>
                <w:rFonts w:hint="default" w:ascii="Times New Roman" w:hAnsi="Times New Roman" w:eastAsia="宋体" w:cs="Times New Roman"/>
                <w:sz w:val="24"/>
                <w:szCs w:val="24"/>
                <w:vertAlign w:val="subscript"/>
              </w:rPr>
              <w:t>10</w:t>
            </w:r>
            <w:r>
              <w:rPr>
                <w:rFonts w:hint="default" w:ascii="Times New Roman" w:hAnsi="Times New Roman" w:eastAsia="宋体" w:cs="Times New Roman"/>
                <w:sz w:val="24"/>
                <w:szCs w:val="24"/>
              </w:rPr>
              <w:t>和PM</w:t>
            </w:r>
            <w:r>
              <w:rPr>
                <w:rFonts w:hint="default" w:ascii="Times New Roman" w:hAnsi="Times New Roman" w:eastAsia="宋体" w:cs="Times New Roman"/>
                <w:sz w:val="24"/>
                <w:szCs w:val="24"/>
                <w:vertAlign w:val="subscript"/>
              </w:rPr>
              <w:t>2.5</w:t>
            </w:r>
            <w:r>
              <w:rPr>
                <w:rFonts w:hint="default" w:ascii="Times New Roman" w:hAnsi="Times New Roman" w:eastAsia="宋体" w:cs="Times New Roman"/>
                <w:sz w:val="24"/>
                <w:szCs w:val="24"/>
              </w:rPr>
              <w:t>年均值浓度分别下降到60微克/立方米和37微克/立方米。——长期目标2030年长期目标:空气质量全面达标，基本消除人为造成的重度及以上污染天。PM</w:t>
            </w:r>
            <w:r>
              <w:rPr>
                <w:rFonts w:hint="default" w:ascii="Times New Roman" w:hAnsi="Times New Roman" w:eastAsia="宋体" w:cs="Times New Roman"/>
                <w:sz w:val="24"/>
                <w:szCs w:val="24"/>
                <w:vertAlign w:val="subscript"/>
              </w:rPr>
              <w:t>10</w:t>
            </w:r>
            <w:r>
              <w:rPr>
                <w:rFonts w:hint="default" w:ascii="Times New Roman" w:hAnsi="Times New Roman" w:eastAsia="宋体" w:cs="Times New Roman"/>
                <w:sz w:val="24"/>
                <w:szCs w:val="24"/>
              </w:rPr>
              <w:t>和PM</w:t>
            </w:r>
            <w:r>
              <w:rPr>
                <w:rFonts w:hint="default" w:ascii="Times New Roman" w:hAnsi="Times New Roman" w:eastAsia="宋体" w:cs="Times New Roman"/>
                <w:sz w:val="24"/>
                <w:szCs w:val="24"/>
                <w:vertAlign w:val="subscript"/>
              </w:rPr>
              <w:t>2.5</w:t>
            </w:r>
            <w:r>
              <w:rPr>
                <w:rFonts w:hint="default" w:ascii="Times New Roman" w:hAnsi="Times New Roman" w:eastAsia="宋体" w:cs="Times New Roman"/>
                <w:sz w:val="24"/>
                <w:szCs w:val="24"/>
              </w:rPr>
              <w:t>年均值浓度分别下降到50微克/立方米和35微克/立方米。</w:t>
            </w:r>
          </w:p>
          <w:p w14:paraId="63BFC4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kern w:val="0"/>
                <w:sz w:val="24"/>
                <w:szCs w:val="24"/>
                <w:lang w:val="en-US" w:eastAsia="zh-CN"/>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宿州市环境空气质量达标规划（2025-2030年）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bCs/>
                <w:kern w:val="0"/>
                <w:sz w:val="24"/>
                <w:szCs w:val="24"/>
              </w:rPr>
              <w:t>提出，优化调整产业结构，推动空间布局合理化</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bCs/>
                <w:kern w:val="0"/>
                <w:sz w:val="24"/>
                <w:szCs w:val="24"/>
              </w:rPr>
              <w:t>强化“散乱污”企业及集群综合整治</w:t>
            </w:r>
            <w:r>
              <w:rPr>
                <w:rFonts w:hint="default" w:ascii="Times New Roman" w:hAnsi="Times New Roman" w:eastAsia="宋体" w:cs="Times New Roman"/>
                <w:bCs/>
                <w:kern w:val="0"/>
                <w:sz w:val="24"/>
                <w:szCs w:val="24"/>
                <w:lang w:eastAsia="zh-CN"/>
              </w:rPr>
              <w:t>、</w:t>
            </w:r>
            <w:r>
              <w:rPr>
                <w:rFonts w:hint="default" w:ascii="Times New Roman" w:hAnsi="Times New Roman" w:eastAsia="宋体" w:cs="Times New Roman"/>
                <w:bCs/>
                <w:kern w:val="0"/>
                <w:sz w:val="24"/>
                <w:szCs w:val="24"/>
              </w:rPr>
              <w:t>开展燃煤锅炉综合整治</w:t>
            </w:r>
            <w:r>
              <w:rPr>
                <w:rFonts w:hint="default" w:ascii="Times New Roman" w:hAnsi="Times New Roman" w:eastAsia="宋体" w:cs="Times New Roman"/>
                <w:bCs/>
                <w:kern w:val="0"/>
                <w:sz w:val="24"/>
                <w:szCs w:val="24"/>
                <w:lang w:eastAsia="zh-CN"/>
              </w:rPr>
              <w:t>、</w:t>
            </w:r>
            <w:r>
              <w:rPr>
                <w:rFonts w:hint="default" w:ascii="Times New Roman" w:hAnsi="Times New Roman" w:eastAsia="宋体" w:cs="Times New Roman"/>
                <w:bCs/>
                <w:kern w:val="0"/>
                <w:sz w:val="24"/>
                <w:szCs w:val="24"/>
              </w:rPr>
              <w:t>加快发展清洁能源和新能源</w:t>
            </w:r>
            <w:r>
              <w:rPr>
                <w:rFonts w:hint="default" w:ascii="Times New Roman" w:hAnsi="Times New Roman" w:eastAsia="宋体" w:cs="Times New Roman"/>
                <w:bCs/>
                <w:kern w:val="0"/>
                <w:sz w:val="24"/>
                <w:szCs w:val="24"/>
                <w:lang w:eastAsia="zh-CN"/>
              </w:rPr>
              <w:t>、</w:t>
            </w:r>
            <w:r>
              <w:rPr>
                <w:rFonts w:hint="default" w:ascii="Times New Roman" w:hAnsi="Times New Roman" w:eastAsia="宋体" w:cs="Times New Roman"/>
                <w:bCs/>
                <w:kern w:val="0"/>
                <w:sz w:val="24"/>
                <w:szCs w:val="24"/>
              </w:rPr>
              <w:t>提高能源利用效率</w:t>
            </w:r>
            <w:r>
              <w:rPr>
                <w:rFonts w:hint="default" w:ascii="Times New Roman" w:hAnsi="Times New Roman" w:eastAsia="宋体" w:cs="Times New Roman"/>
                <w:bCs/>
                <w:kern w:val="0"/>
                <w:sz w:val="24"/>
                <w:szCs w:val="24"/>
                <w:lang w:eastAsia="zh-CN"/>
              </w:rPr>
              <w:t>、</w:t>
            </w:r>
            <w:r>
              <w:rPr>
                <w:rFonts w:hint="default" w:ascii="Times New Roman" w:hAnsi="Times New Roman" w:eastAsia="宋体" w:cs="Times New Roman"/>
                <w:bCs/>
                <w:kern w:val="0"/>
                <w:sz w:val="24"/>
                <w:szCs w:val="24"/>
              </w:rPr>
              <w:t>优化调整运输结构，实现移动源排放减量化</w:t>
            </w:r>
            <w:r>
              <w:rPr>
                <w:rFonts w:hint="default" w:ascii="Times New Roman" w:hAnsi="Times New Roman" w:eastAsia="宋体" w:cs="Times New Roman"/>
                <w:bCs/>
                <w:kern w:val="0"/>
                <w:sz w:val="24"/>
                <w:szCs w:val="24"/>
                <w:lang w:eastAsia="zh-CN"/>
              </w:rPr>
              <w:t>、</w:t>
            </w:r>
            <w:r>
              <w:rPr>
                <w:rFonts w:hint="default" w:ascii="Times New Roman" w:hAnsi="Times New Roman" w:eastAsia="宋体" w:cs="Times New Roman"/>
                <w:bCs/>
                <w:sz w:val="24"/>
                <w:szCs w:val="24"/>
                <w:lang w:val="zh-CN"/>
              </w:rPr>
              <w:t>排污许可制全面落实、工业污染源全面达标排放控制、建立挥发性有机化合物排放重点企业监管台账、推进源头替代、全面落实标准要求，强化无组织排放控制、</w:t>
            </w:r>
            <w:r>
              <w:rPr>
                <w:rFonts w:hint="default" w:ascii="Times New Roman" w:hAnsi="Times New Roman" w:eastAsia="宋体" w:cs="Times New Roman"/>
                <w:bCs/>
                <w:kern w:val="0"/>
                <w:sz w:val="24"/>
                <w:szCs w:val="24"/>
                <w:lang w:eastAsia="zh-CN"/>
              </w:rPr>
              <w:t>加强城乡面源排放精细化控制、强化重污染天气应急管控、加强大气污染源排放管理能力建设</w:t>
            </w:r>
            <w:r>
              <w:rPr>
                <w:rFonts w:hint="default" w:ascii="Times New Roman" w:hAnsi="Times New Roman" w:eastAsia="宋体" w:cs="Times New Roman"/>
                <w:bCs/>
                <w:kern w:val="0"/>
                <w:sz w:val="24"/>
                <w:szCs w:val="24"/>
                <w:lang w:val="en-US" w:eastAsia="zh-CN"/>
              </w:rPr>
              <w:t>等工作任务和治理措施。</w:t>
            </w:r>
          </w:p>
          <w:p w14:paraId="14FC565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重点工程项目</w:t>
            </w:r>
            <w:r>
              <w:rPr>
                <w:rFonts w:hint="default" w:ascii="Times New Roman" w:hAnsi="Times New Roman" w:eastAsia="宋体" w:cs="Times New Roman"/>
                <w:sz w:val="24"/>
                <w:szCs w:val="24"/>
              </w:rPr>
              <w:t>包括产业结构调整、能源结构调整、运输结构调整、用地结构调整等。</w:t>
            </w:r>
          </w:p>
          <w:p w14:paraId="165E5B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产业结构调整方面，推进2310家“散乱污”企业清理整顿和提升工作，深化了6家煤矿（祁东矿、祁南矿、桃园矿、芦岭矿、朱仙庄矿、钱营孜矿）、2家水泥企业（天瑞、海螺）、59家砖瓦窑等重点行业无组织排放的排查整治；推进6家省级工业园区集中供热或清洁能源供热建设。</w:t>
            </w:r>
          </w:p>
          <w:p w14:paraId="50D0B1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能源结构调整方面，散煤治理1.9万户，煤改气3万户，建设3个清洁煤生产企业，推广洁净煤替代散煤，替代20个乡镇原煤使用。燃煤锅炉超低排放改造3台108蒸吨，35蒸吨以上锅炉全部完成超低排放改造，建立生物质锅炉清单、取缔埇桥区符离、顺河乡等16家生物质锅炉，其他生物质锅炉实施高效除尘改造。</w:t>
            </w:r>
          </w:p>
          <w:p w14:paraId="28881C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交通运输结构调整方面，推进符夹铁路、阜淮徐城际铁路的建设。研究推进大宗货物“公转铁”。新增公交、环卫、邮政、出租、通勤、轻型城市物流车辆中新能源车比例达到80%。完成省政府下达的淘汰国3营运柴油货车淘汰任务。推广使用电动、天然气等清洁能源。强化油品质量监管，实现全市加油站（点）抽检车用汽柴油年度全覆盖；推进“油改气”出租车尾气达标检验（燃气状态时检验），未达标车辆逐步淘汰。</w:t>
            </w:r>
          </w:p>
          <w:p w14:paraId="124518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用地结构调整方面，对全市74家非煤矿山进行生态修复，严格落实施工工地“六个百分之百”要求。完善全市施工工地扬尘管控清单，每月动态更新，实施综合督查考核。市区道路机械化清扫率达到100%，县城建成区达到86%。严格渣土运输车辆规范化管理，市、区两级城管，严厉查处、顶格处罚违规渣土运输行为。纳入名录管理的渣土运输车辆的密闭化率、卫星定位系统安装率均达到100%；全面清理城乡结合部以及城中村拆迁的渣土和建筑垃圾。各县（区）降尘量不高于5吨/月•平方公里。建立网格化监管制度，在秋收阶段开展秸秆禁烧专项巡查。秸秆综合利用率达到89%。</w:t>
            </w:r>
          </w:p>
          <w:p w14:paraId="5145FC17">
            <w:pPr>
              <w:pStyle w:val="12"/>
              <w:numPr>
                <w:ilvl w:val="0"/>
                <w:numId w:val="0"/>
              </w:numPr>
              <w:spacing w:before="0" w:after="0" w:line="360" w:lineRule="auto"/>
              <w:ind w:right="113" w:rightChars="0"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地表水环境质量现状</w:t>
            </w:r>
          </w:p>
          <w:p w14:paraId="2E1DA1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根据</w:t>
            </w:r>
            <w:r>
              <w:rPr>
                <w:rFonts w:hint="eastAsia" w:ascii="Times New Roman" w:hAnsi="Times New Roman" w:eastAsia="宋体" w:cs="Times New Roman"/>
                <w:sz w:val="24"/>
                <w:szCs w:val="24"/>
              </w:rPr>
              <w:t>《宿州市2024年环境质量状况报告》</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2024年，宿州市水环境质量稳中向好、稳中趋优。全市13个地表水国家考核断面中10个水质达到Ⅲ类，水质优良比例为76.9%，较上一年同比提升7.7个百分点，超额完成省厅下达的年度力争考核目标；10个地表水省考核断面中5个断面水质为Ⅲ类，水质优良比例为50%，超出省年度考核目标20个百分点。9个县级及以上集中式饮用水水源地水质达标率保持100%，切实保障了市民“水缸子”的安全，让群众喝上放心水。</w:t>
            </w:r>
          </w:p>
          <w:p w14:paraId="15E1EE1D">
            <w:pPr>
              <w:spacing w:line="360" w:lineRule="auto"/>
              <w:ind w:left="420" w:left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3、声环境质量现状</w:t>
            </w:r>
          </w:p>
          <w:p w14:paraId="53D7A539">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本项目厂界外周边50米范围内不存在声环境保护目标，因此无需进行声环境现状监测。</w:t>
            </w:r>
          </w:p>
          <w:p w14:paraId="398CEE5B">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4、生态环境质量现状</w:t>
            </w:r>
          </w:p>
          <w:p w14:paraId="3296A33F">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w:t>
            </w:r>
            <w:r>
              <w:rPr>
                <w:rFonts w:hint="eastAsia" w:cs="Times New Roman"/>
                <w:color w:val="000000" w:themeColor="text1"/>
                <w:sz w:val="24"/>
                <w:lang w:val="en-US" w:eastAsia="zh-CN"/>
                <w14:textFill>
                  <w14:solidFill>
                    <w14:schemeClr w14:val="tx1"/>
                  </w14:solidFill>
                </w14:textFill>
              </w:rPr>
              <w:t>用地</w:t>
            </w:r>
            <w:r>
              <w:rPr>
                <w:rFonts w:hint="default" w:ascii="Times New Roman" w:hAnsi="Times New Roman" w:cs="Times New Roman"/>
                <w:color w:val="000000" w:themeColor="text1"/>
                <w:sz w:val="24"/>
                <w14:textFill>
                  <w14:solidFill>
                    <w14:schemeClr w14:val="tx1"/>
                  </w14:solidFill>
                </w14:textFill>
              </w:rPr>
              <w:t>属于</w:t>
            </w:r>
            <w:r>
              <w:rPr>
                <w:rFonts w:hint="eastAsia"/>
                <w:color w:val="000000" w:themeColor="text1"/>
                <w:sz w:val="24"/>
                <w:lang w:val="en-US" w:eastAsia="zh-CN"/>
                <w14:textFill>
                  <w14:solidFill>
                    <w14:schemeClr w14:val="tx1"/>
                  </w14:solidFill>
                </w14:textFill>
              </w:rPr>
              <w:t>工业用地</w:t>
            </w:r>
            <w:r>
              <w:rPr>
                <w:rFonts w:hint="default" w:ascii="Times New Roman" w:hAnsi="Times New Roman" w:cs="Times New Roman"/>
                <w:color w:val="000000" w:themeColor="text1"/>
                <w:sz w:val="24"/>
                <w14:textFill>
                  <w14:solidFill>
                    <w14:schemeClr w14:val="tx1"/>
                  </w14:solidFill>
                </w14:textFill>
              </w:rPr>
              <w:t>，用地范围内不含生态环境保护目标，因此无需进行生态现状调查。</w:t>
            </w:r>
          </w:p>
          <w:p w14:paraId="02FDF689">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5、电磁辐射质量现状</w:t>
            </w:r>
          </w:p>
          <w:p w14:paraId="765C3A0E">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本项目不属于电磁辐射类项目。</w:t>
            </w:r>
          </w:p>
          <w:p w14:paraId="625C24EA">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6、地下水、土壤环境质量现状</w:t>
            </w:r>
          </w:p>
          <w:p w14:paraId="44CD74BE">
            <w:pPr>
              <w:adjustRightInd w:val="0"/>
              <w:snapToGrid w:val="0"/>
              <w:spacing w:line="360" w:lineRule="auto"/>
              <w:ind w:firstLine="48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本项目厂界外500米范围内无地下水集中式饮用水水源和热水、矿泉水、温泉等特殊地下水资源。</w:t>
            </w:r>
          </w:p>
        </w:tc>
      </w:tr>
      <w:tr w14:paraId="28B164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800" w:type="dxa"/>
            <w:vAlign w:val="center"/>
          </w:tcPr>
          <w:p w14:paraId="16F6467E">
            <w:pPr>
              <w:adjustRightInd w:val="0"/>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环境</w:t>
            </w:r>
          </w:p>
          <w:p w14:paraId="57D5EC90">
            <w:pPr>
              <w:adjustRightInd w:val="0"/>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保护</w:t>
            </w:r>
          </w:p>
          <w:p w14:paraId="558B9F05">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目标</w:t>
            </w:r>
          </w:p>
        </w:tc>
        <w:tc>
          <w:tcPr>
            <w:tcW w:w="8190" w:type="dxa"/>
            <w:vAlign w:val="center"/>
          </w:tcPr>
          <w:p w14:paraId="58E73C32">
            <w:pPr>
              <w:adjustRightInd w:val="0"/>
              <w:snapToGrid w:val="0"/>
              <w:spacing w:line="360" w:lineRule="auto"/>
              <w:ind w:firstLine="480" w:firstLineChars="200"/>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1、大气环境</w:t>
            </w:r>
          </w:p>
          <w:p w14:paraId="4DFDD1C7">
            <w:pPr>
              <w:adjustRightInd w:val="0"/>
              <w:snapToGrid w:val="0"/>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本项目评价范围内无自然保护区、风景旅游点和文物古迹等需要特殊保护的环境敏感对象。</w:t>
            </w:r>
          </w:p>
          <w:p w14:paraId="07893594">
            <w:pPr>
              <w:adjustRightInd w:val="0"/>
              <w:snapToGrid w:val="0"/>
              <w:spacing w:line="360" w:lineRule="auto"/>
              <w:ind w:firstLine="480" w:firstLineChars="200"/>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2、地表水环境</w:t>
            </w:r>
          </w:p>
          <w:p w14:paraId="76A0DA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表3-</w:t>
            </w:r>
            <w:r>
              <w:rPr>
                <w:rFonts w:hint="eastAsia" w:cs="Times New Roman"/>
                <w:b/>
                <w:color w:val="000000" w:themeColor="text1"/>
                <w:sz w:val="24"/>
                <w:lang w:val="en-US" w:eastAsia="zh-CN"/>
                <w14:textFill>
                  <w14:solidFill>
                    <w14:schemeClr w14:val="tx1"/>
                  </w14:solidFill>
                </w14:textFill>
              </w:rPr>
              <w:t>2</w:t>
            </w:r>
            <w:r>
              <w:rPr>
                <w:rFonts w:hint="default" w:ascii="Times New Roman" w:hAnsi="Times New Roman" w:cs="Times New Roman"/>
                <w:b/>
                <w:color w:val="000000" w:themeColor="text1"/>
                <w:sz w:val="24"/>
                <w14:textFill>
                  <w14:solidFill>
                    <w14:schemeClr w14:val="tx1"/>
                  </w14:solidFill>
                </w14:textFill>
              </w:rPr>
              <w:t xml:space="preserve"> 水环境保护目标一览表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23"/>
              <w:gridCol w:w="1466"/>
              <w:gridCol w:w="1467"/>
              <w:gridCol w:w="1467"/>
              <w:gridCol w:w="2441"/>
            </w:tblGrid>
            <w:tr w14:paraId="1C7F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123" w:type="dxa"/>
                  <w:vAlign w:val="center"/>
                </w:tcPr>
                <w:p w14:paraId="35620455">
                  <w:pPr>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环境要素</w:t>
                  </w:r>
                </w:p>
              </w:tc>
              <w:tc>
                <w:tcPr>
                  <w:tcW w:w="1466" w:type="dxa"/>
                  <w:vAlign w:val="center"/>
                </w:tcPr>
                <w:p w14:paraId="602D855D">
                  <w:pPr>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环境保护对象</w:t>
                  </w:r>
                </w:p>
                <w:p w14:paraId="676D9B9D">
                  <w:pPr>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名称</w:t>
                  </w:r>
                </w:p>
              </w:tc>
              <w:tc>
                <w:tcPr>
                  <w:tcW w:w="1467" w:type="dxa"/>
                  <w:vAlign w:val="center"/>
                </w:tcPr>
                <w:p w14:paraId="09A38B27">
                  <w:pPr>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方位/距离(m)</w:t>
                  </w:r>
                </w:p>
              </w:tc>
              <w:tc>
                <w:tcPr>
                  <w:tcW w:w="1467" w:type="dxa"/>
                  <w:vAlign w:val="center"/>
                </w:tcPr>
                <w:p w14:paraId="70DA2971">
                  <w:pPr>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规模</w:t>
                  </w:r>
                </w:p>
              </w:tc>
              <w:tc>
                <w:tcPr>
                  <w:tcW w:w="2441" w:type="dxa"/>
                  <w:vAlign w:val="center"/>
                </w:tcPr>
                <w:p w14:paraId="629595BC">
                  <w:pPr>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保护目标</w:t>
                  </w:r>
                </w:p>
              </w:tc>
            </w:tr>
            <w:tr w14:paraId="76E2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1123" w:type="dxa"/>
                  <w:vAlign w:val="center"/>
                </w:tcPr>
                <w:p w14:paraId="0AE9AD66">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地表水</w:t>
                  </w:r>
                </w:p>
              </w:tc>
              <w:tc>
                <w:tcPr>
                  <w:tcW w:w="1466" w:type="dxa"/>
                  <w:vAlign w:val="center"/>
                </w:tcPr>
                <w:p w14:paraId="0C7F1589">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lang w:val="en-US" w:eastAsia="zh-CN"/>
                    </w:rPr>
                    <w:t>石梁河</w:t>
                  </w:r>
                </w:p>
              </w:tc>
              <w:tc>
                <w:tcPr>
                  <w:tcW w:w="1467" w:type="dxa"/>
                  <w:vAlign w:val="center"/>
                </w:tcPr>
                <w:p w14:paraId="073F9764">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东南2179</w:t>
                  </w:r>
                </w:p>
              </w:tc>
              <w:tc>
                <w:tcPr>
                  <w:tcW w:w="1467" w:type="dxa"/>
                  <w:vAlign w:val="center"/>
                </w:tcPr>
                <w:p w14:paraId="74A85221">
                  <w:pPr>
                    <w:jc w:val="center"/>
                    <w:rPr>
                      <w:rFonts w:hint="default" w:ascii="Times New Roman" w:hAnsi="Times New Roman" w:cs="Times New Roman"/>
                      <w:color w:val="000000" w:themeColor="text1"/>
                      <w:szCs w:val="21"/>
                      <w14:textFill>
                        <w14:solidFill>
                          <w14:schemeClr w14:val="tx1"/>
                        </w14:solidFill>
                      </w14:textFill>
                    </w:rPr>
                  </w:pPr>
                  <w:r>
                    <w:rPr>
                      <w:rFonts w:hint="eastAsia" w:cs="Times New Roman"/>
                      <w:color w:val="000000" w:themeColor="text1"/>
                      <w:lang w:val="en-US" w:eastAsia="zh-CN"/>
                      <w14:textFill>
                        <w14:solidFill>
                          <w14:schemeClr w14:val="tx1"/>
                        </w14:solidFill>
                      </w14:textFill>
                    </w:rPr>
                    <w:t>小型</w:t>
                  </w:r>
                </w:p>
              </w:tc>
              <w:tc>
                <w:tcPr>
                  <w:tcW w:w="2441" w:type="dxa"/>
                  <w:vAlign w:val="center"/>
                </w:tcPr>
                <w:p w14:paraId="1D3FBFDE">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《地表水环境质量标准》（GB3838-2002）</w:t>
                  </w:r>
                  <w:r>
                    <w:rPr>
                      <w:color w:val="000000"/>
                      <w:sz w:val="21"/>
                      <w:szCs w:val="21"/>
                    </w:rPr>
                    <w:t>Ⅲ</w:t>
                  </w:r>
                  <w:r>
                    <w:rPr>
                      <w:rFonts w:hint="default" w:ascii="Times New Roman" w:hAnsi="Times New Roman" w:cs="Times New Roman"/>
                      <w:color w:val="000000" w:themeColor="text1"/>
                      <w:szCs w:val="21"/>
                      <w14:textFill>
                        <w14:solidFill>
                          <w14:schemeClr w14:val="tx1"/>
                        </w14:solidFill>
                      </w14:textFill>
                    </w:rPr>
                    <w:t>类</w:t>
                  </w:r>
                </w:p>
              </w:tc>
            </w:tr>
          </w:tbl>
          <w:p w14:paraId="573CB950">
            <w:pPr>
              <w:adjustRightInd w:val="0"/>
              <w:snapToGrid w:val="0"/>
              <w:spacing w:line="360" w:lineRule="auto"/>
              <w:ind w:firstLine="480" w:firstLineChars="200"/>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lang w:val="en-US" w:eastAsia="zh-CN"/>
                <w14:textFill>
                  <w14:solidFill>
                    <w14:schemeClr w14:val="tx1"/>
                  </w14:solidFill>
                </w14:textFill>
              </w:rPr>
              <w:t>3</w:t>
            </w:r>
            <w:r>
              <w:rPr>
                <w:rFonts w:hint="default" w:ascii="Times New Roman" w:hAnsi="Times New Roman" w:cs="Times New Roman"/>
                <w:color w:val="000000" w:themeColor="text1"/>
                <w:kern w:val="0"/>
                <w:sz w:val="24"/>
                <w14:textFill>
                  <w14:solidFill>
                    <w14:schemeClr w14:val="tx1"/>
                  </w14:solidFill>
                </w14:textFill>
              </w:rPr>
              <w:t>、地</w:t>
            </w:r>
            <w:r>
              <w:rPr>
                <w:rFonts w:hint="default" w:ascii="Times New Roman" w:hAnsi="Times New Roman" w:cs="Times New Roman"/>
                <w:color w:val="000000" w:themeColor="text1"/>
                <w:kern w:val="0"/>
                <w:sz w:val="24"/>
                <w:lang w:val="en-US" w:eastAsia="zh-CN"/>
                <w14:textFill>
                  <w14:solidFill>
                    <w14:schemeClr w14:val="tx1"/>
                  </w14:solidFill>
                </w14:textFill>
              </w:rPr>
              <w:t>下</w:t>
            </w:r>
            <w:r>
              <w:rPr>
                <w:rFonts w:hint="default" w:ascii="Times New Roman" w:hAnsi="Times New Roman" w:cs="Times New Roman"/>
                <w:color w:val="000000" w:themeColor="text1"/>
                <w:kern w:val="0"/>
                <w:sz w:val="24"/>
                <w14:textFill>
                  <w14:solidFill>
                    <w14:schemeClr w14:val="tx1"/>
                  </w14:solidFill>
                </w14:textFill>
              </w:rPr>
              <w:t>水环境</w:t>
            </w:r>
          </w:p>
          <w:p w14:paraId="36F76CEC">
            <w:pPr>
              <w:adjustRightInd w:val="0"/>
              <w:snapToGrid w:val="0"/>
              <w:spacing w:line="360" w:lineRule="auto"/>
              <w:ind w:firstLine="480" w:firstLineChars="200"/>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lang w:val="en-US" w:eastAsia="zh-CN"/>
                <w14:textFill>
                  <w14:solidFill>
                    <w14:schemeClr w14:val="tx1"/>
                  </w14:solidFill>
                </w14:textFill>
              </w:rPr>
              <w:t>项目</w:t>
            </w:r>
            <w:r>
              <w:rPr>
                <w:rFonts w:hint="default" w:ascii="Times New Roman" w:hAnsi="Times New Roman" w:cs="Times New Roman"/>
                <w:color w:val="000000" w:themeColor="text1"/>
                <w:kern w:val="0"/>
                <w:sz w:val="24"/>
                <w14:textFill>
                  <w14:solidFill>
                    <w14:schemeClr w14:val="tx1"/>
                  </w14:solidFill>
                </w14:textFill>
              </w:rPr>
              <w:t>厂界外500米范围内的地下水集中式饮用水水源和热水、矿泉水、温泉等特殊地下水资源。</w:t>
            </w:r>
          </w:p>
          <w:p w14:paraId="1DE93719">
            <w:pPr>
              <w:adjustRightInd w:val="0"/>
              <w:snapToGrid w:val="0"/>
              <w:spacing w:line="360" w:lineRule="auto"/>
              <w:ind w:firstLine="480" w:firstLineChars="200"/>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lang w:val="en-US" w:eastAsia="zh-CN"/>
                <w14:textFill>
                  <w14:solidFill>
                    <w14:schemeClr w14:val="tx1"/>
                  </w14:solidFill>
                </w14:textFill>
              </w:rPr>
              <w:t>4</w:t>
            </w:r>
            <w:r>
              <w:rPr>
                <w:rFonts w:hint="default" w:ascii="Times New Roman" w:hAnsi="Times New Roman" w:cs="Times New Roman"/>
                <w:color w:val="000000" w:themeColor="text1"/>
                <w:kern w:val="0"/>
                <w:sz w:val="24"/>
                <w14:textFill>
                  <w14:solidFill>
                    <w14:schemeClr w14:val="tx1"/>
                  </w14:solidFill>
                </w14:textFill>
              </w:rPr>
              <w:t>、声环境</w:t>
            </w:r>
          </w:p>
          <w:p w14:paraId="6E13E0C6">
            <w:pPr>
              <w:adjustRightInd w:val="0"/>
              <w:snapToGrid w:val="0"/>
              <w:spacing w:line="360" w:lineRule="auto"/>
              <w:ind w:firstLine="480" w:firstLineChars="200"/>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w:t>
            </w:r>
            <w:r>
              <w:rPr>
                <w:rFonts w:hint="default" w:ascii="Times New Roman" w:hAnsi="Times New Roman" w:cs="Times New Roman"/>
                <w:color w:val="000000" w:themeColor="text1"/>
                <w:kern w:val="0"/>
                <w:sz w:val="24"/>
                <w14:textFill>
                  <w14:solidFill>
                    <w14:schemeClr w14:val="tx1"/>
                  </w14:solidFill>
                </w14:textFill>
              </w:rPr>
              <w:t>项目</w:t>
            </w:r>
            <w:r>
              <w:rPr>
                <w:rFonts w:hint="default" w:ascii="Times New Roman" w:hAnsi="Times New Roman" w:cs="Times New Roman"/>
                <w:color w:val="000000" w:themeColor="text1"/>
                <w:sz w:val="24"/>
                <w14:textFill>
                  <w14:solidFill>
                    <w14:schemeClr w14:val="tx1"/>
                  </w14:solidFill>
                </w14:textFill>
              </w:rPr>
              <w:t>周边</w:t>
            </w:r>
            <w:r>
              <w:rPr>
                <w:rFonts w:hint="default" w:ascii="Times New Roman" w:hAnsi="Times New Roman" w:cs="Times New Roman"/>
                <w:color w:val="000000" w:themeColor="text1"/>
                <w:kern w:val="0"/>
                <w:sz w:val="24"/>
                <w14:textFill>
                  <w14:solidFill>
                    <w14:schemeClr w14:val="tx1"/>
                  </w14:solidFill>
                </w14:textFill>
              </w:rPr>
              <w:t>50m范围内无</w:t>
            </w:r>
            <w:r>
              <w:rPr>
                <w:rFonts w:hint="default" w:ascii="Times New Roman" w:hAnsi="Times New Roman" w:cs="Times New Roman"/>
                <w:color w:val="000000" w:themeColor="text1"/>
                <w:sz w:val="24"/>
                <w14:textFill>
                  <w14:solidFill>
                    <w14:schemeClr w14:val="tx1"/>
                  </w14:solidFill>
                </w14:textFill>
              </w:rPr>
              <w:t>声</w:t>
            </w:r>
            <w:r>
              <w:rPr>
                <w:rFonts w:hint="default" w:ascii="Times New Roman" w:hAnsi="Times New Roman" w:cs="Times New Roman"/>
                <w:color w:val="000000" w:themeColor="text1"/>
                <w:kern w:val="0"/>
                <w:sz w:val="24"/>
                <w14:textFill>
                  <w14:solidFill>
                    <w14:schemeClr w14:val="tx1"/>
                  </w14:solidFill>
                </w14:textFill>
              </w:rPr>
              <w:t>环境保护目标。</w:t>
            </w:r>
          </w:p>
          <w:p w14:paraId="422E4D93">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5</w:t>
            </w:r>
            <w:r>
              <w:rPr>
                <w:rFonts w:hint="default" w:ascii="Times New Roman" w:hAnsi="Times New Roman" w:cs="Times New Roman"/>
                <w:color w:val="000000" w:themeColor="text1"/>
                <w:sz w:val="24"/>
                <w14:textFill>
                  <w14:solidFill>
                    <w14:schemeClr w14:val="tx1"/>
                  </w14:solidFill>
                </w14:textFill>
              </w:rPr>
              <w:t>、生态环境</w:t>
            </w:r>
          </w:p>
          <w:p w14:paraId="3ED02E39">
            <w:pPr>
              <w:adjustRightInd w:val="0"/>
              <w:snapToGrid w:val="0"/>
              <w:spacing w:line="360" w:lineRule="auto"/>
              <w:ind w:firstLine="480" w:firstLineChars="20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本项目用地属于工业用地，用地范围内不含生态环境保护目标。</w:t>
            </w:r>
          </w:p>
        </w:tc>
      </w:tr>
      <w:tr w14:paraId="19EC38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800" w:type="dxa"/>
            <w:tcMar>
              <w:left w:w="28" w:type="dxa"/>
              <w:right w:w="28" w:type="dxa"/>
            </w:tcMar>
            <w:vAlign w:val="center"/>
          </w:tcPr>
          <w:p w14:paraId="4C8A0039">
            <w:pPr>
              <w:adjustRightInd w:val="0"/>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污染</w:t>
            </w:r>
          </w:p>
          <w:p w14:paraId="6D77D45D">
            <w:pPr>
              <w:adjustRightInd w:val="0"/>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物排</w:t>
            </w:r>
          </w:p>
          <w:p w14:paraId="74E71A9B">
            <w:pPr>
              <w:adjustRightInd w:val="0"/>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放控</w:t>
            </w:r>
          </w:p>
          <w:p w14:paraId="2FC80369">
            <w:pPr>
              <w:adjustRightInd w:val="0"/>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制标</w:t>
            </w:r>
          </w:p>
          <w:p w14:paraId="0557C53D">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准</w:t>
            </w:r>
          </w:p>
        </w:tc>
        <w:tc>
          <w:tcPr>
            <w:tcW w:w="8190" w:type="dxa"/>
            <w:vAlign w:val="center"/>
          </w:tcPr>
          <w:p w14:paraId="3F9618B2">
            <w:pPr>
              <w:spacing w:line="360" w:lineRule="auto"/>
              <w:ind w:firstLine="482" w:firstLineChars="200"/>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一、大气污染物排放标准</w:t>
            </w:r>
          </w:p>
          <w:p w14:paraId="4BF9FBA4">
            <w:pPr>
              <w:spacing w:line="360" w:lineRule="auto"/>
              <w:ind w:firstLine="480" w:firstLineChars="200"/>
              <w:rPr>
                <w:rFonts w:hint="eastAsia"/>
                <w:color w:val="auto"/>
                <w:sz w:val="24"/>
                <w:lang w:bidi="ar"/>
              </w:rPr>
            </w:pPr>
            <w:r>
              <w:rPr>
                <w:rFonts w:hint="eastAsia"/>
                <w:color w:val="auto"/>
                <w:sz w:val="24"/>
                <w:lang w:bidi="ar"/>
              </w:rPr>
              <w:t>施工期废气执行《施工场地颗粒物排放标准》（DB34/4811</w:t>
            </w:r>
            <w:r>
              <w:rPr>
                <w:rFonts w:hint="eastAsia"/>
                <w:color w:val="auto"/>
                <w:sz w:val="24"/>
                <w:lang w:val="en-US" w:eastAsia="zh-CN" w:bidi="ar"/>
              </w:rPr>
              <w:t>-</w:t>
            </w:r>
            <w:r>
              <w:rPr>
                <w:rFonts w:hint="eastAsia"/>
                <w:color w:val="auto"/>
                <w:sz w:val="24"/>
                <w:lang w:bidi="ar"/>
              </w:rPr>
              <w:t>2024）中要求</w:t>
            </w:r>
            <w:r>
              <w:rPr>
                <w:rFonts w:hint="default" w:ascii="Times New Roman" w:hAnsi="Times New Roman" w:cs="Times New Roman"/>
                <w:color w:val="auto"/>
                <w:sz w:val="24"/>
                <w:lang w:eastAsia="zh-CN" w:bidi="ar"/>
              </w:rPr>
              <w:t>（TSP：监测点浓度限值</w:t>
            </w:r>
            <w:r>
              <w:rPr>
                <w:rFonts w:hint="eastAsia" w:ascii="Times New Roman" w:hAnsi="Times New Roman" w:cs="Times New Roman"/>
                <w:color w:val="auto"/>
                <w:sz w:val="24"/>
                <w:lang w:val="en-US" w:eastAsia="zh-CN" w:bidi="ar"/>
              </w:rPr>
              <w:t>≤</w:t>
            </w:r>
            <w:r>
              <w:rPr>
                <w:rFonts w:hint="default" w:ascii="Times New Roman" w:hAnsi="Times New Roman" w:cs="Times New Roman"/>
                <w:color w:val="auto"/>
                <w:sz w:val="24"/>
                <w:lang w:eastAsia="zh-CN" w:bidi="ar"/>
              </w:rPr>
              <w:t>1000μg/m</w:t>
            </w:r>
            <w:r>
              <w:rPr>
                <w:rFonts w:hint="default" w:ascii="Times New Roman" w:hAnsi="Times New Roman" w:cs="Times New Roman"/>
                <w:color w:val="auto"/>
                <w:sz w:val="24"/>
                <w:vertAlign w:val="superscript"/>
                <w:lang w:eastAsia="zh-CN" w:bidi="ar"/>
              </w:rPr>
              <w:t>3</w:t>
            </w:r>
            <w:r>
              <w:rPr>
                <w:rFonts w:hint="default" w:ascii="Times New Roman" w:hAnsi="Times New Roman" w:cs="Times New Roman"/>
                <w:color w:val="auto"/>
                <w:sz w:val="24"/>
                <w:lang w:eastAsia="zh-CN" w:bidi="ar"/>
              </w:rPr>
              <w:t>，达标判定依据</w:t>
            </w:r>
            <w:r>
              <w:rPr>
                <w:rFonts w:hint="eastAsia" w:ascii="Times New Roman" w:hAnsi="Times New Roman" w:cs="Times New Roman"/>
                <w:color w:val="auto"/>
                <w:sz w:val="24"/>
                <w:lang w:eastAsia="zh-CN" w:bidi="ar"/>
              </w:rPr>
              <w:t>：</w:t>
            </w:r>
            <w:r>
              <w:rPr>
                <w:rFonts w:hint="default" w:ascii="Times New Roman" w:hAnsi="Times New Roman" w:cs="Times New Roman"/>
                <w:color w:val="auto"/>
                <w:sz w:val="24"/>
                <w:lang w:eastAsia="zh-CN" w:bidi="ar"/>
              </w:rPr>
              <w:t>超标次数≤1次/日，监测点浓度限值</w:t>
            </w:r>
            <w:r>
              <w:rPr>
                <w:rFonts w:hint="eastAsia" w:ascii="Times New Roman" w:hAnsi="Times New Roman" w:cs="Times New Roman"/>
                <w:color w:val="auto"/>
                <w:sz w:val="24"/>
                <w:lang w:val="en-US" w:eastAsia="zh-CN" w:bidi="ar"/>
              </w:rPr>
              <w:t>≤</w:t>
            </w:r>
            <w:r>
              <w:rPr>
                <w:rFonts w:hint="default" w:ascii="Times New Roman" w:hAnsi="Times New Roman" w:cs="Times New Roman"/>
                <w:color w:val="auto"/>
                <w:sz w:val="24"/>
                <w:lang w:eastAsia="zh-CN" w:bidi="ar"/>
              </w:rPr>
              <w:t>500μg/m</w:t>
            </w:r>
            <w:r>
              <w:rPr>
                <w:rFonts w:hint="default" w:ascii="Times New Roman" w:hAnsi="Times New Roman" w:cs="Times New Roman"/>
                <w:color w:val="auto"/>
                <w:sz w:val="24"/>
                <w:vertAlign w:val="superscript"/>
                <w:lang w:eastAsia="zh-CN" w:bidi="ar"/>
              </w:rPr>
              <w:t>3</w:t>
            </w:r>
            <w:r>
              <w:rPr>
                <w:rFonts w:hint="default" w:ascii="Times New Roman" w:hAnsi="Times New Roman" w:cs="Times New Roman"/>
                <w:color w:val="auto"/>
                <w:sz w:val="24"/>
                <w:lang w:eastAsia="zh-CN" w:bidi="ar"/>
              </w:rPr>
              <w:t>，达标判定依据</w:t>
            </w:r>
            <w:r>
              <w:rPr>
                <w:rFonts w:hint="eastAsia" w:ascii="Times New Roman" w:hAnsi="Times New Roman" w:cs="Times New Roman"/>
                <w:color w:val="auto"/>
                <w:sz w:val="24"/>
                <w:lang w:eastAsia="zh-CN" w:bidi="ar"/>
              </w:rPr>
              <w:t>：</w:t>
            </w:r>
            <w:r>
              <w:rPr>
                <w:rFonts w:hint="default" w:ascii="Times New Roman" w:hAnsi="Times New Roman" w:cs="Times New Roman"/>
                <w:color w:val="auto"/>
                <w:sz w:val="24"/>
                <w:lang w:eastAsia="zh-CN" w:bidi="ar"/>
              </w:rPr>
              <w:t>超标次数≤6次/日）</w:t>
            </w:r>
            <w:r>
              <w:rPr>
                <w:rFonts w:hint="eastAsia"/>
                <w:color w:val="auto"/>
                <w:sz w:val="24"/>
                <w:lang w:bidi="ar"/>
              </w:rPr>
              <w:t>。</w:t>
            </w:r>
          </w:p>
          <w:p w14:paraId="0431DACB">
            <w:pPr>
              <w:tabs>
                <w:tab w:val="left" w:pos="1275"/>
              </w:tabs>
              <w:spacing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氨、硫化氢</w:t>
            </w:r>
            <w:r>
              <w:rPr>
                <w:rFonts w:hint="eastAsia" w:ascii="Times New Roman" w:hAnsi="Times New Roman" w:cs="Times New Roman"/>
                <w:color w:val="000000" w:themeColor="text1"/>
                <w:sz w:val="24"/>
                <w:lang w:eastAsia="zh-CN"/>
                <w14:textFill>
                  <w14:solidFill>
                    <w14:schemeClr w14:val="tx1"/>
                  </w14:solidFill>
                </w14:textFill>
              </w:rPr>
              <w:t>、</w:t>
            </w:r>
            <w:r>
              <w:rPr>
                <w:rFonts w:hint="eastAsia" w:ascii="Times New Roman" w:hAnsi="Times New Roman" w:cs="Times New Roman"/>
                <w:color w:val="000000" w:themeColor="text1"/>
                <w:sz w:val="24"/>
                <w:lang w:val="en-US" w:eastAsia="zh-CN"/>
                <w14:textFill>
                  <w14:solidFill>
                    <w14:schemeClr w14:val="tx1"/>
                  </w14:solidFill>
                </w14:textFill>
              </w:rPr>
              <w:t>臭气浓度</w:t>
            </w:r>
            <w:r>
              <w:rPr>
                <w:rFonts w:hint="default" w:ascii="Times New Roman" w:hAnsi="Times New Roman" w:cs="Times New Roman"/>
                <w:color w:val="000000" w:themeColor="text1"/>
                <w:sz w:val="24"/>
                <w14:textFill>
                  <w14:solidFill>
                    <w14:schemeClr w14:val="tx1"/>
                  </w14:solidFill>
                </w14:textFill>
              </w:rPr>
              <w:t>执行《恶臭污染物排放标准》（GB14554-93）中相关标准。</w:t>
            </w:r>
            <w:r>
              <w:rPr>
                <w:rFonts w:hint="default" w:ascii="Times New Roman" w:hAnsi="Times New Roman" w:cs="Times New Roman"/>
                <w:bCs/>
                <w:color w:val="000000" w:themeColor="text1"/>
                <w:sz w:val="24"/>
                <w14:textFill>
                  <w14:solidFill>
                    <w14:schemeClr w14:val="tx1"/>
                  </w14:solidFill>
                </w14:textFill>
              </w:rPr>
              <w:t>具体标准值如下表</w:t>
            </w:r>
            <w:r>
              <w:rPr>
                <w:rFonts w:hint="default" w:ascii="Times New Roman" w:hAnsi="Times New Roman" w:cs="Times New Roman"/>
                <w:color w:val="000000" w:themeColor="text1"/>
                <w:sz w:val="24"/>
                <w14:textFill>
                  <w14:solidFill>
                    <w14:schemeClr w14:val="tx1"/>
                  </w14:solidFill>
                </w14:textFill>
              </w:rPr>
              <w:t>：</w:t>
            </w:r>
          </w:p>
          <w:p w14:paraId="15AF861E">
            <w:pPr>
              <w:spacing w:line="240" w:lineRule="auto"/>
              <w:jc w:val="center"/>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表3</w:t>
            </w:r>
            <w:r>
              <w:rPr>
                <w:rFonts w:hint="default" w:ascii="Times New Roman" w:hAnsi="Times New Roman" w:cs="Times New Roman"/>
                <w:b/>
                <w:bCs/>
                <w:color w:val="000000" w:themeColor="text1"/>
                <w:sz w:val="24"/>
                <w14:textFill>
                  <w14:solidFill>
                    <w14:schemeClr w14:val="tx1"/>
                  </w14:solidFill>
                </w14:textFill>
              </w:rPr>
              <w:t>-</w:t>
            </w:r>
            <w:r>
              <w:rPr>
                <w:rFonts w:hint="eastAsia" w:cs="Times New Roman"/>
                <w:b/>
                <w:bCs/>
                <w:color w:val="000000" w:themeColor="text1"/>
                <w:sz w:val="24"/>
                <w:lang w:val="en-US" w:eastAsia="zh-CN"/>
                <w14:textFill>
                  <w14:solidFill>
                    <w14:schemeClr w14:val="tx1"/>
                  </w14:solidFill>
                </w14:textFill>
              </w:rPr>
              <w:t>3</w:t>
            </w:r>
            <w:r>
              <w:rPr>
                <w:rFonts w:hint="default" w:ascii="Times New Roman" w:hAnsi="Times New Roman" w:cs="Times New Roman"/>
                <w:b/>
                <w:color w:val="000000" w:themeColor="text1"/>
                <w:sz w:val="24"/>
                <w14:textFill>
                  <w14:solidFill>
                    <w14:schemeClr w14:val="tx1"/>
                  </w14:solidFill>
                </w14:textFill>
              </w:rPr>
              <w:t xml:space="preserve"> </w:t>
            </w:r>
            <w:r>
              <w:rPr>
                <w:rFonts w:hint="default" w:ascii="Times New Roman" w:hAnsi="Times New Roman" w:cs="Times New Roman"/>
                <w:b/>
                <w:color w:val="000000" w:themeColor="text1"/>
                <w:sz w:val="24"/>
                <w:lang w:bidi="ar"/>
                <w14:textFill>
                  <w14:solidFill>
                    <w14:schemeClr w14:val="tx1"/>
                  </w14:solidFill>
                </w14:textFill>
              </w:rPr>
              <w:t>恶臭污染物排放标准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1369"/>
              <w:gridCol w:w="1854"/>
              <w:gridCol w:w="3040"/>
            </w:tblGrid>
            <w:tr w14:paraId="6BA1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674" w:type="dxa"/>
                  <w:vMerge w:val="restart"/>
                  <w:vAlign w:val="center"/>
                </w:tcPr>
                <w:p w14:paraId="5774BA96">
                  <w:pPr>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kern w:val="1"/>
                      <w:szCs w:val="21"/>
                      <w14:textFill>
                        <w14:solidFill>
                          <w14:schemeClr w14:val="tx1"/>
                        </w14:solidFill>
                      </w14:textFill>
                    </w:rPr>
                    <w:t>污染物</w:t>
                  </w:r>
                </w:p>
              </w:tc>
              <w:tc>
                <w:tcPr>
                  <w:tcW w:w="3223" w:type="dxa"/>
                  <w:gridSpan w:val="2"/>
                  <w:vAlign w:val="center"/>
                </w:tcPr>
                <w:p w14:paraId="29571E94">
                  <w:pPr>
                    <w:jc w:val="center"/>
                    <w:rPr>
                      <w:rFonts w:hint="default" w:ascii="Times New Roman" w:hAnsi="Times New Roman" w:cs="Times New Roman"/>
                      <w:b/>
                      <w:bCs/>
                      <w:color w:val="000000" w:themeColor="text1"/>
                      <w:kern w:val="1"/>
                      <w:szCs w:val="21"/>
                      <w14:textFill>
                        <w14:solidFill>
                          <w14:schemeClr w14:val="tx1"/>
                        </w14:solidFill>
                      </w14:textFill>
                    </w:rPr>
                  </w:pPr>
                  <w:r>
                    <w:rPr>
                      <w:rFonts w:hint="default" w:ascii="Times New Roman" w:hAnsi="Times New Roman" w:cs="Times New Roman"/>
                      <w:b/>
                      <w:bCs/>
                      <w:color w:val="000000" w:themeColor="text1"/>
                      <w:kern w:val="1"/>
                      <w:szCs w:val="21"/>
                      <w14:textFill>
                        <w14:solidFill>
                          <w14:schemeClr w14:val="tx1"/>
                        </w14:solidFill>
                      </w14:textFill>
                    </w:rPr>
                    <w:t>恶臭污染物排放标准值</w:t>
                  </w:r>
                </w:p>
              </w:tc>
              <w:tc>
                <w:tcPr>
                  <w:tcW w:w="3040" w:type="dxa"/>
                  <w:vMerge w:val="restart"/>
                  <w:vAlign w:val="center"/>
                </w:tcPr>
                <w:p w14:paraId="3EA14E05">
                  <w:pPr>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kern w:val="1"/>
                      <w:szCs w:val="21"/>
                      <w14:textFill>
                        <w14:solidFill>
                          <w14:schemeClr w14:val="tx1"/>
                        </w14:solidFill>
                      </w14:textFill>
                    </w:rPr>
                    <w:t>恶臭污染物厂界新、扩、改建项目</w:t>
                  </w:r>
                  <w:r>
                    <w:rPr>
                      <w:rFonts w:hint="default" w:ascii="Times New Roman" w:hAnsi="Times New Roman" w:cs="Times New Roman"/>
                      <w:b/>
                      <w:bCs/>
                      <w:color w:val="000000" w:themeColor="text1"/>
                      <w:szCs w:val="21"/>
                      <w14:textFill>
                        <w14:solidFill>
                          <w14:schemeClr w14:val="tx1"/>
                        </w14:solidFill>
                      </w14:textFill>
                    </w:rPr>
                    <w:t>执行</w:t>
                  </w:r>
                  <w:r>
                    <w:rPr>
                      <w:rFonts w:hint="default" w:ascii="Times New Roman" w:hAnsi="Times New Roman" w:cs="Times New Roman"/>
                      <w:b/>
                      <w:bCs/>
                      <w:color w:val="000000" w:themeColor="text1"/>
                      <w:kern w:val="1"/>
                      <w:szCs w:val="21"/>
                      <w14:textFill>
                        <w14:solidFill>
                          <w14:schemeClr w14:val="tx1"/>
                        </w14:solidFill>
                      </w14:textFill>
                    </w:rPr>
                    <w:t>二级标准值（mg/m</w:t>
                  </w:r>
                  <w:r>
                    <w:rPr>
                      <w:rFonts w:hint="default" w:ascii="Times New Roman" w:hAnsi="Times New Roman" w:cs="Times New Roman"/>
                      <w:b/>
                      <w:bCs/>
                      <w:color w:val="000000" w:themeColor="text1"/>
                      <w:kern w:val="1"/>
                      <w:szCs w:val="21"/>
                      <w:vertAlign w:val="superscript"/>
                      <w14:textFill>
                        <w14:solidFill>
                          <w14:schemeClr w14:val="tx1"/>
                        </w14:solidFill>
                      </w14:textFill>
                    </w:rPr>
                    <w:t>3</w:t>
                  </w:r>
                  <w:r>
                    <w:rPr>
                      <w:rFonts w:hint="default" w:ascii="Times New Roman" w:hAnsi="Times New Roman" w:cs="Times New Roman"/>
                      <w:b/>
                      <w:bCs/>
                      <w:color w:val="000000" w:themeColor="text1"/>
                      <w:kern w:val="1"/>
                      <w:szCs w:val="21"/>
                      <w14:textFill>
                        <w14:solidFill>
                          <w14:schemeClr w14:val="tx1"/>
                        </w14:solidFill>
                      </w14:textFill>
                    </w:rPr>
                    <w:t>）</w:t>
                  </w:r>
                </w:p>
              </w:tc>
            </w:tr>
            <w:tr w14:paraId="5F502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674" w:type="dxa"/>
                  <w:vMerge w:val="continue"/>
                  <w:vAlign w:val="center"/>
                </w:tcPr>
                <w:p w14:paraId="4EA14E3E">
                  <w:pPr>
                    <w:jc w:val="center"/>
                    <w:rPr>
                      <w:rFonts w:hint="default" w:ascii="Times New Roman" w:hAnsi="Times New Roman" w:cs="Times New Roman"/>
                      <w:color w:val="000000" w:themeColor="text1"/>
                      <w:szCs w:val="21"/>
                      <w14:textFill>
                        <w14:solidFill>
                          <w14:schemeClr w14:val="tx1"/>
                        </w14:solidFill>
                      </w14:textFill>
                    </w:rPr>
                  </w:pPr>
                </w:p>
              </w:tc>
              <w:tc>
                <w:tcPr>
                  <w:tcW w:w="1369" w:type="dxa"/>
                  <w:vAlign w:val="center"/>
                </w:tcPr>
                <w:p w14:paraId="057D35BC">
                  <w:pPr>
                    <w:jc w:val="center"/>
                    <w:rPr>
                      <w:rFonts w:hint="default" w:ascii="Times New Roman" w:hAnsi="Times New Roman" w:cs="Times New Roman"/>
                      <w:b/>
                      <w:bCs/>
                      <w:color w:val="000000" w:themeColor="text1"/>
                      <w:kern w:val="1"/>
                      <w:szCs w:val="21"/>
                      <w14:textFill>
                        <w14:solidFill>
                          <w14:schemeClr w14:val="tx1"/>
                        </w14:solidFill>
                      </w14:textFill>
                    </w:rPr>
                  </w:pPr>
                  <w:r>
                    <w:rPr>
                      <w:rFonts w:hint="default" w:ascii="Times New Roman" w:hAnsi="Times New Roman" w:cs="Times New Roman"/>
                      <w:b/>
                      <w:bCs/>
                      <w:color w:val="000000" w:themeColor="text1"/>
                      <w:kern w:val="1"/>
                      <w:szCs w:val="21"/>
                      <w14:textFill>
                        <w14:solidFill>
                          <w14:schemeClr w14:val="tx1"/>
                        </w14:solidFill>
                      </w14:textFill>
                    </w:rPr>
                    <w:t>排气筒高度</w:t>
                  </w:r>
                </w:p>
                <w:p w14:paraId="3C4F062A">
                  <w:pPr>
                    <w:jc w:val="center"/>
                    <w:rPr>
                      <w:rFonts w:hint="default" w:ascii="Times New Roman" w:hAnsi="Times New Roman" w:cs="Times New Roman"/>
                      <w:b/>
                      <w:bCs/>
                      <w:color w:val="000000" w:themeColor="text1"/>
                      <w:kern w:val="1"/>
                      <w:szCs w:val="21"/>
                      <w14:textFill>
                        <w14:solidFill>
                          <w14:schemeClr w14:val="tx1"/>
                        </w14:solidFill>
                      </w14:textFill>
                    </w:rPr>
                  </w:pPr>
                  <w:r>
                    <w:rPr>
                      <w:rFonts w:hint="default" w:ascii="Times New Roman" w:hAnsi="Times New Roman" w:cs="Times New Roman"/>
                      <w:b/>
                      <w:bCs/>
                      <w:color w:val="000000" w:themeColor="text1"/>
                      <w:kern w:val="1"/>
                      <w:szCs w:val="21"/>
                      <w14:textFill>
                        <w14:solidFill>
                          <w14:schemeClr w14:val="tx1"/>
                        </w14:solidFill>
                      </w14:textFill>
                    </w:rPr>
                    <w:t>（m）</w:t>
                  </w:r>
                </w:p>
              </w:tc>
              <w:tc>
                <w:tcPr>
                  <w:tcW w:w="1854" w:type="dxa"/>
                  <w:vAlign w:val="center"/>
                </w:tcPr>
                <w:p w14:paraId="23597921">
                  <w:pPr>
                    <w:jc w:val="center"/>
                    <w:rPr>
                      <w:rFonts w:hint="default" w:ascii="Times New Roman" w:hAnsi="Times New Roman" w:cs="Times New Roman"/>
                      <w:b/>
                      <w:bCs/>
                      <w:color w:val="000000" w:themeColor="text1"/>
                      <w:kern w:val="1"/>
                      <w:szCs w:val="21"/>
                      <w14:textFill>
                        <w14:solidFill>
                          <w14:schemeClr w14:val="tx1"/>
                        </w14:solidFill>
                      </w14:textFill>
                    </w:rPr>
                  </w:pPr>
                  <w:r>
                    <w:rPr>
                      <w:rFonts w:hint="default" w:ascii="Times New Roman" w:hAnsi="Times New Roman" w:cs="Times New Roman"/>
                      <w:b/>
                      <w:bCs/>
                      <w:color w:val="000000" w:themeColor="text1"/>
                      <w:kern w:val="1"/>
                      <w:szCs w:val="21"/>
                      <w14:textFill>
                        <w14:solidFill>
                          <w14:schemeClr w14:val="tx1"/>
                        </w14:solidFill>
                      </w14:textFill>
                    </w:rPr>
                    <w:t>排放限值</w:t>
                  </w:r>
                </w:p>
                <w:p w14:paraId="6903765B">
                  <w:pPr>
                    <w:jc w:val="center"/>
                    <w:rPr>
                      <w:rFonts w:hint="default" w:ascii="Times New Roman" w:hAnsi="Times New Roman" w:cs="Times New Roman"/>
                      <w:b/>
                      <w:bCs/>
                      <w:color w:val="000000" w:themeColor="text1"/>
                      <w:kern w:val="1"/>
                      <w:szCs w:val="21"/>
                      <w14:textFill>
                        <w14:solidFill>
                          <w14:schemeClr w14:val="tx1"/>
                        </w14:solidFill>
                      </w14:textFill>
                    </w:rPr>
                  </w:pPr>
                  <w:r>
                    <w:rPr>
                      <w:rFonts w:hint="default" w:ascii="Times New Roman" w:hAnsi="Times New Roman" w:cs="Times New Roman"/>
                      <w:b/>
                      <w:bCs/>
                      <w:color w:val="000000" w:themeColor="text1"/>
                      <w:kern w:val="1"/>
                      <w:szCs w:val="21"/>
                      <w14:textFill>
                        <w14:solidFill>
                          <w14:schemeClr w14:val="tx1"/>
                        </w14:solidFill>
                      </w14:textFill>
                    </w:rPr>
                    <w:t>（kg/h）</w:t>
                  </w:r>
                </w:p>
              </w:tc>
              <w:tc>
                <w:tcPr>
                  <w:tcW w:w="3040" w:type="dxa"/>
                  <w:vMerge w:val="continue"/>
                  <w:vAlign w:val="center"/>
                </w:tcPr>
                <w:p w14:paraId="3BF89DB3">
                  <w:pPr>
                    <w:rPr>
                      <w:rFonts w:hint="default" w:ascii="Times New Roman" w:hAnsi="Times New Roman" w:cs="Times New Roman"/>
                      <w:b/>
                      <w:bCs/>
                      <w:color w:val="000000" w:themeColor="text1"/>
                      <w:kern w:val="1"/>
                      <w:szCs w:val="21"/>
                      <w14:textFill>
                        <w14:solidFill>
                          <w14:schemeClr w14:val="tx1"/>
                        </w14:solidFill>
                      </w14:textFill>
                    </w:rPr>
                  </w:pPr>
                </w:p>
              </w:tc>
            </w:tr>
            <w:tr w14:paraId="4001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center"/>
                </w:tcPr>
                <w:p w14:paraId="5E178B88">
                  <w:pPr>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氨</w:t>
                  </w:r>
                </w:p>
              </w:tc>
              <w:tc>
                <w:tcPr>
                  <w:tcW w:w="1369" w:type="dxa"/>
                  <w:vMerge w:val="restart"/>
                  <w:vAlign w:val="center"/>
                </w:tcPr>
                <w:p w14:paraId="187112AD">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15</w:t>
                  </w:r>
                </w:p>
              </w:tc>
              <w:tc>
                <w:tcPr>
                  <w:tcW w:w="1854" w:type="dxa"/>
                  <w:vAlign w:val="center"/>
                </w:tcPr>
                <w:p w14:paraId="39696A71">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4.9</w:t>
                  </w:r>
                </w:p>
              </w:tc>
              <w:tc>
                <w:tcPr>
                  <w:tcW w:w="3040" w:type="dxa"/>
                  <w:vAlign w:val="center"/>
                </w:tcPr>
                <w:p w14:paraId="51D37333">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1.5</w:t>
                  </w:r>
                </w:p>
              </w:tc>
            </w:tr>
            <w:tr w14:paraId="3C7E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center"/>
                </w:tcPr>
                <w:p w14:paraId="388C0866">
                  <w:pPr>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硫化氢</w:t>
                  </w:r>
                </w:p>
              </w:tc>
              <w:tc>
                <w:tcPr>
                  <w:tcW w:w="1369" w:type="dxa"/>
                  <w:vMerge w:val="continue"/>
                  <w:vAlign w:val="center"/>
                </w:tcPr>
                <w:p w14:paraId="070BF562">
                  <w:pPr>
                    <w:jc w:val="center"/>
                    <w:rPr>
                      <w:rFonts w:hint="default" w:ascii="Times New Roman" w:hAnsi="Times New Roman" w:cs="Times New Roman"/>
                      <w:color w:val="000000" w:themeColor="text1"/>
                      <w:szCs w:val="21"/>
                      <w14:textFill>
                        <w14:solidFill>
                          <w14:schemeClr w14:val="tx1"/>
                        </w14:solidFill>
                      </w14:textFill>
                    </w:rPr>
                  </w:pPr>
                </w:p>
              </w:tc>
              <w:tc>
                <w:tcPr>
                  <w:tcW w:w="1854" w:type="dxa"/>
                  <w:vAlign w:val="center"/>
                </w:tcPr>
                <w:p w14:paraId="21DDDE89">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0.33</w:t>
                  </w:r>
                </w:p>
              </w:tc>
              <w:tc>
                <w:tcPr>
                  <w:tcW w:w="3040" w:type="dxa"/>
                  <w:vAlign w:val="center"/>
                </w:tcPr>
                <w:p w14:paraId="56335E4B">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0.06</w:t>
                  </w:r>
                </w:p>
              </w:tc>
            </w:tr>
            <w:tr w14:paraId="62E1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center"/>
                </w:tcPr>
                <w:p w14:paraId="1FC01FD7">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臭气浓度</w:t>
                  </w:r>
                </w:p>
              </w:tc>
              <w:tc>
                <w:tcPr>
                  <w:tcW w:w="1369" w:type="dxa"/>
                  <w:vMerge w:val="continue"/>
                  <w:vAlign w:val="center"/>
                </w:tcPr>
                <w:p w14:paraId="1497D584">
                  <w:pPr>
                    <w:jc w:val="center"/>
                    <w:rPr>
                      <w:rFonts w:hint="default" w:ascii="Times New Roman" w:hAnsi="Times New Roman" w:cs="Times New Roman"/>
                      <w:color w:val="000000" w:themeColor="text1"/>
                      <w:szCs w:val="21"/>
                      <w14:textFill>
                        <w14:solidFill>
                          <w14:schemeClr w14:val="tx1"/>
                        </w14:solidFill>
                      </w14:textFill>
                    </w:rPr>
                  </w:pPr>
                </w:p>
              </w:tc>
              <w:tc>
                <w:tcPr>
                  <w:tcW w:w="1854" w:type="dxa"/>
                  <w:vAlign w:val="center"/>
                </w:tcPr>
                <w:p w14:paraId="1F79467D">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2000（无量纲）</w:t>
                  </w:r>
                </w:p>
              </w:tc>
              <w:tc>
                <w:tcPr>
                  <w:tcW w:w="3040" w:type="dxa"/>
                  <w:vAlign w:val="center"/>
                </w:tcPr>
                <w:p w14:paraId="2DF16218">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20（无量纲）</w:t>
                  </w:r>
                </w:p>
              </w:tc>
            </w:tr>
          </w:tbl>
          <w:p w14:paraId="26CFA09C">
            <w:pPr>
              <w:spacing w:line="360" w:lineRule="auto"/>
              <w:ind w:firstLine="482" w:firstLineChars="200"/>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二、水污染物排放标准</w:t>
            </w:r>
          </w:p>
          <w:p w14:paraId="4850C3EF">
            <w:pPr>
              <w:spacing w:line="360" w:lineRule="auto"/>
              <w:ind w:firstLine="480" w:firstLineChars="200"/>
              <w:rPr>
                <w:rFonts w:hint="default" w:ascii="Times New Roman" w:hAnsi="Times New Roman" w:eastAsia="宋体" w:cs="Times New Roman"/>
                <w:color w:val="000000" w:themeColor="text1"/>
                <w:sz w:val="24"/>
                <w:lang w:bidi="ar"/>
                <w14:textFill>
                  <w14:solidFill>
                    <w14:schemeClr w14:val="tx1"/>
                  </w14:solidFill>
                </w14:textFill>
              </w:rPr>
            </w:pPr>
            <w:r>
              <w:rPr>
                <w:rFonts w:hint="eastAsia" w:ascii="Times New Roman" w:hAnsi="Times New Roman" w:eastAsia="宋体" w:cs="Times New Roman"/>
                <w:bCs/>
                <w:sz w:val="24"/>
                <w:szCs w:val="24"/>
                <w:lang w:val="en-US" w:eastAsia="zh-CN"/>
              </w:rPr>
              <w:t>项目生活污水</w:t>
            </w:r>
            <w:r>
              <w:rPr>
                <w:rFonts w:hint="eastAsia" w:cs="Times New Roman"/>
                <w:bCs/>
                <w:sz w:val="24"/>
                <w:szCs w:val="24"/>
                <w:lang w:val="en-US" w:eastAsia="zh-CN"/>
              </w:rPr>
              <w:t>经</w:t>
            </w:r>
            <w:r>
              <w:rPr>
                <w:rFonts w:hint="eastAsia" w:ascii="Times New Roman" w:hAnsi="Times New Roman" w:eastAsia="宋体" w:cs="Times New Roman"/>
                <w:bCs/>
                <w:sz w:val="24"/>
                <w:szCs w:val="24"/>
                <w:lang w:val="en-US" w:eastAsia="zh-CN"/>
              </w:rPr>
              <w:t>化粪池处理</w:t>
            </w:r>
            <w:r>
              <w:rPr>
                <w:rFonts w:hint="eastAsia" w:cs="Times New Roman"/>
                <w:bCs/>
                <w:sz w:val="24"/>
                <w:szCs w:val="24"/>
                <w:lang w:val="en-US" w:eastAsia="zh-CN"/>
              </w:rPr>
              <w:t>，清洗废水和生物除臭装置废水经</w:t>
            </w:r>
            <w:r>
              <w:rPr>
                <w:rFonts w:hint="eastAsia" w:ascii="Times New Roman" w:hAnsi="Times New Roman" w:eastAsia="宋体" w:cs="Times New Roman"/>
                <w:bCs/>
                <w:sz w:val="24"/>
                <w:szCs w:val="24"/>
                <w:lang w:val="en-US" w:eastAsia="zh-CN"/>
              </w:rPr>
              <w:t>厂区污水处理站处理后</w:t>
            </w:r>
            <w:r>
              <w:rPr>
                <w:rFonts w:hint="eastAsia" w:cs="Times New Roman"/>
                <w:bCs/>
                <w:sz w:val="24"/>
                <w:szCs w:val="24"/>
                <w:lang w:val="en-US" w:eastAsia="zh-CN"/>
              </w:rPr>
              <w:t>与纯水制备浓水</w:t>
            </w:r>
            <w:r>
              <w:rPr>
                <w:rFonts w:hint="eastAsia" w:ascii="Times New Roman" w:hAnsi="Times New Roman" w:eastAsia="宋体" w:cs="Times New Roman"/>
                <w:bCs/>
                <w:sz w:val="24"/>
                <w:szCs w:val="24"/>
                <w:lang w:val="en-US" w:eastAsia="zh-CN"/>
              </w:rPr>
              <w:t>，</w:t>
            </w:r>
            <w:r>
              <w:rPr>
                <w:rFonts w:hint="eastAsia" w:cs="Times New Roman"/>
                <w:bCs/>
                <w:sz w:val="24"/>
                <w:szCs w:val="24"/>
                <w:lang w:val="en-US" w:eastAsia="zh-CN"/>
              </w:rPr>
              <w:t>一起</w:t>
            </w:r>
            <w:r>
              <w:rPr>
                <w:rFonts w:hint="eastAsia" w:ascii="Times New Roman" w:hAnsi="Times New Roman" w:eastAsia="宋体" w:cs="Times New Roman"/>
                <w:color w:val="auto"/>
                <w:sz w:val="24"/>
                <w:lang w:val="en-US" w:eastAsia="zh-CN"/>
              </w:rPr>
              <w:t>通</w:t>
            </w:r>
            <w:r>
              <w:rPr>
                <w:rFonts w:hint="eastAsia" w:ascii="Times New Roman" w:hAnsi="Times New Roman" w:eastAsia="宋体" w:cs="Times New Roman"/>
                <w:b w:val="0"/>
                <w:bCs w:val="0"/>
                <w:sz w:val="24"/>
                <w:lang w:val="en-US" w:eastAsia="zh-CN"/>
              </w:rPr>
              <w:t>过厂区污水总排放口</w:t>
            </w:r>
            <w:r>
              <w:rPr>
                <w:rFonts w:hint="eastAsia" w:cs="Times New Roman"/>
                <w:b w:val="0"/>
                <w:bCs w:val="0"/>
                <w:sz w:val="24"/>
                <w:lang w:val="en-US" w:eastAsia="zh-CN"/>
              </w:rPr>
              <w:t>（DW001）</w:t>
            </w:r>
            <w:r>
              <w:rPr>
                <w:rFonts w:hint="eastAsia" w:ascii="Times New Roman" w:hAnsi="Times New Roman" w:eastAsia="宋体" w:cs="Times New Roman"/>
                <w:b w:val="0"/>
                <w:bCs w:val="0"/>
                <w:sz w:val="24"/>
                <w:lang w:val="en-US" w:eastAsia="zh-CN"/>
              </w:rPr>
              <w:t>排放，</w:t>
            </w:r>
            <w:r>
              <w:rPr>
                <w:rFonts w:hint="eastAsia" w:cs="Times New Roman"/>
                <w:color w:val="000000" w:themeColor="text1"/>
                <w:sz w:val="24"/>
                <w:lang w:val="en-US" w:eastAsia="zh-CN" w:bidi="ar"/>
                <w14:textFill>
                  <w14:solidFill>
                    <w14:schemeClr w14:val="tx1"/>
                  </w14:solidFill>
                </w14:textFill>
              </w:rPr>
              <w:t>通过市政污水管网进入泗县工业污水处理厂处理，废水满足</w:t>
            </w:r>
            <w:r>
              <w:rPr>
                <w:rFonts w:hint="eastAsia" w:ascii="Times New Roman" w:hAnsi="Times New Roman" w:eastAsia="宋体" w:cs="Times New Roman"/>
                <w:color w:val="000000" w:themeColor="text1"/>
                <w:sz w:val="24"/>
                <w:lang w:bidi="ar"/>
                <w14:textFill>
                  <w14:solidFill>
                    <w14:schemeClr w14:val="tx1"/>
                  </w14:solidFill>
                </w14:textFill>
              </w:rPr>
              <w:t>《污水综合排放标准》（GB8978-1996）中三级标准</w:t>
            </w:r>
            <w:r>
              <w:rPr>
                <w:rFonts w:hint="default" w:ascii="Times New Roman" w:hAnsi="Times New Roman" w:eastAsia="宋体" w:cs="Times New Roman"/>
                <w:color w:val="000000" w:themeColor="text1"/>
                <w:sz w:val="24"/>
                <w:lang w:bidi="ar"/>
                <w14:textFill>
                  <w14:solidFill>
                    <w14:schemeClr w14:val="tx1"/>
                  </w14:solidFill>
                </w14:textFill>
              </w:rPr>
              <w:t>并满足污水处理厂接管要求，进入</w:t>
            </w:r>
            <w:r>
              <w:rPr>
                <w:rFonts w:hint="eastAsia" w:cs="Times New Roman"/>
                <w:color w:val="000000" w:themeColor="text1"/>
                <w:sz w:val="24"/>
                <w:lang w:val="en-US" w:eastAsia="zh-CN" w:bidi="ar"/>
                <w14:textFill>
                  <w14:solidFill>
                    <w14:schemeClr w14:val="tx1"/>
                  </w14:solidFill>
                </w14:textFill>
              </w:rPr>
              <w:t>泗县工业污水处理厂</w:t>
            </w:r>
            <w:r>
              <w:rPr>
                <w:rFonts w:hint="default" w:ascii="Times New Roman" w:hAnsi="Times New Roman" w:eastAsia="宋体" w:cs="Times New Roman"/>
                <w:color w:val="000000" w:themeColor="text1"/>
                <w:sz w:val="24"/>
                <w:lang w:bidi="ar"/>
                <w14:textFill>
                  <w14:solidFill>
                    <w14:schemeClr w14:val="tx1"/>
                  </w14:solidFill>
                </w14:textFill>
              </w:rPr>
              <w:t>进一步处理</w:t>
            </w:r>
            <w:r>
              <w:rPr>
                <w:rFonts w:hint="eastAsia" w:ascii="Times New Roman" w:hAnsi="Times New Roman" w:eastAsia="宋体" w:cs="Times New Roman"/>
                <w:color w:val="000000" w:themeColor="text1"/>
                <w:sz w:val="24"/>
                <w:lang w:bidi="ar"/>
                <w14:textFill>
                  <w14:solidFill>
                    <w14:schemeClr w14:val="tx1"/>
                  </w14:solidFill>
                </w14:textFill>
              </w:rPr>
              <w:t>。</w:t>
            </w:r>
            <w:r>
              <w:rPr>
                <w:rFonts w:hint="default" w:ascii="Times New Roman" w:hAnsi="Times New Roman" w:eastAsia="宋体" w:cs="Times New Roman"/>
                <w:color w:val="000000" w:themeColor="text1"/>
                <w:sz w:val="24"/>
                <w:lang w:bidi="ar"/>
                <w14:textFill>
                  <w14:solidFill>
                    <w14:schemeClr w14:val="tx1"/>
                  </w14:solidFill>
                </w14:textFill>
              </w:rPr>
              <w:t>详见表3-</w:t>
            </w:r>
            <w:r>
              <w:rPr>
                <w:rFonts w:hint="eastAsia" w:cs="Times New Roman"/>
                <w:color w:val="000000" w:themeColor="text1"/>
                <w:sz w:val="24"/>
                <w:lang w:val="en-US" w:eastAsia="zh-CN" w:bidi="ar"/>
                <w14:textFill>
                  <w14:solidFill>
                    <w14:schemeClr w14:val="tx1"/>
                  </w14:solidFill>
                </w14:textFill>
              </w:rPr>
              <w:t>4</w:t>
            </w:r>
            <w:r>
              <w:rPr>
                <w:rFonts w:hint="default" w:ascii="Times New Roman" w:hAnsi="Times New Roman" w:eastAsia="宋体" w:cs="Times New Roman"/>
                <w:color w:val="000000" w:themeColor="text1"/>
                <w:sz w:val="24"/>
                <w:lang w:bidi="ar"/>
                <w14:textFill>
                  <w14:solidFill>
                    <w14:schemeClr w14:val="tx1"/>
                  </w14:solidFill>
                </w14:textFill>
              </w:rPr>
              <w:t>。</w:t>
            </w:r>
          </w:p>
          <w:p w14:paraId="2F5705A0">
            <w:pPr>
              <w:spacing w:line="240" w:lineRule="auto"/>
              <w:jc w:val="center"/>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表3-</w:t>
            </w:r>
            <w:r>
              <w:rPr>
                <w:rFonts w:hint="eastAsia" w:cs="Times New Roman"/>
                <w:b/>
                <w:color w:val="000000" w:themeColor="text1"/>
                <w:sz w:val="24"/>
                <w:lang w:val="en-US" w:eastAsia="zh-CN"/>
                <w14:textFill>
                  <w14:solidFill>
                    <w14:schemeClr w14:val="tx1"/>
                  </w14:solidFill>
                </w14:textFill>
              </w:rPr>
              <w:t>4</w:t>
            </w:r>
            <w:r>
              <w:rPr>
                <w:rFonts w:hint="default" w:ascii="Times New Roman" w:hAnsi="Times New Roman" w:eastAsia="宋体" w:cs="Times New Roman"/>
                <w:b/>
                <w:color w:val="000000" w:themeColor="text1"/>
                <w:sz w:val="24"/>
                <w14:textFill>
                  <w14:solidFill>
                    <w14:schemeClr w14:val="tx1"/>
                  </w14:solidFill>
                </w14:textFill>
              </w:rPr>
              <w:t>污水排放限值一览表单位：mg/L（pH无量纲）</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9"/>
              <w:gridCol w:w="1015"/>
              <w:gridCol w:w="1035"/>
              <w:gridCol w:w="924"/>
              <w:gridCol w:w="960"/>
              <w:gridCol w:w="1018"/>
            </w:tblGrid>
            <w:tr w14:paraId="3441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9" w:type="pct"/>
                  <w:tcBorders>
                    <w:top w:val="single" w:color="auto" w:sz="4" w:space="0"/>
                    <w:left w:val="single" w:color="auto" w:sz="4" w:space="0"/>
                    <w:bottom w:val="single" w:color="auto" w:sz="4" w:space="0"/>
                    <w:right w:val="single" w:color="auto" w:sz="4" w:space="0"/>
                  </w:tcBorders>
                  <w:vAlign w:val="center"/>
                </w:tcPr>
                <w:p w14:paraId="1A6744AC">
                  <w:pPr>
                    <w:jc w:val="center"/>
                    <w:rPr>
                      <w:b/>
                      <w:bCs/>
                      <w:sz w:val="21"/>
                      <w:szCs w:val="21"/>
                    </w:rPr>
                  </w:pPr>
                  <w:r>
                    <w:rPr>
                      <w:b/>
                      <w:bCs/>
                      <w:sz w:val="21"/>
                      <w:szCs w:val="21"/>
                    </w:rPr>
                    <w:t>项目名称</w:t>
                  </w:r>
                </w:p>
              </w:tc>
              <w:tc>
                <w:tcPr>
                  <w:tcW w:w="637" w:type="pct"/>
                  <w:tcBorders>
                    <w:top w:val="single" w:color="auto" w:sz="4" w:space="0"/>
                    <w:left w:val="nil"/>
                    <w:bottom w:val="single" w:color="auto" w:sz="4" w:space="0"/>
                    <w:right w:val="single" w:color="auto" w:sz="4" w:space="0"/>
                  </w:tcBorders>
                  <w:vAlign w:val="center"/>
                </w:tcPr>
                <w:p w14:paraId="679A3984">
                  <w:pPr>
                    <w:jc w:val="center"/>
                    <w:rPr>
                      <w:b/>
                      <w:bCs/>
                      <w:sz w:val="21"/>
                      <w:szCs w:val="21"/>
                    </w:rPr>
                  </w:pPr>
                  <w:r>
                    <w:rPr>
                      <w:b/>
                      <w:bCs/>
                      <w:sz w:val="21"/>
                      <w:szCs w:val="21"/>
                    </w:rPr>
                    <w:t>pH</w:t>
                  </w:r>
                </w:p>
              </w:tc>
              <w:tc>
                <w:tcPr>
                  <w:tcW w:w="650" w:type="pct"/>
                  <w:tcBorders>
                    <w:top w:val="single" w:color="auto" w:sz="4" w:space="0"/>
                    <w:left w:val="nil"/>
                    <w:bottom w:val="single" w:color="auto" w:sz="4" w:space="0"/>
                    <w:right w:val="single" w:color="auto" w:sz="4" w:space="0"/>
                  </w:tcBorders>
                  <w:vAlign w:val="center"/>
                </w:tcPr>
                <w:p w14:paraId="2066B105">
                  <w:pPr>
                    <w:jc w:val="center"/>
                    <w:rPr>
                      <w:b/>
                      <w:bCs/>
                      <w:sz w:val="21"/>
                      <w:szCs w:val="21"/>
                    </w:rPr>
                  </w:pPr>
                  <w:r>
                    <w:rPr>
                      <w:b/>
                      <w:bCs/>
                      <w:sz w:val="21"/>
                      <w:szCs w:val="21"/>
                    </w:rPr>
                    <w:t>CODcr</w:t>
                  </w:r>
                </w:p>
              </w:tc>
              <w:tc>
                <w:tcPr>
                  <w:tcW w:w="580" w:type="pct"/>
                  <w:tcBorders>
                    <w:top w:val="single" w:color="auto" w:sz="4" w:space="0"/>
                    <w:left w:val="nil"/>
                    <w:bottom w:val="single" w:color="auto" w:sz="4" w:space="0"/>
                    <w:right w:val="single" w:color="auto" w:sz="4" w:space="0"/>
                  </w:tcBorders>
                  <w:vAlign w:val="center"/>
                </w:tcPr>
                <w:p w14:paraId="0350A5BA">
                  <w:pPr>
                    <w:jc w:val="center"/>
                    <w:rPr>
                      <w:b/>
                      <w:bCs/>
                      <w:sz w:val="21"/>
                      <w:szCs w:val="21"/>
                    </w:rPr>
                  </w:pPr>
                  <w:r>
                    <w:rPr>
                      <w:b/>
                      <w:bCs/>
                      <w:sz w:val="21"/>
                      <w:szCs w:val="21"/>
                    </w:rPr>
                    <w:t>BOD</w:t>
                  </w:r>
                  <w:r>
                    <w:rPr>
                      <w:b/>
                      <w:bCs/>
                      <w:sz w:val="21"/>
                      <w:szCs w:val="21"/>
                      <w:vertAlign w:val="subscript"/>
                    </w:rPr>
                    <w:t>5</w:t>
                  </w:r>
                </w:p>
              </w:tc>
              <w:tc>
                <w:tcPr>
                  <w:tcW w:w="603" w:type="pct"/>
                  <w:tcBorders>
                    <w:top w:val="single" w:color="auto" w:sz="4" w:space="0"/>
                    <w:left w:val="nil"/>
                    <w:bottom w:val="single" w:color="auto" w:sz="4" w:space="0"/>
                    <w:right w:val="single" w:color="auto" w:sz="4" w:space="0"/>
                  </w:tcBorders>
                  <w:vAlign w:val="center"/>
                </w:tcPr>
                <w:p w14:paraId="282EDD3D">
                  <w:pPr>
                    <w:pStyle w:val="20"/>
                    <w:rPr>
                      <w:b/>
                      <w:bCs/>
                      <w:szCs w:val="21"/>
                    </w:rPr>
                  </w:pPr>
                  <w:r>
                    <w:rPr>
                      <w:b/>
                      <w:bCs/>
                      <w:szCs w:val="21"/>
                    </w:rPr>
                    <w:t>SS</w:t>
                  </w:r>
                </w:p>
              </w:tc>
              <w:tc>
                <w:tcPr>
                  <w:tcW w:w="639" w:type="pct"/>
                  <w:tcBorders>
                    <w:top w:val="single" w:color="auto" w:sz="4" w:space="0"/>
                    <w:left w:val="nil"/>
                    <w:bottom w:val="single" w:color="auto" w:sz="4" w:space="0"/>
                    <w:right w:val="single" w:color="auto" w:sz="4" w:space="0"/>
                  </w:tcBorders>
                  <w:vAlign w:val="center"/>
                </w:tcPr>
                <w:p w14:paraId="4F05CED1">
                  <w:pPr>
                    <w:jc w:val="center"/>
                    <w:rPr>
                      <w:b/>
                      <w:bCs/>
                      <w:sz w:val="21"/>
                      <w:szCs w:val="21"/>
                    </w:rPr>
                  </w:pPr>
                  <w:r>
                    <w:rPr>
                      <w:b/>
                      <w:bCs/>
                      <w:sz w:val="21"/>
                      <w:szCs w:val="21"/>
                    </w:rPr>
                    <w:t>NH</w:t>
                  </w:r>
                  <w:r>
                    <w:rPr>
                      <w:b/>
                      <w:bCs/>
                      <w:sz w:val="21"/>
                      <w:szCs w:val="21"/>
                      <w:vertAlign w:val="subscript"/>
                    </w:rPr>
                    <w:t>3</w:t>
                  </w:r>
                  <w:r>
                    <w:rPr>
                      <w:b/>
                      <w:bCs/>
                      <w:sz w:val="21"/>
                      <w:szCs w:val="21"/>
                    </w:rPr>
                    <w:t>-N</w:t>
                  </w:r>
                </w:p>
              </w:tc>
            </w:tr>
            <w:tr w14:paraId="6DCD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9" w:type="pct"/>
                  <w:tcBorders>
                    <w:top w:val="single" w:color="auto" w:sz="4" w:space="0"/>
                    <w:left w:val="single" w:color="auto" w:sz="4" w:space="0"/>
                    <w:bottom w:val="single" w:color="auto" w:sz="4" w:space="0"/>
                    <w:right w:val="single" w:color="auto" w:sz="4" w:space="0"/>
                  </w:tcBorders>
                  <w:vAlign w:val="center"/>
                </w:tcPr>
                <w:p w14:paraId="2F8DE4FD">
                  <w:pPr>
                    <w:jc w:val="center"/>
                    <w:rPr>
                      <w:sz w:val="21"/>
                      <w:szCs w:val="21"/>
                    </w:rPr>
                  </w:pPr>
                  <w:r>
                    <w:rPr>
                      <w:sz w:val="21"/>
                      <w:szCs w:val="21"/>
                    </w:rPr>
                    <w:t>《污水综合排放标准》（GB8978-1996）三级标准</w:t>
                  </w:r>
                </w:p>
              </w:tc>
              <w:tc>
                <w:tcPr>
                  <w:tcW w:w="637" w:type="pct"/>
                  <w:tcBorders>
                    <w:top w:val="single" w:color="auto" w:sz="4" w:space="0"/>
                    <w:left w:val="nil"/>
                    <w:bottom w:val="single" w:color="auto" w:sz="4" w:space="0"/>
                    <w:right w:val="single" w:color="auto" w:sz="4" w:space="0"/>
                  </w:tcBorders>
                  <w:vAlign w:val="center"/>
                </w:tcPr>
                <w:p w14:paraId="5E1C1BDD">
                  <w:pPr>
                    <w:jc w:val="center"/>
                    <w:rPr>
                      <w:sz w:val="21"/>
                      <w:szCs w:val="21"/>
                    </w:rPr>
                  </w:pPr>
                  <w:r>
                    <w:rPr>
                      <w:sz w:val="21"/>
                      <w:szCs w:val="21"/>
                    </w:rPr>
                    <w:t>6~9</w:t>
                  </w:r>
                </w:p>
              </w:tc>
              <w:tc>
                <w:tcPr>
                  <w:tcW w:w="650" w:type="pct"/>
                  <w:tcBorders>
                    <w:top w:val="single" w:color="auto" w:sz="4" w:space="0"/>
                    <w:left w:val="nil"/>
                    <w:bottom w:val="single" w:color="auto" w:sz="4" w:space="0"/>
                    <w:right w:val="single" w:color="auto" w:sz="4" w:space="0"/>
                  </w:tcBorders>
                  <w:vAlign w:val="center"/>
                </w:tcPr>
                <w:p w14:paraId="0FFBD3D5">
                  <w:pPr>
                    <w:jc w:val="center"/>
                    <w:rPr>
                      <w:sz w:val="21"/>
                      <w:szCs w:val="21"/>
                    </w:rPr>
                  </w:pPr>
                  <w:r>
                    <w:rPr>
                      <w:sz w:val="21"/>
                      <w:szCs w:val="21"/>
                    </w:rPr>
                    <w:t>500</w:t>
                  </w:r>
                </w:p>
              </w:tc>
              <w:tc>
                <w:tcPr>
                  <w:tcW w:w="580" w:type="pct"/>
                  <w:tcBorders>
                    <w:top w:val="single" w:color="auto" w:sz="4" w:space="0"/>
                    <w:left w:val="nil"/>
                    <w:bottom w:val="single" w:color="auto" w:sz="4" w:space="0"/>
                    <w:right w:val="single" w:color="auto" w:sz="4" w:space="0"/>
                  </w:tcBorders>
                  <w:vAlign w:val="center"/>
                </w:tcPr>
                <w:p w14:paraId="4022314A">
                  <w:pPr>
                    <w:jc w:val="center"/>
                    <w:rPr>
                      <w:sz w:val="21"/>
                      <w:szCs w:val="21"/>
                    </w:rPr>
                  </w:pPr>
                  <w:r>
                    <w:rPr>
                      <w:sz w:val="21"/>
                      <w:szCs w:val="21"/>
                    </w:rPr>
                    <w:t>300</w:t>
                  </w:r>
                </w:p>
              </w:tc>
              <w:tc>
                <w:tcPr>
                  <w:tcW w:w="603" w:type="pct"/>
                  <w:tcBorders>
                    <w:top w:val="single" w:color="auto" w:sz="4" w:space="0"/>
                    <w:left w:val="nil"/>
                    <w:bottom w:val="single" w:color="auto" w:sz="4" w:space="0"/>
                    <w:right w:val="single" w:color="auto" w:sz="4" w:space="0"/>
                  </w:tcBorders>
                  <w:vAlign w:val="center"/>
                </w:tcPr>
                <w:p w14:paraId="57BB1965">
                  <w:pPr>
                    <w:jc w:val="center"/>
                    <w:rPr>
                      <w:sz w:val="21"/>
                      <w:szCs w:val="21"/>
                    </w:rPr>
                  </w:pPr>
                  <w:r>
                    <w:rPr>
                      <w:sz w:val="21"/>
                      <w:szCs w:val="21"/>
                    </w:rPr>
                    <w:t>400</w:t>
                  </w:r>
                </w:p>
              </w:tc>
              <w:tc>
                <w:tcPr>
                  <w:tcW w:w="639" w:type="pct"/>
                  <w:tcBorders>
                    <w:top w:val="single" w:color="auto" w:sz="4" w:space="0"/>
                    <w:left w:val="nil"/>
                    <w:bottom w:val="single" w:color="auto" w:sz="4" w:space="0"/>
                    <w:right w:val="single" w:color="auto" w:sz="4" w:space="0"/>
                  </w:tcBorders>
                  <w:vAlign w:val="center"/>
                </w:tcPr>
                <w:p w14:paraId="3BF53F06">
                  <w:pPr>
                    <w:jc w:val="center"/>
                    <w:rPr>
                      <w:sz w:val="21"/>
                      <w:szCs w:val="21"/>
                    </w:rPr>
                  </w:pPr>
                  <w:bookmarkStart w:id="2" w:name="OLE_LINK13"/>
                  <w:r>
                    <w:rPr>
                      <w:sz w:val="21"/>
                      <w:szCs w:val="21"/>
                    </w:rPr>
                    <w:t>/</w:t>
                  </w:r>
                  <w:bookmarkEnd w:id="2"/>
                </w:p>
              </w:tc>
            </w:tr>
            <w:tr w14:paraId="137D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9" w:type="pct"/>
                  <w:tcBorders>
                    <w:top w:val="single" w:color="auto" w:sz="4" w:space="0"/>
                    <w:left w:val="single" w:color="auto" w:sz="4" w:space="0"/>
                    <w:bottom w:val="single" w:color="auto" w:sz="4" w:space="0"/>
                    <w:right w:val="single" w:color="auto" w:sz="4" w:space="0"/>
                  </w:tcBorders>
                  <w:vAlign w:val="center"/>
                </w:tcPr>
                <w:p w14:paraId="04BA1222">
                  <w:pPr>
                    <w:jc w:val="center"/>
                    <w:rPr>
                      <w:sz w:val="21"/>
                      <w:szCs w:val="21"/>
                    </w:rPr>
                  </w:pPr>
                  <w:r>
                    <w:rPr>
                      <w:sz w:val="21"/>
                      <w:szCs w:val="21"/>
                    </w:rPr>
                    <w:t>污水处理厂接管要求</w:t>
                  </w:r>
                </w:p>
              </w:tc>
              <w:tc>
                <w:tcPr>
                  <w:tcW w:w="637" w:type="pct"/>
                  <w:tcBorders>
                    <w:top w:val="single" w:color="auto" w:sz="4" w:space="0"/>
                    <w:left w:val="nil"/>
                    <w:bottom w:val="single" w:color="auto" w:sz="4" w:space="0"/>
                    <w:right w:val="single" w:color="auto" w:sz="4" w:space="0"/>
                  </w:tcBorders>
                  <w:vAlign w:val="center"/>
                </w:tcPr>
                <w:p w14:paraId="256FA665">
                  <w:pPr>
                    <w:jc w:val="center"/>
                    <w:rPr>
                      <w:sz w:val="21"/>
                      <w:szCs w:val="21"/>
                    </w:rPr>
                  </w:pPr>
                  <w:r>
                    <w:rPr>
                      <w:sz w:val="21"/>
                      <w:szCs w:val="21"/>
                    </w:rPr>
                    <w:t>6~9</w:t>
                  </w:r>
                </w:p>
              </w:tc>
              <w:tc>
                <w:tcPr>
                  <w:tcW w:w="650" w:type="pct"/>
                  <w:tcBorders>
                    <w:top w:val="single" w:color="auto" w:sz="4" w:space="0"/>
                    <w:left w:val="nil"/>
                    <w:bottom w:val="single" w:color="auto" w:sz="4" w:space="0"/>
                    <w:right w:val="single" w:color="auto" w:sz="4" w:space="0"/>
                  </w:tcBorders>
                  <w:vAlign w:val="center"/>
                </w:tcPr>
                <w:p w14:paraId="34C20575">
                  <w:pPr>
                    <w:jc w:val="center"/>
                    <w:rPr>
                      <w:sz w:val="21"/>
                      <w:szCs w:val="21"/>
                    </w:rPr>
                  </w:pPr>
                  <w:r>
                    <w:rPr>
                      <w:sz w:val="21"/>
                      <w:szCs w:val="21"/>
                    </w:rPr>
                    <w:t>400</w:t>
                  </w:r>
                </w:p>
              </w:tc>
              <w:tc>
                <w:tcPr>
                  <w:tcW w:w="580" w:type="pct"/>
                  <w:tcBorders>
                    <w:top w:val="single" w:color="auto" w:sz="4" w:space="0"/>
                    <w:left w:val="nil"/>
                    <w:bottom w:val="single" w:color="auto" w:sz="4" w:space="0"/>
                    <w:right w:val="single" w:color="auto" w:sz="4" w:space="0"/>
                  </w:tcBorders>
                  <w:vAlign w:val="center"/>
                </w:tcPr>
                <w:p w14:paraId="31790117">
                  <w:pPr>
                    <w:jc w:val="center"/>
                    <w:rPr>
                      <w:sz w:val="21"/>
                      <w:szCs w:val="21"/>
                    </w:rPr>
                  </w:pPr>
                  <w:r>
                    <w:rPr>
                      <w:sz w:val="21"/>
                      <w:szCs w:val="21"/>
                    </w:rPr>
                    <w:t>180</w:t>
                  </w:r>
                </w:p>
              </w:tc>
              <w:tc>
                <w:tcPr>
                  <w:tcW w:w="603" w:type="pct"/>
                  <w:tcBorders>
                    <w:top w:val="single" w:color="auto" w:sz="4" w:space="0"/>
                    <w:left w:val="nil"/>
                    <w:bottom w:val="single" w:color="auto" w:sz="4" w:space="0"/>
                    <w:right w:val="single" w:color="auto" w:sz="4" w:space="0"/>
                  </w:tcBorders>
                  <w:vAlign w:val="center"/>
                </w:tcPr>
                <w:p w14:paraId="3FA97FBC">
                  <w:pPr>
                    <w:jc w:val="center"/>
                    <w:rPr>
                      <w:sz w:val="21"/>
                      <w:szCs w:val="21"/>
                    </w:rPr>
                  </w:pPr>
                  <w:r>
                    <w:rPr>
                      <w:sz w:val="21"/>
                      <w:szCs w:val="21"/>
                    </w:rPr>
                    <w:t>200</w:t>
                  </w:r>
                </w:p>
              </w:tc>
              <w:tc>
                <w:tcPr>
                  <w:tcW w:w="639" w:type="pct"/>
                  <w:tcBorders>
                    <w:top w:val="single" w:color="auto" w:sz="4" w:space="0"/>
                    <w:left w:val="nil"/>
                    <w:bottom w:val="single" w:color="auto" w:sz="4" w:space="0"/>
                    <w:right w:val="single" w:color="auto" w:sz="4" w:space="0"/>
                  </w:tcBorders>
                  <w:vAlign w:val="center"/>
                </w:tcPr>
                <w:p w14:paraId="16B0AABC">
                  <w:pPr>
                    <w:jc w:val="center"/>
                    <w:rPr>
                      <w:sz w:val="21"/>
                      <w:szCs w:val="21"/>
                    </w:rPr>
                  </w:pPr>
                  <w:r>
                    <w:rPr>
                      <w:sz w:val="21"/>
                      <w:szCs w:val="21"/>
                    </w:rPr>
                    <w:t>25</w:t>
                  </w:r>
                </w:p>
              </w:tc>
            </w:tr>
            <w:tr w14:paraId="3CB6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9" w:type="pct"/>
                  <w:tcBorders>
                    <w:top w:val="single" w:color="auto" w:sz="4" w:space="0"/>
                    <w:left w:val="single" w:color="auto" w:sz="4" w:space="0"/>
                    <w:bottom w:val="single" w:color="auto" w:sz="4" w:space="0"/>
                    <w:right w:val="single" w:color="auto" w:sz="4" w:space="0"/>
                  </w:tcBorders>
                  <w:vAlign w:val="center"/>
                </w:tcPr>
                <w:p w14:paraId="716DEBE8">
                  <w:pPr>
                    <w:jc w:val="center"/>
                    <w:rPr>
                      <w:sz w:val="21"/>
                      <w:szCs w:val="21"/>
                    </w:rPr>
                  </w:pPr>
                  <w:r>
                    <w:rPr>
                      <w:sz w:val="21"/>
                      <w:szCs w:val="21"/>
                    </w:rPr>
                    <w:t>本项目执行标准</w:t>
                  </w:r>
                </w:p>
              </w:tc>
              <w:tc>
                <w:tcPr>
                  <w:tcW w:w="637" w:type="pct"/>
                  <w:tcBorders>
                    <w:top w:val="single" w:color="auto" w:sz="4" w:space="0"/>
                    <w:left w:val="nil"/>
                    <w:bottom w:val="single" w:color="auto" w:sz="4" w:space="0"/>
                    <w:right w:val="single" w:color="auto" w:sz="4" w:space="0"/>
                  </w:tcBorders>
                  <w:vAlign w:val="center"/>
                </w:tcPr>
                <w:p w14:paraId="31F3BCFA">
                  <w:pPr>
                    <w:jc w:val="center"/>
                    <w:rPr>
                      <w:sz w:val="21"/>
                      <w:szCs w:val="21"/>
                    </w:rPr>
                  </w:pPr>
                  <w:r>
                    <w:rPr>
                      <w:sz w:val="21"/>
                      <w:szCs w:val="21"/>
                    </w:rPr>
                    <w:t>6~9</w:t>
                  </w:r>
                </w:p>
              </w:tc>
              <w:tc>
                <w:tcPr>
                  <w:tcW w:w="650" w:type="pct"/>
                  <w:tcBorders>
                    <w:top w:val="single" w:color="auto" w:sz="4" w:space="0"/>
                    <w:left w:val="nil"/>
                    <w:bottom w:val="single" w:color="auto" w:sz="4" w:space="0"/>
                    <w:right w:val="single" w:color="auto" w:sz="4" w:space="0"/>
                  </w:tcBorders>
                  <w:vAlign w:val="center"/>
                </w:tcPr>
                <w:p w14:paraId="6E22B372">
                  <w:pPr>
                    <w:jc w:val="center"/>
                    <w:rPr>
                      <w:sz w:val="21"/>
                      <w:szCs w:val="21"/>
                    </w:rPr>
                  </w:pPr>
                  <w:r>
                    <w:rPr>
                      <w:sz w:val="21"/>
                      <w:szCs w:val="21"/>
                    </w:rPr>
                    <w:t>400</w:t>
                  </w:r>
                </w:p>
              </w:tc>
              <w:tc>
                <w:tcPr>
                  <w:tcW w:w="580" w:type="pct"/>
                  <w:tcBorders>
                    <w:top w:val="single" w:color="auto" w:sz="4" w:space="0"/>
                    <w:left w:val="nil"/>
                    <w:bottom w:val="single" w:color="auto" w:sz="4" w:space="0"/>
                    <w:right w:val="single" w:color="auto" w:sz="4" w:space="0"/>
                  </w:tcBorders>
                  <w:vAlign w:val="center"/>
                </w:tcPr>
                <w:p w14:paraId="64081459">
                  <w:pPr>
                    <w:jc w:val="center"/>
                    <w:rPr>
                      <w:sz w:val="21"/>
                      <w:szCs w:val="21"/>
                    </w:rPr>
                  </w:pPr>
                  <w:r>
                    <w:rPr>
                      <w:sz w:val="21"/>
                      <w:szCs w:val="21"/>
                    </w:rPr>
                    <w:t>180</w:t>
                  </w:r>
                </w:p>
              </w:tc>
              <w:tc>
                <w:tcPr>
                  <w:tcW w:w="603" w:type="pct"/>
                  <w:tcBorders>
                    <w:top w:val="single" w:color="auto" w:sz="4" w:space="0"/>
                    <w:left w:val="nil"/>
                    <w:bottom w:val="single" w:color="auto" w:sz="4" w:space="0"/>
                    <w:right w:val="single" w:color="auto" w:sz="4" w:space="0"/>
                  </w:tcBorders>
                  <w:vAlign w:val="center"/>
                </w:tcPr>
                <w:p w14:paraId="1822F84C">
                  <w:pPr>
                    <w:jc w:val="center"/>
                    <w:rPr>
                      <w:sz w:val="21"/>
                      <w:szCs w:val="21"/>
                    </w:rPr>
                  </w:pPr>
                  <w:r>
                    <w:rPr>
                      <w:sz w:val="21"/>
                      <w:szCs w:val="21"/>
                    </w:rPr>
                    <w:t>200</w:t>
                  </w:r>
                </w:p>
              </w:tc>
              <w:tc>
                <w:tcPr>
                  <w:tcW w:w="639" w:type="pct"/>
                  <w:tcBorders>
                    <w:top w:val="single" w:color="auto" w:sz="4" w:space="0"/>
                    <w:left w:val="nil"/>
                    <w:bottom w:val="single" w:color="auto" w:sz="4" w:space="0"/>
                    <w:right w:val="single" w:color="auto" w:sz="4" w:space="0"/>
                  </w:tcBorders>
                  <w:vAlign w:val="center"/>
                </w:tcPr>
                <w:p w14:paraId="19576F30">
                  <w:pPr>
                    <w:jc w:val="center"/>
                    <w:rPr>
                      <w:sz w:val="21"/>
                      <w:szCs w:val="21"/>
                    </w:rPr>
                  </w:pPr>
                  <w:r>
                    <w:rPr>
                      <w:sz w:val="21"/>
                      <w:szCs w:val="21"/>
                    </w:rPr>
                    <w:t>25</w:t>
                  </w:r>
                </w:p>
              </w:tc>
            </w:tr>
          </w:tbl>
          <w:p w14:paraId="2472A3D2">
            <w:pPr>
              <w:spacing w:line="240" w:lineRule="auto"/>
              <w:jc w:val="center"/>
              <w:rPr>
                <w:rFonts w:hint="default" w:ascii="Times New Roman" w:hAnsi="Times New Roman" w:eastAsia="宋体" w:cs="Times New Roman"/>
                <w:b/>
                <w:color w:val="000000" w:themeColor="text1"/>
                <w:sz w:val="24"/>
                <w14:textFill>
                  <w14:solidFill>
                    <w14:schemeClr w14:val="tx1"/>
                  </w14:solidFill>
                </w14:textFill>
              </w:rPr>
            </w:pPr>
          </w:p>
          <w:p w14:paraId="20664253">
            <w:pPr>
              <w:spacing w:line="360" w:lineRule="auto"/>
              <w:ind w:firstLine="482" w:firstLineChars="200"/>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三、噪声</w:t>
            </w:r>
          </w:p>
          <w:p w14:paraId="7925FA64">
            <w:pPr>
              <w:spacing w:line="360" w:lineRule="auto"/>
              <w:ind w:firstLine="480" w:firstLineChars="200"/>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color w:val="000000" w:themeColor="text1"/>
                <w:sz w:val="24"/>
                <w:lang w:bidi="ar"/>
                <w14:textFill>
                  <w14:solidFill>
                    <w14:schemeClr w14:val="tx1"/>
                  </w14:solidFill>
                </w14:textFill>
              </w:rPr>
              <w:t>本项目</w:t>
            </w:r>
            <w:r>
              <w:rPr>
                <w:rFonts w:hint="default" w:ascii="Times New Roman" w:hAnsi="Times New Roman" w:cs="Times New Roman"/>
                <w:color w:val="000000" w:themeColor="text1"/>
                <w:sz w:val="24"/>
                <w14:textFill>
                  <w14:solidFill>
                    <w14:schemeClr w14:val="tx1"/>
                  </w14:solidFill>
                </w14:textFill>
              </w:rPr>
              <w:t>施工期厂界噪声执行</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建筑施工噪声排放标准</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（GB 12523</w:t>
            </w:r>
            <w:r>
              <w:rPr>
                <w:rFonts w:hint="eastAsia" w:cs="Times New Roman"/>
                <w:color w:val="000000" w:themeColor="text1"/>
                <w:sz w:val="24"/>
                <w:lang w:val="en-US"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2025）中相关标准限值，运营期厂界噪声执行《工业企业厂界环境噪声排放标准》（GB12348-2008）中</w:t>
            </w:r>
            <w:r>
              <w:rPr>
                <w:rFonts w:hint="eastAsia" w:cs="Times New Roman"/>
                <w:color w:val="000000" w:themeColor="text1"/>
                <w:sz w:val="24"/>
                <w:lang w:val="en-US" w:eastAsia="zh-CN"/>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类标准要求，具体标准值如下表：</w:t>
            </w:r>
          </w:p>
          <w:p w14:paraId="5081464A">
            <w:pPr>
              <w:tabs>
                <w:tab w:val="left" w:pos="402"/>
              </w:tabs>
              <w:jc w:val="center"/>
              <w:outlineLvl w:val="0"/>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表3-</w:t>
            </w:r>
            <w:r>
              <w:rPr>
                <w:rFonts w:hint="eastAsia" w:cs="Times New Roman"/>
                <w:b/>
                <w:bCs/>
                <w:color w:val="000000" w:themeColor="text1"/>
                <w:sz w:val="24"/>
                <w:lang w:val="en-US" w:eastAsia="zh-CN"/>
                <w14:textFill>
                  <w14:solidFill>
                    <w14:schemeClr w14:val="tx1"/>
                  </w14:solidFill>
                </w14:textFill>
              </w:rPr>
              <w:t>5</w:t>
            </w:r>
            <w:r>
              <w:rPr>
                <w:rFonts w:hint="default" w:ascii="Times New Roman" w:hAnsi="Times New Roman" w:cs="Times New Roman"/>
                <w:b/>
                <w:bCs/>
                <w:color w:val="000000" w:themeColor="text1"/>
                <w:sz w:val="24"/>
                <w14:textFill>
                  <w14:solidFill>
                    <w14:schemeClr w14:val="tx1"/>
                  </w14:solidFill>
                </w14:textFill>
              </w:rPr>
              <w:t xml:space="preserve"> 噪声排放标准限值  单位：dB（A）</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9"/>
              <w:gridCol w:w="1190"/>
              <w:gridCol w:w="1190"/>
              <w:gridCol w:w="3992"/>
            </w:tblGrid>
            <w:tr w14:paraId="4626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998" w:type="pct"/>
                  <w:vAlign w:val="center"/>
                </w:tcPr>
                <w:p w14:paraId="3AD78B64">
                  <w:pPr>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类别</w:t>
                  </w:r>
                </w:p>
              </w:tc>
              <w:tc>
                <w:tcPr>
                  <w:tcW w:w="747" w:type="pct"/>
                  <w:vAlign w:val="center"/>
                </w:tcPr>
                <w:p w14:paraId="17508752">
                  <w:pPr>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标准限值</w:t>
                  </w:r>
                </w:p>
              </w:tc>
              <w:tc>
                <w:tcPr>
                  <w:tcW w:w="747" w:type="pct"/>
                  <w:vAlign w:val="center"/>
                </w:tcPr>
                <w:p w14:paraId="62317D6E">
                  <w:pPr>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单位</w:t>
                  </w:r>
                </w:p>
              </w:tc>
              <w:tc>
                <w:tcPr>
                  <w:tcW w:w="2506" w:type="pct"/>
                  <w:vAlign w:val="center"/>
                </w:tcPr>
                <w:p w14:paraId="5C52869B">
                  <w:pPr>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执行标准</w:t>
                  </w:r>
                </w:p>
              </w:tc>
            </w:tr>
            <w:tr w14:paraId="7744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998" w:type="pct"/>
                  <w:vAlign w:val="center"/>
                </w:tcPr>
                <w:p w14:paraId="071E7B2F">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昼间</w:t>
                  </w:r>
                </w:p>
              </w:tc>
              <w:tc>
                <w:tcPr>
                  <w:tcW w:w="747" w:type="pct"/>
                  <w:vAlign w:val="center"/>
                </w:tcPr>
                <w:p w14:paraId="4C109B0D">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70</w:t>
                  </w:r>
                </w:p>
              </w:tc>
              <w:tc>
                <w:tcPr>
                  <w:tcW w:w="747" w:type="pct"/>
                  <w:vMerge w:val="restart"/>
                  <w:vAlign w:val="center"/>
                </w:tcPr>
                <w:p w14:paraId="790C2C74">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dB（A）</w:t>
                  </w:r>
                </w:p>
              </w:tc>
              <w:tc>
                <w:tcPr>
                  <w:tcW w:w="2506" w:type="pct"/>
                  <w:vMerge w:val="restart"/>
                  <w:vAlign w:val="center"/>
                </w:tcPr>
                <w:p w14:paraId="588F2492">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《建筑施工噪声排放标准》（GB 12523-2025）中相关标准限值</w:t>
                  </w:r>
                </w:p>
              </w:tc>
            </w:tr>
            <w:tr w14:paraId="4BAC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98" w:type="pct"/>
                  <w:vAlign w:val="center"/>
                </w:tcPr>
                <w:p w14:paraId="1DD0FB73">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夜间</w:t>
                  </w:r>
                </w:p>
              </w:tc>
              <w:tc>
                <w:tcPr>
                  <w:tcW w:w="747" w:type="pct"/>
                  <w:vAlign w:val="center"/>
                </w:tcPr>
                <w:p w14:paraId="028438AB">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55</w:t>
                  </w:r>
                </w:p>
              </w:tc>
              <w:tc>
                <w:tcPr>
                  <w:tcW w:w="747" w:type="pct"/>
                  <w:vMerge w:val="continue"/>
                  <w:vAlign w:val="center"/>
                </w:tcPr>
                <w:p w14:paraId="09B49186">
                  <w:pPr>
                    <w:jc w:val="center"/>
                    <w:rPr>
                      <w:rFonts w:hint="default" w:ascii="Times New Roman" w:hAnsi="Times New Roman" w:cs="Times New Roman"/>
                      <w:color w:val="000000" w:themeColor="text1"/>
                      <w:szCs w:val="21"/>
                      <w14:textFill>
                        <w14:solidFill>
                          <w14:schemeClr w14:val="tx1"/>
                        </w14:solidFill>
                      </w14:textFill>
                    </w:rPr>
                  </w:pPr>
                </w:p>
              </w:tc>
              <w:tc>
                <w:tcPr>
                  <w:tcW w:w="2506" w:type="pct"/>
                  <w:vMerge w:val="continue"/>
                  <w:vAlign w:val="center"/>
                </w:tcPr>
                <w:p w14:paraId="2C53C9F8">
                  <w:pPr>
                    <w:jc w:val="center"/>
                    <w:rPr>
                      <w:rFonts w:hint="default" w:ascii="Times New Roman" w:hAnsi="Times New Roman" w:cs="Times New Roman"/>
                      <w:color w:val="000000" w:themeColor="text1"/>
                      <w:szCs w:val="21"/>
                      <w14:textFill>
                        <w14:solidFill>
                          <w14:schemeClr w14:val="tx1"/>
                        </w14:solidFill>
                      </w14:textFill>
                    </w:rPr>
                  </w:pPr>
                </w:p>
              </w:tc>
            </w:tr>
            <w:tr w14:paraId="1050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98" w:type="pct"/>
                  <w:vAlign w:val="center"/>
                </w:tcPr>
                <w:p w14:paraId="4D7DF291">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昼间</w:t>
                  </w:r>
                </w:p>
              </w:tc>
              <w:tc>
                <w:tcPr>
                  <w:tcW w:w="747" w:type="pct"/>
                  <w:vAlign w:val="center"/>
                </w:tcPr>
                <w:p w14:paraId="15A912A1">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65</w:t>
                  </w:r>
                </w:p>
              </w:tc>
              <w:tc>
                <w:tcPr>
                  <w:tcW w:w="747" w:type="pct"/>
                  <w:vMerge w:val="continue"/>
                  <w:vAlign w:val="center"/>
                </w:tcPr>
                <w:p w14:paraId="0D9BF26A">
                  <w:pPr>
                    <w:jc w:val="center"/>
                    <w:rPr>
                      <w:rFonts w:hint="default" w:ascii="Times New Roman" w:hAnsi="Times New Roman" w:cs="Times New Roman"/>
                      <w:color w:val="000000" w:themeColor="text1"/>
                      <w:szCs w:val="21"/>
                      <w14:textFill>
                        <w14:solidFill>
                          <w14:schemeClr w14:val="tx1"/>
                        </w14:solidFill>
                      </w14:textFill>
                    </w:rPr>
                  </w:pPr>
                </w:p>
              </w:tc>
              <w:tc>
                <w:tcPr>
                  <w:tcW w:w="2506" w:type="pct"/>
                  <w:vMerge w:val="restart"/>
                  <w:vAlign w:val="center"/>
                </w:tcPr>
                <w:p w14:paraId="36A43434">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《工业企业厂界环境噪声排放标准》（GB12348-2008）中</w:t>
                  </w:r>
                  <w:r>
                    <w:rPr>
                      <w:rFonts w:hint="eastAsia" w:cs="Times New Roman"/>
                      <w:color w:val="000000" w:themeColor="text1"/>
                      <w:szCs w:val="21"/>
                      <w:lang w:val="en-US" w:eastAsia="zh-CN"/>
                      <w14:textFill>
                        <w14:solidFill>
                          <w14:schemeClr w14:val="tx1"/>
                        </w14:solidFill>
                      </w14:textFill>
                    </w:rPr>
                    <w:t>3</w:t>
                  </w:r>
                  <w:r>
                    <w:rPr>
                      <w:rFonts w:hint="default" w:ascii="Times New Roman" w:hAnsi="Times New Roman" w:cs="Times New Roman"/>
                      <w:color w:val="000000" w:themeColor="text1"/>
                      <w:szCs w:val="21"/>
                      <w14:textFill>
                        <w14:solidFill>
                          <w14:schemeClr w14:val="tx1"/>
                        </w14:solidFill>
                      </w14:textFill>
                    </w:rPr>
                    <w:t>类标准</w:t>
                  </w:r>
                </w:p>
              </w:tc>
            </w:tr>
            <w:tr w14:paraId="742E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98" w:type="pct"/>
                  <w:vAlign w:val="center"/>
                </w:tcPr>
                <w:p w14:paraId="42B30E07">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夜间</w:t>
                  </w:r>
                </w:p>
              </w:tc>
              <w:tc>
                <w:tcPr>
                  <w:tcW w:w="747" w:type="pct"/>
                  <w:vAlign w:val="center"/>
                </w:tcPr>
                <w:p w14:paraId="51A63FC8">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55</w:t>
                  </w:r>
                </w:p>
              </w:tc>
              <w:tc>
                <w:tcPr>
                  <w:tcW w:w="747" w:type="pct"/>
                  <w:vMerge w:val="continue"/>
                  <w:vAlign w:val="center"/>
                </w:tcPr>
                <w:p w14:paraId="5399D417">
                  <w:pPr>
                    <w:jc w:val="center"/>
                    <w:rPr>
                      <w:rFonts w:hint="default" w:ascii="Times New Roman" w:hAnsi="Times New Roman" w:cs="Times New Roman"/>
                      <w:color w:val="000000" w:themeColor="text1"/>
                      <w:szCs w:val="21"/>
                      <w14:textFill>
                        <w14:solidFill>
                          <w14:schemeClr w14:val="tx1"/>
                        </w14:solidFill>
                      </w14:textFill>
                    </w:rPr>
                  </w:pPr>
                </w:p>
              </w:tc>
              <w:tc>
                <w:tcPr>
                  <w:tcW w:w="2506" w:type="pct"/>
                  <w:vMerge w:val="continue"/>
                  <w:vAlign w:val="center"/>
                </w:tcPr>
                <w:p w14:paraId="25062AD1">
                  <w:pPr>
                    <w:jc w:val="center"/>
                    <w:rPr>
                      <w:rFonts w:hint="default" w:ascii="Times New Roman" w:hAnsi="Times New Roman" w:cs="Times New Roman"/>
                      <w:color w:val="000000" w:themeColor="text1"/>
                      <w:szCs w:val="21"/>
                      <w14:textFill>
                        <w14:solidFill>
                          <w14:schemeClr w14:val="tx1"/>
                        </w14:solidFill>
                      </w14:textFill>
                    </w:rPr>
                  </w:pPr>
                </w:p>
              </w:tc>
            </w:tr>
          </w:tbl>
          <w:p w14:paraId="19E92A1E">
            <w:pPr>
              <w:spacing w:line="360" w:lineRule="auto"/>
              <w:ind w:firstLine="482" w:firstLineChars="200"/>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四、固体废物</w:t>
            </w:r>
          </w:p>
          <w:p w14:paraId="44395088">
            <w:pPr>
              <w:adjustRightInd w:val="0"/>
              <w:snapToGrid w:val="0"/>
              <w:spacing w:line="360" w:lineRule="auto"/>
              <w:ind w:firstLine="480" w:firstLineChars="20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一般工业固体废物执行《一般工业固体废物贮存和填埋污染控制标准》（GB18599-2020）中</w:t>
            </w:r>
            <w:r>
              <w:rPr>
                <w:rFonts w:hint="default" w:ascii="Times New Roman" w:hAnsi="Times New Roman" w:eastAsia="宋体" w:cs="Times New Roman"/>
                <w:color w:val="000000" w:themeColor="text1"/>
                <w:sz w:val="24"/>
                <w14:textFill>
                  <w14:solidFill>
                    <w14:schemeClr w14:val="tx1"/>
                  </w14:solidFill>
                </w14:textFill>
              </w:rPr>
              <w:t>有关要求，危险废物执行</w:t>
            </w:r>
            <w:r>
              <w:rPr>
                <w:rFonts w:hint="eastAsia" w:ascii="Times New Roman" w:hAnsi="Times New Roman" w:eastAsia="宋体" w:cs="Times New Roman"/>
                <w:color w:val="000000" w:themeColor="text1"/>
                <w:sz w:val="24"/>
                <w:lang w:eastAsia="zh-CN"/>
                <w14:textFill>
                  <w14:solidFill>
                    <w14:schemeClr w14:val="tx1"/>
                  </w14:solidFill>
                </w14:textFill>
              </w:rPr>
              <w:t>《危险废物贮存污染控制标准》（GB 18597-2023）</w:t>
            </w:r>
            <w:r>
              <w:rPr>
                <w:rFonts w:hint="default" w:ascii="Times New Roman" w:hAnsi="Times New Roman" w:eastAsia="宋体" w:cs="Times New Roman"/>
                <w:color w:val="000000" w:themeColor="text1"/>
                <w:sz w:val="24"/>
                <w14:textFill>
                  <w14:solidFill>
                    <w14:schemeClr w14:val="tx1"/>
                  </w14:solidFill>
                </w14:textFill>
              </w:rPr>
              <w:t>中有关规定。</w:t>
            </w:r>
          </w:p>
        </w:tc>
      </w:tr>
      <w:tr w14:paraId="13B162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7" w:hRule="atLeast"/>
          <w:jc w:val="center"/>
        </w:trPr>
        <w:tc>
          <w:tcPr>
            <w:tcW w:w="800" w:type="dxa"/>
            <w:vAlign w:val="center"/>
          </w:tcPr>
          <w:p w14:paraId="2DE18BF5">
            <w:pPr>
              <w:adjustRightInd w:val="0"/>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总量</w:t>
            </w:r>
          </w:p>
          <w:p w14:paraId="54872BAA">
            <w:pPr>
              <w:adjustRightInd w:val="0"/>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控制</w:t>
            </w:r>
          </w:p>
          <w:p w14:paraId="143E5C44">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指标</w:t>
            </w:r>
          </w:p>
        </w:tc>
        <w:tc>
          <w:tcPr>
            <w:tcW w:w="8190" w:type="dxa"/>
            <w:vAlign w:val="center"/>
          </w:tcPr>
          <w:p w14:paraId="184A40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rPr>
            </w:pPr>
            <w:r>
              <w:rPr>
                <w:rFonts w:hint="default" w:ascii="Times New Roman" w:hAnsi="Times New Roman" w:cs="Times New Roman"/>
                <w:color w:val="auto"/>
                <w:sz w:val="24"/>
              </w:rPr>
              <w:t>废水总量控制因子为COD、NH</w:t>
            </w:r>
            <w:r>
              <w:rPr>
                <w:rFonts w:hint="default" w:ascii="Times New Roman" w:hAnsi="Times New Roman" w:cs="Times New Roman"/>
                <w:color w:val="auto"/>
                <w:sz w:val="24"/>
                <w:vertAlign w:val="subscript"/>
              </w:rPr>
              <w:t>3</w:t>
            </w:r>
            <w:r>
              <w:rPr>
                <w:rFonts w:hint="default" w:ascii="Times New Roman" w:hAnsi="Times New Roman" w:cs="Times New Roman"/>
                <w:color w:val="auto"/>
                <w:sz w:val="24"/>
              </w:rPr>
              <w:t>-N；废气总量控制因子为SO</w:t>
            </w:r>
            <w:r>
              <w:rPr>
                <w:rFonts w:hint="default" w:ascii="Times New Roman" w:hAnsi="Times New Roman" w:cs="Times New Roman"/>
                <w:color w:val="auto"/>
                <w:sz w:val="24"/>
                <w:vertAlign w:val="subscript"/>
              </w:rPr>
              <w:t>2</w:t>
            </w:r>
            <w:r>
              <w:rPr>
                <w:rFonts w:hint="default" w:ascii="Times New Roman" w:hAnsi="Times New Roman" w:cs="Times New Roman"/>
                <w:color w:val="auto"/>
                <w:sz w:val="24"/>
              </w:rPr>
              <w:t>、NOx、烟（粉）尘、VOCs。本项目涉及的废水总量控制因子为COD、NH</w:t>
            </w:r>
            <w:r>
              <w:rPr>
                <w:rFonts w:hint="default" w:ascii="Times New Roman" w:hAnsi="Times New Roman" w:cs="Times New Roman"/>
                <w:color w:val="auto"/>
                <w:sz w:val="24"/>
                <w:vertAlign w:val="subscript"/>
              </w:rPr>
              <w:t>3</w:t>
            </w:r>
            <w:r>
              <w:rPr>
                <w:rFonts w:hint="default" w:ascii="Times New Roman" w:hAnsi="Times New Roman" w:cs="Times New Roman"/>
                <w:color w:val="auto"/>
                <w:sz w:val="24"/>
              </w:rPr>
              <w:t>-N</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核算本项目污染总量控制指标，具体如下：</w:t>
            </w:r>
          </w:p>
          <w:p w14:paraId="1CE374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auto"/>
                <w:sz w:val="24"/>
              </w:rPr>
            </w:pPr>
            <w:r>
              <w:rPr>
                <w:rFonts w:hint="default" w:ascii="Times New Roman" w:hAnsi="Times New Roman" w:cs="Times New Roman"/>
                <w:color w:val="auto"/>
                <w:sz w:val="24"/>
              </w:rPr>
              <w:t>项目生活污水经化粪池处理，清洗废水和生物除臭装置废水经厂区污水处理站处理后与纯水制备浓水，一起通过厂区污水总排放口（DW001）排放至园区污水管网，最终排放至泗县工业污水处理厂进一步处理，尾水排入泗县鹏鹞水处理有限公司处理，处理后最终排入石梁河。根据泗县鹏鹞水处理有限公司（泗县中水处理厂）尾水出水水质要求，COD排入外环境的浓度为30mg/L，氨氮排入外环境的浓度为1.5mg/L。</w:t>
            </w:r>
          </w:p>
          <w:p w14:paraId="79E584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color w:val="auto"/>
                <w:sz w:val="24"/>
                <w:lang w:eastAsia="zh-CN"/>
              </w:rPr>
            </w:pPr>
            <w:r>
              <w:rPr>
                <w:rFonts w:hint="default" w:ascii="Times New Roman" w:hAnsi="Times New Roman" w:cs="Times New Roman"/>
                <w:color w:val="auto"/>
                <w:sz w:val="24"/>
              </w:rPr>
              <w:t>根据《建设项目主要污染物排放总量指标核定表（试行）》项目主要污染物排放总量控制目标，</w:t>
            </w:r>
            <w:r>
              <w:rPr>
                <w:rFonts w:hint="eastAsia" w:ascii="Times New Roman" w:hAnsi="Times New Roman" w:cs="Times New Roman"/>
                <w:color w:val="auto"/>
                <w:sz w:val="24"/>
                <w:lang w:val="en-US" w:eastAsia="zh-CN"/>
              </w:rPr>
              <w:t>本</w:t>
            </w:r>
            <w:r>
              <w:rPr>
                <w:rFonts w:hint="eastAsia" w:ascii="Times New Roman" w:hAnsi="Times New Roman" w:cs="Times New Roman"/>
                <w:color w:val="auto"/>
                <w:sz w:val="24"/>
                <w:lang w:eastAsia="zh-CN"/>
              </w:rPr>
              <w:t>项目</w:t>
            </w:r>
            <w:r>
              <w:rPr>
                <w:rFonts w:hint="default" w:ascii="Times New Roman" w:hAnsi="Times New Roman" w:cs="Times New Roman"/>
                <w:color w:val="auto"/>
                <w:sz w:val="24"/>
              </w:rPr>
              <w:t>许可排放总量为</w:t>
            </w:r>
            <w:r>
              <w:rPr>
                <w:color w:val="auto"/>
                <w:sz w:val="24"/>
              </w:rPr>
              <w:t>COD</w:t>
            </w:r>
            <w:r>
              <w:rPr>
                <w:rFonts w:hint="default" w:ascii="Times New Roman" w:hAnsi="Times New Roman" w:cs="Times New Roman"/>
                <w:color w:val="auto"/>
                <w:sz w:val="24"/>
              </w:rPr>
              <w:t>：0.3929t/a</w:t>
            </w:r>
            <w:r>
              <w:rPr>
                <w:rFonts w:hint="eastAsia" w:ascii="Times New Roman" w:hAnsi="Times New Roman" w:cs="Times New Roman"/>
                <w:color w:val="auto"/>
                <w:sz w:val="24"/>
                <w:lang w:eastAsia="zh-CN"/>
              </w:rPr>
              <w:t>、</w:t>
            </w:r>
            <w:r>
              <w:rPr>
                <w:color w:val="auto"/>
                <w:sz w:val="24"/>
              </w:rPr>
              <w:t>NH</w:t>
            </w:r>
            <w:r>
              <w:rPr>
                <w:color w:val="auto"/>
                <w:sz w:val="24"/>
                <w:vertAlign w:val="subscript"/>
              </w:rPr>
              <w:t>3</w:t>
            </w:r>
            <w:r>
              <w:rPr>
                <w:color w:val="auto"/>
                <w:sz w:val="24"/>
              </w:rPr>
              <w:t>-N</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rPr>
              <w:t>0.0196</w:t>
            </w:r>
            <w:r>
              <w:rPr>
                <w:rFonts w:hint="eastAsia" w:ascii="Times New Roman" w:hAnsi="Times New Roman" w:cs="Times New Roman"/>
                <w:color w:val="auto"/>
                <w:sz w:val="24"/>
                <w:lang w:val="en-US" w:eastAsia="zh-CN"/>
              </w:rPr>
              <w:t>t/a</w:t>
            </w:r>
            <w:r>
              <w:rPr>
                <w:rFonts w:hint="default" w:ascii="Times New Roman" w:hAnsi="Times New Roman" w:cs="Times New Roman"/>
                <w:color w:val="auto"/>
                <w:sz w:val="24"/>
              </w:rPr>
              <w:t>。</w:t>
            </w:r>
          </w:p>
          <w:p w14:paraId="7DB18F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auto"/>
                <w:sz w:val="24"/>
              </w:rPr>
              <w:t>根据计算本项目排放总量为：</w:t>
            </w:r>
            <w:r>
              <w:rPr>
                <w:color w:val="auto"/>
                <w:sz w:val="24"/>
              </w:rPr>
              <w:t>COD</w:t>
            </w:r>
            <w:r>
              <w:rPr>
                <w:rFonts w:hint="default" w:ascii="Times New Roman" w:hAnsi="Times New Roman" w:cs="Times New Roman"/>
                <w:color w:val="auto"/>
                <w:sz w:val="24"/>
              </w:rPr>
              <w:t>：0.3</w:t>
            </w:r>
            <w:r>
              <w:rPr>
                <w:rFonts w:hint="eastAsia" w:cs="Times New Roman"/>
                <w:color w:val="auto"/>
                <w:sz w:val="24"/>
                <w:lang w:val="en-US" w:eastAsia="zh-CN"/>
              </w:rPr>
              <w:t>782</w:t>
            </w:r>
            <w:r>
              <w:rPr>
                <w:rFonts w:hint="default" w:ascii="Times New Roman" w:hAnsi="Times New Roman" w:cs="Times New Roman"/>
                <w:color w:val="auto"/>
                <w:sz w:val="24"/>
              </w:rPr>
              <w:t>t/a</w:t>
            </w:r>
            <w:r>
              <w:rPr>
                <w:rFonts w:hint="eastAsia" w:ascii="Times New Roman" w:hAnsi="Times New Roman" w:cs="Times New Roman"/>
                <w:color w:val="auto"/>
                <w:sz w:val="24"/>
                <w:lang w:eastAsia="zh-CN"/>
              </w:rPr>
              <w:t>、</w:t>
            </w:r>
            <w:r>
              <w:rPr>
                <w:color w:val="auto"/>
                <w:sz w:val="24"/>
              </w:rPr>
              <w:t>NH</w:t>
            </w:r>
            <w:r>
              <w:rPr>
                <w:color w:val="auto"/>
                <w:sz w:val="24"/>
                <w:vertAlign w:val="subscript"/>
              </w:rPr>
              <w:t>3</w:t>
            </w:r>
            <w:r>
              <w:rPr>
                <w:color w:val="auto"/>
                <w:sz w:val="24"/>
              </w:rPr>
              <w:t>-N</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rPr>
              <w:t>0.01</w:t>
            </w:r>
            <w:r>
              <w:rPr>
                <w:rFonts w:hint="eastAsia" w:cs="Times New Roman"/>
                <w:color w:val="auto"/>
                <w:sz w:val="24"/>
                <w:lang w:val="en-US" w:eastAsia="zh-CN"/>
              </w:rPr>
              <w:t>89</w:t>
            </w:r>
            <w:r>
              <w:rPr>
                <w:rFonts w:hint="eastAsia" w:ascii="Times New Roman" w:hAnsi="Times New Roman" w:cs="Times New Roman"/>
                <w:color w:val="auto"/>
                <w:sz w:val="24"/>
                <w:lang w:val="en-US" w:eastAsia="zh-CN"/>
              </w:rPr>
              <w:t>t/a</w:t>
            </w:r>
            <w:r>
              <w:rPr>
                <w:rFonts w:hint="default" w:ascii="Times New Roman" w:hAnsi="Times New Roman" w:cs="Times New Roman"/>
                <w:color w:val="auto"/>
                <w:sz w:val="24"/>
              </w:rPr>
              <w:t>。根据《建设项目主要污染物排放总量指标核定表（试行）》，本项目满足总量控制要求。</w:t>
            </w:r>
          </w:p>
          <w:p w14:paraId="3B14414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cs="Times New Roman"/>
                <w:color w:val="000000" w:themeColor="text1"/>
                <w:kern w:val="0"/>
                <w:szCs w:val="21"/>
                <w14:textFill>
                  <w14:solidFill>
                    <w14:schemeClr w14:val="tx1"/>
                  </w14:solidFill>
                </w14:textFill>
              </w:rPr>
            </w:pPr>
          </w:p>
          <w:p w14:paraId="2158EE7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cs="Times New Roman"/>
                <w:color w:val="000000" w:themeColor="text1"/>
                <w:kern w:val="0"/>
                <w:szCs w:val="21"/>
                <w14:textFill>
                  <w14:solidFill>
                    <w14:schemeClr w14:val="tx1"/>
                  </w14:solidFill>
                </w14:textFill>
              </w:rPr>
            </w:pPr>
          </w:p>
          <w:p w14:paraId="6976252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cs="Times New Roman"/>
                <w:color w:val="000000" w:themeColor="text1"/>
                <w:kern w:val="0"/>
                <w:szCs w:val="21"/>
                <w14:textFill>
                  <w14:solidFill>
                    <w14:schemeClr w14:val="tx1"/>
                  </w14:solidFill>
                </w14:textFill>
              </w:rPr>
            </w:pPr>
          </w:p>
          <w:p w14:paraId="49573DF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cs="Times New Roman"/>
                <w:color w:val="000000" w:themeColor="text1"/>
                <w:kern w:val="0"/>
                <w:szCs w:val="21"/>
                <w14:textFill>
                  <w14:solidFill>
                    <w14:schemeClr w14:val="tx1"/>
                  </w14:solidFill>
                </w14:textFill>
              </w:rPr>
            </w:pPr>
          </w:p>
          <w:p w14:paraId="7B0AF45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cs="Times New Roman"/>
                <w:color w:val="000000" w:themeColor="text1"/>
                <w:kern w:val="0"/>
                <w:szCs w:val="21"/>
                <w14:textFill>
                  <w14:solidFill>
                    <w14:schemeClr w14:val="tx1"/>
                  </w14:solidFill>
                </w14:textFill>
              </w:rPr>
            </w:pPr>
          </w:p>
          <w:p w14:paraId="18B5C39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cs="Times New Roman"/>
                <w:color w:val="000000" w:themeColor="text1"/>
                <w:kern w:val="0"/>
                <w:szCs w:val="21"/>
                <w14:textFill>
                  <w14:solidFill>
                    <w14:schemeClr w14:val="tx1"/>
                  </w14:solidFill>
                </w14:textFill>
              </w:rPr>
            </w:pPr>
          </w:p>
        </w:tc>
      </w:tr>
    </w:tbl>
    <w:p w14:paraId="266274CB">
      <w:pPr>
        <w:pStyle w:val="19"/>
        <w:jc w:val="center"/>
        <w:outlineLvl w:val="0"/>
        <w:rPr>
          <w:rFonts w:ascii="黑体" w:hAnsi="黑体" w:eastAsia="黑体" w:cs="黑体"/>
          <w:snapToGrid w:val="0"/>
          <w:sz w:val="30"/>
          <w:szCs w:val="30"/>
        </w:rPr>
      </w:pPr>
      <w:r>
        <w:rPr>
          <w:rFonts w:hint="eastAsia" w:cs="宋体"/>
          <w:snapToGrid w:val="0"/>
          <w:sz w:val="36"/>
          <w:szCs w:val="36"/>
        </w:rPr>
        <w:br w:type="page"/>
      </w:r>
      <w:r>
        <w:rPr>
          <w:rFonts w:hint="eastAsia" w:ascii="黑体" w:hAnsi="黑体" w:eastAsia="黑体" w:cs="黑体"/>
          <w:snapToGrid w:val="0"/>
          <w:sz w:val="30"/>
          <w:szCs w:val="30"/>
        </w:rPr>
        <w:t>四、主要环境影响和保护措施</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85"/>
        <w:gridCol w:w="8696"/>
      </w:tblGrid>
      <w:tr w14:paraId="2FCF8B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9" w:hRule="atLeast"/>
          <w:jc w:val="center"/>
        </w:trPr>
        <w:tc>
          <w:tcPr>
            <w:tcW w:w="746" w:type="dxa"/>
            <w:tcMar>
              <w:left w:w="28" w:type="dxa"/>
              <w:right w:w="28" w:type="dxa"/>
            </w:tcMar>
            <w:vAlign w:val="center"/>
          </w:tcPr>
          <w:p w14:paraId="4E54D567">
            <w:pPr>
              <w:pStyle w:val="19"/>
              <w:adjustRightInd w:val="0"/>
              <w:snapToGrid w:val="0"/>
              <w:spacing w:before="0" w:beforeAutospacing="0" w:after="0" w:afterAutospacing="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施工</w:t>
            </w:r>
          </w:p>
          <w:p w14:paraId="75807523">
            <w:pPr>
              <w:pStyle w:val="19"/>
              <w:adjustRightInd w:val="0"/>
              <w:snapToGrid w:val="0"/>
              <w:spacing w:before="0" w:beforeAutospacing="0" w:after="0" w:afterAutospacing="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期环</w:t>
            </w:r>
          </w:p>
          <w:p w14:paraId="2EDD2F97">
            <w:pPr>
              <w:pStyle w:val="19"/>
              <w:adjustRightInd w:val="0"/>
              <w:snapToGrid w:val="0"/>
              <w:spacing w:before="0" w:beforeAutospacing="0" w:after="0" w:afterAutospacing="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境保</w:t>
            </w:r>
          </w:p>
          <w:p w14:paraId="4CE316F8">
            <w:pPr>
              <w:pStyle w:val="19"/>
              <w:adjustRightInd w:val="0"/>
              <w:snapToGrid w:val="0"/>
              <w:spacing w:before="0" w:beforeAutospacing="0" w:after="0" w:afterAutospacing="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护措</w:t>
            </w:r>
          </w:p>
          <w:p w14:paraId="0FDD680B">
            <w:pPr>
              <w:pStyle w:val="19"/>
              <w:adjustRightInd w:val="0"/>
              <w:snapToGrid w:val="0"/>
              <w:spacing w:before="0" w:beforeAutospacing="0" w:after="0" w:afterAutospacing="0"/>
              <w:jc w:val="center"/>
              <w:rPr>
                <w:rFonts w:cs="宋体"/>
                <w:bCs/>
                <w:color w:val="000000" w:themeColor="text1"/>
                <w:kern w:val="2"/>
                <w:sz w:val="21"/>
                <w:szCs w:val="21"/>
                <w14:textFill>
                  <w14:solidFill>
                    <w14:schemeClr w14:val="tx1"/>
                  </w14:solidFill>
                </w14:textFill>
              </w:rPr>
            </w:pPr>
            <w:r>
              <w:rPr>
                <w:rFonts w:hint="eastAsia" w:cs="宋体"/>
                <w:color w:val="000000" w:themeColor="text1"/>
                <w:kern w:val="2"/>
                <w:szCs w:val="24"/>
                <w14:textFill>
                  <w14:solidFill>
                    <w14:schemeClr w14:val="tx1"/>
                  </w14:solidFill>
                </w14:textFill>
              </w:rPr>
              <w:t>施</w:t>
            </w:r>
          </w:p>
        </w:tc>
        <w:tc>
          <w:tcPr>
            <w:tcW w:w="8162" w:type="dxa"/>
            <w:vAlign w:val="center"/>
          </w:tcPr>
          <w:p w14:paraId="2797EBFA">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施工期污染主要为大气污染物、噪声、固废和废水。其中大气污染物主要是建筑粉尘和动力设备及运输车辆排放的废气，后者的影响较小。</w:t>
            </w:r>
          </w:p>
          <w:p w14:paraId="696D0F4C">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1、施工扬尘</w:t>
            </w:r>
          </w:p>
          <w:p w14:paraId="62871B60">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施工期对大气造成污染的主要是粉尘，应严格按照</w:t>
            </w:r>
            <w:r>
              <w:rPr>
                <w:color w:val="000000" w:themeColor="text1"/>
                <w:spacing w:val="2"/>
                <w:sz w:val="24"/>
                <w:szCs w:val="24"/>
                <w14:textFill>
                  <w14:solidFill>
                    <w14:schemeClr w14:val="tx1"/>
                  </w14:solidFill>
                </w14:textFill>
              </w:rPr>
              <w:t>《安徽省建筑工程施工扬尘污染防治规定》及</w:t>
            </w:r>
            <w:r>
              <w:rPr>
                <w:color w:val="000000" w:themeColor="text1"/>
                <w:kern w:val="44"/>
                <w:sz w:val="24"/>
                <w:szCs w:val="24"/>
                <w14:textFill>
                  <w14:solidFill>
                    <w14:schemeClr w14:val="tx1"/>
                  </w14:solidFill>
                </w14:textFill>
              </w:rPr>
              <w:t>《宿州市建设工程施工扬尘污染治理工作实施方案》</w:t>
            </w:r>
            <w:r>
              <w:rPr>
                <w:color w:val="000000" w:themeColor="text1"/>
                <w:sz w:val="24"/>
                <w:szCs w:val="24"/>
                <w14:textFill>
                  <w14:solidFill>
                    <w14:schemeClr w14:val="tx1"/>
                  </w14:solidFill>
                </w14:textFill>
              </w:rPr>
              <w:t>中相关规定控制施工期粉尘，具体措施如下：</w:t>
            </w:r>
          </w:p>
          <w:p w14:paraId="5A010D29">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施工现场实行围挡全封闭。主要路段施工现场围挡要严格按照建筑工程施工扬尘污染防治规定要求设立，主要路段围挡高度不得低于2.5米，一般路段围挡高度不得低于1.8米。围挡要进行美化亮化，公益广告不得破损。围档底边应当封闭并设置防溢沉淀井，不得有泥浆外漏。</w:t>
            </w:r>
          </w:p>
          <w:p w14:paraId="1B265C47">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（2）施工现场内道路、加工区实施混凝土硬化。硬化后的地面，不得有浮土、积土，裸露场地应当采取覆盖或绿化措施，祼土堆积时间超过3个月以上的必须绿化。</w:t>
            </w:r>
          </w:p>
          <w:p w14:paraId="622552A8">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（3）施工现场设置洒水降尘设施，安排专人定时洒水降尘。</w:t>
            </w:r>
          </w:p>
          <w:p w14:paraId="158D2ABC">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（4）施工现场土方开挖后尽快完成回填，不能及时回填的场地，采取覆盖等防尘措施；砂石等散体材料集中堆放并覆盖。</w:t>
            </w:r>
          </w:p>
          <w:p w14:paraId="726DC193">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（5）渣土等建筑垃圾集中、分类堆放，严密遮盖，采用封闭式管道或装袋清运，严禁高处抛洒。需要运输、处理的，按照市、县政府市容环境治理有关规定和要求办理。</w:t>
            </w:r>
          </w:p>
          <w:p w14:paraId="10B543DD">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（6）外脚手架应当设置悬挂密目式安全网封闭，并保持严密整洁。</w:t>
            </w:r>
          </w:p>
          <w:p w14:paraId="568EC539">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（7）施工现场禁止焚烧沥青、油毡、橡胶、塑料、皮革、垃圾以及其他产生有毒有害烟尘和恶臭气体的物质。</w:t>
            </w:r>
          </w:p>
          <w:p w14:paraId="3AEFF3E8">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（8）施工现场必须使用商品混凝土和预拌砂浆，严禁现场搅拌混凝土、配制砂浆作业。</w:t>
            </w:r>
          </w:p>
          <w:p w14:paraId="03495C9C">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（9）施工现场大门出口处必须设置自动冲洗设施，并保持设备处于开启使用状态，视频监控装置要实时监控，并保存车辆冲洗影像资料。</w:t>
            </w:r>
          </w:p>
          <w:p w14:paraId="1737AF02">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（10）建筑面积1万平方米及以上的建筑施工工地现场要安装扬尘在线监测和视频监控装置并与当地住建部门联网，实行施工全过程监控。</w:t>
            </w:r>
          </w:p>
          <w:p w14:paraId="6E97843A">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（11）施工单位应配备相应降尘设备（雾炮机、洒水车），保证现场防尘使用，在用设备外观必须干净美观。</w:t>
            </w:r>
          </w:p>
          <w:p w14:paraId="6C485FF8">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12）喷淋系统设置。塔式起重机安装高压喷淋系统，覆盖整个施工区域，每天不少于4次喷淋作业；外脚手架在首层悬挑周围或者10米高度设置喷淋系统，每隔5米设置一个喷头；道路安装喷淋系统定时洒水减少扬尘。</w:t>
            </w:r>
          </w:p>
          <w:p w14:paraId="1939D620">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（13）施工后期道路排水工程、绿化工程，施工时围挡不得拆除。挖土整平施工时必须进行湿式作业。裸土必须覆盖，渣土及时清运。</w:t>
            </w:r>
          </w:p>
          <w:p w14:paraId="387B8EDA">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（14）根据《安徽省重污染天气应急预案》启动Ⅲ级（黄色）预警以上或气象预报风速达到五级以上时，不得进行土方挖填和转运、拆除、道路路面鼓风机吹灰等易产生扬尘的作业。</w:t>
            </w:r>
          </w:p>
          <w:p w14:paraId="226DB3AA">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（15）建筑施工现场的施工总承包单位和工程监理单位要定期进行扬尘污染防治专项检查，并形成书面记录。对不能有效整改的项目，工程监理单位有向建设行政主管部门报告的义务。</w:t>
            </w:r>
          </w:p>
          <w:p w14:paraId="025ED322">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（16）现场封闭管理百分之百</w:t>
            </w:r>
          </w:p>
          <w:p w14:paraId="7408D547">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施工现场硬质围挡应连续设置，城区主要路段工地围挡高度不低于2.5m，一般路段的工地不低于1.8m，做到坚固、平稳、整洁、美观。在建工程外立面应用安全网实现全封闭围护。</w:t>
            </w:r>
          </w:p>
          <w:p w14:paraId="66E890D8">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（17）场区道路硬化百分之百</w:t>
            </w:r>
          </w:p>
          <w:p w14:paraId="5A481066">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主要通道、进出道路、材料加工区及办公生活区地面进行硬化处理。</w:t>
            </w:r>
          </w:p>
          <w:p w14:paraId="728F1929">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（18）渣土物料蓬盖百分之百</w:t>
            </w:r>
          </w:p>
          <w:p w14:paraId="62CDC72C">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施工现场内裸露的场地和集中堆放的土方应采取覆盖、固化或绿化等防尘措施。易产生扬尘的物料要篷盖。</w:t>
            </w:r>
          </w:p>
          <w:p w14:paraId="0CB765A7">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（19）洒水清扫保洁百分之百</w:t>
            </w:r>
          </w:p>
          <w:p w14:paraId="5AF13B18">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施工现场设专人负责卫生保洁，每天上午、下午各进行二次洒水降尘，遇到干旱和大风天气时，应增加洒水降尘次数，确保无浮土扬尘。开挖、回填等土方作业时，要辅以洒水压尘等措施。工程竣工后，施工现场的临设、围挡、垃圾等必须及时清理完毕，清理时必须采取有效的降尘措施。</w:t>
            </w:r>
          </w:p>
          <w:p w14:paraId="0CE4185C">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（20）物料密闭运输百分之百</w:t>
            </w:r>
          </w:p>
          <w:p w14:paraId="453AEDFC">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易产生扬尘的建筑材料、渣土应采取密闭搬运、存储或采用防尘布苫盖等防尘措施。严禁熔融沥青、焚烧垃圾等有毒有害物质，禁止无牌无证车辆进入施工现场。</w:t>
            </w:r>
          </w:p>
          <w:p w14:paraId="3D1C6C92">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（21）出入车辆清洗百分之百</w:t>
            </w:r>
          </w:p>
          <w:p w14:paraId="61F7F400">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施工现场出入口处设置自动车辆冲洗装置和沉淀池，运输车辆底盘和车轮冲洗干净后方可驶离施工现场。</w:t>
            </w:r>
          </w:p>
          <w:p w14:paraId="17C80732">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2、废水</w:t>
            </w:r>
          </w:p>
          <w:p w14:paraId="7B202E27">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本项目建设期间产生的废水主要为施工人员生活废水。施工人员产生的生活废水利用当地已有设施处理。</w:t>
            </w:r>
          </w:p>
          <w:p w14:paraId="372BE4DB">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3、噪声</w:t>
            </w:r>
          </w:p>
          <w:p w14:paraId="66690FDB">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项目工程施工噪声源主要包括：工程开挖、构筑物砌筑、场地清理和修理等使用施工机械的固定声源噪声以及施工运输车辆的流动噪声声源。经建筑工程施工工地噪声源强类比调查分析，确定拟建工程的噪声影响主要来源于施工现场（场址区内）的声源噪声。施工期主要工程项目有地基平整、压实、基础开挖、商业用房及其它辅助与公用设施的建设、装修等。在施工过程中，设备产生的噪声可能对作业人员和场址周围环境造成一定影响，噪声源的声压级一般在80～90dB(A)左右。施工方应在施工期采取有效的噪声控制措施：</w:t>
            </w:r>
          </w:p>
          <w:p w14:paraId="69B8EC52">
            <w:pPr>
              <w:spacing w:line="360" w:lineRule="auto"/>
              <w:ind w:firstLine="480" w:firstLineChars="200"/>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①</w:t>
            </w:r>
            <w:r>
              <w:rPr>
                <w:color w:val="000000" w:themeColor="text1"/>
                <w:sz w:val="24"/>
                <w:szCs w:val="24"/>
                <w14:textFill>
                  <w14:solidFill>
                    <w14:schemeClr w14:val="tx1"/>
                  </w14:solidFill>
                </w14:textFill>
              </w:rPr>
              <w:t>在设备选型时尽量采用低噪声设备，采用围栏进行施工。</w:t>
            </w:r>
          </w:p>
          <w:p w14:paraId="5584914E">
            <w:pPr>
              <w:spacing w:line="360" w:lineRule="auto"/>
              <w:ind w:firstLine="480" w:firstLineChars="200"/>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②</w:t>
            </w:r>
            <w:r>
              <w:rPr>
                <w:color w:val="000000" w:themeColor="text1"/>
                <w:sz w:val="24"/>
                <w:szCs w:val="24"/>
                <w14:textFill>
                  <w14:solidFill>
                    <w14:schemeClr w14:val="tx1"/>
                  </w14:solidFill>
                </w14:textFill>
              </w:rPr>
              <w:t>合理安排施工时间，高噪声设备禁止在夜间(22:00-6:00)进行施工，尤其是要严格控制施工机械噪声值在大于85dB(A)的作业。</w:t>
            </w:r>
          </w:p>
          <w:p w14:paraId="6F72CFF0">
            <w:pPr>
              <w:spacing w:line="360" w:lineRule="auto"/>
              <w:ind w:firstLine="480" w:firstLineChars="200"/>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③</w:t>
            </w:r>
            <w:r>
              <w:rPr>
                <w:color w:val="000000" w:themeColor="text1"/>
                <w:sz w:val="24"/>
                <w:szCs w:val="24"/>
                <w14:textFill>
                  <w14:solidFill>
                    <w14:schemeClr w14:val="tx1"/>
                  </w14:solidFill>
                </w14:textFill>
              </w:rPr>
              <w:t>合理布局施工现场。施工时应将高噪声设备布置在场区中央，同时尽可能避免多台高噪声设备同时作业。</w:t>
            </w:r>
          </w:p>
          <w:p w14:paraId="22BBE294">
            <w:pPr>
              <w:spacing w:line="360" w:lineRule="auto"/>
              <w:ind w:firstLine="480" w:firstLineChars="200"/>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④</w:t>
            </w:r>
            <w:r>
              <w:rPr>
                <w:color w:val="000000" w:themeColor="text1"/>
                <w:sz w:val="24"/>
                <w:szCs w:val="24"/>
                <w14:textFill>
                  <w14:solidFill>
                    <w14:schemeClr w14:val="tx1"/>
                  </w14:solidFill>
                </w14:textFill>
              </w:rPr>
              <w:t>加强管理，尽量减少人为噪声（如钢管、模板等构件的装卸、搬运等）。</w:t>
            </w:r>
          </w:p>
          <w:p w14:paraId="5BB5E99B">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由于本项目施工工期较短，负面影响只是暂时性的，在采取隔声降噪措施和严格管理下，场界噪声能达到国家《建筑施工场界噪声排放标准》（GB12523-20</w:t>
            </w:r>
            <w:r>
              <w:rPr>
                <w:rFonts w:hint="eastAsia"/>
                <w:color w:val="000000" w:themeColor="text1"/>
                <w:sz w:val="24"/>
                <w:szCs w:val="24"/>
                <w:lang w:val="en-US" w:eastAsia="zh-CN"/>
                <w14:textFill>
                  <w14:solidFill>
                    <w14:schemeClr w14:val="tx1"/>
                  </w14:solidFill>
                </w14:textFill>
              </w:rPr>
              <w:t>25</w:t>
            </w:r>
            <w:r>
              <w:rPr>
                <w:color w:val="000000" w:themeColor="text1"/>
                <w:sz w:val="24"/>
                <w:szCs w:val="24"/>
                <w14:textFill>
                  <w14:solidFill>
                    <w14:schemeClr w14:val="tx1"/>
                  </w14:solidFill>
                </w14:textFill>
              </w:rPr>
              <w:t>）的规定，因此在采取以上措施后，施工噪声对周围环境产生的影响较小。</w:t>
            </w:r>
          </w:p>
          <w:p w14:paraId="2DF3AE92">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lang w:bidi="ar"/>
                <w14:textFill>
                  <w14:solidFill>
                    <w14:schemeClr w14:val="tx1"/>
                  </w14:solidFill>
                </w14:textFill>
              </w:rPr>
              <w:t>4、固体废物</w:t>
            </w:r>
          </w:p>
          <w:p w14:paraId="22226332">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施工期产生的固体废物主要有施工场地产生的建筑垃圾和施工人员产生的生活垃圾。施工产生的建筑垃圾应集中堆放，由施工单位运至市政指定建筑废渣专用堆放场，以免影响施工和环境卫生；施工人员产生的生活垃圾应全部及时交由环卫部门进行处置。</w:t>
            </w:r>
          </w:p>
          <w:p w14:paraId="01A38655">
            <w:pPr>
              <w:rPr>
                <w:color w:val="000000" w:themeColor="text1"/>
                <w:sz w:val="24"/>
                <w:szCs w:val="24"/>
                <w:lang w:bidi="ar"/>
                <w14:textFill>
                  <w14:solidFill>
                    <w14:schemeClr w14:val="tx1"/>
                  </w14:solidFill>
                </w14:textFill>
              </w:rPr>
            </w:pPr>
          </w:p>
          <w:p w14:paraId="3D836CA3">
            <w:pPr>
              <w:rPr>
                <w:color w:val="000000" w:themeColor="text1"/>
                <w:sz w:val="24"/>
                <w:lang w:bidi="ar"/>
                <w14:textFill>
                  <w14:solidFill>
                    <w14:schemeClr w14:val="tx1"/>
                  </w14:solidFill>
                </w14:textFill>
              </w:rPr>
            </w:pPr>
          </w:p>
          <w:p w14:paraId="70BAC69C">
            <w:pPr>
              <w:pStyle w:val="12"/>
              <w:rPr>
                <w:color w:val="000000" w:themeColor="text1"/>
                <w:sz w:val="24"/>
                <w:lang w:bidi="ar"/>
                <w14:textFill>
                  <w14:solidFill>
                    <w14:schemeClr w14:val="tx1"/>
                  </w14:solidFill>
                </w14:textFill>
              </w:rPr>
            </w:pPr>
          </w:p>
          <w:p w14:paraId="4F625CFB">
            <w:pPr>
              <w:rPr>
                <w:color w:val="000000" w:themeColor="text1"/>
                <w:sz w:val="24"/>
                <w:lang w:bidi="ar"/>
                <w14:textFill>
                  <w14:solidFill>
                    <w14:schemeClr w14:val="tx1"/>
                  </w14:solidFill>
                </w14:textFill>
              </w:rPr>
            </w:pPr>
          </w:p>
          <w:p w14:paraId="57140286">
            <w:pPr>
              <w:pStyle w:val="12"/>
              <w:rPr>
                <w:color w:val="000000" w:themeColor="text1"/>
                <w:sz w:val="24"/>
                <w:lang w:bidi="ar"/>
                <w14:textFill>
                  <w14:solidFill>
                    <w14:schemeClr w14:val="tx1"/>
                  </w14:solidFill>
                </w14:textFill>
              </w:rPr>
            </w:pPr>
          </w:p>
          <w:p w14:paraId="6AE54760">
            <w:pPr>
              <w:rPr>
                <w:color w:val="000000" w:themeColor="text1"/>
                <w:sz w:val="24"/>
                <w:lang w:bidi="ar"/>
                <w14:textFill>
                  <w14:solidFill>
                    <w14:schemeClr w14:val="tx1"/>
                  </w14:solidFill>
                </w14:textFill>
              </w:rPr>
            </w:pPr>
          </w:p>
          <w:p w14:paraId="1A53B2E5">
            <w:pPr>
              <w:pStyle w:val="12"/>
              <w:rPr>
                <w:color w:val="000000" w:themeColor="text1"/>
                <w:sz w:val="24"/>
                <w:lang w:bidi="ar"/>
                <w14:textFill>
                  <w14:solidFill>
                    <w14:schemeClr w14:val="tx1"/>
                  </w14:solidFill>
                </w14:textFill>
              </w:rPr>
            </w:pPr>
          </w:p>
          <w:p w14:paraId="4988037E">
            <w:pPr>
              <w:rPr>
                <w:color w:val="000000" w:themeColor="text1"/>
                <w:sz w:val="24"/>
                <w:lang w:bidi="ar"/>
                <w14:textFill>
                  <w14:solidFill>
                    <w14:schemeClr w14:val="tx1"/>
                  </w14:solidFill>
                </w14:textFill>
              </w:rPr>
            </w:pPr>
          </w:p>
          <w:p w14:paraId="09B38F93">
            <w:pPr>
              <w:pStyle w:val="12"/>
              <w:rPr>
                <w:color w:val="000000" w:themeColor="text1"/>
                <w:sz w:val="24"/>
                <w:lang w:bidi="ar"/>
                <w14:textFill>
                  <w14:solidFill>
                    <w14:schemeClr w14:val="tx1"/>
                  </w14:solidFill>
                </w14:textFill>
              </w:rPr>
            </w:pPr>
          </w:p>
          <w:p w14:paraId="361ECE1E">
            <w:pPr>
              <w:rPr>
                <w:color w:val="000000" w:themeColor="text1"/>
                <w:sz w:val="24"/>
                <w:lang w:bidi="ar"/>
                <w14:textFill>
                  <w14:solidFill>
                    <w14:schemeClr w14:val="tx1"/>
                  </w14:solidFill>
                </w14:textFill>
              </w:rPr>
            </w:pPr>
          </w:p>
          <w:p w14:paraId="2DBA1C91">
            <w:pPr>
              <w:pStyle w:val="12"/>
              <w:rPr>
                <w:color w:val="000000" w:themeColor="text1"/>
                <w:sz w:val="24"/>
                <w:lang w:bidi="ar"/>
                <w14:textFill>
                  <w14:solidFill>
                    <w14:schemeClr w14:val="tx1"/>
                  </w14:solidFill>
                </w14:textFill>
              </w:rPr>
            </w:pPr>
          </w:p>
          <w:p w14:paraId="7CD95BDA">
            <w:pPr>
              <w:rPr>
                <w:color w:val="000000" w:themeColor="text1"/>
                <w:sz w:val="24"/>
                <w:lang w:bidi="ar"/>
                <w14:textFill>
                  <w14:solidFill>
                    <w14:schemeClr w14:val="tx1"/>
                  </w14:solidFill>
                </w14:textFill>
              </w:rPr>
            </w:pPr>
          </w:p>
          <w:p w14:paraId="64F7C669">
            <w:pPr>
              <w:pStyle w:val="12"/>
              <w:rPr>
                <w:color w:val="000000" w:themeColor="text1"/>
                <w:sz w:val="24"/>
                <w:lang w:bidi="ar"/>
                <w14:textFill>
                  <w14:solidFill>
                    <w14:schemeClr w14:val="tx1"/>
                  </w14:solidFill>
                </w14:textFill>
              </w:rPr>
            </w:pPr>
          </w:p>
          <w:p w14:paraId="70B8CAF7">
            <w:pPr>
              <w:rPr>
                <w:color w:val="000000" w:themeColor="text1"/>
                <w:sz w:val="24"/>
                <w:lang w:bidi="ar"/>
                <w14:textFill>
                  <w14:solidFill>
                    <w14:schemeClr w14:val="tx1"/>
                  </w14:solidFill>
                </w14:textFill>
              </w:rPr>
            </w:pPr>
          </w:p>
          <w:p w14:paraId="12716693">
            <w:pPr>
              <w:pStyle w:val="12"/>
              <w:rPr>
                <w:color w:val="000000" w:themeColor="text1"/>
                <w:sz w:val="24"/>
                <w:lang w:bidi="ar"/>
                <w14:textFill>
                  <w14:solidFill>
                    <w14:schemeClr w14:val="tx1"/>
                  </w14:solidFill>
                </w14:textFill>
              </w:rPr>
            </w:pPr>
          </w:p>
          <w:p w14:paraId="69D2B1EC">
            <w:pPr>
              <w:rPr>
                <w:color w:val="000000" w:themeColor="text1"/>
                <w:sz w:val="24"/>
                <w:lang w:bidi="ar"/>
                <w14:textFill>
                  <w14:solidFill>
                    <w14:schemeClr w14:val="tx1"/>
                  </w14:solidFill>
                </w14:textFill>
              </w:rPr>
            </w:pPr>
          </w:p>
          <w:p w14:paraId="304DBA6F">
            <w:pPr>
              <w:pStyle w:val="12"/>
              <w:rPr>
                <w:color w:val="000000" w:themeColor="text1"/>
                <w:sz w:val="24"/>
                <w:lang w:bidi="ar"/>
                <w14:textFill>
                  <w14:solidFill>
                    <w14:schemeClr w14:val="tx1"/>
                  </w14:solidFill>
                </w14:textFill>
              </w:rPr>
            </w:pPr>
          </w:p>
          <w:p w14:paraId="12EE8BB6">
            <w:pPr>
              <w:rPr>
                <w:color w:val="000000" w:themeColor="text1"/>
                <w:sz w:val="24"/>
                <w:lang w:bidi="ar"/>
                <w14:textFill>
                  <w14:solidFill>
                    <w14:schemeClr w14:val="tx1"/>
                  </w14:solidFill>
                </w14:textFill>
              </w:rPr>
            </w:pPr>
          </w:p>
          <w:p w14:paraId="012D90DE">
            <w:pPr>
              <w:pStyle w:val="12"/>
              <w:rPr>
                <w:color w:val="000000" w:themeColor="text1"/>
                <w14:textFill>
                  <w14:solidFill>
                    <w14:schemeClr w14:val="tx1"/>
                  </w14:solidFill>
                </w14:textFill>
              </w:rPr>
            </w:pPr>
          </w:p>
          <w:p w14:paraId="46105F11">
            <w:pPr>
              <w:rPr>
                <w:color w:val="000000" w:themeColor="text1"/>
                <w:sz w:val="24"/>
                <w:lang w:bidi="ar"/>
                <w14:textFill>
                  <w14:solidFill>
                    <w14:schemeClr w14:val="tx1"/>
                  </w14:solidFill>
                </w14:textFill>
              </w:rPr>
            </w:pPr>
          </w:p>
          <w:p w14:paraId="62C64862">
            <w:pPr>
              <w:rPr>
                <w:color w:val="000000" w:themeColor="text1"/>
                <w14:textFill>
                  <w14:solidFill>
                    <w14:schemeClr w14:val="tx1"/>
                  </w14:solidFill>
                </w14:textFill>
              </w:rPr>
            </w:pPr>
          </w:p>
          <w:p w14:paraId="27AB80EF">
            <w:pPr>
              <w:adjustRightInd w:val="0"/>
              <w:snapToGrid w:val="0"/>
              <w:rPr>
                <w:rFonts w:ascii="宋体" w:hAnsi="宋体" w:cs="宋体"/>
                <w:bCs/>
                <w:color w:val="000000" w:themeColor="text1"/>
                <w:spacing w:val="-10"/>
                <w:szCs w:val="21"/>
                <w14:textFill>
                  <w14:solidFill>
                    <w14:schemeClr w14:val="tx1"/>
                  </w14:solidFill>
                </w14:textFill>
              </w:rPr>
            </w:pPr>
          </w:p>
        </w:tc>
      </w:tr>
      <w:tr w14:paraId="4D56C0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746" w:type="dxa"/>
            <w:tcMar>
              <w:left w:w="28" w:type="dxa"/>
              <w:right w:w="28" w:type="dxa"/>
            </w:tcMar>
            <w:vAlign w:val="center"/>
          </w:tcPr>
          <w:p w14:paraId="1C6BFEB3">
            <w:pPr>
              <w:adjustRightInd w:val="0"/>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运营</w:t>
            </w:r>
          </w:p>
          <w:p w14:paraId="668A32E2">
            <w:pPr>
              <w:adjustRightInd w:val="0"/>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期环</w:t>
            </w:r>
          </w:p>
          <w:p w14:paraId="3C10D943">
            <w:pPr>
              <w:adjustRightInd w:val="0"/>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境影</w:t>
            </w:r>
          </w:p>
          <w:p w14:paraId="46818D06">
            <w:pPr>
              <w:adjustRightInd w:val="0"/>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响和</w:t>
            </w:r>
          </w:p>
          <w:p w14:paraId="24A5FCCD">
            <w:pPr>
              <w:adjustRightInd w:val="0"/>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保护</w:t>
            </w:r>
          </w:p>
          <w:p w14:paraId="4DB3EB95">
            <w:pPr>
              <w:adjustRightInd w:val="0"/>
              <w:snapToGrid w:val="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措施</w:t>
            </w:r>
          </w:p>
        </w:tc>
        <w:tc>
          <w:tcPr>
            <w:tcW w:w="8162" w:type="dxa"/>
            <w:vAlign w:val="center"/>
          </w:tcPr>
          <w:p w14:paraId="7CD933E1">
            <w:pPr>
              <w:spacing w:line="360" w:lineRule="auto"/>
              <w:ind w:firstLine="482" w:firstLineChars="20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主要污染工序及污染源分析</w:t>
            </w:r>
          </w:p>
          <w:p w14:paraId="692ED4B2">
            <w:pPr>
              <w:spacing w:line="360" w:lineRule="auto"/>
              <w:ind w:firstLine="482" w:firstLineChars="200"/>
              <w:rPr>
                <w:b/>
                <w:bCs/>
                <w:color w:val="000000" w:themeColor="text1"/>
                <w14:textFill>
                  <w14:solidFill>
                    <w14:schemeClr w14:val="tx1"/>
                  </w14:solidFill>
                </w14:textFill>
              </w:rPr>
            </w:pPr>
            <w:r>
              <w:rPr>
                <w:rFonts w:hint="eastAsia"/>
                <w:b/>
                <w:bCs/>
                <w:color w:val="000000" w:themeColor="text1"/>
                <w:sz w:val="24"/>
                <w14:textFill>
                  <w14:solidFill>
                    <w14:schemeClr w14:val="tx1"/>
                  </w14:solidFill>
                </w14:textFill>
              </w:rPr>
              <w:t>一、</w:t>
            </w:r>
            <w:r>
              <w:rPr>
                <w:b/>
                <w:bCs/>
                <w:color w:val="000000" w:themeColor="text1"/>
                <w:sz w:val="24"/>
                <w14:textFill>
                  <w14:solidFill>
                    <w14:schemeClr w14:val="tx1"/>
                  </w14:solidFill>
                </w14:textFill>
              </w:rPr>
              <w:t>大气污染</w:t>
            </w:r>
          </w:p>
          <w:p w14:paraId="37AD1A0B">
            <w:pPr>
              <w:tabs>
                <w:tab w:val="left" w:pos="1275"/>
              </w:tabs>
              <w:spacing w:line="360" w:lineRule="auto"/>
              <w:ind w:firstLine="480" w:firstLineChars="200"/>
              <w:rPr>
                <w:color w:val="000000" w:themeColor="text1"/>
                <w14:textFill>
                  <w14:solidFill>
                    <w14:schemeClr w14:val="tx1"/>
                  </w14:solidFill>
                </w14:textFill>
              </w:rPr>
            </w:pPr>
            <w:r>
              <w:rPr>
                <w:rFonts w:hint="eastAsia"/>
                <w:color w:val="000000" w:themeColor="text1"/>
                <w:sz w:val="24"/>
                <w14:textFill>
                  <w14:solidFill>
                    <w14:schemeClr w14:val="tx1"/>
                  </w14:solidFill>
                </w14:textFill>
              </w:rPr>
              <w:t>1、主要污染物源强</w:t>
            </w:r>
          </w:p>
          <w:p w14:paraId="48F51123">
            <w:pPr>
              <w:jc w:val="center"/>
              <w:rPr>
                <w:b/>
                <w:bCs/>
                <w:sz w:val="24"/>
                <w:szCs w:val="24"/>
              </w:rPr>
            </w:pPr>
            <w:r>
              <w:rPr>
                <w:b/>
                <w:bCs/>
                <w:sz w:val="24"/>
                <w:szCs w:val="24"/>
              </w:rPr>
              <w:t>表4-</w:t>
            </w:r>
            <w:r>
              <w:rPr>
                <w:rFonts w:hint="eastAsia"/>
                <w:b/>
                <w:bCs/>
                <w:sz w:val="24"/>
                <w:szCs w:val="24"/>
              </w:rPr>
              <w:t>1</w:t>
            </w:r>
            <w:r>
              <w:rPr>
                <w:b/>
                <w:bCs/>
                <w:sz w:val="24"/>
                <w:szCs w:val="24"/>
              </w:rPr>
              <w:t>有组织产排污情况一览表</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87"/>
              <w:gridCol w:w="387"/>
              <w:gridCol w:w="632"/>
              <w:gridCol w:w="632"/>
              <w:gridCol w:w="241"/>
              <w:gridCol w:w="452"/>
              <w:gridCol w:w="382"/>
              <w:gridCol w:w="452"/>
              <w:gridCol w:w="577"/>
              <w:gridCol w:w="797"/>
              <w:gridCol w:w="633"/>
              <w:gridCol w:w="633"/>
              <w:gridCol w:w="734"/>
              <w:gridCol w:w="958"/>
              <w:gridCol w:w="566"/>
            </w:tblGrid>
            <w:tr w14:paraId="3D70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282" w:type="pct"/>
                  <w:vMerge w:val="restart"/>
                  <w:noWrap w:val="0"/>
                  <w:tcMar>
                    <w:top w:w="15" w:type="dxa"/>
                    <w:left w:w="15" w:type="dxa"/>
                    <w:right w:w="15" w:type="dxa"/>
                  </w:tcMar>
                  <w:vAlign w:val="center"/>
                </w:tcPr>
                <w:p w14:paraId="34FFDFEB">
                  <w:pPr>
                    <w:widowControl/>
                    <w:jc w:val="center"/>
                    <w:textAlignment w:val="center"/>
                    <w:rPr>
                      <w:b/>
                      <w:bCs/>
                      <w:color w:val="000000"/>
                      <w:sz w:val="21"/>
                      <w:szCs w:val="21"/>
                    </w:rPr>
                  </w:pPr>
                  <w:r>
                    <w:rPr>
                      <w:b/>
                      <w:bCs/>
                      <w:color w:val="000000"/>
                      <w:kern w:val="0"/>
                      <w:sz w:val="21"/>
                      <w:szCs w:val="21"/>
                      <w:lang w:bidi="ar"/>
                    </w:rPr>
                    <w:t>产污环节</w:t>
                  </w:r>
                </w:p>
              </w:tc>
              <w:tc>
                <w:tcPr>
                  <w:tcW w:w="282" w:type="pct"/>
                  <w:vMerge w:val="restart"/>
                  <w:noWrap w:val="0"/>
                  <w:tcMar>
                    <w:top w:w="15" w:type="dxa"/>
                    <w:left w:w="15" w:type="dxa"/>
                    <w:right w:w="15" w:type="dxa"/>
                  </w:tcMar>
                  <w:vAlign w:val="center"/>
                </w:tcPr>
                <w:p w14:paraId="696AF5E2">
                  <w:pPr>
                    <w:widowControl/>
                    <w:jc w:val="center"/>
                    <w:textAlignment w:val="center"/>
                    <w:rPr>
                      <w:b/>
                      <w:bCs/>
                      <w:color w:val="000000"/>
                      <w:sz w:val="21"/>
                      <w:szCs w:val="21"/>
                    </w:rPr>
                  </w:pPr>
                  <w:r>
                    <w:rPr>
                      <w:b/>
                      <w:bCs/>
                      <w:color w:val="000000"/>
                      <w:kern w:val="0"/>
                      <w:sz w:val="21"/>
                      <w:szCs w:val="21"/>
                      <w:lang w:bidi="ar"/>
                    </w:rPr>
                    <w:t>污染物种类</w:t>
                  </w:r>
                </w:p>
              </w:tc>
              <w:tc>
                <w:tcPr>
                  <w:tcW w:w="699" w:type="pct"/>
                  <w:gridSpan w:val="2"/>
                  <w:noWrap w:val="0"/>
                  <w:tcMar>
                    <w:top w:w="15" w:type="dxa"/>
                    <w:left w:w="15" w:type="dxa"/>
                    <w:right w:w="15" w:type="dxa"/>
                  </w:tcMar>
                  <w:vAlign w:val="center"/>
                </w:tcPr>
                <w:p w14:paraId="368845D4">
                  <w:pPr>
                    <w:widowControl/>
                    <w:jc w:val="center"/>
                    <w:textAlignment w:val="center"/>
                    <w:rPr>
                      <w:b/>
                      <w:bCs/>
                      <w:color w:val="000000"/>
                      <w:kern w:val="0"/>
                      <w:sz w:val="21"/>
                      <w:szCs w:val="21"/>
                      <w:lang w:bidi="ar"/>
                    </w:rPr>
                  </w:pPr>
                  <w:r>
                    <w:rPr>
                      <w:b/>
                      <w:bCs/>
                      <w:color w:val="000000"/>
                      <w:kern w:val="0"/>
                      <w:sz w:val="21"/>
                      <w:szCs w:val="21"/>
                      <w:lang w:bidi="ar"/>
                    </w:rPr>
                    <w:t>污染物产生情况</w:t>
                  </w:r>
                </w:p>
              </w:tc>
              <w:tc>
                <w:tcPr>
                  <w:tcW w:w="1085" w:type="pct"/>
                  <w:gridSpan w:val="4"/>
                  <w:noWrap w:val="0"/>
                  <w:tcMar>
                    <w:top w:w="15" w:type="dxa"/>
                    <w:left w:w="15" w:type="dxa"/>
                    <w:right w:w="15" w:type="dxa"/>
                  </w:tcMar>
                  <w:vAlign w:val="center"/>
                </w:tcPr>
                <w:p w14:paraId="7E2D649B">
                  <w:pPr>
                    <w:widowControl/>
                    <w:jc w:val="center"/>
                    <w:textAlignment w:val="center"/>
                    <w:rPr>
                      <w:b/>
                      <w:bCs/>
                      <w:color w:val="000000"/>
                      <w:kern w:val="0"/>
                      <w:sz w:val="21"/>
                      <w:szCs w:val="21"/>
                      <w:lang w:bidi="ar"/>
                    </w:rPr>
                  </w:pPr>
                  <w:r>
                    <w:rPr>
                      <w:b/>
                      <w:bCs/>
                      <w:color w:val="000000"/>
                      <w:kern w:val="0"/>
                      <w:sz w:val="21"/>
                      <w:szCs w:val="21"/>
                      <w:lang w:bidi="ar"/>
                    </w:rPr>
                    <w:t>主要污染治理设施</w:t>
                  </w:r>
                </w:p>
              </w:tc>
              <w:tc>
                <w:tcPr>
                  <w:tcW w:w="348" w:type="pct"/>
                  <w:vMerge w:val="restart"/>
                  <w:noWrap w:val="0"/>
                  <w:tcMar>
                    <w:top w:w="15" w:type="dxa"/>
                    <w:left w:w="15" w:type="dxa"/>
                    <w:right w:w="15" w:type="dxa"/>
                  </w:tcMar>
                  <w:vAlign w:val="center"/>
                </w:tcPr>
                <w:p w14:paraId="57AEF9BA">
                  <w:pPr>
                    <w:widowControl/>
                    <w:jc w:val="center"/>
                    <w:textAlignment w:val="center"/>
                    <w:rPr>
                      <w:b/>
                      <w:bCs/>
                      <w:color w:val="000000"/>
                      <w:sz w:val="21"/>
                      <w:szCs w:val="21"/>
                    </w:rPr>
                  </w:pPr>
                  <w:r>
                    <w:rPr>
                      <w:b/>
                      <w:bCs/>
                      <w:color w:val="000000"/>
                      <w:kern w:val="0"/>
                      <w:sz w:val="21"/>
                      <w:szCs w:val="21"/>
                      <w:lang w:bidi="ar"/>
                    </w:rPr>
                    <w:t>排气量m</w:t>
                  </w:r>
                  <w:r>
                    <w:rPr>
                      <w:b/>
                      <w:bCs/>
                      <w:color w:val="000000"/>
                      <w:kern w:val="0"/>
                      <w:sz w:val="21"/>
                      <w:szCs w:val="21"/>
                      <w:vertAlign w:val="superscript"/>
                      <w:lang w:bidi="ar"/>
                    </w:rPr>
                    <w:t>3</w:t>
                  </w:r>
                  <w:r>
                    <w:rPr>
                      <w:b/>
                      <w:bCs/>
                      <w:color w:val="000000"/>
                      <w:kern w:val="0"/>
                      <w:sz w:val="21"/>
                      <w:szCs w:val="21"/>
                      <w:lang w:bidi="ar"/>
                    </w:rPr>
                    <w:t>/h</w:t>
                  </w:r>
                </w:p>
              </w:tc>
              <w:tc>
                <w:tcPr>
                  <w:tcW w:w="1220" w:type="pct"/>
                  <w:gridSpan w:val="3"/>
                  <w:noWrap w:val="0"/>
                  <w:tcMar>
                    <w:top w:w="15" w:type="dxa"/>
                    <w:left w:w="15" w:type="dxa"/>
                    <w:right w:w="15" w:type="dxa"/>
                  </w:tcMar>
                  <w:vAlign w:val="center"/>
                </w:tcPr>
                <w:p w14:paraId="65F3F92D">
                  <w:pPr>
                    <w:widowControl/>
                    <w:jc w:val="center"/>
                    <w:textAlignment w:val="center"/>
                    <w:rPr>
                      <w:b/>
                      <w:bCs/>
                      <w:color w:val="000000"/>
                      <w:sz w:val="21"/>
                      <w:szCs w:val="21"/>
                    </w:rPr>
                  </w:pPr>
                  <w:r>
                    <w:rPr>
                      <w:b/>
                      <w:bCs/>
                      <w:color w:val="000000"/>
                      <w:kern w:val="0"/>
                      <w:sz w:val="21"/>
                      <w:szCs w:val="21"/>
                      <w:lang w:bidi="ar"/>
                    </w:rPr>
                    <w:t>污染物排放情况</w:t>
                  </w:r>
                </w:p>
              </w:tc>
              <w:tc>
                <w:tcPr>
                  <w:tcW w:w="409" w:type="pct"/>
                  <w:vMerge w:val="restart"/>
                  <w:noWrap w:val="0"/>
                  <w:tcMar>
                    <w:top w:w="15" w:type="dxa"/>
                    <w:left w:w="15" w:type="dxa"/>
                    <w:right w:w="15" w:type="dxa"/>
                  </w:tcMar>
                  <w:vAlign w:val="center"/>
                </w:tcPr>
                <w:p w14:paraId="3D0ECD1A">
                  <w:pPr>
                    <w:widowControl/>
                    <w:jc w:val="center"/>
                    <w:textAlignment w:val="center"/>
                    <w:rPr>
                      <w:b/>
                      <w:bCs/>
                      <w:color w:val="000000"/>
                      <w:sz w:val="21"/>
                      <w:szCs w:val="21"/>
                    </w:rPr>
                  </w:pPr>
                  <w:r>
                    <w:rPr>
                      <w:b/>
                      <w:bCs/>
                      <w:color w:val="000000"/>
                      <w:kern w:val="0"/>
                      <w:sz w:val="21"/>
                      <w:szCs w:val="21"/>
                      <w:lang w:bidi="ar"/>
                    </w:rPr>
                    <w:t>排放口编号</w:t>
                  </w:r>
                </w:p>
              </w:tc>
              <w:tc>
                <w:tcPr>
                  <w:tcW w:w="386" w:type="pct"/>
                  <w:vMerge w:val="restart"/>
                  <w:noWrap w:val="0"/>
                  <w:tcMar>
                    <w:top w:w="15" w:type="dxa"/>
                    <w:left w:w="15" w:type="dxa"/>
                    <w:right w:w="15" w:type="dxa"/>
                  </w:tcMar>
                  <w:vAlign w:val="center"/>
                </w:tcPr>
                <w:p w14:paraId="3298B7D0">
                  <w:pPr>
                    <w:widowControl/>
                    <w:jc w:val="center"/>
                    <w:textAlignment w:val="center"/>
                    <w:rPr>
                      <w:b/>
                      <w:bCs/>
                      <w:color w:val="000000"/>
                      <w:sz w:val="21"/>
                      <w:szCs w:val="21"/>
                    </w:rPr>
                  </w:pPr>
                  <w:r>
                    <w:rPr>
                      <w:b/>
                      <w:bCs/>
                      <w:color w:val="000000"/>
                      <w:kern w:val="0"/>
                      <w:sz w:val="21"/>
                      <w:szCs w:val="21"/>
                      <w:lang w:bidi="ar"/>
                    </w:rPr>
                    <w:t>排放</w:t>
                  </w:r>
                  <w:r>
                    <w:rPr>
                      <w:rFonts w:hint="eastAsia"/>
                      <w:b/>
                      <w:bCs/>
                      <w:color w:val="000000"/>
                      <w:kern w:val="0"/>
                      <w:sz w:val="21"/>
                      <w:szCs w:val="21"/>
                      <w:lang w:val="en-US" w:eastAsia="zh-CN" w:bidi="ar"/>
                    </w:rPr>
                    <w:t>限值</w:t>
                  </w:r>
                </w:p>
              </w:tc>
              <w:tc>
                <w:tcPr>
                  <w:tcW w:w="284" w:type="pct"/>
                  <w:vMerge w:val="restart"/>
                  <w:noWrap w:val="0"/>
                  <w:tcMar>
                    <w:top w:w="15" w:type="dxa"/>
                    <w:left w:w="15" w:type="dxa"/>
                    <w:right w:w="15" w:type="dxa"/>
                  </w:tcMar>
                  <w:vAlign w:val="center"/>
                </w:tcPr>
                <w:p w14:paraId="0B6DD203">
                  <w:pPr>
                    <w:widowControl/>
                    <w:jc w:val="center"/>
                    <w:textAlignment w:val="center"/>
                    <w:rPr>
                      <w:b/>
                      <w:bCs/>
                      <w:color w:val="000000"/>
                      <w:sz w:val="21"/>
                      <w:szCs w:val="21"/>
                    </w:rPr>
                  </w:pPr>
                  <w:r>
                    <w:rPr>
                      <w:b/>
                      <w:bCs/>
                      <w:color w:val="000000"/>
                      <w:kern w:val="0"/>
                      <w:sz w:val="21"/>
                      <w:szCs w:val="21"/>
                      <w:lang w:bidi="ar"/>
                    </w:rPr>
                    <w:t>排放时间h</w:t>
                  </w:r>
                </w:p>
              </w:tc>
            </w:tr>
            <w:tr w14:paraId="180DD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6" w:hRule="atLeast"/>
                <w:jc w:val="center"/>
              </w:trPr>
              <w:tc>
                <w:tcPr>
                  <w:tcW w:w="282" w:type="pct"/>
                  <w:vMerge w:val="continue"/>
                  <w:noWrap w:val="0"/>
                  <w:tcMar>
                    <w:top w:w="15" w:type="dxa"/>
                    <w:left w:w="15" w:type="dxa"/>
                    <w:right w:w="15" w:type="dxa"/>
                  </w:tcMar>
                  <w:vAlign w:val="center"/>
                </w:tcPr>
                <w:p w14:paraId="5DFA07DC">
                  <w:pPr>
                    <w:jc w:val="center"/>
                    <w:rPr>
                      <w:color w:val="000000"/>
                      <w:sz w:val="21"/>
                      <w:szCs w:val="21"/>
                    </w:rPr>
                  </w:pPr>
                </w:p>
              </w:tc>
              <w:tc>
                <w:tcPr>
                  <w:tcW w:w="282" w:type="pct"/>
                  <w:vMerge w:val="continue"/>
                  <w:noWrap w:val="0"/>
                  <w:tcMar>
                    <w:top w:w="15" w:type="dxa"/>
                    <w:left w:w="15" w:type="dxa"/>
                    <w:right w:w="15" w:type="dxa"/>
                  </w:tcMar>
                  <w:vAlign w:val="center"/>
                </w:tcPr>
                <w:p w14:paraId="101B2B00">
                  <w:pPr>
                    <w:jc w:val="center"/>
                    <w:rPr>
                      <w:color w:val="000000"/>
                      <w:sz w:val="21"/>
                      <w:szCs w:val="21"/>
                    </w:rPr>
                  </w:pPr>
                </w:p>
              </w:tc>
              <w:tc>
                <w:tcPr>
                  <w:tcW w:w="317" w:type="pct"/>
                  <w:noWrap w:val="0"/>
                  <w:tcMar>
                    <w:top w:w="15" w:type="dxa"/>
                    <w:left w:w="15" w:type="dxa"/>
                    <w:right w:w="15" w:type="dxa"/>
                  </w:tcMar>
                  <w:vAlign w:val="center"/>
                </w:tcPr>
                <w:p w14:paraId="63168AF2">
                  <w:pPr>
                    <w:widowControl/>
                    <w:jc w:val="center"/>
                    <w:textAlignment w:val="center"/>
                    <w:rPr>
                      <w:b/>
                      <w:bCs/>
                      <w:color w:val="000000"/>
                      <w:sz w:val="21"/>
                      <w:szCs w:val="21"/>
                    </w:rPr>
                  </w:pPr>
                  <w:r>
                    <w:rPr>
                      <w:b/>
                      <w:bCs/>
                      <w:color w:val="000000"/>
                      <w:kern w:val="0"/>
                      <w:sz w:val="21"/>
                      <w:szCs w:val="21"/>
                      <w:lang w:bidi="ar"/>
                    </w:rPr>
                    <w:t>产生量t/a</w:t>
                  </w:r>
                </w:p>
              </w:tc>
              <w:tc>
                <w:tcPr>
                  <w:tcW w:w="382" w:type="pct"/>
                  <w:noWrap w:val="0"/>
                  <w:tcMar>
                    <w:top w:w="15" w:type="dxa"/>
                    <w:left w:w="15" w:type="dxa"/>
                    <w:right w:w="15" w:type="dxa"/>
                  </w:tcMar>
                  <w:vAlign w:val="center"/>
                </w:tcPr>
                <w:p w14:paraId="53610865">
                  <w:pPr>
                    <w:widowControl/>
                    <w:jc w:val="center"/>
                    <w:textAlignment w:val="center"/>
                    <w:rPr>
                      <w:b/>
                      <w:bCs/>
                      <w:color w:val="000000"/>
                      <w:sz w:val="21"/>
                      <w:szCs w:val="21"/>
                    </w:rPr>
                  </w:pPr>
                  <w:r>
                    <w:rPr>
                      <w:b/>
                      <w:bCs/>
                      <w:color w:val="000000"/>
                      <w:kern w:val="0"/>
                      <w:sz w:val="21"/>
                      <w:szCs w:val="21"/>
                      <w:lang w:bidi="ar"/>
                    </w:rPr>
                    <w:t>产生速率kg/h</w:t>
                  </w:r>
                </w:p>
              </w:tc>
              <w:tc>
                <w:tcPr>
                  <w:tcW w:w="151" w:type="pct"/>
                  <w:noWrap w:val="0"/>
                  <w:tcMar>
                    <w:top w:w="15" w:type="dxa"/>
                    <w:left w:w="15" w:type="dxa"/>
                    <w:right w:w="15" w:type="dxa"/>
                  </w:tcMar>
                  <w:vAlign w:val="center"/>
                </w:tcPr>
                <w:p w14:paraId="6E1B362D">
                  <w:pPr>
                    <w:widowControl/>
                    <w:jc w:val="center"/>
                    <w:textAlignment w:val="center"/>
                    <w:rPr>
                      <w:rFonts w:hint="default" w:eastAsia="宋体"/>
                      <w:b/>
                      <w:bCs/>
                      <w:color w:val="000000"/>
                      <w:kern w:val="0"/>
                      <w:sz w:val="21"/>
                      <w:szCs w:val="21"/>
                      <w:lang w:val="en-US" w:eastAsia="zh-CN" w:bidi="ar"/>
                    </w:rPr>
                  </w:pPr>
                  <w:r>
                    <w:rPr>
                      <w:rFonts w:hint="eastAsia"/>
                      <w:b/>
                      <w:bCs/>
                      <w:color w:val="000000"/>
                      <w:kern w:val="0"/>
                      <w:sz w:val="21"/>
                      <w:szCs w:val="21"/>
                      <w:lang w:val="en-US" w:eastAsia="zh-CN" w:bidi="ar"/>
                    </w:rPr>
                    <w:t>收集措施</w:t>
                  </w:r>
                </w:p>
              </w:tc>
              <w:tc>
                <w:tcPr>
                  <w:tcW w:w="284" w:type="pct"/>
                  <w:noWrap w:val="0"/>
                  <w:tcMar>
                    <w:top w:w="15" w:type="dxa"/>
                    <w:left w:w="15" w:type="dxa"/>
                    <w:right w:w="15" w:type="dxa"/>
                  </w:tcMar>
                  <w:vAlign w:val="center"/>
                </w:tcPr>
                <w:p w14:paraId="58299162">
                  <w:pPr>
                    <w:widowControl/>
                    <w:jc w:val="center"/>
                    <w:textAlignment w:val="center"/>
                    <w:rPr>
                      <w:b/>
                      <w:bCs/>
                      <w:color w:val="000000"/>
                      <w:kern w:val="2"/>
                      <w:sz w:val="21"/>
                      <w:szCs w:val="21"/>
                      <w:lang w:val="en-US" w:eastAsia="zh-CN" w:bidi="ar-SA"/>
                    </w:rPr>
                  </w:pPr>
                  <w:r>
                    <w:rPr>
                      <w:b/>
                      <w:bCs/>
                      <w:color w:val="000000"/>
                      <w:kern w:val="0"/>
                      <w:sz w:val="21"/>
                      <w:szCs w:val="21"/>
                      <w:lang w:bidi="ar"/>
                    </w:rPr>
                    <w:t>收集效率%</w:t>
                  </w:r>
                </w:p>
              </w:tc>
              <w:tc>
                <w:tcPr>
                  <w:tcW w:w="363" w:type="pct"/>
                  <w:noWrap w:val="0"/>
                  <w:tcMar>
                    <w:top w:w="15" w:type="dxa"/>
                    <w:left w:w="15" w:type="dxa"/>
                    <w:right w:w="15" w:type="dxa"/>
                  </w:tcMar>
                  <w:vAlign w:val="center"/>
                </w:tcPr>
                <w:p w14:paraId="36AD6325">
                  <w:pPr>
                    <w:widowControl/>
                    <w:jc w:val="center"/>
                    <w:textAlignment w:val="center"/>
                    <w:rPr>
                      <w:b/>
                      <w:bCs/>
                      <w:color w:val="000000"/>
                      <w:sz w:val="21"/>
                      <w:szCs w:val="21"/>
                    </w:rPr>
                  </w:pPr>
                  <w:r>
                    <w:rPr>
                      <w:b/>
                      <w:bCs/>
                      <w:color w:val="000000"/>
                      <w:kern w:val="0"/>
                      <w:sz w:val="21"/>
                      <w:szCs w:val="21"/>
                      <w:lang w:bidi="ar"/>
                    </w:rPr>
                    <w:t>治理措施</w:t>
                  </w:r>
                </w:p>
              </w:tc>
              <w:tc>
                <w:tcPr>
                  <w:tcW w:w="285" w:type="pct"/>
                  <w:noWrap w:val="0"/>
                  <w:tcMar>
                    <w:top w:w="15" w:type="dxa"/>
                    <w:left w:w="15" w:type="dxa"/>
                    <w:right w:w="15" w:type="dxa"/>
                  </w:tcMar>
                  <w:vAlign w:val="center"/>
                </w:tcPr>
                <w:p w14:paraId="33159C53">
                  <w:pPr>
                    <w:widowControl/>
                    <w:jc w:val="center"/>
                    <w:textAlignment w:val="center"/>
                    <w:rPr>
                      <w:b/>
                      <w:bCs/>
                      <w:color w:val="000000"/>
                      <w:sz w:val="21"/>
                      <w:szCs w:val="21"/>
                    </w:rPr>
                  </w:pPr>
                  <w:r>
                    <w:rPr>
                      <w:b/>
                      <w:bCs/>
                      <w:color w:val="000000"/>
                      <w:kern w:val="0"/>
                      <w:sz w:val="21"/>
                      <w:szCs w:val="21"/>
                      <w:lang w:bidi="ar"/>
                    </w:rPr>
                    <w:t>去除率%</w:t>
                  </w:r>
                </w:p>
              </w:tc>
              <w:tc>
                <w:tcPr>
                  <w:tcW w:w="348" w:type="pct"/>
                  <w:vMerge w:val="continue"/>
                  <w:noWrap w:val="0"/>
                  <w:tcMar>
                    <w:top w:w="15" w:type="dxa"/>
                    <w:left w:w="15" w:type="dxa"/>
                    <w:right w:w="15" w:type="dxa"/>
                  </w:tcMar>
                  <w:vAlign w:val="center"/>
                </w:tcPr>
                <w:p w14:paraId="01CD2A85">
                  <w:pPr>
                    <w:jc w:val="center"/>
                    <w:rPr>
                      <w:b/>
                      <w:bCs/>
                      <w:color w:val="000000"/>
                      <w:sz w:val="21"/>
                      <w:szCs w:val="21"/>
                    </w:rPr>
                  </w:pPr>
                </w:p>
              </w:tc>
              <w:tc>
                <w:tcPr>
                  <w:tcW w:w="386" w:type="pct"/>
                  <w:noWrap w:val="0"/>
                  <w:tcMar>
                    <w:top w:w="15" w:type="dxa"/>
                    <w:left w:w="15" w:type="dxa"/>
                    <w:right w:w="15" w:type="dxa"/>
                  </w:tcMar>
                  <w:vAlign w:val="center"/>
                </w:tcPr>
                <w:p w14:paraId="6F558FAD">
                  <w:pPr>
                    <w:widowControl/>
                    <w:jc w:val="center"/>
                    <w:textAlignment w:val="center"/>
                    <w:rPr>
                      <w:b/>
                      <w:bCs/>
                      <w:color w:val="000000"/>
                      <w:sz w:val="21"/>
                      <w:szCs w:val="21"/>
                    </w:rPr>
                  </w:pPr>
                  <w:r>
                    <w:rPr>
                      <w:b/>
                      <w:bCs/>
                      <w:color w:val="000000"/>
                      <w:kern w:val="0"/>
                      <w:sz w:val="21"/>
                      <w:szCs w:val="21"/>
                      <w:lang w:bidi="ar"/>
                    </w:rPr>
                    <w:t>排放浓度mg/m</w:t>
                  </w:r>
                  <w:r>
                    <w:rPr>
                      <w:b/>
                      <w:bCs/>
                      <w:color w:val="000000"/>
                      <w:kern w:val="0"/>
                      <w:sz w:val="21"/>
                      <w:szCs w:val="21"/>
                      <w:vertAlign w:val="superscript"/>
                      <w:lang w:bidi="ar"/>
                    </w:rPr>
                    <w:t>3</w:t>
                  </w:r>
                </w:p>
              </w:tc>
              <w:tc>
                <w:tcPr>
                  <w:tcW w:w="383" w:type="pct"/>
                  <w:noWrap w:val="0"/>
                  <w:tcMar>
                    <w:top w:w="15" w:type="dxa"/>
                    <w:left w:w="15" w:type="dxa"/>
                    <w:right w:w="15" w:type="dxa"/>
                  </w:tcMar>
                  <w:vAlign w:val="center"/>
                </w:tcPr>
                <w:p w14:paraId="313ADA30">
                  <w:pPr>
                    <w:widowControl/>
                    <w:jc w:val="center"/>
                    <w:textAlignment w:val="center"/>
                    <w:rPr>
                      <w:b/>
                      <w:bCs/>
                      <w:color w:val="000000"/>
                      <w:sz w:val="21"/>
                      <w:szCs w:val="21"/>
                    </w:rPr>
                  </w:pPr>
                  <w:r>
                    <w:rPr>
                      <w:b/>
                      <w:bCs/>
                      <w:color w:val="000000"/>
                      <w:kern w:val="0"/>
                      <w:sz w:val="21"/>
                      <w:szCs w:val="21"/>
                      <w:lang w:bidi="ar"/>
                    </w:rPr>
                    <w:t>排放量t/a</w:t>
                  </w:r>
                </w:p>
              </w:tc>
              <w:tc>
                <w:tcPr>
                  <w:tcW w:w="450" w:type="pct"/>
                  <w:noWrap w:val="0"/>
                  <w:tcMar>
                    <w:top w:w="15" w:type="dxa"/>
                    <w:left w:w="15" w:type="dxa"/>
                    <w:right w:w="15" w:type="dxa"/>
                  </w:tcMar>
                  <w:vAlign w:val="center"/>
                </w:tcPr>
                <w:p w14:paraId="060913FC">
                  <w:pPr>
                    <w:widowControl/>
                    <w:jc w:val="center"/>
                    <w:textAlignment w:val="center"/>
                    <w:rPr>
                      <w:b/>
                      <w:bCs/>
                      <w:color w:val="000000"/>
                      <w:sz w:val="21"/>
                      <w:szCs w:val="21"/>
                    </w:rPr>
                  </w:pPr>
                  <w:r>
                    <w:rPr>
                      <w:b/>
                      <w:bCs/>
                      <w:color w:val="000000"/>
                      <w:kern w:val="0"/>
                      <w:sz w:val="21"/>
                      <w:szCs w:val="21"/>
                      <w:lang w:bidi="ar"/>
                    </w:rPr>
                    <w:t>排放速率kg/h</w:t>
                  </w:r>
                </w:p>
              </w:tc>
              <w:tc>
                <w:tcPr>
                  <w:tcW w:w="409" w:type="pct"/>
                  <w:vMerge w:val="continue"/>
                  <w:noWrap w:val="0"/>
                  <w:tcMar>
                    <w:top w:w="15" w:type="dxa"/>
                    <w:left w:w="15" w:type="dxa"/>
                    <w:right w:w="15" w:type="dxa"/>
                  </w:tcMar>
                  <w:vAlign w:val="center"/>
                </w:tcPr>
                <w:p w14:paraId="3F100C35">
                  <w:pPr>
                    <w:jc w:val="center"/>
                    <w:rPr>
                      <w:color w:val="000000"/>
                      <w:sz w:val="21"/>
                      <w:szCs w:val="21"/>
                    </w:rPr>
                  </w:pPr>
                </w:p>
              </w:tc>
              <w:tc>
                <w:tcPr>
                  <w:tcW w:w="386" w:type="pct"/>
                  <w:vMerge w:val="continue"/>
                  <w:noWrap w:val="0"/>
                  <w:tcMar>
                    <w:top w:w="15" w:type="dxa"/>
                    <w:left w:w="15" w:type="dxa"/>
                    <w:right w:w="15" w:type="dxa"/>
                  </w:tcMar>
                  <w:vAlign w:val="center"/>
                </w:tcPr>
                <w:p w14:paraId="46C73B74">
                  <w:pPr>
                    <w:jc w:val="center"/>
                    <w:rPr>
                      <w:color w:val="000000"/>
                      <w:sz w:val="21"/>
                      <w:szCs w:val="21"/>
                    </w:rPr>
                  </w:pPr>
                </w:p>
              </w:tc>
              <w:tc>
                <w:tcPr>
                  <w:tcW w:w="284" w:type="pct"/>
                  <w:vMerge w:val="continue"/>
                  <w:noWrap w:val="0"/>
                  <w:tcMar>
                    <w:top w:w="15" w:type="dxa"/>
                    <w:left w:w="15" w:type="dxa"/>
                    <w:right w:w="15" w:type="dxa"/>
                  </w:tcMar>
                  <w:vAlign w:val="center"/>
                </w:tcPr>
                <w:p w14:paraId="3AA39D65">
                  <w:pPr>
                    <w:jc w:val="center"/>
                    <w:rPr>
                      <w:color w:val="000000"/>
                      <w:sz w:val="21"/>
                      <w:szCs w:val="21"/>
                    </w:rPr>
                  </w:pPr>
                </w:p>
              </w:tc>
            </w:tr>
            <w:tr w14:paraId="38D93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282" w:type="pct"/>
                  <w:vMerge w:val="restart"/>
                  <w:noWrap w:val="0"/>
                  <w:tcMar>
                    <w:top w:w="15" w:type="dxa"/>
                    <w:left w:w="15" w:type="dxa"/>
                    <w:right w:w="15" w:type="dxa"/>
                  </w:tcMar>
                  <w:vAlign w:val="center"/>
                </w:tcPr>
                <w:p w14:paraId="2027CDC6">
                  <w:pPr>
                    <w:widowControl/>
                    <w:jc w:val="center"/>
                    <w:textAlignment w:val="center"/>
                    <w:rPr>
                      <w:rFonts w:hint="eastAsia" w:eastAsia="宋体"/>
                      <w:color w:val="000000"/>
                      <w:sz w:val="21"/>
                      <w:szCs w:val="21"/>
                      <w:lang w:val="en-US" w:eastAsia="zh-CN"/>
                    </w:rPr>
                  </w:pPr>
                  <w:r>
                    <w:rPr>
                      <w:rFonts w:hint="eastAsia"/>
                      <w:color w:val="000000"/>
                      <w:sz w:val="21"/>
                      <w:szCs w:val="21"/>
                      <w:lang w:val="en-US" w:eastAsia="zh-CN"/>
                    </w:rPr>
                    <w:t>水解</w:t>
                  </w:r>
                </w:p>
              </w:tc>
              <w:tc>
                <w:tcPr>
                  <w:tcW w:w="282" w:type="pct"/>
                  <w:noWrap w:val="0"/>
                  <w:tcMar>
                    <w:top w:w="15" w:type="dxa"/>
                    <w:left w:w="15" w:type="dxa"/>
                    <w:right w:w="15" w:type="dxa"/>
                  </w:tcMar>
                  <w:vAlign w:val="center"/>
                </w:tcPr>
                <w:p w14:paraId="4F96E540">
                  <w:pPr>
                    <w:widowControl/>
                    <w:jc w:val="center"/>
                    <w:textAlignment w:val="center"/>
                    <w:rPr>
                      <w:rFonts w:hint="eastAsia" w:eastAsia="宋体"/>
                      <w:color w:val="000000"/>
                      <w:kern w:val="2"/>
                      <w:sz w:val="21"/>
                      <w:szCs w:val="21"/>
                      <w:lang w:val="en-US" w:eastAsia="zh-CN" w:bidi="ar-SA"/>
                    </w:rPr>
                  </w:pPr>
                  <w:r>
                    <w:rPr>
                      <w:rFonts w:hint="eastAsia"/>
                      <w:color w:val="000000"/>
                      <w:sz w:val="21"/>
                      <w:szCs w:val="21"/>
                      <w:lang w:val="en-US" w:eastAsia="zh-CN"/>
                    </w:rPr>
                    <w:t>氨</w:t>
                  </w:r>
                </w:p>
              </w:tc>
              <w:tc>
                <w:tcPr>
                  <w:tcW w:w="487" w:type="dxa"/>
                  <w:noWrap w:val="0"/>
                  <w:tcMar>
                    <w:top w:w="15" w:type="dxa"/>
                    <w:left w:w="15" w:type="dxa"/>
                    <w:right w:w="15" w:type="dxa"/>
                  </w:tcMar>
                  <w:vAlign w:val="center"/>
                </w:tcPr>
                <w:p w14:paraId="3C7AD3D4">
                  <w:pPr>
                    <w:keepNext w:val="0"/>
                    <w:keepLines w:val="0"/>
                    <w:widowControl/>
                    <w:suppressLineNumbers w:val="0"/>
                    <w:jc w:val="center"/>
                    <w:textAlignment w:val="center"/>
                    <w:rPr>
                      <w:rFonts w:hint="default" w:eastAsia="等线"/>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2.525</w:t>
                  </w:r>
                </w:p>
              </w:tc>
              <w:tc>
                <w:tcPr>
                  <w:tcW w:w="590" w:type="dxa"/>
                  <w:noWrap w:val="0"/>
                  <w:tcMar>
                    <w:top w:w="15" w:type="dxa"/>
                    <w:left w:w="15" w:type="dxa"/>
                    <w:right w:w="15" w:type="dxa"/>
                  </w:tcMar>
                  <w:vAlign w:val="center"/>
                </w:tcPr>
                <w:p w14:paraId="31C79BE9">
                  <w:pPr>
                    <w:keepNext w:val="0"/>
                    <w:keepLines w:val="0"/>
                    <w:widowControl/>
                    <w:suppressLineNumbers w:val="0"/>
                    <w:jc w:val="center"/>
                    <w:textAlignment w:val="center"/>
                    <w:rPr>
                      <w:rFonts w:hint="default" w:eastAsia="等线"/>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1.052</w:t>
                  </w:r>
                </w:p>
              </w:tc>
              <w:tc>
                <w:tcPr>
                  <w:tcW w:w="151" w:type="pct"/>
                  <w:vMerge w:val="restart"/>
                  <w:noWrap w:val="0"/>
                  <w:tcMar>
                    <w:top w:w="15" w:type="dxa"/>
                    <w:left w:w="15" w:type="dxa"/>
                    <w:right w:w="15" w:type="dxa"/>
                  </w:tcMar>
                  <w:vAlign w:val="center"/>
                </w:tcPr>
                <w:p w14:paraId="7E7599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管道收集</w:t>
                  </w:r>
                </w:p>
              </w:tc>
              <w:tc>
                <w:tcPr>
                  <w:tcW w:w="284" w:type="pct"/>
                  <w:noWrap w:val="0"/>
                  <w:tcMar>
                    <w:top w:w="15" w:type="dxa"/>
                    <w:left w:w="15" w:type="dxa"/>
                    <w:right w:w="15" w:type="dxa"/>
                  </w:tcMar>
                  <w:vAlign w:val="center"/>
                </w:tcPr>
                <w:p w14:paraId="433C7B53">
                  <w:pPr>
                    <w:widowControl/>
                    <w:jc w:val="center"/>
                    <w:textAlignment w:val="center"/>
                    <w:rPr>
                      <w:rFonts w:hint="default"/>
                      <w:color w:val="000000"/>
                      <w:kern w:val="2"/>
                      <w:sz w:val="21"/>
                      <w:szCs w:val="21"/>
                      <w:lang w:val="en-US" w:eastAsia="zh-CN" w:bidi="ar-SA"/>
                    </w:rPr>
                  </w:pPr>
                  <w:r>
                    <w:rPr>
                      <w:rFonts w:eastAsia="等线"/>
                      <w:color w:val="000000"/>
                      <w:sz w:val="21"/>
                      <w:szCs w:val="21"/>
                    </w:rPr>
                    <w:t>100</w:t>
                  </w:r>
                </w:p>
              </w:tc>
              <w:tc>
                <w:tcPr>
                  <w:tcW w:w="363" w:type="pct"/>
                  <w:vMerge w:val="restart"/>
                  <w:noWrap w:val="0"/>
                  <w:tcMar>
                    <w:top w:w="15" w:type="dxa"/>
                    <w:left w:w="15" w:type="dxa"/>
                    <w:right w:w="15" w:type="dxa"/>
                  </w:tcMar>
                  <w:vAlign w:val="center"/>
                </w:tcPr>
                <w:p w14:paraId="045B3ED9">
                  <w:pPr>
                    <w:widowControl/>
                    <w:jc w:val="center"/>
                    <w:textAlignment w:val="center"/>
                    <w:rPr>
                      <w:rFonts w:hint="default"/>
                      <w:color w:val="000000"/>
                      <w:kern w:val="2"/>
                      <w:sz w:val="21"/>
                      <w:szCs w:val="21"/>
                      <w:lang w:val="en-US" w:eastAsia="zh-CN" w:bidi="ar-SA"/>
                    </w:rPr>
                  </w:pPr>
                  <w:r>
                    <w:rPr>
                      <w:rFonts w:hint="eastAsia" w:ascii="Times New Roman" w:hAnsi="Times New Roman" w:cs="Times New Roman"/>
                      <w:snapToGrid/>
                      <w:color w:val="000000"/>
                      <w:kern w:val="2"/>
                      <w:sz w:val="21"/>
                      <w:szCs w:val="21"/>
                      <w:vertAlign w:val="baseline"/>
                      <w:lang w:val="en-US" w:eastAsia="zh-CN" w:bidi="ar-SA"/>
                    </w:rPr>
                    <w:t>生物除臭装置</w:t>
                  </w:r>
                </w:p>
              </w:tc>
              <w:tc>
                <w:tcPr>
                  <w:tcW w:w="285" w:type="pct"/>
                  <w:noWrap w:val="0"/>
                  <w:tcMar>
                    <w:top w:w="15" w:type="dxa"/>
                    <w:left w:w="15" w:type="dxa"/>
                    <w:right w:w="15" w:type="dxa"/>
                  </w:tcMar>
                  <w:vAlign w:val="center"/>
                </w:tcPr>
                <w:p w14:paraId="1CA929F8">
                  <w:pPr>
                    <w:widowControl/>
                    <w:jc w:val="center"/>
                    <w:textAlignment w:val="center"/>
                    <w:rPr>
                      <w:rFonts w:hint="default" w:eastAsia="宋体"/>
                      <w:color w:val="000000"/>
                      <w:kern w:val="2"/>
                      <w:sz w:val="21"/>
                      <w:szCs w:val="21"/>
                      <w:lang w:val="en-US" w:eastAsia="zh-CN" w:bidi="ar-SA"/>
                    </w:rPr>
                  </w:pPr>
                  <w:r>
                    <w:rPr>
                      <w:rFonts w:hint="eastAsia"/>
                      <w:color w:val="000000"/>
                      <w:kern w:val="2"/>
                      <w:sz w:val="21"/>
                      <w:szCs w:val="21"/>
                      <w:lang w:val="en-US" w:eastAsia="zh-CN" w:bidi="ar-SA"/>
                    </w:rPr>
                    <w:t>90</w:t>
                  </w:r>
                </w:p>
              </w:tc>
              <w:tc>
                <w:tcPr>
                  <w:tcW w:w="348" w:type="pct"/>
                  <w:vMerge w:val="restart"/>
                  <w:noWrap w:val="0"/>
                  <w:tcMar>
                    <w:top w:w="15" w:type="dxa"/>
                    <w:left w:w="15" w:type="dxa"/>
                    <w:right w:w="15" w:type="dxa"/>
                  </w:tcMar>
                  <w:vAlign w:val="center"/>
                </w:tcPr>
                <w:p w14:paraId="0C0857F0">
                  <w:pPr>
                    <w:widowControl/>
                    <w:jc w:val="center"/>
                    <w:textAlignment w:val="center"/>
                    <w:rPr>
                      <w:rFonts w:hint="default" w:eastAsia="宋体"/>
                      <w:color w:val="000000"/>
                      <w:sz w:val="21"/>
                      <w:szCs w:val="21"/>
                      <w:lang w:val="en-US" w:eastAsia="zh-CN"/>
                    </w:rPr>
                  </w:pPr>
                  <w:r>
                    <w:rPr>
                      <w:rFonts w:hint="eastAsia"/>
                      <w:color w:val="000000"/>
                      <w:sz w:val="21"/>
                      <w:szCs w:val="21"/>
                      <w:lang w:val="en-US" w:eastAsia="zh-CN"/>
                    </w:rPr>
                    <w:t>7500</w:t>
                  </w:r>
                </w:p>
              </w:tc>
              <w:tc>
                <w:tcPr>
                  <w:tcW w:w="612" w:type="dxa"/>
                  <w:noWrap w:val="0"/>
                  <w:tcMar>
                    <w:top w:w="15" w:type="dxa"/>
                    <w:left w:w="15" w:type="dxa"/>
                    <w:right w:w="15" w:type="dxa"/>
                  </w:tcMar>
                  <w:vAlign w:val="center"/>
                </w:tcPr>
                <w:p w14:paraId="7FED7EF4">
                  <w:pPr>
                    <w:keepNext w:val="0"/>
                    <w:keepLines w:val="0"/>
                    <w:widowControl/>
                    <w:suppressLineNumbers w:val="0"/>
                    <w:jc w:val="center"/>
                    <w:textAlignment w:val="center"/>
                    <w:rPr>
                      <w:rFonts w:hint="default" w:eastAsia="等线"/>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14.028</w:t>
                  </w:r>
                </w:p>
              </w:tc>
              <w:tc>
                <w:tcPr>
                  <w:tcW w:w="579" w:type="dxa"/>
                  <w:noWrap w:val="0"/>
                  <w:tcMar>
                    <w:top w:w="15" w:type="dxa"/>
                    <w:left w:w="15" w:type="dxa"/>
                    <w:right w:w="15" w:type="dxa"/>
                  </w:tcMar>
                  <w:vAlign w:val="center"/>
                </w:tcPr>
                <w:p w14:paraId="698188CA">
                  <w:pPr>
                    <w:keepNext w:val="0"/>
                    <w:keepLines w:val="0"/>
                    <w:widowControl/>
                    <w:suppressLineNumbers w:val="0"/>
                    <w:jc w:val="center"/>
                    <w:textAlignment w:val="center"/>
                    <w:rPr>
                      <w:rFonts w:hint="default" w:eastAsia="等线"/>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0.253</w:t>
                  </w:r>
                </w:p>
              </w:tc>
              <w:tc>
                <w:tcPr>
                  <w:tcW w:w="700" w:type="dxa"/>
                  <w:noWrap w:val="0"/>
                  <w:tcMar>
                    <w:top w:w="15" w:type="dxa"/>
                    <w:left w:w="15" w:type="dxa"/>
                    <w:right w:w="15" w:type="dxa"/>
                  </w:tcMar>
                  <w:vAlign w:val="center"/>
                </w:tcPr>
                <w:p w14:paraId="6762F099">
                  <w:pPr>
                    <w:keepNext w:val="0"/>
                    <w:keepLines w:val="0"/>
                    <w:widowControl/>
                    <w:suppressLineNumbers w:val="0"/>
                    <w:jc w:val="center"/>
                    <w:textAlignment w:val="center"/>
                    <w:rPr>
                      <w:rFonts w:hint="default" w:eastAsia="等线"/>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0.105</w:t>
                  </w:r>
                </w:p>
              </w:tc>
              <w:tc>
                <w:tcPr>
                  <w:tcW w:w="409" w:type="pct"/>
                  <w:vMerge w:val="restart"/>
                  <w:noWrap w:val="0"/>
                  <w:tcMar>
                    <w:top w:w="15" w:type="dxa"/>
                    <w:left w:w="15" w:type="dxa"/>
                    <w:right w:w="15" w:type="dxa"/>
                  </w:tcMar>
                  <w:vAlign w:val="center"/>
                </w:tcPr>
                <w:p w14:paraId="21F1D18B">
                  <w:pPr>
                    <w:widowControl/>
                    <w:jc w:val="center"/>
                    <w:textAlignment w:val="center"/>
                    <w:rPr>
                      <w:rFonts w:hint="eastAsia" w:eastAsia="宋体"/>
                      <w:color w:val="000000"/>
                      <w:sz w:val="21"/>
                      <w:szCs w:val="21"/>
                      <w:lang w:val="en-US" w:eastAsia="zh-CN"/>
                    </w:rPr>
                  </w:pPr>
                  <w:r>
                    <w:rPr>
                      <w:rFonts w:hint="eastAsia"/>
                      <w:color w:val="000000"/>
                      <w:sz w:val="21"/>
                      <w:szCs w:val="21"/>
                      <w:lang w:val="en-US" w:eastAsia="zh-CN"/>
                    </w:rPr>
                    <w:t>DA001</w:t>
                  </w:r>
                </w:p>
              </w:tc>
              <w:tc>
                <w:tcPr>
                  <w:tcW w:w="386" w:type="pct"/>
                  <w:noWrap w:val="0"/>
                  <w:tcMar>
                    <w:top w:w="15" w:type="dxa"/>
                    <w:left w:w="15" w:type="dxa"/>
                    <w:right w:w="15" w:type="dxa"/>
                  </w:tcMar>
                  <w:vAlign w:val="center"/>
                </w:tcPr>
                <w:p w14:paraId="46BF0E82">
                  <w:pPr>
                    <w:widowControl/>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4.9kg/h</w:t>
                  </w:r>
                </w:p>
              </w:tc>
              <w:tc>
                <w:tcPr>
                  <w:tcW w:w="284" w:type="pct"/>
                  <w:vMerge w:val="restart"/>
                  <w:noWrap w:val="0"/>
                  <w:tcMar>
                    <w:top w:w="15" w:type="dxa"/>
                    <w:left w:w="15" w:type="dxa"/>
                    <w:right w:w="15" w:type="dxa"/>
                  </w:tcMar>
                  <w:vAlign w:val="center"/>
                </w:tcPr>
                <w:p w14:paraId="7B4B6F98">
                  <w:pPr>
                    <w:widowControl/>
                    <w:jc w:val="center"/>
                    <w:textAlignment w:val="center"/>
                    <w:rPr>
                      <w:rFonts w:hint="default" w:eastAsia="宋体"/>
                      <w:color w:val="000000"/>
                      <w:sz w:val="21"/>
                      <w:szCs w:val="21"/>
                      <w:lang w:val="en-US" w:eastAsia="zh-CN"/>
                    </w:rPr>
                  </w:pPr>
                  <w:r>
                    <w:rPr>
                      <w:rFonts w:hint="eastAsia"/>
                      <w:color w:val="000000"/>
                      <w:sz w:val="21"/>
                      <w:szCs w:val="21"/>
                      <w:lang w:val="en-US" w:eastAsia="zh-CN"/>
                    </w:rPr>
                    <w:t>2400</w:t>
                  </w:r>
                </w:p>
              </w:tc>
            </w:tr>
            <w:tr w14:paraId="66BA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282" w:type="pct"/>
                  <w:vMerge w:val="continue"/>
                  <w:noWrap w:val="0"/>
                  <w:tcMar>
                    <w:top w:w="15" w:type="dxa"/>
                    <w:left w:w="15" w:type="dxa"/>
                    <w:right w:w="15" w:type="dxa"/>
                  </w:tcMar>
                  <w:vAlign w:val="center"/>
                </w:tcPr>
                <w:p w14:paraId="296679A0">
                  <w:pPr>
                    <w:widowControl/>
                    <w:jc w:val="center"/>
                    <w:textAlignment w:val="center"/>
                    <w:rPr>
                      <w:color w:val="000000"/>
                      <w:sz w:val="21"/>
                      <w:szCs w:val="21"/>
                    </w:rPr>
                  </w:pPr>
                </w:p>
              </w:tc>
              <w:tc>
                <w:tcPr>
                  <w:tcW w:w="282" w:type="pct"/>
                  <w:noWrap w:val="0"/>
                  <w:tcMar>
                    <w:top w:w="15" w:type="dxa"/>
                    <w:left w:w="15" w:type="dxa"/>
                    <w:right w:w="15" w:type="dxa"/>
                  </w:tcMar>
                  <w:vAlign w:val="center"/>
                </w:tcPr>
                <w:p w14:paraId="13CEA078">
                  <w:pPr>
                    <w:widowControl/>
                    <w:jc w:val="center"/>
                    <w:textAlignment w:val="center"/>
                    <w:rPr>
                      <w:rFonts w:hint="eastAsia" w:eastAsia="宋体"/>
                      <w:color w:val="000000"/>
                      <w:kern w:val="2"/>
                      <w:sz w:val="21"/>
                      <w:szCs w:val="21"/>
                      <w:lang w:val="en-US" w:eastAsia="zh-CN" w:bidi="ar-SA"/>
                    </w:rPr>
                  </w:pPr>
                  <w:r>
                    <w:rPr>
                      <w:rFonts w:hint="eastAsia"/>
                      <w:color w:val="000000"/>
                      <w:sz w:val="21"/>
                      <w:szCs w:val="21"/>
                      <w:lang w:val="en-US" w:eastAsia="zh-CN"/>
                    </w:rPr>
                    <w:t>硫化氢</w:t>
                  </w:r>
                </w:p>
              </w:tc>
              <w:tc>
                <w:tcPr>
                  <w:tcW w:w="487" w:type="dxa"/>
                  <w:noWrap w:val="0"/>
                  <w:tcMar>
                    <w:top w:w="15" w:type="dxa"/>
                    <w:left w:w="15" w:type="dxa"/>
                    <w:right w:w="15" w:type="dxa"/>
                  </w:tcMar>
                  <w:vAlign w:val="center"/>
                </w:tcPr>
                <w:p w14:paraId="68FC7FDB">
                  <w:pPr>
                    <w:keepNext w:val="0"/>
                    <w:keepLines w:val="0"/>
                    <w:widowControl/>
                    <w:suppressLineNumbers w:val="0"/>
                    <w:jc w:val="center"/>
                    <w:textAlignment w:val="center"/>
                    <w:rPr>
                      <w:rFonts w:hint="default" w:eastAsia="等线"/>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0.392</w:t>
                  </w:r>
                </w:p>
              </w:tc>
              <w:tc>
                <w:tcPr>
                  <w:tcW w:w="590" w:type="dxa"/>
                  <w:noWrap w:val="0"/>
                  <w:tcMar>
                    <w:top w:w="15" w:type="dxa"/>
                    <w:left w:w="15" w:type="dxa"/>
                    <w:right w:w="15" w:type="dxa"/>
                  </w:tcMar>
                  <w:vAlign w:val="center"/>
                </w:tcPr>
                <w:p w14:paraId="3F766976">
                  <w:pPr>
                    <w:keepNext w:val="0"/>
                    <w:keepLines w:val="0"/>
                    <w:widowControl/>
                    <w:suppressLineNumbers w:val="0"/>
                    <w:jc w:val="center"/>
                    <w:textAlignment w:val="center"/>
                    <w:rPr>
                      <w:rFonts w:hint="default" w:eastAsia="等线"/>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0.164</w:t>
                  </w:r>
                </w:p>
              </w:tc>
              <w:tc>
                <w:tcPr>
                  <w:tcW w:w="151" w:type="pct"/>
                  <w:vMerge w:val="continue"/>
                  <w:noWrap w:val="0"/>
                  <w:tcMar>
                    <w:top w:w="15" w:type="dxa"/>
                    <w:left w:w="15" w:type="dxa"/>
                    <w:right w:w="15" w:type="dxa"/>
                  </w:tcMar>
                  <w:vAlign w:val="center"/>
                </w:tcPr>
                <w:p w14:paraId="336A96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284" w:type="pct"/>
                  <w:noWrap w:val="0"/>
                  <w:tcMar>
                    <w:top w:w="15" w:type="dxa"/>
                    <w:left w:w="15" w:type="dxa"/>
                    <w:right w:w="15" w:type="dxa"/>
                  </w:tcMar>
                  <w:vAlign w:val="center"/>
                </w:tcPr>
                <w:p w14:paraId="38D7B4AC">
                  <w:pPr>
                    <w:widowControl/>
                    <w:jc w:val="center"/>
                    <w:textAlignment w:val="center"/>
                    <w:rPr>
                      <w:rFonts w:hint="default"/>
                      <w:color w:val="000000"/>
                      <w:kern w:val="2"/>
                      <w:sz w:val="21"/>
                      <w:szCs w:val="21"/>
                      <w:lang w:val="en-US" w:eastAsia="zh-CN" w:bidi="ar-SA"/>
                    </w:rPr>
                  </w:pPr>
                  <w:r>
                    <w:rPr>
                      <w:rFonts w:eastAsia="等线"/>
                      <w:color w:val="000000"/>
                      <w:sz w:val="21"/>
                      <w:szCs w:val="21"/>
                    </w:rPr>
                    <w:t>100</w:t>
                  </w:r>
                </w:p>
              </w:tc>
              <w:tc>
                <w:tcPr>
                  <w:tcW w:w="363" w:type="pct"/>
                  <w:vMerge w:val="continue"/>
                  <w:noWrap w:val="0"/>
                  <w:tcMar>
                    <w:top w:w="15" w:type="dxa"/>
                    <w:left w:w="15" w:type="dxa"/>
                    <w:right w:w="15" w:type="dxa"/>
                  </w:tcMar>
                  <w:vAlign w:val="center"/>
                </w:tcPr>
                <w:p w14:paraId="2B2FAED0">
                  <w:pPr>
                    <w:widowControl/>
                    <w:jc w:val="center"/>
                    <w:textAlignment w:val="center"/>
                    <w:rPr>
                      <w:color w:val="000000"/>
                      <w:kern w:val="2"/>
                      <w:sz w:val="21"/>
                      <w:szCs w:val="21"/>
                      <w:lang w:val="en-US" w:eastAsia="zh-CN" w:bidi="ar-SA"/>
                    </w:rPr>
                  </w:pPr>
                </w:p>
              </w:tc>
              <w:tc>
                <w:tcPr>
                  <w:tcW w:w="285" w:type="pct"/>
                  <w:noWrap w:val="0"/>
                  <w:tcMar>
                    <w:top w:w="15" w:type="dxa"/>
                    <w:left w:w="15" w:type="dxa"/>
                    <w:right w:w="15" w:type="dxa"/>
                  </w:tcMar>
                  <w:vAlign w:val="center"/>
                </w:tcPr>
                <w:p w14:paraId="70525B1E">
                  <w:pPr>
                    <w:widowControl/>
                    <w:jc w:val="center"/>
                    <w:textAlignment w:val="center"/>
                    <w:rPr>
                      <w:rFonts w:hint="default" w:eastAsia="宋体"/>
                      <w:color w:val="000000"/>
                      <w:kern w:val="2"/>
                      <w:sz w:val="21"/>
                      <w:szCs w:val="21"/>
                      <w:lang w:val="en-US" w:eastAsia="zh-CN" w:bidi="ar-SA"/>
                    </w:rPr>
                  </w:pPr>
                  <w:r>
                    <w:rPr>
                      <w:rFonts w:hint="eastAsia"/>
                      <w:color w:val="000000"/>
                      <w:kern w:val="2"/>
                      <w:sz w:val="21"/>
                      <w:szCs w:val="21"/>
                      <w:lang w:val="en-US" w:eastAsia="zh-CN" w:bidi="ar-SA"/>
                    </w:rPr>
                    <w:t>90</w:t>
                  </w:r>
                </w:p>
              </w:tc>
              <w:tc>
                <w:tcPr>
                  <w:tcW w:w="348" w:type="pct"/>
                  <w:vMerge w:val="continue"/>
                  <w:noWrap w:val="0"/>
                  <w:tcMar>
                    <w:top w:w="15" w:type="dxa"/>
                    <w:left w:w="15" w:type="dxa"/>
                    <w:right w:w="15" w:type="dxa"/>
                  </w:tcMar>
                  <w:vAlign w:val="center"/>
                </w:tcPr>
                <w:p w14:paraId="3828D9A4">
                  <w:pPr>
                    <w:widowControl/>
                    <w:jc w:val="center"/>
                    <w:textAlignment w:val="center"/>
                    <w:rPr>
                      <w:color w:val="000000"/>
                      <w:sz w:val="21"/>
                      <w:szCs w:val="21"/>
                    </w:rPr>
                  </w:pPr>
                </w:p>
              </w:tc>
              <w:tc>
                <w:tcPr>
                  <w:tcW w:w="612" w:type="dxa"/>
                  <w:noWrap w:val="0"/>
                  <w:tcMar>
                    <w:top w:w="15" w:type="dxa"/>
                    <w:left w:w="15" w:type="dxa"/>
                    <w:right w:w="15" w:type="dxa"/>
                  </w:tcMar>
                  <w:vAlign w:val="center"/>
                </w:tcPr>
                <w:p w14:paraId="5F762B22">
                  <w:pPr>
                    <w:keepNext w:val="0"/>
                    <w:keepLines w:val="0"/>
                    <w:widowControl/>
                    <w:suppressLineNumbers w:val="0"/>
                    <w:jc w:val="center"/>
                    <w:textAlignment w:val="center"/>
                    <w:rPr>
                      <w:rFonts w:hint="default" w:eastAsia="等线"/>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2.180</w:t>
                  </w:r>
                </w:p>
              </w:tc>
              <w:tc>
                <w:tcPr>
                  <w:tcW w:w="579" w:type="dxa"/>
                  <w:noWrap w:val="0"/>
                  <w:tcMar>
                    <w:top w:w="15" w:type="dxa"/>
                    <w:left w:w="15" w:type="dxa"/>
                    <w:right w:w="15" w:type="dxa"/>
                  </w:tcMar>
                  <w:vAlign w:val="center"/>
                </w:tcPr>
                <w:p w14:paraId="040C7F3C">
                  <w:pPr>
                    <w:keepNext w:val="0"/>
                    <w:keepLines w:val="0"/>
                    <w:widowControl/>
                    <w:suppressLineNumbers w:val="0"/>
                    <w:jc w:val="center"/>
                    <w:textAlignment w:val="center"/>
                    <w:rPr>
                      <w:rFonts w:hint="default" w:eastAsia="等线"/>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0.039</w:t>
                  </w:r>
                </w:p>
              </w:tc>
              <w:tc>
                <w:tcPr>
                  <w:tcW w:w="700" w:type="dxa"/>
                  <w:noWrap w:val="0"/>
                  <w:tcMar>
                    <w:top w:w="15" w:type="dxa"/>
                    <w:left w:w="15" w:type="dxa"/>
                    <w:right w:w="15" w:type="dxa"/>
                  </w:tcMar>
                  <w:vAlign w:val="center"/>
                </w:tcPr>
                <w:p w14:paraId="20B904B2">
                  <w:pPr>
                    <w:keepNext w:val="0"/>
                    <w:keepLines w:val="0"/>
                    <w:widowControl/>
                    <w:suppressLineNumbers w:val="0"/>
                    <w:jc w:val="center"/>
                    <w:textAlignment w:val="center"/>
                    <w:rPr>
                      <w:rFonts w:hint="default" w:eastAsia="等线"/>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0.016</w:t>
                  </w:r>
                </w:p>
              </w:tc>
              <w:tc>
                <w:tcPr>
                  <w:tcW w:w="409" w:type="pct"/>
                  <w:vMerge w:val="continue"/>
                  <w:noWrap w:val="0"/>
                  <w:tcMar>
                    <w:top w:w="15" w:type="dxa"/>
                    <w:left w:w="15" w:type="dxa"/>
                    <w:right w:w="15" w:type="dxa"/>
                  </w:tcMar>
                  <w:vAlign w:val="center"/>
                </w:tcPr>
                <w:p w14:paraId="13970C41">
                  <w:pPr>
                    <w:widowControl/>
                    <w:jc w:val="center"/>
                    <w:textAlignment w:val="center"/>
                    <w:rPr>
                      <w:color w:val="000000"/>
                      <w:sz w:val="21"/>
                      <w:szCs w:val="21"/>
                    </w:rPr>
                  </w:pPr>
                </w:p>
              </w:tc>
              <w:tc>
                <w:tcPr>
                  <w:tcW w:w="386" w:type="pct"/>
                  <w:noWrap w:val="0"/>
                  <w:tcMar>
                    <w:top w:w="15" w:type="dxa"/>
                    <w:left w:w="15" w:type="dxa"/>
                    <w:right w:w="15" w:type="dxa"/>
                  </w:tcMar>
                  <w:vAlign w:val="center"/>
                </w:tcPr>
                <w:p w14:paraId="6DFD3A91">
                  <w:pPr>
                    <w:widowControl/>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0.33kg/h</w:t>
                  </w:r>
                </w:p>
              </w:tc>
              <w:tc>
                <w:tcPr>
                  <w:tcW w:w="284" w:type="pct"/>
                  <w:vMerge w:val="continue"/>
                  <w:noWrap w:val="0"/>
                  <w:tcMar>
                    <w:top w:w="15" w:type="dxa"/>
                    <w:left w:w="15" w:type="dxa"/>
                    <w:right w:w="15" w:type="dxa"/>
                  </w:tcMar>
                  <w:vAlign w:val="center"/>
                </w:tcPr>
                <w:p w14:paraId="78FB152D">
                  <w:pPr>
                    <w:widowControl/>
                    <w:jc w:val="center"/>
                    <w:textAlignment w:val="center"/>
                    <w:rPr>
                      <w:color w:val="000000"/>
                      <w:sz w:val="21"/>
                      <w:szCs w:val="21"/>
                    </w:rPr>
                  </w:pPr>
                </w:p>
              </w:tc>
            </w:tr>
            <w:tr w14:paraId="34A7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282" w:type="pct"/>
                  <w:vMerge w:val="continue"/>
                  <w:noWrap w:val="0"/>
                  <w:tcMar>
                    <w:top w:w="15" w:type="dxa"/>
                    <w:left w:w="15" w:type="dxa"/>
                    <w:right w:w="15" w:type="dxa"/>
                  </w:tcMar>
                  <w:vAlign w:val="center"/>
                </w:tcPr>
                <w:p w14:paraId="099AF1FB">
                  <w:pPr>
                    <w:widowControl/>
                    <w:jc w:val="center"/>
                    <w:textAlignment w:val="center"/>
                    <w:rPr>
                      <w:color w:val="000000"/>
                      <w:sz w:val="21"/>
                      <w:szCs w:val="21"/>
                    </w:rPr>
                  </w:pPr>
                </w:p>
              </w:tc>
              <w:tc>
                <w:tcPr>
                  <w:tcW w:w="282" w:type="pct"/>
                  <w:noWrap w:val="0"/>
                  <w:tcMar>
                    <w:top w:w="15" w:type="dxa"/>
                    <w:left w:w="15" w:type="dxa"/>
                    <w:right w:w="15" w:type="dxa"/>
                  </w:tcMar>
                  <w:vAlign w:val="center"/>
                </w:tcPr>
                <w:p w14:paraId="3DE52E34">
                  <w:pPr>
                    <w:widowControl/>
                    <w:jc w:val="center"/>
                    <w:textAlignment w:val="center"/>
                    <w:rPr>
                      <w:rFonts w:hint="default" w:eastAsia="宋体"/>
                      <w:color w:val="000000"/>
                      <w:kern w:val="2"/>
                      <w:sz w:val="21"/>
                      <w:szCs w:val="21"/>
                      <w:lang w:val="en-US" w:eastAsia="zh-CN" w:bidi="ar-SA"/>
                    </w:rPr>
                  </w:pPr>
                  <w:r>
                    <w:rPr>
                      <w:rFonts w:hint="eastAsia"/>
                      <w:color w:val="000000"/>
                      <w:sz w:val="21"/>
                      <w:szCs w:val="21"/>
                      <w:lang w:val="en-US" w:eastAsia="zh-CN"/>
                    </w:rPr>
                    <w:t>臭气浓度</w:t>
                  </w:r>
                </w:p>
              </w:tc>
              <w:tc>
                <w:tcPr>
                  <w:tcW w:w="317" w:type="pct"/>
                  <w:noWrap w:val="0"/>
                  <w:tcMar>
                    <w:top w:w="15" w:type="dxa"/>
                    <w:left w:w="15" w:type="dxa"/>
                    <w:right w:w="15" w:type="dxa"/>
                  </w:tcMar>
                  <w:vAlign w:val="center"/>
                </w:tcPr>
                <w:p w14:paraId="516F1D4B">
                  <w:pPr>
                    <w:keepNext w:val="0"/>
                    <w:keepLines w:val="0"/>
                    <w:widowControl/>
                    <w:suppressLineNumbers w:val="0"/>
                    <w:jc w:val="center"/>
                    <w:textAlignment w:val="center"/>
                    <w:rPr>
                      <w:rFonts w:hint="default" w:eastAsia="等线"/>
                      <w:color w:val="000000"/>
                      <w:kern w:val="2"/>
                      <w:sz w:val="21"/>
                      <w:szCs w:val="21"/>
                      <w:lang w:val="en-US" w:eastAsia="zh-CN" w:bidi="ar-SA"/>
                    </w:rPr>
                  </w:pPr>
                  <w:r>
                    <w:rPr>
                      <w:rFonts w:hint="eastAsia" w:eastAsia="等线"/>
                      <w:color w:val="000000"/>
                      <w:kern w:val="2"/>
                      <w:sz w:val="21"/>
                      <w:szCs w:val="21"/>
                      <w:lang w:val="en-US" w:eastAsia="zh-CN" w:bidi="ar-SA"/>
                    </w:rPr>
                    <w:t>/</w:t>
                  </w:r>
                </w:p>
              </w:tc>
              <w:tc>
                <w:tcPr>
                  <w:tcW w:w="382" w:type="pct"/>
                  <w:noWrap w:val="0"/>
                  <w:tcMar>
                    <w:top w:w="15" w:type="dxa"/>
                    <w:left w:w="15" w:type="dxa"/>
                    <w:right w:w="15" w:type="dxa"/>
                  </w:tcMar>
                  <w:vAlign w:val="center"/>
                </w:tcPr>
                <w:p w14:paraId="492239B7">
                  <w:pPr>
                    <w:keepNext w:val="0"/>
                    <w:keepLines w:val="0"/>
                    <w:widowControl/>
                    <w:suppressLineNumbers w:val="0"/>
                    <w:jc w:val="center"/>
                    <w:textAlignment w:val="center"/>
                    <w:rPr>
                      <w:rFonts w:hint="default" w:eastAsia="等线"/>
                      <w:color w:val="000000"/>
                      <w:kern w:val="2"/>
                      <w:sz w:val="21"/>
                      <w:szCs w:val="21"/>
                      <w:lang w:val="en-US" w:eastAsia="zh-CN" w:bidi="ar-SA"/>
                    </w:rPr>
                  </w:pPr>
                  <w:r>
                    <w:rPr>
                      <w:rFonts w:hint="eastAsia" w:eastAsia="等线"/>
                      <w:color w:val="000000"/>
                      <w:kern w:val="2"/>
                      <w:sz w:val="21"/>
                      <w:szCs w:val="21"/>
                      <w:lang w:val="en-US" w:eastAsia="zh-CN" w:bidi="ar-SA"/>
                    </w:rPr>
                    <w:t>/</w:t>
                  </w:r>
                </w:p>
              </w:tc>
              <w:tc>
                <w:tcPr>
                  <w:tcW w:w="151" w:type="pct"/>
                  <w:vMerge w:val="continue"/>
                  <w:noWrap w:val="0"/>
                  <w:tcMar>
                    <w:top w:w="15" w:type="dxa"/>
                    <w:left w:w="15" w:type="dxa"/>
                    <w:right w:w="15" w:type="dxa"/>
                  </w:tcMar>
                  <w:vAlign w:val="center"/>
                </w:tcPr>
                <w:p w14:paraId="7CD29F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284" w:type="pct"/>
                  <w:noWrap w:val="0"/>
                  <w:tcMar>
                    <w:top w:w="15" w:type="dxa"/>
                    <w:left w:w="15" w:type="dxa"/>
                    <w:right w:w="15" w:type="dxa"/>
                  </w:tcMar>
                  <w:vAlign w:val="center"/>
                </w:tcPr>
                <w:p w14:paraId="7D5A34F4">
                  <w:pPr>
                    <w:widowControl/>
                    <w:jc w:val="center"/>
                    <w:textAlignment w:val="center"/>
                    <w:rPr>
                      <w:rFonts w:hint="eastAsia" w:eastAsia="等线"/>
                      <w:color w:val="000000"/>
                      <w:kern w:val="2"/>
                      <w:sz w:val="21"/>
                      <w:szCs w:val="21"/>
                      <w:lang w:val="en-US" w:eastAsia="zh-CN" w:bidi="ar-SA"/>
                    </w:rPr>
                  </w:pPr>
                  <w:r>
                    <w:rPr>
                      <w:rFonts w:hint="eastAsia" w:eastAsia="等线"/>
                      <w:color w:val="000000"/>
                      <w:sz w:val="21"/>
                      <w:szCs w:val="21"/>
                      <w:lang w:val="en-US" w:eastAsia="zh-CN"/>
                    </w:rPr>
                    <w:t>100</w:t>
                  </w:r>
                </w:p>
              </w:tc>
              <w:tc>
                <w:tcPr>
                  <w:tcW w:w="363" w:type="pct"/>
                  <w:vMerge w:val="continue"/>
                  <w:noWrap w:val="0"/>
                  <w:tcMar>
                    <w:top w:w="15" w:type="dxa"/>
                    <w:left w:w="15" w:type="dxa"/>
                    <w:right w:w="15" w:type="dxa"/>
                  </w:tcMar>
                  <w:vAlign w:val="center"/>
                </w:tcPr>
                <w:p w14:paraId="40205C8F">
                  <w:pPr>
                    <w:widowControl/>
                    <w:jc w:val="center"/>
                    <w:textAlignment w:val="center"/>
                    <w:rPr>
                      <w:rFonts w:hint="eastAsia" w:eastAsia="等线"/>
                      <w:color w:val="000000"/>
                      <w:kern w:val="2"/>
                      <w:sz w:val="21"/>
                      <w:szCs w:val="21"/>
                      <w:lang w:val="en-US" w:eastAsia="zh-CN" w:bidi="ar-SA"/>
                    </w:rPr>
                  </w:pPr>
                </w:p>
              </w:tc>
              <w:tc>
                <w:tcPr>
                  <w:tcW w:w="285" w:type="pct"/>
                  <w:noWrap w:val="0"/>
                  <w:tcMar>
                    <w:top w:w="15" w:type="dxa"/>
                    <w:left w:w="15" w:type="dxa"/>
                    <w:right w:w="15" w:type="dxa"/>
                  </w:tcMar>
                  <w:vAlign w:val="center"/>
                </w:tcPr>
                <w:p w14:paraId="662E9996">
                  <w:pPr>
                    <w:widowControl/>
                    <w:jc w:val="center"/>
                    <w:textAlignment w:val="center"/>
                    <w:rPr>
                      <w:rFonts w:hint="default" w:eastAsia="等线"/>
                      <w:color w:val="000000"/>
                      <w:kern w:val="2"/>
                      <w:sz w:val="21"/>
                      <w:szCs w:val="21"/>
                      <w:lang w:val="en-US" w:eastAsia="zh-CN" w:bidi="ar-SA"/>
                    </w:rPr>
                  </w:pPr>
                  <w:r>
                    <w:rPr>
                      <w:rFonts w:hint="eastAsia" w:eastAsia="等线"/>
                      <w:color w:val="000000"/>
                      <w:kern w:val="2"/>
                      <w:sz w:val="21"/>
                      <w:szCs w:val="21"/>
                      <w:lang w:val="en-US" w:eastAsia="zh-CN" w:bidi="ar-SA"/>
                    </w:rPr>
                    <w:t>90</w:t>
                  </w:r>
                </w:p>
              </w:tc>
              <w:tc>
                <w:tcPr>
                  <w:tcW w:w="348" w:type="pct"/>
                  <w:vMerge w:val="continue"/>
                  <w:noWrap w:val="0"/>
                  <w:tcMar>
                    <w:top w:w="15" w:type="dxa"/>
                    <w:left w:w="15" w:type="dxa"/>
                    <w:right w:w="15" w:type="dxa"/>
                  </w:tcMar>
                  <w:vAlign w:val="center"/>
                </w:tcPr>
                <w:p w14:paraId="442498FE">
                  <w:pPr>
                    <w:widowControl/>
                    <w:jc w:val="center"/>
                    <w:textAlignment w:val="center"/>
                    <w:rPr>
                      <w:color w:val="000000"/>
                      <w:kern w:val="2"/>
                      <w:sz w:val="21"/>
                      <w:szCs w:val="21"/>
                      <w:lang w:val="en-US" w:eastAsia="zh-CN" w:bidi="ar-SA"/>
                    </w:rPr>
                  </w:pPr>
                </w:p>
              </w:tc>
              <w:tc>
                <w:tcPr>
                  <w:tcW w:w="386" w:type="pct"/>
                  <w:noWrap w:val="0"/>
                  <w:tcMar>
                    <w:top w:w="15" w:type="dxa"/>
                    <w:left w:w="15" w:type="dxa"/>
                    <w:right w:w="15" w:type="dxa"/>
                  </w:tcMar>
                  <w:vAlign w:val="center"/>
                </w:tcPr>
                <w:p w14:paraId="24AAA728">
                  <w:pPr>
                    <w:keepNext w:val="0"/>
                    <w:keepLines w:val="0"/>
                    <w:widowControl/>
                    <w:suppressLineNumbers w:val="0"/>
                    <w:jc w:val="center"/>
                    <w:textAlignment w:val="center"/>
                    <w:rPr>
                      <w:rFonts w:hint="default" w:eastAsia="等线"/>
                      <w:color w:val="000000"/>
                      <w:kern w:val="2"/>
                      <w:sz w:val="21"/>
                      <w:szCs w:val="21"/>
                      <w:lang w:val="en-US" w:eastAsia="zh-CN" w:bidi="ar-SA"/>
                    </w:rPr>
                  </w:pPr>
                  <w:r>
                    <w:rPr>
                      <w:rFonts w:hint="eastAsia" w:eastAsia="等线"/>
                      <w:color w:val="000000"/>
                      <w:kern w:val="2"/>
                      <w:sz w:val="21"/>
                      <w:szCs w:val="21"/>
                      <w:lang w:val="en-US" w:eastAsia="zh-CN" w:bidi="ar-SA"/>
                    </w:rPr>
                    <w:t>/</w:t>
                  </w:r>
                </w:p>
              </w:tc>
              <w:tc>
                <w:tcPr>
                  <w:tcW w:w="383" w:type="pct"/>
                  <w:noWrap w:val="0"/>
                  <w:tcMar>
                    <w:top w:w="15" w:type="dxa"/>
                    <w:left w:w="15" w:type="dxa"/>
                    <w:right w:w="15" w:type="dxa"/>
                  </w:tcMar>
                  <w:vAlign w:val="center"/>
                </w:tcPr>
                <w:p w14:paraId="01AF2A3F">
                  <w:pPr>
                    <w:keepNext w:val="0"/>
                    <w:keepLines w:val="0"/>
                    <w:widowControl/>
                    <w:suppressLineNumbers w:val="0"/>
                    <w:jc w:val="center"/>
                    <w:textAlignment w:val="center"/>
                    <w:rPr>
                      <w:rFonts w:hint="default" w:eastAsia="等线"/>
                      <w:color w:val="000000"/>
                      <w:kern w:val="2"/>
                      <w:sz w:val="21"/>
                      <w:szCs w:val="21"/>
                      <w:lang w:val="en-US" w:eastAsia="zh-CN" w:bidi="ar-SA"/>
                    </w:rPr>
                  </w:pPr>
                  <w:r>
                    <w:rPr>
                      <w:rFonts w:hint="eastAsia" w:eastAsia="等线"/>
                      <w:color w:val="000000"/>
                      <w:kern w:val="2"/>
                      <w:sz w:val="21"/>
                      <w:szCs w:val="21"/>
                      <w:lang w:val="en-US" w:eastAsia="zh-CN" w:bidi="ar-SA"/>
                    </w:rPr>
                    <w:t>/</w:t>
                  </w:r>
                </w:p>
              </w:tc>
              <w:tc>
                <w:tcPr>
                  <w:tcW w:w="450" w:type="pct"/>
                  <w:noWrap w:val="0"/>
                  <w:tcMar>
                    <w:top w:w="15" w:type="dxa"/>
                    <w:left w:w="15" w:type="dxa"/>
                    <w:right w:w="15" w:type="dxa"/>
                  </w:tcMar>
                  <w:vAlign w:val="center"/>
                </w:tcPr>
                <w:p w14:paraId="6425ACC2">
                  <w:pPr>
                    <w:keepNext w:val="0"/>
                    <w:keepLines w:val="0"/>
                    <w:widowControl/>
                    <w:suppressLineNumbers w:val="0"/>
                    <w:jc w:val="center"/>
                    <w:textAlignment w:val="center"/>
                    <w:rPr>
                      <w:rFonts w:hint="default" w:eastAsia="等线"/>
                      <w:color w:val="000000"/>
                      <w:kern w:val="2"/>
                      <w:sz w:val="21"/>
                      <w:szCs w:val="21"/>
                      <w:lang w:val="en-US" w:eastAsia="zh-CN" w:bidi="ar-SA"/>
                    </w:rPr>
                  </w:pPr>
                  <w:r>
                    <w:rPr>
                      <w:rFonts w:hint="eastAsia" w:eastAsia="等线"/>
                      <w:color w:val="000000"/>
                      <w:kern w:val="2"/>
                      <w:sz w:val="21"/>
                      <w:szCs w:val="21"/>
                      <w:lang w:val="en-US" w:eastAsia="zh-CN" w:bidi="ar-SA"/>
                    </w:rPr>
                    <w:t>/</w:t>
                  </w:r>
                </w:p>
              </w:tc>
              <w:tc>
                <w:tcPr>
                  <w:tcW w:w="409" w:type="pct"/>
                  <w:vMerge w:val="continue"/>
                  <w:noWrap w:val="0"/>
                  <w:tcMar>
                    <w:top w:w="15" w:type="dxa"/>
                    <w:left w:w="15" w:type="dxa"/>
                    <w:right w:w="15" w:type="dxa"/>
                  </w:tcMar>
                  <w:vAlign w:val="center"/>
                </w:tcPr>
                <w:p w14:paraId="7E8F40E7">
                  <w:pPr>
                    <w:widowControl/>
                    <w:jc w:val="center"/>
                    <w:textAlignment w:val="center"/>
                    <w:rPr>
                      <w:color w:val="000000"/>
                      <w:kern w:val="2"/>
                      <w:sz w:val="21"/>
                      <w:szCs w:val="21"/>
                      <w:lang w:val="en-US" w:eastAsia="zh-CN" w:bidi="ar-SA"/>
                    </w:rPr>
                  </w:pPr>
                </w:p>
              </w:tc>
              <w:tc>
                <w:tcPr>
                  <w:tcW w:w="386" w:type="pct"/>
                  <w:noWrap w:val="0"/>
                  <w:tcMar>
                    <w:top w:w="15" w:type="dxa"/>
                    <w:left w:w="15" w:type="dxa"/>
                    <w:right w:w="15" w:type="dxa"/>
                  </w:tcMar>
                  <w:vAlign w:val="center"/>
                </w:tcPr>
                <w:p w14:paraId="012F7BEC">
                  <w:pPr>
                    <w:widowControl/>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2000（无量纲）</w:t>
                  </w:r>
                </w:p>
              </w:tc>
              <w:tc>
                <w:tcPr>
                  <w:tcW w:w="284" w:type="pct"/>
                  <w:vMerge w:val="continue"/>
                  <w:noWrap w:val="0"/>
                  <w:tcMar>
                    <w:top w:w="15" w:type="dxa"/>
                    <w:left w:w="15" w:type="dxa"/>
                    <w:right w:w="15" w:type="dxa"/>
                  </w:tcMar>
                  <w:vAlign w:val="center"/>
                </w:tcPr>
                <w:p w14:paraId="5263F722">
                  <w:pPr>
                    <w:widowControl/>
                    <w:jc w:val="center"/>
                    <w:textAlignment w:val="center"/>
                    <w:rPr>
                      <w:color w:val="000000"/>
                      <w:sz w:val="21"/>
                      <w:szCs w:val="21"/>
                    </w:rPr>
                  </w:pPr>
                </w:p>
              </w:tc>
            </w:tr>
          </w:tbl>
          <w:p w14:paraId="78166F72">
            <w:pPr>
              <w:keepNext w:val="0"/>
              <w:keepLines w:val="0"/>
              <w:pageBreakBefore w:val="0"/>
              <w:widowControl w:val="0"/>
              <w:kinsoku/>
              <w:wordWrap/>
              <w:overflowPunct/>
              <w:topLinePunct w:val="0"/>
              <w:autoSpaceDE/>
              <w:autoSpaceDN/>
              <w:bidi w:val="0"/>
              <w:adjustRightInd/>
              <w:snapToGrid/>
              <w:jc w:val="center"/>
              <w:textAlignment w:val="auto"/>
              <w:rPr>
                <w:b/>
                <w:bCs/>
                <w:sz w:val="24"/>
                <w:szCs w:val="24"/>
              </w:rPr>
            </w:pPr>
            <w:r>
              <w:rPr>
                <w:b/>
                <w:bCs/>
                <w:sz w:val="24"/>
                <w:szCs w:val="24"/>
              </w:rPr>
              <w:t>表4-</w:t>
            </w:r>
            <w:r>
              <w:rPr>
                <w:rFonts w:hint="eastAsia"/>
                <w:b/>
                <w:bCs/>
                <w:sz w:val="24"/>
                <w:szCs w:val="24"/>
              </w:rPr>
              <w:t>2</w:t>
            </w:r>
            <w:r>
              <w:rPr>
                <w:b/>
                <w:bCs/>
                <w:sz w:val="24"/>
                <w:szCs w:val="24"/>
              </w:rPr>
              <w:t>产排污环节、废气污染物对应排放口类型一览表</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932"/>
              <w:gridCol w:w="815"/>
              <w:gridCol w:w="1081"/>
              <w:gridCol w:w="1011"/>
              <w:gridCol w:w="908"/>
              <w:gridCol w:w="1077"/>
              <w:gridCol w:w="972"/>
              <w:gridCol w:w="966"/>
            </w:tblGrid>
            <w:tr w14:paraId="5CC0A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6" w:type="pct"/>
                  <w:vMerge w:val="restart"/>
                  <w:vAlign w:val="center"/>
                </w:tcPr>
                <w:p w14:paraId="7857D48E">
                  <w:pPr>
                    <w:jc w:val="center"/>
                    <w:rPr>
                      <w:b/>
                      <w:bCs/>
                      <w:sz w:val="21"/>
                      <w:szCs w:val="21"/>
                    </w:rPr>
                  </w:pPr>
                  <w:r>
                    <w:rPr>
                      <w:b/>
                      <w:bCs/>
                      <w:sz w:val="21"/>
                      <w:szCs w:val="21"/>
                    </w:rPr>
                    <w:t>产污环节</w:t>
                  </w:r>
                </w:p>
              </w:tc>
              <w:tc>
                <w:tcPr>
                  <w:tcW w:w="550" w:type="pct"/>
                  <w:vMerge w:val="restart"/>
                  <w:vAlign w:val="center"/>
                </w:tcPr>
                <w:p w14:paraId="74284AA6">
                  <w:pPr>
                    <w:jc w:val="center"/>
                    <w:rPr>
                      <w:b/>
                      <w:bCs/>
                      <w:sz w:val="21"/>
                      <w:szCs w:val="21"/>
                    </w:rPr>
                  </w:pPr>
                  <w:r>
                    <w:rPr>
                      <w:b/>
                      <w:bCs/>
                      <w:sz w:val="21"/>
                      <w:szCs w:val="21"/>
                    </w:rPr>
                    <w:t>污染物种类</w:t>
                  </w:r>
                </w:p>
              </w:tc>
              <w:tc>
                <w:tcPr>
                  <w:tcW w:w="481" w:type="pct"/>
                  <w:vMerge w:val="restart"/>
                  <w:vAlign w:val="center"/>
                </w:tcPr>
                <w:p w14:paraId="59095973">
                  <w:pPr>
                    <w:jc w:val="center"/>
                    <w:rPr>
                      <w:b/>
                      <w:bCs/>
                      <w:sz w:val="21"/>
                      <w:szCs w:val="21"/>
                    </w:rPr>
                  </w:pPr>
                  <w:r>
                    <w:rPr>
                      <w:b/>
                      <w:bCs/>
                      <w:sz w:val="21"/>
                      <w:szCs w:val="21"/>
                    </w:rPr>
                    <w:t>排放形式</w:t>
                  </w:r>
                </w:p>
              </w:tc>
              <w:tc>
                <w:tcPr>
                  <w:tcW w:w="2407" w:type="pct"/>
                  <w:gridSpan w:val="4"/>
                  <w:vAlign w:val="center"/>
                </w:tcPr>
                <w:p w14:paraId="3770649B">
                  <w:pPr>
                    <w:jc w:val="center"/>
                    <w:rPr>
                      <w:b/>
                      <w:bCs/>
                      <w:sz w:val="21"/>
                      <w:szCs w:val="21"/>
                    </w:rPr>
                  </w:pPr>
                  <w:r>
                    <w:rPr>
                      <w:b/>
                      <w:bCs/>
                      <w:sz w:val="21"/>
                      <w:szCs w:val="21"/>
                    </w:rPr>
                    <w:t>治理设施</w:t>
                  </w:r>
                </w:p>
              </w:tc>
              <w:tc>
                <w:tcPr>
                  <w:tcW w:w="574" w:type="pct"/>
                  <w:vMerge w:val="restart"/>
                  <w:vAlign w:val="center"/>
                </w:tcPr>
                <w:p w14:paraId="317001E9">
                  <w:pPr>
                    <w:jc w:val="center"/>
                    <w:rPr>
                      <w:b/>
                      <w:bCs/>
                      <w:sz w:val="21"/>
                      <w:szCs w:val="21"/>
                    </w:rPr>
                  </w:pPr>
                  <w:r>
                    <w:rPr>
                      <w:b/>
                      <w:bCs/>
                      <w:sz w:val="21"/>
                      <w:szCs w:val="21"/>
                    </w:rPr>
                    <w:t>排放口编号</w:t>
                  </w:r>
                </w:p>
              </w:tc>
              <w:tc>
                <w:tcPr>
                  <w:tcW w:w="570" w:type="pct"/>
                  <w:vMerge w:val="restart"/>
                  <w:vAlign w:val="center"/>
                </w:tcPr>
                <w:p w14:paraId="3A3775D0">
                  <w:pPr>
                    <w:jc w:val="center"/>
                    <w:rPr>
                      <w:b/>
                      <w:bCs/>
                      <w:sz w:val="21"/>
                      <w:szCs w:val="21"/>
                    </w:rPr>
                  </w:pPr>
                  <w:r>
                    <w:rPr>
                      <w:b/>
                      <w:bCs/>
                      <w:sz w:val="21"/>
                      <w:szCs w:val="21"/>
                    </w:rPr>
                    <w:t>排放口类型</w:t>
                  </w:r>
                </w:p>
              </w:tc>
            </w:tr>
            <w:tr w14:paraId="5351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6" w:type="pct"/>
                  <w:vMerge w:val="continue"/>
                  <w:vAlign w:val="center"/>
                </w:tcPr>
                <w:p w14:paraId="7B41BA6C">
                  <w:pPr>
                    <w:jc w:val="center"/>
                    <w:rPr>
                      <w:sz w:val="21"/>
                      <w:szCs w:val="21"/>
                    </w:rPr>
                  </w:pPr>
                </w:p>
              </w:tc>
              <w:tc>
                <w:tcPr>
                  <w:tcW w:w="550" w:type="pct"/>
                  <w:vMerge w:val="continue"/>
                  <w:vAlign w:val="center"/>
                </w:tcPr>
                <w:p w14:paraId="4AB8EEA1">
                  <w:pPr>
                    <w:jc w:val="center"/>
                    <w:rPr>
                      <w:sz w:val="21"/>
                      <w:szCs w:val="21"/>
                    </w:rPr>
                  </w:pPr>
                </w:p>
              </w:tc>
              <w:tc>
                <w:tcPr>
                  <w:tcW w:w="481" w:type="pct"/>
                  <w:vMerge w:val="continue"/>
                  <w:vAlign w:val="center"/>
                </w:tcPr>
                <w:p w14:paraId="2BDFB083">
                  <w:pPr>
                    <w:jc w:val="center"/>
                    <w:rPr>
                      <w:sz w:val="21"/>
                      <w:szCs w:val="21"/>
                    </w:rPr>
                  </w:pPr>
                </w:p>
              </w:tc>
              <w:tc>
                <w:tcPr>
                  <w:tcW w:w="638" w:type="pct"/>
                  <w:vAlign w:val="center"/>
                </w:tcPr>
                <w:p w14:paraId="013ADA78">
                  <w:pPr>
                    <w:jc w:val="center"/>
                    <w:rPr>
                      <w:b/>
                      <w:bCs/>
                      <w:sz w:val="21"/>
                      <w:szCs w:val="21"/>
                    </w:rPr>
                  </w:pPr>
                  <w:r>
                    <w:rPr>
                      <w:b/>
                      <w:bCs/>
                      <w:sz w:val="21"/>
                      <w:szCs w:val="21"/>
                    </w:rPr>
                    <w:t>治理工艺</w:t>
                  </w:r>
                </w:p>
              </w:tc>
              <w:tc>
                <w:tcPr>
                  <w:tcW w:w="597" w:type="pct"/>
                  <w:vAlign w:val="center"/>
                </w:tcPr>
                <w:p w14:paraId="06D50D2C">
                  <w:pPr>
                    <w:jc w:val="center"/>
                    <w:rPr>
                      <w:b/>
                      <w:bCs/>
                      <w:sz w:val="21"/>
                      <w:szCs w:val="21"/>
                    </w:rPr>
                  </w:pPr>
                  <w:r>
                    <w:rPr>
                      <w:b/>
                      <w:bCs/>
                      <w:sz w:val="21"/>
                      <w:szCs w:val="21"/>
                    </w:rPr>
                    <w:t>收集效率</w:t>
                  </w:r>
                </w:p>
              </w:tc>
              <w:tc>
                <w:tcPr>
                  <w:tcW w:w="536" w:type="pct"/>
                  <w:vAlign w:val="center"/>
                </w:tcPr>
                <w:p w14:paraId="02C9D3D4">
                  <w:pPr>
                    <w:jc w:val="center"/>
                    <w:rPr>
                      <w:b/>
                      <w:bCs/>
                      <w:sz w:val="21"/>
                      <w:szCs w:val="21"/>
                    </w:rPr>
                  </w:pPr>
                  <w:r>
                    <w:rPr>
                      <w:b/>
                      <w:bCs/>
                      <w:sz w:val="21"/>
                      <w:szCs w:val="21"/>
                    </w:rPr>
                    <w:t>处理效率</w:t>
                  </w:r>
                </w:p>
              </w:tc>
              <w:tc>
                <w:tcPr>
                  <w:tcW w:w="634" w:type="pct"/>
                  <w:vAlign w:val="center"/>
                </w:tcPr>
                <w:p w14:paraId="5D8EF768">
                  <w:pPr>
                    <w:jc w:val="center"/>
                    <w:rPr>
                      <w:b/>
                      <w:bCs/>
                      <w:sz w:val="21"/>
                      <w:szCs w:val="21"/>
                    </w:rPr>
                  </w:pPr>
                  <w:r>
                    <w:rPr>
                      <w:b/>
                      <w:bCs/>
                      <w:sz w:val="21"/>
                      <w:szCs w:val="21"/>
                    </w:rPr>
                    <w:t>是否可行</w:t>
                  </w:r>
                </w:p>
              </w:tc>
              <w:tc>
                <w:tcPr>
                  <w:tcW w:w="574" w:type="pct"/>
                  <w:vMerge w:val="continue"/>
                  <w:vAlign w:val="center"/>
                </w:tcPr>
                <w:p w14:paraId="2A9E31DD">
                  <w:pPr>
                    <w:jc w:val="center"/>
                    <w:rPr>
                      <w:sz w:val="21"/>
                      <w:szCs w:val="21"/>
                    </w:rPr>
                  </w:pPr>
                </w:p>
              </w:tc>
              <w:tc>
                <w:tcPr>
                  <w:tcW w:w="570" w:type="pct"/>
                  <w:vMerge w:val="continue"/>
                  <w:vAlign w:val="center"/>
                </w:tcPr>
                <w:p w14:paraId="77E825EA">
                  <w:pPr>
                    <w:jc w:val="center"/>
                    <w:rPr>
                      <w:sz w:val="21"/>
                      <w:szCs w:val="21"/>
                    </w:rPr>
                  </w:pPr>
                </w:p>
              </w:tc>
            </w:tr>
            <w:tr w14:paraId="392D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16" w:type="pct"/>
                  <w:vMerge w:val="restart"/>
                  <w:vAlign w:val="center"/>
                </w:tcPr>
                <w:p w14:paraId="4F8BB617">
                  <w:pPr>
                    <w:widowControl/>
                    <w:jc w:val="center"/>
                    <w:textAlignment w:val="center"/>
                    <w:rPr>
                      <w:rFonts w:hint="eastAsia" w:eastAsia="宋体"/>
                      <w:sz w:val="21"/>
                      <w:szCs w:val="21"/>
                      <w:lang w:eastAsia="zh-CN"/>
                    </w:rPr>
                  </w:pPr>
                  <w:r>
                    <w:rPr>
                      <w:rFonts w:hint="eastAsia"/>
                      <w:color w:val="000000"/>
                      <w:szCs w:val="21"/>
                      <w:lang w:val="en-US" w:eastAsia="zh-CN"/>
                    </w:rPr>
                    <w:t>水解</w:t>
                  </w:r>
                </w:p>
              </w:tc>
              <w:tc>
                <w:tcPr>
                  <w:tcW w:w="550" w:type="pct"/>
                  <w:vAlign w:val="center"/>
                </w:tcPr>
                <w:p w14:paraId="5FB5253E">
                  <w:pPr>
                    <w:widowControl/>
                    <w:jc w:val="center"/>
                    <w:textAlignment w:val="center"/>
                    <w:rPr>
                      <w:sz w:val="21"/>
                      <w:szCs w:val="21"/>
                    </w:rPr>
                  </w:pPr>
                  <w:r>
                    <w:rPr>
                      <w:rFonts w:hint="eastAsia"/>
                      <w:color w:val="000000"/>
                      <w:sz w:val="21"/>
                      <w:szCs w:val="21"/>
                      <w:lang w:val="en-US" w:eastAsia="zh-CN"/>
                    </w:rPr>
                    <w:t>氨</w:t>
                  </w:r>
                </w:p>
              </w:tc>
              <w:tc>
                <w:tcPr>
                  <w:tcW w:w="481" w:type="pct"/>
                  <w:vAlign w:val="center"/>
                </w:tcPr>
                <w:p w14:paraId="4270D5ED">
                  <w:pPr>
                    <w:jc w:val="center"/>
                    <w:rPr>
                      <w:sz w:val="21"/>
                      <w:szCs w:val="21"/>
                    </w:rPr>
                  </w:pPr>
                  <w:r>
                    <w:rPr>
                      <w:rFonts w:hint="eastAsia"/>
                      <w:sz w:val="21"/>
                      <w:szCs w:val="21"/>
                    </w:rPr>
                    <w:t>有组织</w:t>
                  </w:r>
                </w:p>
              </w:tc>
              <w:tc>
                <w:tcPr>
                  <w:tcW w:w="638" w:type="pct"/>
                  <w:vMerge w:val="restart"/>
                  <w:vAlign w:val="center"/>
                </w:tcPr>
                <w:p w14:paraId="52DD2FF6">
                  <w:pPr>
                    <w:jc w:val="center"/>
                    <w:rPr>
                      <w:sz w:val="21"/>
                      <w:szCs w:val="21"/>
                    </w:rPr>
                  </w:pPr>
                  <w:r>
                    <w:rPr>
                      <w:rFonts w:hint="eastAsia" w:ascii="Times New Roman" w:hAnsi="Times New Roman" w:cs="Times New Roman"/>
                      <w:snapToGrid/>
                      <w:color w:val="000000"/>
                      <w:kern w:val="2"/>
                      <w:sz w:val="21"/>
                      <w:szCs w:val="21"/>
                      <w:vertAlign w:val="baseline"/>
                      <w:lang w:val="en-US" w:eastAsia="zh-CN" w:bidi="ar-SA"/>
                    </w:rPr>
                    <w:t>生物除臭装置</w:t>
                  </w:r>
                </w:p>
              </w:tc>
              <w:tc>
                <w:tcPr>
                  <w:tcW w:w="597" w:type="pct"/>
                  <w:vAlign w:val="center"/>
                </w:tcPr>
                <w:p w14:paraId="381AEE22">
                  <w:pPr>
                    <w:keepNext w:val="0"/>
                    <w:keepLines w:val="0"/>
                    <w:widowControl/>
                    <w:suppressLineNumbers w:val="0"/>
                    <w:jc w:val="center"/>
                    <w:textAlignment w:val="center"/>
                    <w:rPr>
                      <w:sz w:val="21"/>
                      <w:szCs w:val="21"/>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536" w:type="pct"/>
                  <w:vAlign w:val="center"/>
                </w:tcPr>
                <w:p w14:paraId="44C52F25">
                  <w:pPr>
                    <w:jc w:val="center"/>
                    <w:rPr>
                      <w:rFonts w:hint="default" w:eastAsia="宋体"/>
                      <w:sz w:val="21"/>
                      <w:szCs w:val="21"/>
                      <w:lang w:val="en-US" w:eastAsia="zh-CN"/>
                    </w:rPr>
                  </w:pPr>
                  <w:r>
                    <w:rPr>
                      <w:rFonts w:hint="eastAsia"/>
                      <w:sz w:val="21"/>
                      <w:szCs w:val="21"/>
                      <w:lang w:val="en-US" w:eastAsia="zh-CN"/>
                    </w:rPr>
                    <w:t>90%</w:t>
                  </w:r>
                </w:p>
              </w:tc>
              <w:tc>
                <w:tcPr>
                  <w:tcW w:w="634" w:type="pct"/>
                  <w:vMerge w:val="restart"/>
                  <w:vAlign w:val="center"/>
                </w:tcPr>
                <w:p w14:paraId="7B829C96">
                  <w:pPr>
                    <w:jc w:val="center"/>
                    <w:rPr>
                      <w:sz w:val="21"/>
                      <w:szCs w:val="21"/>
                    </w:rPr>
                  </w:pPr>
                  <w:r>
                    <w:rPr>
                      <w:rFonts w:hint="eastAsia"/>
                      <w:sz w:val="21"/>
                      <w:szCs w:val="21"/>
                    </w:rPr>
                    <w:t>是</w:t>
                  </w:r>
                </w:p>
              </w:tc>
              <w:tc>
                <w:tcPr>
                  <w:tcW w:w="574" w:type="pct"/>
                  <w:vMerge w:val="restart"/>
                  <w:vAlign w:val="center"/>
                </w:tcPr>
                <w:p w14:paraId="0400F3C0">
                  <w:pPr>
                    <w:jc w:val="center"/>
                    <w:rPr>
                      <w:sz w:val="21"/>
                      <w:szCs w:val="21"/>
                    </w:rPr>
                  </w:pPr>
                  <w:r>
                    <w:rPr>
                      <w:rFonts w:hint="eastAsia"/>
                      <w:sz w:val="21"/>
                      <w:szCs w:val="21"/>
                    </w:rPr>
                    <w:t>DA001</w:t>
                  </w:r>
                </w:p>
              </w:tc>
              <w:tc>
                <w:tcPr>
                  <w:tcW w:w="570" w:type="pct"/>
                  <w:vMerge w:val="restart"/>
                  <w:vAlign w:val="center"/>
                </w:tcPr>
                <w:p w14:paraId="3D28A0A0">
                  <w:pPr>
                    <w:jc w:val="center"/>
                    <w:rPr>
                      <w:sz w:val="21"/>
                      <w:szCs w:val="21"/>
                    </w:rPr>
                  </w:pPr>
                  <w:r>
                    <w:rPr>
                      <w:rFonts w:hint="eastAsia"/>
                      <w:sz w:val="21"/>
                      <w:szCs w:val="21"/>
                    </w:rPr>
                    <w:t>一般排放口</w:t>
                  </w:r>
                </w:p>
              </w:tc>
            </w:tr>
            <w:tr w14:paraId="00A4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16" w:type="pct"/>
                  <w:vMerge w:val="continue"/>
                  <w:vAlign w:val="center"/>
                </w:tcPr>
                <w:p w14:paraId="2E774386">
                  <w:pPr>
                    <w:widowControl/>
                    <w:jc w:val="center"/>
                    <w:textAlignment w:val="center"/>
                    <w:rPr>
                      <w:rFonts w:hint="eastAsia"/>
                      <w:sz w:val="21"/>
                      <w:szCs w:val="21"/>
                      <w:lang w:val="en-US" w:eastAsia="zh-CN"/>
                    </w:rPr>
                  </w:pPr>
                </w:p>
              </w:tc>
              <w:tc>
                <w:tcPr>
                  <w:tcW w:w="550" w:type="pct"/>
                  <w:vAlign w:val="center"/>
                </w:tcPr>
                <w:p w14:paraId="5376936A">
                  <w:pPr>
                    <w:widowControl/>
                    <w:jc w:val="center"/>
                    <w:textAlignment w:val="center"/>
                    <w:rPr>
                      <w:rFonts w:hint="eastAsia"/>
                      <w:sz w:val="21"/>
                      <w:szCs w:val="21"/>
                      <w:lang w:val="en-US" w:eastAsia="zh-CN"/>
                    </w:rPr>
                  </w:pPr>
                  <w:r>
                    <w:rPr>
                      <w:rFonts w:hint="eastAsia"/>
                      <w:color w:val="000000"/>
                      <w:sz w:val="21"/>
                      <w:szCs w:val="21"/>
                      <w:lang w:val="en-US" w:eastAsia="zh-CN"/>
                    </w:rPr>
                    <w:t>硫化氢</w:t>
                  </w:r>
                </w:p>
              </w:tc>
              <w:tc>
                <w:tcPr>
                  <w:tcW w:w="481" w:type="pct"/>
                  <w:vAlign w:val="center"/>
                </w:tcPr>
                <w:p w14:paraId="38250A16">
                  <w:pPr>
                    <w:jc w:val="center"/>
                    <w:rPr>
                      <w:rFonts w:hint="eastAsia"/>
                      <w:sz w:val="21"/>
                      <w:szCs w:val="21"/>
                    </w:rPr>
                  </w:pPr>
                  <w:r>
                    <w:rPr>
                      <w:rFonts w:hint="eastAsia"/>
                      <w:sz w:val="21"/>
                      <w:szCs w:val="21"/>
                    </w:rPr>
                    <w:t>有组织</w:t>
                  </w:r>
                </w:p>
              </w:tc>
              <w:tc>
                <w:tcPr>
                  <w:tcW w:w="638" w:type="pct"/>
                  <w:vMerge w:val="continue"/>
                  <w:vAlign w:val="center"/>
                </w:tcPr>
                <w:p w14:paraId="42899081">
                  <w:pPr>
                    <w:jc w:val="center"/>
                    <w:rPr>
                      <w:rFonts w:hint="eastAsia"/>
                      <w:sz w:val="21"/>
                      <w:szCs w:val="21"/>
                      <w:lang w:val="en-US" w:eastAsia="zh-CN"/>
                    </w:rPr>
                  </w:pPr>
                </w:p>
              </w:tc>
              <w:tc>
                <w:tcPr>
                  <w:tcW w:w="597" w:type="pct"/>
                  <w:vAlign w:val="center"/>
                </w:tcPr>
                <w:p w14:paraId="22BA78BB">
                  <w:pPr>
                    <w:keepNext w:val="0"/>
                    <w:keepLines w:val="0"/>
                    <w:widowControl/>
                    <w:suppressLineNumbers w:val="0"/>
                    <w:jc w:val="center"/>
                    <w:textAlignment w:val="center"/>
                    <w:rPr>
                      <w:rFonts w:hint="eastAsia"/>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536" w:type="pct"/>
                  <w:vAlign w:val="center"/>
                </w:tcPr>
                <w:p w14:paraId="7D2FE1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sz w:val="21"/>
                      <w:szCs w:val="21"/>
                      <w:lang w:val="en-US" w:eastAsia="zh-CN"/>
                    </w:rPr>
                  </w:pPr>
                  <w:r>
                    <w:rPr>
                      <w:rFonts w:hint="eastAsia"/>
                      <w:sz w:val="21"/>
                      <w:szCs w:val="21"/>
                      <w:lang w:val="en-US" w:eastAsia="zh-CN"/>
                    </w:rPr>
                    <w:t>90%</w:t>
                  </w:r>
                </w:p>
              </w:tc>
              <w:tc>
                <w:tcPr>
                  <w:tcW w:w="634" w:type="pct"/>
                  <w:vMerge w:val="continue"/>
                  <w:vAlign w:val="center"/>
                </w:tcPr>
                <w:p w14:paraId="51E54A1F">
                  <w:pPr>
                    <w:jc w:val="center"/>
                    <w:rPr>
                      <w:rFonts w:hint="eastAsia"/>
                      <w:sz w:val="21"/>
                      <w:szCs w:val="21"/>
                    </w:rPr>
                  </w:pPr>
                </w:p>
              </w:tc>
              <w:tc>
                <w:tcPr>
                  <w:tcW w:w="574" w:type="pct"/>
                  <w:vMerge w:val="continue"/>
                  <w:vAlign w:val="center"/>
                </w:tcPr>
                <w:p w14:paraId="0A82390B">
                  <w:pPr>
                    <w:jc w:val="center"/>
                    <w:rPr>
                      <w:rFonts w:hint="eastAsia"/>
                      <w:sz w:val="21"/>
                      <w:szCs w:val="21"/>
                    </w:rPr>
                  </w:pPr>
                </w:p>
              </w:tc>
              <w:tc>
                <w:tcPr>
                  <w:tcW w:w="570" w:type="pct"/>
                  <w:vMerge w:val="continue"/>
                  <w:vAlign w:val="center"/>
                </w:tcPr>
                <w:p w14:paraId="5A49E007">
                  <w:pPr>
                    <w:jc w:val="center"/>
                    <w:rPr>
                      <w:rFonts w:hint="eastAsia"/>
                      <w:sz w:val="21"/>
                      <w:szCs w:val="21"/>
                    </w:rPr>
                  </w:pPr>
                </w:p>
              </w:tc>
            </w:tr>
            <w:tr w14:paraId="3E6D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16" w:type="pct"/>
                  <w:vMerge w:val="continue"/>
                  <w:vAlign w:val="center"/>
                </w:tcPr>
                <w:p w14:paraId="0BD9550B">
                  <w:pPr>
                    <w:widowControl/>
                    <w:jc w:val="center"/>
                    <w:textAlignment w:val="center"/>
                    <w:rPr>
                      <w:rFonts w:hint="eastAsia"/>
                      <w:sz w:val="21"/>
                      <w:szCs w:val="21"/>
                      <w:lang w:val="en-US" w:eastAsia="zh-CN"/>
                    </w:rPr>
                  </w:pPr>
                </w:p>
              </w:tc>
              <w:tc>
                <w:tcPr>
                  <w:tcW w:w="550" w:type="pct"/>
                  <w:vAlign w:val="center"/>
                </w:tcPr>
                <w:p w14:paraId="194AD8F1">
                  <w:pPr>
                    <w:widowControl/>
                    <w:jc w:val="center"/>
                    <w:textAlignment w:val="center"/>
                    <w:rPr>
                      <w:sz w:val="21"/>
                      <w:szCs w:val="21"/>
                    </w:rPr>
                  </w:pPr>
                  <w:r>
                    <w:rPr>
                      <w:rFonts w:hint="eastAsia"/>
                      <w:color w:val="000000"/>
                      <w:sz w:val="21"/>
                      <w:szCs w:val="21"/>
                      <w:lang w:val="en-US" w:eastAsia="zh-CN"/>
                    </w:rPr>
                    <w:t>臭气浓度</w:t>
                  </w:r>
                </w:p>
              </w:tc>
              <w:tc>
                <w:tcPr>
                  <w:tcW w:w="481" w:type="pct"/>
                  <w:vAlign w:val="center"/>
                </w:tcPr>
                <w:p w14:paraId="0EDD3AB4">
                  <w:pPr>
                    <w:jc w:val="center"/>
                    <w:rPr>
                      <w:rFonts w:hint="eastAsia"/>
                      <w:sz w:val="21"/>
                      <w:szCs w:val="21"/>
                    </w:rPr>
                  </w:pPr>
                  <w:r>
                    <w:rPr>
                      <w:rFonts w:hint="eastAsia"/>
                      <w:sz w:val="21"/>
                      <w:szCs w:val="21"/>
                    </w:rPr>
                    <w:t>有组织</w:t>
                  </w:r>
                </w:p>
              </w:tc>
              <w:tc>
                <w:tcPr>
                  <w:tcW w:w="638" w:type="pct"/>
                  <w:vMerge w:val="continue"/>
                  <w:vAlign w:val="center"/>
                </w:tcPr>
                <w:p w14:paraId="6D57E38D">
                  <w:pPr>
                    <w:jc w:val="center"/>
                    <w:rPr>
                      <w:rFonts w:hint="eastAsia"/>
                      <w:sz w:val="21"/>
                      <w:szCs w:val="21"/>
                      <w:lang w:val="en-US" w:eastAsia="zh-CN"/>
                    </w:rPr>
                  </w:pPr>
                </w:p>
              </w:tc>
              <w:tc>
                <w:tcPr>
                  <w:tcW w:w="597" w:type="pct"/>
                  <w:vAlign w:val="center"/>
                </w:tcPr>
                <w:p w14:paraId="73AFF453">
                  <w:pPr>
                    <w:keepNext w:val="0"/>
                    <w:keepLines w:val="0"/>
                    <w:widowControl/>
                    <w:suppressLineNumbers w:val="0"/>
                    <w:jc w:val="center"/>
                    <w:textAlignment w:val="center"/>
                    <w:rPr>
                      <w:rFonts w:hint="eastAsia" w:ascii="Times New Roman" w:hAnsi="Times New Roman" w:eastAsia="宋体" w:cs="Times New Roman"/>
                      <w:bCs/>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536" w:type="pct"/>
                  <w:vAlign w:val="center"/>
                </w:tcPr>
                <w:p w14:paraId="73ACBF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bCs/>
                      <w:sz w:val="21"/>
                      <w:szCs w:val="21"/>
                      <w:vertAlign w:val="baseline"/>
                      <w:lang w:val="en-US" w:eastAsia="zh-CN"/>
                    </w:rPr>
                  </w:pPr>
                  <w:r>
                    <w:rPr>
                      <w:rFonts w:hint="eastAsia"/>
                      <w:sz w:val="21"/>
                      <w:szCs w:val="21"/>
                      <w:lang w:val="en-US" w:eastAsia="zh-CN"/>
                    </w:rPr>
                    <w:t>90%</w:t>
                  </w:r>
                </w:p>
              </w:tc>
              <w:tc>
                <w:tcPr>
                  <w:tcW w:w="634" w:type="pct"/>
                  <w:vMerge w:val="continue"/>
                  <w:vAlign w:val="center"/>
                </w:tcPr>
                <w:p w14:paraId="1592FECF">
                  <w:pPr>
                    <w:jc w:val="center"/>
                    <w:rPr>
                      <w:rFonts w:hint="eastAsia"/>
                      <w:sz w:val="21"/>
                      <w:szCs w:val="21"/>
                    </w:rPr>
                  </w:pPr>
                </w:p>
              </w:tc>
              <w:tc>
                <w:tcPr>
                  <w:tcW w:w="574" w:type="pct"/>
                  <w:vMerge w:val="continue"/>
                  <w:vAlign w:val="center"/>
                </w:tcPr>
                <w:p w14:paraId="3461F602">
                  <w:pPr>
                    <w:jc w:val="center"/>
                    <w:rPr>
                      <w:rFonts w:hint="eastAsia"/>
                      <w:sz w:val="21"/>
                      <w:szCs w:val="21"/>
                    </w:rPr>
                  </w:pPr>
                </w:p>
              </w:tc>
              <w:tc>
                <w:tcPr>
                  <w:tcW w:w="570" w:type="pct"/>
                  <w:vMerge w:val="continue"/>
                  <w:vAlign w:val="center"/>
                </w:tcPr>
                <w:p w14:paraId="65758019">
                  <w:pPr>
                    <w:jc w:val="center"/>
                    <w:rPr>
                      <w:rFonts w:hint="eastAsia"/>
                      <w:sz w:val="21"/>
                      <w:szCs w:val="21"/>
                    </w:rPr>
                  </w:pPr>
                </w:p>
              </w:tc>
            </w:tr>
          </w:tbl>
          <w:p w14:paraId="43E9427F">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rPr>
              <w:t>表4-</w:t>
            </w: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排放口基本情况一览表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9"/>
              <w:gridCol w:w="1777"/>
              <w:gridCol w:w="1317"/>
              <w:gridCol w:w="1851"/>
              <w:gridCol w:w="1883"/>
            </w:tblGrid>
            <w:tr w14:paraId="0BEF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2" w:type="pct"/>
                  <w:vMerge w:val="restart"/>
                  <w:vAlign w:val="center"/>
                </w:tcPr>
                <w:p w14:paraId="6F80D570">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排放口编号</w:t>
                  </w:r>
                </w:p>
              </w:tc>
              <w:tc>
                <w:tcPr>
                  <w:tcW w:w="1064" w:type="pct"/>
                  <w:vMerge w:val="restart"/>
                  <w:vAlign w:val="center"/>
                </w:tcPr>
                <w:p w14:paraId="3BAB12BE">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排气筒高度</w:t>
                  </w:r>
                </w:p>
              </w:tc>
              <w:tc>
                <w:tcPr>
                  <w:tcW w:w="792" w:type="pct"/>
                  <w:vMerge w:val="restart"/>
                  <w:vAlign w:val="center"/>
                </w:tcPr>
                <w:p w14:paraId="3206540A">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内径</w:t>
                  </w:r>
                </w:p>
              </w:tc>
              <w:tc>
                <w:tcPr>
                  <w:tcW w:w="2160" w:type="pct"/>
                  <w:gridSpan w:val="2"/>
                  <w:vAlign w:val="center"/>
                </w:tcPr>
                <w:p w14:paraId="0F88772A">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坐标</w:t>
                  </w:r>
                </w:p>
              </w:tc>
            </w:tr>
            <w:tr w14:paraId="07C2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2" w:type="pct"/>
                  <w:vMerge w:val="continue"/>
                  <w:vAlign w:val="center"/>
                </w:tcPr>
                <w:p w14:paraId="2AD11713">
                  <w:pPr>
                    <w:jc w:val="center"/>
                    <w:rPr>
                      <w:rFonts w:hint="default" w:ascii="Times New Roman" w:hAnsi="Times New Roman" w:cs="Times New Roman"/>
                      <w:sz w:val="21"/>
                      <w:szCs w:val="21"/>
                    </w:rPr>
                  </w:pPr>
                </w:p>
              </w:tc>
              <w:tc>
                <w:tcPr>
                  <w:tcW w:w="1064" w:type="pct"/>
                  <w:vMerge w:val="continue"/>
                  <w:vAlign w:val="center"/>
                </w:tcPr>
                <w:p w14:paraId="4EF24F5C">
                  <w:pPr>
                    <w:jc w:val="center"/>
                    <w:rPr>
                      <w:rFonts w:hint="default" w:ascii="Times New Roman" w:hAnsi="Times New Roman" w:cs="Times New Roman"/>
                      <w:sz w:val="21"/>
                      <w:szCs w:val="21"/>
                    </w:rPr>
                  </w:pPr>
                </w:p>
              </w:tc>
              <w:tc>
                <w:tcPr>
                  <w:tcW w:w="792" w:type="pct"/>
                  <w:vMerge w:val="continue"/>
                  <w:vAlign w:val="center"/>
                </w:tcPr>
                <w:p w14:paraId="4EC18872">
                  <w:pPr>
                    <w:jc w:val="center"/>
                    <w:rPr>
                      <w:rFonts w:hint="default" w:ascii="Times New Roman" w:hAnsi="Times New Roman" w:cs="Times New Roman"/>
                      <w:sz w:val="21"/>
                      <w:szCs w:val="21"/>
                    </w:rPr>
                  </w:pPr>
                </w:p>
              </w:tc>
              <w:tc>
                <w:tcPr>
                  <w:tcW w:w="1034" w:type="pct"/>
                  <w:vAlign w:val="center"/>
                </w:tcPr>
                <w:p w14:paraId="1032BE47">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经度</w:t>
                  </w:r>
                </w:p>
              </w:tc>
              <w:tc>
                <w:tcPr>
                  <w:tcW w:w="1126" w:type="pct"/>
                  <w:vAlign w:val="center"/>
                </w:tcPr>
                <w:p w14:paraId="065E369E">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纬度</w:t>
                  </w:r>
                </w:p>
              </w:tc>
            </w:tr>
            <w:tr w14:paraId="27CA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2" w:type="pct"/>
                  <w:vAlign w:val="center"/>
                </w:tcPr>
                <w:p w14:paraId="60B62D66">
                  <w:pPr>
                    <w:jc w:val="center"/>
                    <w:rPr>
                      <w:rFonts w:hint="default" w:ascii="Times New Roman" w:hAnsi="Times New Roman" w:cs="Times New Roman"/>
                      <w:sz w:val="21"/>
                      <w:szCs w:val="21"/>
                    </w:rPr>
                  </w:pPr>
                  <w:r>
                    <w:rPr>
                      <w:rFonts w:hint="default" w:ascii="Times New Roman" w:hAnsi="Times New Roman" w:cs="Times New Roman"/>
                      <w:sz w:val="21"/>
                      <w:szCs w:val="21"/>
                    </w:rPr>
                    <w:t>DA001</w:t>
                  </w:r>
                </w:p>
              </w:tc>
              <w:tc>
                <w:tcPr>
                  <w:tcW w:w="1064" w:type="pct"/>
                  <w:vAlign w:val="center"/>
                </w:tcPr>
                <w:p w14:paraId="4531993B">
                  <w:pPr>
                    <w:jc w:val="center"/>
                    <w:rPr>
                      <w:rFonts w:hint="default" w:ascii="Times New Roman" w:hAnsi="Times New Roman" w:cs="Times New Roman"/>
                      <w:sz w:val="21"/>
                      <w:szCs w:val="21"/>
                    </w:rPr>
                  </w:pPr>
                  <w:r>
                    <w:rPr>
                      <w:rFonts w:hint="eastAsia" w:cs="Times New Roman"/>
                      <w:sz w:val="21"/>
                      <w:szCs w:val="21"/>
                      <w:lang w:val="en-US" w:eastAsia="zh-CN"/>
                    </w:rPr>
                    <w:t>15</w:t>
                  </w:r>
                  <w:r>
                    <w:rPr>
                      <w:rFonts w:hint="default" w:ascii="Times New Roman" w:hAnsi="Times New Roman" w:cs="Times New Roman"/>
                      <w:sz w:val="21"/>
                      <w:szCs w:val="21"/>
                    </w:rPr>
                    <w:t>m</w:t>
                  </w:r>
                </w:p>
              </w:tc>
              <w:tc>
                <w:tcPr>
                  <w:tcW w:w="792" w:type="pct"/>
                  <w:vAlign w:val="center"/>
                </w:tcPr>
                <w:p w14:paraId="6CB4F8FC">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r>
                    <w:rPr>
                      <w:rFonts w:hint="eastAsia" w:cs="Times New Roman"/>
                      <w:sz w:val="21"/>
                      <w:szCs w:val="21"/>
                      <w:lang w:val="en-US" w:eastAsia="zh-CN"/>
                    </w:rPr>
                    <w:t>3</w:t>
                  </w:r>
                  <w:r>
                    <w:rPr>
                      <w:rFonts w:hint="default" w:ascii="Times New Roman" w:hAnsi="Times New Roman" w:cs="Times New Roman"/>
                      <w:sz w:val="21"/>
                      <w:szCs w:val="21"/>
                    </w:rPr>
                    <w:t>m</w:t>
                  </w:r>
                </w:p>
              </w:tc>
              <w:tc>
                <w:tcPr>
                  <w:tcW w:w="1034" w:type="pct"/>
                  <w:vAlign w:val="center"/>
                </w:tcPr>
                <w:p w14:paraId="3BA10FB6">
                  <w:pPr>
                    <w:jc w:val="center"/>
                    <w:rPr>
                      <w:rFonts w:hint="default" w:ascii="Times New Roman" w:hAnsi="Times New Roman" w:cs="Times New Roman"/>
                      <w:sz w:val="21"/>
                      <w:szCs w:val="21"/>
                    </w:rPr>
                  </w:pPr>
                  <w:r>
                    <w:rPr>
                      <w:rFonts w:hint="default" w:ascii="Times New Roman" w:hAnsi="Times New Roman" w:cs="Times New Roman"/>
                      <w:sz w:val="21"/>
                      <w:szCs w:val="21"/>
                    </w:rPr>
                    <w:t>117°50′44.276″</w:t>
                  </w:r>
                </w:p>
              </w:tc>
              <w:tc>
                <w:tcPr>
                  <w:tcW w:w="1126" w:type="pct"/>
                  <w:vAlign w:val="center"/>
                </w:tcPr>
                <w:p w14:paraId="0AA6FC24">
                  <w:pPr>
                    <w:jc w:val="center"/>
                    <w:rPr>
                      <w:rFonts w:hint="default" w:ascii="Times New Roman" w:hAnsi="Times New Roman" w:cs="Times New Roman"/>
                      <w:sz w:val="21"/>
                      <w:szCs w:val="21"/>
                    </w:rPr>
                  </w:pPr>
                  <w:r>
                    <w:rPr>
                      <w:rFonts w:hint="default" w:ascii="Times New Roman" w:hAnsi="Times New Roman" w:cs="Times New Roman"/>
                      <w:sz w:val="21"/>
                      <w:szCs w:val="21"/>
                    </w:rPr>
                    <w:t>33°31′45.762″</w:t>
                  </w:r>
                </w:p>
              </w:tc>
            </w:tr>
          </w:tbl>
          <w:p w14:paraId="0A8996C0">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表4-</w:t>
            </w:r>
            <w:r>
              <w:rPr>
                <w:rFonts w:hint="eastAsia" w:ascii="Times New Roman" w:hAnsi="Times New Roman" w:eastAsia="宋体" w:cs="Times New Roman"/>
                <w:b/>
                <w:bCs/>
                <w:sz w:val="24"/>
                <w:szCs w:val="24"/>
                <w:lang w:val="en-US" w:eastAsia="zh-CN"/>
              </w:rPr>
              <w:t>4</w:t>
            </w:r>
            <w:r>
              <w:rPr>
                <w:rFonts w:hint="eastAsia" w:ascii="Times New Roman" w:hAnsi="Times New Roman" w:eastAsia="宋体" w:cs="Times New Roman"/>
                <w:b/>
                <w:bCs/>
                <w:sz w:val="24"/>
                <w:szCs w:val="24"/>
              </w:rPr>
              <w:t xml:space="preserve"> 废气无组织排放情况一览表</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9"/>
              <w:gridCol w:w="1209"/>
              <w:gridCol w:w="1209"/>
              <w:gridCol w:w="1209"/>
              <w:gridCol w:w="1209"/>
              <w:gridCol w:w="1210"/>
              <w:gridCol w:w="1210"/>
            </w:tblGrid>
            <w:tr w14:paraId="7C89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31F6AC3C">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cs="Times New Roman"/>
                      <w:b/>
                      <w:bCs/>
                      <w:color w:val="000000" w:themeColor="text1"/>
                      <w:sz w:val="21"/>
                      <w:szCs w:val="21"/>
                      <w:vertAlign w:val="baseline"/>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污染物</w:t>
                  </w:r>
                </w:p>
              </w:tc>
              <w:tc>
                <w:tcPr>
                  <w:tcW w:w="714" w:type="pct"/>
                  <w:vAlign w:val="center"/>
                </w:tcPr>
                <w:p w14:paraId="561B127A">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污染源</w:t>
                  </w:r>
                </w:p>
                <w:p w14:paraId="5098EC65">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cs="Times New Roman"/>
                      <w:b/>
                      <w:bCs/>
                      <w:color w:val="000000" w:themeColor="text1"/>
                      <w:sz w:val="21"/>
                      <w:szCs w:val="21"/>
                      <w:vertAlign w:val="baseline"/>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位置</w:t>
                  </w:r>
                </w:p>
              </w:tc>
              <w:tc>
                <w:tcPr>
                  <w:tcW w:w="714" w:type="pct"/>
                  <w:vAlign w:val="center"/>
                </w:tcPr>
                <w:p w14:paraId="42A8F884">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cs="Times New Roman"/>
                      <w:b/>
                      <w:bCs/>
                      <w:color w:val="000000" w:themeColor="text1"/>
                      <w:sz w:val="21"/>
                      <w:szCs w:val="21"/>
                      <w:vertAlign w:val="baseline"/>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污染物排放</w:t>
                  </w:r>
                  <w:r>
                    <w:rPr>
                      <w:rFonts w:hint="eastAsia" w:cs="Times New Roman"/>
                      <w:b/>
                      <w:color w:val="000000" w:themeColor="text1"/>
                      <w:sz w:val="21"/>
                      <w:szCs w:val="21"/>
                      <w:lang w:val="en-US" w:eastAsia="zh-CN"/>
                      <w14:textFill>
                        <w14:solidFill>
                          <w14:schemeClr w14:val="tx1"/>
                        </w14:solidFill>
                      </w14:textFill>
                    </w:rPr>
                    <w:t>t</w:t>
                  </w:r>
                  <w:r>
                    <w:rPr>
                      <w:rFonts w:hint="default" w:ascii="Times New Roman" w:hAnsi="Times New Roman" w:cs="Times New Roman"/>
                      <w:b/>
                      <w:color w:val="000000" w:themeColor="text1"/>
                      <w:sz w:val="21"/>
                      <w:szCs w:val="21"/>
                      <w:lang w:val="en-US" w:eastAsia="zh-CN"/>
                      <w14:textFill>
                        <w14:solidFill>
                          <w14:schemeClr w14:val="tx1"/>
                        </w14:solidFill>
                      </w14:textFill>
                    </w:rPr>
                    <w:t>/a</w:t>
                  </w:r>
                </w:p>
              </w:tc>
              <w:tc>
                <w:tcPr>
                  <w:tcW w:w="714" w:type="pct"/>
                  <w:vAlign w:val="center"/>
                </w:tcPr>
                <w:p w14:paraId="1A497101">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cs="Times New Roman"/>
                      <w:b/>
                      <w:bCs/>
                      <w:color w:val="000000" w:themeColor="text1"/>
                      <w:sz w:val="21"/>
                      <w:szCs w:val="21"/>
                      <w:vertAlign w:val="baseline"/>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污染物排放速率</w:t>
                  </w:r>
                  <w:r>
                    <w:rPr>
                      <w:rFonts w:hint="default" w:ascii="Times New Roman" w:hAnsi="Times New Roman" w:cs="Times New Roman"/>
                      <w:b/>
                      <w:color w:val="000000" w:themeColor="text1"/>
                      <w:sz w:val="21"/>
                      <w:szCs w:val="21"/>
                      <w:lang w:val="en-US" w:eastAsia="zh-CN"/>
                      <w14:textFill>
                        <w14:solidFill>
                          <w14:schemeClr w14:val="tx1"/>
                        </w14:solidFill>
                      </w14:textFill>
                    </w:rPr>
                    <w:t>kg/h</w:t>
                  </w:r>
                </w:p>
              </w:tc>
              <w:tc>
                <w:tcPr>
                  <w:tcW w:w="714" w:type="pct"/>
                  <w:vAlign w:val="center"/>
                </w:tcPr>
                <w:p w14:paraId="0D92AA62">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cs="Times New Roman"/>
                      <w:b/>
                      <w:bCs/>
                      <w:color w:val="000000" w:themeColor="text1"/>
                      <w:sz w:val="21"/>
                      <w:szCs w:val="21"/>
                      <w:vertAlign w:val="baseline"/>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面源宽度（m）</w:t>
                  </w:r>
                </w:p>
              </w:tc>
              <w:tc>
                <w:tcPr>
                  <w:tcW w:w="714" w:type="pct"/>
                  <w:vAlign w:val="center"/>
                </w:tcPr>
                <w:p w14:paraId="44E040E8">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cs="Times New Roman"/>
                      <w:b/>
                      <w:bCs/>
                      <w:color w:val="000000" w:themeColor="text1"/>
                      <w:sz w:val="21"/>
                      <w:szCs w:val="21"/>
                      <w:vertAlign w:val="baseline"/>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面源长度（m）</w:t>
                  </w:r>
                </w:p>
              </w:tc>
              <w:tc>
                <w:tcPr>
                  <w:tcW w:w="714" w:type="pct"/>
                  <w:vAlign w:val="center"/>
                </w:tcPr>
                <w:p w14:paraId="38AFEB6D">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cs="Times New Roman"/>
                      <w:b/>
                      <w:bCs/>
                      <w:color w:val="000000" w:themeColor="text1"/>
                      <w:sz w:val="21"/>
                      <w:szCs w:val="21"/>
                      <w:vertAlign w:val="baseline"/>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面源高度（m）</w:t>
                  </w:r>
                </w:p>
              </w:tc>
            </w:tr>
            <w:tr w14:paraId="18F4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5F35B811">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cs="Times New Roman"/>
                      <w:b/>
                      <w:bCs/>
                      <w:color w:val="000000" w:themeColor="text1"/>
                      <w:sz w:val="21"/>
                      <w:szCs w:val="21"/>
                      <w:vertAlign w:val="baseline"/>
                      <w14:textFill>
                        <w14:solidFill>
                          <w14:schemeClr w14:val="tx1"/>
                        </w14:solidFill>
                      </w14:textFill>
                    </w:rPr>
                  </w:pPr>
                  <w:r>
                    <w:rPr>
                      <w:rFonts w:hint="default" w:ascii="Times New Roman" w:hAnsi="Times New Roman" w:eastAsia="TimesNewRomanPSMT" w:cs="Times New Roman"/>
                      <w:color w:val="000000" w:themeColor="text1"/>
                      <w:kern w:val="0"/>
                      <w:sz w:val="21"/>
                      <w:szCs w:val="21"/>
                      <w:lang w:bidi="ar"/>
                      <w14:textFill>
                        <w14:solidFill>
                          <w14:schemeClr w14:val="tx1"/>
                        </w14:solidFill>
                      </w14:textFill>
                    </w:rPr>
                    <w:t>NH</w:t>
                  </w:r>
                  <w:r>
                    <w:rPr>
                      <w:rFonts w:hint="default" w:ascii="Times New Roman" w:hAnsi="Times New Roman" w:eastAsia="TimesNewRomanPSMT" w:cs="Times New Roman"/>
                      <w:color w:val="000000" w:themeColor="text1"/>
                      <w:kern w:val="0"/>
                      <w:sz w:val="21"/>
                      <w:szCs w:val="21"/>
                      <w:vertAlign w:val="subscript"/>
                      <w:lang w:bidi="ar"/>
                      <w14:textFill>
                        <w14:solidFill>
                          <w14:schemeClr w14:val="tx1"/>
                        </w14:solidFill>
                      </w14:textFill>
                    </w:rPr>
                    <w:t>3</w:t>
                  </w:r>
                </w:p>
              </w:tc>
              <w:tc>
                <w:tcPr>
                  <w:tcW w:w="714" w:type="pct"/>
                  <w:vMerge w:val="restart"/>
                  <w:vAlign w:val="center"/>
                </w:tcPr>
                <w:p w14:paraId="48581A7D">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厂界</w:t>
                  </w:r>
                </w:p>
              </w:tc>
              <w:tc>
                <w:tcPr>
                  <w:tcW w:w="1208" w:type="dxa"/>
                  <w:vAlign w:val="center"/>
                </w:tcPr>
                <w:p w14:paraId="0AECCF10">
                  <w:pPr>
                    <w:keepNext w:val="0"/>
                    <w:keepLines w:val="0"/>
                    <w:widowControl/>
                    <w:suppressLineNumbers w:val="0"/>
                    <w:jc w:val="center"/>
                    <w:textAlignment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0.0022</w:t>
                  </w:r>
                </w:p>
              </w:tc>
              <w:tc>
                <w:tcPr>
                  <w:tcW w:w="1208" w:type="dxa"/>
                  <w:vAlign w:val="center"/>
                </w:tcPr>
                <w:p w14:paraId="0198B609">
                  <w:pPr>
                    <w:keepNext w:val="0"/>
                    <w:keepLines w:val="0"/>
                    <w:widowControl/>
                    <w:suppressLineNumbers w:val="0"/>
                    <w:jc w:val="center"/>
                    <w:textAlignment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0.0003</w:t>
                  </w:r>
                </w:p>
              </w:tc>
              <w:tc>
                <w:tcPr>
                  <w:tcW w:w="714" w:type="pct"/>
                  <w:vMerge w:val="restart"/>
                  <w:vAlign w:val="center"/>
                </w:tcPr>
                <w:p w14:paraId="2983A501">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cs="Times New Roman"/>
                      <w:b/>
                      <w:bCs/>
                      <w:color w:val="000000" w:themeColor="text1"/>
                      <w:sz w:val="21"/>
                      <w:szCs w:val="21"/>
                      <w:vertAlign w:val="baseline"/>
                      <w:lang w:val="en-US"/>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32.5</w:t>
                  </w:r>
                </w:p>
              </w:tc>
              <w:tc>
                <w:tcPr>
                  <w:tcW w:w="714" w:type="pct"/>
                  <w:vMerge w:val="restart"/>
                  <w:vAlign w:val="center"/>
                </w:tcPr>
                <w:p w14:paraId="6DEA337A">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cs="Times New Roman"/>
                      <w:b/>
                      <w:bCs/>
                      <w:color w:val="000000" w:themeColor="text1"/>
                      <w:sz w:val="21"/>
                      <w:szCs w:val="21"/>
                      <w:vertAlign w:val="baseline"/>
                      <w:lang w:val="en-US"/>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60.2</w:t>
                  </w:r>
                </w:p>
              </w:tc>
              <w:tc>
                <w:tcPr>
                  <w:tcW w:w="714" w:type="pct"/>
                  <w:vMerge w:val="restart"/>
                  <w:vAlign w:val="center"/>
                </w:tcPr>
                <w:p w14:paraId="175FAA85">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cs="Times New Roman"/>
                      <w:b/>
                      <w:bCs/>
                      <w:color w:val="000000" w:themeColor="text1"/>
                      <w:sz w:val="21"/>
                      <w:szCs w:val="21"/>
                      <w:vertAlign w:val="baseline"/>
                      <w:lang w:val="en-US"/>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12.3</w:t>
                  </w:r>
                </w:p>
              </w:tc>
            </w:tr>
            <w:tr w14:paraId="08DB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7DCA8FD7">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cs="Times New Roman"/>
                      <w:b/>
                      <w:bCs/>
                      <w:color w:val="000000" w:themeColor="text1"/>
                      <w:sz w:val="21"/>
                      <w:szCs w:val="21"/>
                      <w:vertAlign w:val="baseline"/>
                      <w14:textFill>
                        <w14:solidFill>
                          <w14:schemeClr w14:val="tx1"/>
                        </w14:solidFill>
                      </w14:textFill>
                    </w:rPr>
                  </w:pPr>
                  <w:r>
                    <w:rPr>
                      <w:rFonts w:hint="default" w:ascii="Times New Roman" w:hAnsi="Times New Roman" w:eastAsia="TimesNewRomanPSMT" w:cs="Times New Roman"/>
                      <w:color w:val="000000" w:themeColor="text1"/>
                      <w:kern w:val="0"/>
                      <w:sz w:val="21"/>
                      <w:szCs w:val="21"/>
                      <w:lang w:bidi="ar"/>
                      <w14:textFill>
                        <w14:solidFill>
                          <w14:schemeClr w14:val="tx1"/>
                        </w14:solidFill>
                      </w14:textFill>
                    </w:rPr>
                    <w:t>H</w:t>
                  </w:r>
                  <w:r>
                    <w:rPr>
                      <w:rFonts w:hint="default" w:ascii="Times New Roman" w:hAnsi="Times New Roman" w:eastAsia="TimesNewRomanPSMT" w:cs="Times New Roman"/>
                      <w:color w:val="000000" w:themeColor="text1"/>
                      <w:kern w:val="0"/>
                      <w:sz w:val="21"/>
                      <w:szCs w:val="21"/>
                      <w:vertAlign w:val="subscript"/>
                      <w:lang w:bidi="ar"/>
                      <w14:textFill>
                        <w14:solidFill>
                          <w14:schemeClr w14:val="tx1"/>
                        </w14:solidFill>
                      </w14:textFill>
                    </w:rPr>
                    <w:t>2</w:t>
                  </w:r>
                  <w:r>
                    <w:rPr>
                      <w:rFonts w:hint="default" w:ascii="Times New Roman" w:hAnsi="Times New Roman" w:eastAsia="TimesNewRomanPSMT" w:cs="Times New Roman"/>
                      <w:color w:val="000000" w:themeColor="text1"/>
                      <w:kern w:val="0"/>
                      <w:sz w:val="21"/>
                      <w:szCs w:val="21"/>
                      <w:lang w:bidi="ar"/>
                      <w14:textFill>
                        <w14:solidFill>
                          <w14:schemeClr w14:val="tx1"/>
                        </w14:solidFill>
                      </w14:textFill>
                    </w:rPr>
                    <w:t>S</w:t>
                  </w:r>
                </w:p>
              </w:tc>
              <w:tc>
                <w:tcPr>
                  <w:tcW w:w="714" w:type="pct"/>
                  <w:vMerge w:val="continue"/>
                </w:tcPr>
                <w:p w14:paraId="1B2C5C32">
                  <w:pPr>
                    <w:jc w:val="center"/>
                    <w:rPr>
                      <w:rFonts w:hint="default" w:ascii="Times New Roman" w:hAnsi="Times New Roman" w:cs="Times New Roman"/>
                      <w:b/>
                      <w:bCs/>
                      <w:color w:val="000000" w:themeColor="text1"/>
                      <w:sz w:val="21"/>
                      <w:szCs w:val="21"/>
                      <w:vertAlign w:val="baseline"/>
                      <w14:textFill>
                        <w14:solidFill>
                          <w14:schemeClr w14:val="tx1"/>
                        </w14:solidFill>
                      </w14:textFill>
                    </w:rPr>
                  </w:pPr>
                </w:p>
              </w:tc>
              <w:tc>
                <w:tcPr>
                  <w:tcW w:w="1208" w:type="dxa"/>
                  <w:vAlign w:val="center"/>
                </w:tcPr>
                <w:p w14:paraId="671AADE0">
                  <w:pPr>
                    <w:keepNext w:val="0"/>
                    <w:keepLines w:val="0"/>
                    <w:widowControl/>
                    <w:suppressLineNumbers w:val="0"/>
                    <w:jc w:val="center"/>
                    <w:textAlignment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0.0000</w:t>
                  </w:r>
                  <w:r>
                    <w:rPr>
                      <w:rFonts w:hint="eastAsia" w:cs="Times New Roman"/>
                      <w:i w:val="0"/>
                      <w:iCs w:val="0"/>
                      <w:color w:val="000000"/>
                      <w:kern w:val="0"/>
                      <w:sz w:val="21"/>
                      <w:szCs w:val="21"/>
                      <w:u w:val="none"/>
                      <w:lang w:val="en-US" w:eastAsia="zh-CN" w:bidi="ar"/>
                    </w:rPr>
                    <w:t>8</w:t>
                  </w:r>
                </w:p>
              </w:tc>
              <w:tc>
                <w:tcPr>
                  <w:tcW w:w="1208" w:type="dxa"/>
                  <w:vAlign w:val="center"/>
                </w:tcPr>
                <w:p w14:paraId="27E868CC">
                  <w:pPr>
                    <w:keepNext w:val="0"/>
                    <w:keepLines w:val="0"/>
                    <w:widowControl/>
                    <w:suppressLineNumbers w:val="0"/>
                    <w:jc w:val="center"/>
                    <w:textAlignment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0.00001</w:t>
                  </w:r>
                </w:p>
              </w:tc>
              <w:tc>
                <w:tcPr>
                  <w:tcW w:w="714" w:type="pct"/>
                  <w:vMerge w:val="continue"/>
                </w:tcPr>
                <w:p w14:paraId="24A905DE">
                  <w:pPr>
                    <w:jc w:val="center"/>
                    <w:rPr>
                      <w:rFonts w:hint="default" w:ascii="Times New Roman" w:hAnsi="Times New Roman" w:cs="Times New Roman"/>
                      <w:b/>
                      <w:bCs/>
                      <w:color w:val="000000" w:themeColor="text1"/>
                      <w:sz w:val="21"/>
                      <w:szCs w:val="21"/>
                      <w:vertAlign w:val="baseline"/>
                      <w14:textFill>
                        <w14:solidFill>
                          <w14:schemeClr w14:val="tx1"/>
                        </w14:solidFill>
                      </w14:textFill>
                    </w:rPr>
                  </w:pPr>
                </w:p>
              </w:tc>
              <w:tc>
                <w:tcPr>
                  <w:tcW w:w="714" w:type="pct"/>
                  <w:vMerge w:val="continue"/>
                </w:tcPr>
                <w:p w14:paraId="606D502A">
                  <w:pPr>
                    <w:jc w:val="center"/>
                    <w:rPr>
                      <w:rFonts w:hint="default" w:ascii="Times New Roman" w:hAnsi="Times New Roman" w:cs="Times New Roman"/>
                      <w:b/>
                      <w:bCs/>
                      <w:color w:val="000000" w:themeColor="text1"/>
                      <w:sz w:val="21"/>
                      <w:szCs w:val="21"/>
                      <w:vertAlign w:val="baseline"/>
                      <w14:textFill>
                        <w14:solidFill>
                          <w14:schemeClr w14:val="tx1"/>
                        </w14:solidFill>
                      </w14:textFill>
                    </w:rPr>
                  </w:pPr>
                </w:p>
              </w:tc>
              <w:tc>
                <w:tcPr>
                  <w:tcW w:w="714" w:type="pct"/>
                  <w:vMerge w:val="continue"/>
                </w:tcPr>
                <w:p w14:paraId="5005AEA1">
                  <w:pPr>
                    <w:jc w:val="center"/>
                    <w:rPr>
                      <w:rFonts w:hint="default" w:ascii="Times New Roman" w:hAnsi="Times New Roman" w:cs="Times New Roman"/>
                      <w:b/>
                      <w:bCs/>
                      <w:color w:val="000000" w:themeColor="text1"/>
                      <w:sz w:val="21"/>
                      <w:szCs w:val="21"/>
                      <w:vertAlign w:val="baseline"/>
                      <w14:textFill>
                        <w14:solidFill>
                          <w14:schemeClr w14:val="tx1"/>
                        </w14:solidFill>
                      </w14:textFill>
                    </w:rPr>
                  </w:pPr>
                </w:p>
              </w:tc>
            </w:tr>
          </w:tbl>
          <w:p w14:paraId="6C8E33E0">
            <w:pPr>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auto"/>
              <w:rPr>
                <w:b/>
                <w:bCs/>
                <w:color w:val="000000" w:themeColor="text1"/>
                <w:sz w:val="24"/>
                <w14:textFill>
                  <w14:solidFill>
                    <w14:schemeClr w14:val="tx1"/>
                  </w14:solidFill>
                </w14:textFill>
              </w:rPr>
            </w:pPr>
            <w:r>
              <w:rPr>
                <w:b/>
                <w:bCs/>
                <w:color w:val="000000" w:themeColor="text1"/>
                <w14:textFill>
                  <w14:solidFill>
                    <w14:schemeClr w14:val="tx1"/>
                  </w14:solidFill>
                </w14:textFill>
              </w:rPr>
              <w:t>（</w:t>
            </w:r>
            <w:r>
              <w:rPr>
                <w:b/>
                <w:bCs/>
                <w:color w:val="000000" w:themeColor="text1"/>
                <w:sz w:val="24"/>
                <w14:textFill>
                  <w14:solidFill>
                    <w14:schemeClr w14:val="tx1"/>
                  </w14:solidFill>
                </w14:textFill>
              </w:rPr>
              <w:t>1）</w:t>
            </w:r>
            <w:r>
              <w:rPr>
                <w:rFonts w:hint="eastAsia"/>
                <w:b/>
                <w:bCs/>
                <w:color w:val="000000" w:themeColor="text1"/>
                <w:sz w:val="24"/>
                <w:lang w:val="en-US" w:eastAsia="zh-CN"/>
                <w14:textFill>
                  <w14:solidFill>
                    <w14:schemeClr w14:val="tx1"/>
                  </w14:solidFill>
                </w14:textFill>
              </w:rPr>
              <w:t>生产车间</w:t>
            </w:r>
            <w:r>
              <w:rPr>
                <w:b/>
                <w:bCs/>
                <w:color w:val="000000" w:themeColor="text1"/>
                <w:sz w:val="24"/>
                <w14:textFill>
                  <w14:solidFill>
                    <w14:schemeClr w14:val="tx1"/>
                  </w14:solidFill>
                </w14:textFill>
              </w:rPr>
              <w:t>恶臭气体NH</w:t>
            </w:r>
            <w:r>
              <w:rPr>
                <w:b/>
                <w:bCs/>
                <w:color w:val="000000" w:themeColor="text1"/>
                <w:sz w:val="24"/>
                <w:vertAlign w:val="subscript"/>
                <w14:textFill>
                  <w14:solidFill>
                    <w14:schemeClr w14:val="tx1"/>
                  </w14:solidFill>
                </w14:textFill>
              </w:rPr>
              <w:t>3</w:t>
            </w:r>
            <w:r>
              <w:rPr>
                <w:b/>
                <w:bCs/>
                <w:color w:val="000000" w:themeColor="text1"/>
                <w:sz w:val="24"/>
                <w14:textFill>
                  <w14:solidFill>
                    <w14:schemeClr w14:val="tx1"/>
                  </w14:solidFill>
                </w14:textFill>
              </w:rPr>
              <w:t>、H</w:t>
            </w:r>
            <w:r>
              <w:rPr>
                <w:b/>
                <w:bCs/>
                <w:color w:val="000000" w:themeColor="text1"/>
                <w:sz w:val="24"/>
                <w:vertAlign w:val="subscript"/>
                <w14:textFill>
                  <w14:solidFill>
                    <w14:schemeClr w14:val="tx1"/>
                  </w14:solidFill>
                </w14:textFill>
              </w:rPr>
              <w:t>2</w:t>
            </w:r>
            <w:r>
              <w:rPr>
                <w:b/>
                <w:bCs/>
                <w:color w:val="000000" w:themeColor="text1"/>
                <w:sz w:val="24"/>
                <w14:textFill>
                  <w14:solidFill>
                    <w14:schemeClr w14:val="tx1"/>
                  </w14:solidFill>
                </w14:textFill>
              </w:rPr>
              <w:t>S</w:t>
            </w:r>
          </w:p>
          <w:p w14:paraId="5FD8DA53">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本项目恶臭气体来源为</w:t>
            </w:r>
            <w:r>
              <w:rPr>
                <w:rFonts w:hint="eastAsia"/>
                <w:color w:val="000000" w:themeColor="text1"/>
                <w:sz w:val="24"/>
                <w:lang w:val="en-US" w:eastAsia="zh-CN"/>
                <w14:textFill>
                  <w14:solidFill>
                    <w14:schemeClr w14:val="tx1"/>
                  </w14:solidFill>
                </w14:textFill>
              </w:rPr>
              <w:t>蚯蚓水解</w:t>
            </w:r>
            <w:r>
              <w:rPr>
                <w:color w:val="000000" w:themeColor="text1"/>
                <w:sz w:val="24"/>
                <w14:textFill>
                  <w14:solidFill>
                    <w14:schemeClr w14:val="tx1"/>
                  </w14:solidFill>
                </w14:textFill>
              </w:rPr>
              <w:t>过程，恶臭气体主要成分为NH</w:t>
            </w:r>
            <w:r>
              <w:rPr>
                <w:color w:val="000000" w:themeColor="text1"/>
                <w:sz w:val="24"/>
                <w:vertAlign w:val="subscript"/>
                <w14:textFill>
                  <w14:solidFill>
                    <w14:schemeClr w14:val="tx1"/>
                  </w14:solidFill>
                </w14:textFill>
              </w:rPr>
              <w:t>3</w:t>
            </w:r>
            <w:r>
              <w:rPr>
                <w:color w:val="000000" w:themeColor="text1"/>
                <w:sz w:val="24"/>
                <w14:textFill>
                  <w14:solidFill>
                    <w14:schemeClr w14:val="tx1"/>
                  </w14:solidFill>
                </w14:textFill>
              </w:rPr>
              <w:t>、H</w:t>
            </w:r>
            <w:r>
              <w:rPr>
                <w:color w:val="000000" w:themeColor="text1"/>
                <w:sz w:val="24"/>
                <w:vertAlign w:val="subscript"/>
                <w14:textFill>
                  <w14:solidFill>
                    <w14:schemeClr w14:val="tx1"/>
                  </w14:solidFill>
                </w14:textFill>
              </w:rPr>
              <w:t>2</w:t>
            </w:r>
            <w:r>
              <w:rPr>
                <w:color w:val="000000" w:themeColor="text1"/>
                <w:sz w:val="24"/>
                <w14:textFill>
                  <w14:solidFill>
                    <w14:schemeClr w14:val="tx1"/>
                  </w14:solidFill>
                </w14:textFill>
              </w:rPr>
              <w:t>S，其刺激人的嗅觉器官，引起人的厌恶或不愉快。NH</w:t>
            </w:r>
            <w:r>
              <w:rPr>
                <w:color w:val="000000" w:themeColor="text1"/>
                <w:sz w:val="24"/>
                <w:vertAlign w:val="subscript"/>
                <w14:textFill>
                  <w14:solidFill>
                    <w14:schemeClr w14:val="tx1"/>
                  </w14:solidFill>
                </w14:textFill>
              </w:rPr>
              <w:t>3</w:t>
            </w:r>
            <w:r>
              <w:rPr>
                <w:color w:val="000000" w:themeColor="text1"/>
                <w:sz w:val="24"/>
                <w14:textFill>
                  <w14:solidFill>
                    <w14:schemeClr w14:val="tx1"/>
                  </w14:solidFill>
                </w14:textFill>
              </w:rPr>
              <w:t>为无色气体，具有强烈的刺激气味，嗅觉阈值为0.1ppm；H</w:t>
            </w:r>
            <w:r>
              <w:rPr>
                <w:color w:val="000000" w:themeColor="text1"/>
                <w:sz w:val="24"/>
                <w:vertAlign w:val="subscript"/>
                <w14:textFill>
                  <w14:solidFill>
                    <w14:schemeClr w14:val="tx1"/>
                  </w14:solidFill>
                </w14:textFill>
              </w:rPr>
              <w:t>2</w:t>
            </w:r>
            <w:r>
              <w:rPr>
                <w:color w:val="000000" w:themeColor="text1"/>
                <w:sz w:val="24"/>
                <w14:textFill>
                  <w14:solidFill>
                    <w14:schemeClr w14:val="tx1"/>
                  </w14:solidFill>
                </w14:textFill>
              </w:rPr>
              <w:t>S为无色气体，有恶臭和毒性，具有臭鸡蛋腐败气味，其嗅觉阈值为0.0005ppm。</w:t>
            </w:r>
          </w:p>
          <w:p w14:paraId="27E0B0C3">
            <w:pPr>
              <w:widowControl/>
              <w:spacing w:line="360" w:lineRule="auto"/>
              <w:ind w:firstLine="480" w:firstLineChars="200"/>
              <w:jc w:val="left"/>
              <w:rPr>
                <w:rFonts w:hint="eastAsia"/>
                <w:color w:val="000000" w:themeColor="text1"/>
                <w:sz w:val="24"/>
                <w:lang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根据《</w:t>
            </w:r>
            <w:r>
              <w:rPr>
                <w:rFonts w:hint="eastAsia"/>
                <w:color w:val="000000" w:themeColor="text1"/>
                <w:sz w:val="24"/>
                <w14:textFill>
                  <w14:solidFill>
                    <w14:schemeClr w14:val="tx1"/>
                  </w14:solidFill>
                </w14:textFill>
              </w:rPr>
              <w:t>蚯蚓蛋白水解酶自溶水解蚯蚓工艺及其产物组成特征</w:t>
            </w:r>
            <w:r>
              <w:rPr>
                <w:rFonts w:hint="eastAsia"/>
                <w:color w:val="000000" w:themeColor="text1"/>
                <w:sz w:val="24"/>
                <w:lang w:val="en-US" w:eastAsia="zh-CN"/>
                <w14:textFill>
                  <w14:solidFill>
                    <w14:schemeClr w14:val="tx1"/>
                  </w14:solidFill>
                </w14:textFill>
              </w:rPr>
              <w:t>》</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作者：李国雷，廖敏，张楠，陈娜，黄宇</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期刊：江西农业大学学报</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年份 / 卷期：2014，36(6)：1373-1379</w:t>
            </w:r>
            <w:r>
              <w:rPr>
                <w:rFonts w:hint="eastAsia"/>
                <w:color w:val="000000" w:themeColor="text1"/>
                <w:sz w:val="24"/>
                <w:lang w:eastAsia="zh-CN"/>
                <w14:textFill>
                  <w14:solidFill>
                    <w14:schemeClr w14:val="tx1"/>
                  </w14:solidFill>
                </w14:textFill>
              </w:rPr>
              <w:t>），总氨基酸：10.83g/100g鲜蚯蚓，氨基酸平均含氮：16%。动物蛋白水解常用15%–20%，</w:t>
            </w:r>
            <w:r>
              <w:rPr>
                <w:rFonts w:hint="eastAsia"/>
                <w:color w:val="000000" w:themeColor="text1"/>
                <w:sz w:val="24"/>
                <w:lang w:val="en-US" w:eastAsia="zh-CN"/>
                <w14:textFill>
                  <w14:solidFill>
                    <w14:schemeClr w14:val="tx1"/>
                  </w14:solidFill>
                </w14:textFill>
              </w:rPr>
              <w:t>本次</w:t>
            </w:r>
            <w:r>
              <w:rPr>
                <w:rFonts w:hint="eastAsia"/>
                <w:color w:val="000000" w:themeColor="text1"/>
                <w:sz w:val="24"/>
                <w:lang w:eastAsia="zh-CN"/>
                <w14:textFill>
                  <w14:solidFill>
                    <w14:schemeClr w14:val="tx1"/>
                  </w14:solidFill>
                </w14:textFill>
              </w:rPr>
              <w:t>水解后氨基酸脱氨率</w:t>
            </w:r>
            <w:r>
              <w:rPr>
                <w:rFonts w:hint="eastAsia"/>
                <w:color w:val="000000" w:themeColor="text1"/>
                <w:sz w:val="24"/>
                <w:lang w:val="en-US" w:eastAsia="zh-CN"/>
                <w14:textFill>
                  <w14:solidFill>
                    <w14:schemeClr w14:val="tx1"/>
                  </w14:solidFill>
                </w14:textFill>
              </w:rPr>
              <w:t>按照最不利情况考虑取值</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20</w:t>
            </w:r>
            <w:r>
              <w:rPr>
                <w:rFonts w:hint="eastAsia"/>
                <w:color w:val="000000" w:themeColor="text1"/>
                <w:sz w:val="24"/>
                <w:lang w:eastAsia="zh-CN"/>
                <w14:textFill>
                  <w14:solidFill>
                    <w14:schemeClr w14:val="tx1"/>
                  </w14:solidFill>
                </w14:textFill>
              </w:rPr>
              <w:t>%。</w:t>
            </w:r>
          </w:p>
          <w:p w14:paraId="6BC98BBE">
            <w:pPr>
              <w:widowControl/>
              <w:spacing w:line="360" w:lineRule="auto"/>
              <w:ind w:firstLine="480" w:firstLineChars="200"/>
              <w:jc w:val="left"/>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含硫氨基酸（胱氨酸+蛋氨酸）：0.38 g/100 g 鲜蚯蚓，含硫氨基酸脱硫率：60%，含硫氨基酸含硫</w:t>
            </w:r>
            <w:r>
              <w:rPr>
                <w:rFonts w:hint="eastAsia"/>
                <w:color w:val="000000" w:themeColor="text1"/>
                <w:sz w:val="24"/>
                <w:lang w:val="en-US" w:eastAsia="zh-CN"/>
                <w14:textFill>
                  <w14:solidFill>
                    <w14:schemeClr w14:val="tx1"/>
                  </w14:solidFill>
                </w14:textFill>
              </w:rPr>
              <w:t>取值</w:t>
            </w:r>
            <w:r>
              <w:rPr>
                <w:rFonts w:hint="eastAsia"/>
                <w:color w:val="000000" w:themeColor="text1"/>
                <w:sz w:val="24"/>
                <w:lang w:eastAsia="zh-CN"/>
                <w14:textFill>
                  <w14:solidFill>
                    <w14:schemeClr w14:val="tx1"/>
                  </w14:solidFill>
                </w14:textFill>
              </w:rPr>
              <w:t>：27%（胱氨酸/蛋氨酸平均）。</w:t>
            </w:r>
          </w:p>
          <w:p w14:paraId="4239C2B6">
            <w:pPr>
              <w:widowControl/>
              <w:spacing w:line="360" w:lineRule="auto"/>
              <w:ind w:firstLine="480" w:firstLineChars="200"/>
              <w:jc w:val="left"/>
              <w:rPr>
                <w:rFonts w:hint="eastAsia" w:eastAsia="宋体"/>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NH</w:t>
            </w:r>
            <w:r>
              <w:rPr>
                <w:rFonts w:hint="eastAsia"/>
                <w:color w:val="000000" w:themeColor="text1"/>
                <w:sz w:val="24"/>
                <w:vertAlign w:val="subscript"/>
                <w:lang w:val="en-US" w:eastAsia="zh-CN"/>
                <w14:textFill>
                  <w14:solidFill>
                    <w14:schemeClr w14:val="tx1"/>
                  </w14:solidFill>
                </w14:textFill>
              </w:rPr>
              <w:t>3</w:t>
            </w:r>
            <w:r>
              <w:rPr>
                <w:rFonts w:hint="eastAsia"/>
                <w:color w:val="000000" w:themeColor="text1"/>
                <w:sz w:val="24"/>
                <w:lang w:eastAsia="zh-CN"/>
                <w14:textFill>
                  <w14:solidFill>
                    <w14:schemeClr w14:val="tx1"/>
                  </w14:solidFill>
                </w14:textFill>
              </w:rPr>
              <w:t>中氮质量分数：14/(14+3)=0.8235；</w:t>
            </w:r>
          </w:p>
          <w:p w14:paraId="7984D8D6">
            <w:pPr>
              <w:widowControl/>
              <w:spacing w:line="360" w:lineRule="auto"/>
              <w:ind w:firstLine="480" w:firstLineChars="200"/>
              <w:jc w:val="left"/>
              <w:rPr>
                <w:rFonts w:hint="eastAsia"/>
                <w:color w:val="000000" w:themeColor="text1"/>
                <w:sz w:val="24"/>
                <w:lang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H</w:t>
            </w:r>
            <w:r>
              <w:rPr>
                <w:rFonts w:hint="eastAsia"/>
                <w:color w:val="000000" w:themeColor="text1"/>
                <w:sz w:val="24"/>
                <w:vertAlign w:val="subscript"/>
                <w:lang w:val="en-US" w:eastAsia="zh-CN"/>
                <w14:textFill>
                  <w14:solidFill>
                    <w14:schemeClr w14:val="tx1"/>
                  </w14:solidFill>
                </w14:textFill>
              </w:rPr>
              <w:t>2</w:t>
            </w:r>
            <w:r>
              <w:rPr>
                <w:rFonts w:hint="eastAsia"/>
                <w:color w:val="000000" w:themeColor="text1"/>
                <w:sz w:val="24"/>
                <w:lang w:val="en-US" w:eastAsia="zh-CN"/>
                <w14:textFill>
                  <w14:solidFill>
                    <w14:schemeClr w14:val="tx1"/>
                  </w14:solidFill>
                </w14:textFill>
              </w:rPr>
              <w:t>S</w:t>
            </w:r>
            <w:r>
              <w:rPr>
                <w:rFonts w:hint="eastAsia"/>
                <w:color w:val="000000" w:themeColor="text1"/>
                <w:sz w:val="24"/>
                <w:lang w:eastAsia="zh-CN"/>
                <w14:textFill>
                  <w14:solidFill>
                    <w14:schemeClr w14:val="tx1"/>
                  </w14:solidFill>
                </w14:textFill>
              </w:rPr>
              <w:t>中硫质量分数：32/(32+2)=0.9412；</w:t>
            </w:r>
          </w:p>
          <w:p w14:paraId="55852E88">
            <w:pPr>
              <w:widowControl/>
              <w:spacing w:line="360" w:lineRule="auto"/>
              <w:ind w:firstLine="480" w:firstLineChars="200"/>
              <w:jc w:val="left"/>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项目鲜蚯蚓量约为600t，经计算</w:t>
            </w:r>
          </w:p>
          <w:p w14:paraId="4B68EA39">
            <w:pPr>
              <w:widowControl/>
              <w:spacing w:line="360" w:lineRule="auto"/>
              <w:ind w:firstLine="480" w:firstLineChars="200"/>
              <w:jc w:val="left"/>
              <w:rPr>
                <w:rFonts w:hint="eastAsia"/>
                <w:color w:val="000000" w:themeColor="text1"/>
                <w:sz w:val="24"/>
                <w:lang w:val="en-US" w:eastAsia="zh-CN"/>
                <w14:textFill>
                  <w14:solidFill>
                    <w14:schemeClr w14:val="tx1"/>
                  </w14:solidFill>
                </w14:textFill>
              </w:rPr>
            </w:pPr>
            <w:r>
              <w:rPr>
                <w:rFonts w:hint="eastAsia"/>
                <w:color w:val="000000" w:themeColor="text1"/>
                <w:sz w:val="24"/>
                <w:lang w:eastAsia="zh-CN"/>
                <w14:textFill>
                  <w14:solidFill>
                    <w14:schemeClr w14:val="tx1"/>
                  </w14:solidFill>
                </w14:textFill>
              </w:rPr>
              <w:t>NH</w:t>
            </w:r>
            <w:r>
              <w:rPr>
                <w:rFonts w:hint="eastAsia"/>
                <w:color w:val="000000" w:themeColor="text1"/>
                <w:sz w:val="24"/>
                <w:vertAlign w:val="subscript"/>
                <w:lang w:val="en-US" w:eastAsia="zh-CN"/>
                <w14:textFill>
                  <w14:solidFill>
                    <w14:schemeClr w14:val="tx1"/>
                  </w14:solidFill>
                </w14:textFill>
              </w:rPr>
              <w:t>3</w:t>
            </w:r>
            <w:r>
              <w:rPr>
                <w:rFonts w:hint="eastAsia"/>
                <w:color w:val="000000" w:themeColor="text1"/>
                <w:sz w:val="24"/>
                <w:vertAlign w:val="baseline"/>
                <w:lang w:val="en-US" w:eastAsia="zh-CN"/>
                <w14:textFill>
                  <w14:solidFill>
                    <w14:schemeClr w14:val="tx1"/>
                  </w14:solidFill>
                </w14:textFill>
              </w:rPr>
              <w:t>产生量=600*10.83/100*0.16*0.2/</w:t>
            </w:r>
            <w:r>
              <w:rPr>
                <w:rFonts w:hint="eastAsia"/>
                <w:color w:val="000000" w:themeColor="text1"/>
                <w:sz w:val="24"/>
                <w:lang w:eastAsia="zh-CN"/>
                <w14:textFill>
                  <w14:solidFill>
                    <w14:schemeClr w14:val="tx1"/>
                  </w14:solidFill>
                </w14:textFill>
              </w:rPr>
              <w:t>0.8235</w:t>
            </w:r>
            <w:r>
              <w:rPr>
                <w:rFonts w:hint="eastAsia"/>
                <w:color w:val="000000" w:themeColor="text1"/>
                <w:sz w:val="24"/>
                <w:lang w:val="en-US" w:eastAsia="zh-CN"/>
                <w14:textFill>
                  <w14:solidFill>
                    <w14:schemeClr w14:val="tx1"/>
                  </w14:solidFill>
                </w14:textFill>
              </w:rPr>
              <w:t>=2.525t/a；</w:t>
            </w:r>
          </w:p>
          <w:p w14:paraId="3FFAD757">
            <w:pPr>
              <w:widowControl/>
              <w:spacing w:line="360" w:lineRule="auto"/>
              <w:ind w:firstLine="480" w:firstLineChars="200"/>
              <w:jc w:val="left"/>
              <w:rPr>
                <w:rFonts w:hint="default"/>
                <w:color w:val="000000" w:themeColor="text1"/>
                <w:sz w:val="24"/>
                <w:vertAlign w:val="baseline"/>
                <w:lang w:val="en-US"/>
                <w14:textFill>
                  <w14:solidFill>
                    <w14:schemeClr w14:val="tx1"/>
                  </w14:solidFill>
                </w14:textFill>
              </w:rPr>
            </w:pPr>
            <w:r>
              <w:rPr>
                <w:rFonts w:hint="eastAsia"/>
                <w:color w:val="000000" w:themeColor="text1"/>
                <w:sz w:val="24"/>
                <w:lang w:val="en-US" w:eastAsia="zh-CN"/>
                <w14:textFill>
                  <w14:solidFill>
                    <w14:schemeClr w14:val="tx1"/>
                  </w14:solidFill>
                </w14:textFill>
              </w:rPr>
              <w:t>H</w:t>
            </w:r>
            <w:r>
              <w:rPr>
                <w:rFonts w:hint="eastAsia"/>
                <w:color w:val="000000" w:themeColor="text1"/>
                <w:sz w:val="24"/>
                <w:vertAlign w:val="subscript"/>
                <w:lang w:val="en-US" w:eastAsia="zh-CN"/>
                <w14:textFill>
                  <w14:solidFill>
                    <w14:schemeClr w14:val="tx1"/>
                  </w14:solidFill>
                </w14:textFill>
              </w:rPr>
              <w:t>2</w:t>
            </w:r>
            <w:r>
              <w:rPr>
                <w:rFonts w:hint="eastAsia"/>
                <w:color w:val="000000" w:themeColor="text1"/>
                <w:sz w:val="24"/>
                <w:lang w:val="en-US" w:eastAsia="zh-CN"/>
                <w14:textFill>
                  <w14:solidFill>
                    <w14:schemeClr w14:val="tx1"/>
                  </w14:solidFill>
                </w14:textFill>
              </w:rPr>
              <w:t>S</w:t>
            </w:r>
            <w:r>
              <w:rPr>
                <w:rFonts w:hint="eastAsia"/>
                <w:color w:val="000000" w:themeColor="text1"/>
                <w:sz w:val="24"/>
                <w:vertAlign w:val="baseline"/>
                <w:lang w:val="en-US" w:eastAsia="zh-CN"/>
                <w14:textFill>
                  <w14:solidFill>
                    <w14:schemeClr w14:val="tx1"/>
                  </w14:solidFill>
                </w14:textFill>
              </w:rPr>
              <w:t>产生量=600*0.38/100*0.6*0.27/</w:t>
            </w:r>
            <w:r>
              <w:rPr>
                <w:rFonts w:hint="eastAsia"/>
                <w:color w:val="000000" w:themeColor="text1"/>
                <w:sz w:val="24"/>
                <w:lang w:eastAsia="zh-CN"/>
                <w14:textFill>
                  <w14:solidFill>
                    <w14:schemeClr w14:val="tx1"/>
                  </w14:solidFill>
                </w14:textFill>
              </w:rPr>
              <w:t>0.9412</w:t>
            </w:r>
            <w:r>
              <w:rPr>
                <w:rFonts w:hint="eastAsia"/>
                <w:color w:val="000000" w:themeColor="text1"/>
                <w:sz w:val="24"/>
                <w:lang w:val="en-US" w:eastAsia="zh-CN"/>
                <w14:textFill>
                  <w14:solidFill>
                    <w14:schemeClr w14:val="tx1"/>
                  </w14:solidFill>
                </w14:textFill>
              </w:rPr>
              <w:t>=0.392t/a；</w:t>
            </w:r>
          </w:p>
          <w:p w14:paraId="1D642BD1">
            <w:pPr>
              <w:widowControl/>
              <w:spacing w:line="360" w:lineRule="auto"/>
              <w:ind w:firstLine="480" w:firstLineChars="200"/>
              <w:jc w:val="left"/>
              <w:rPr>
                <w:rFonts w:hint="default" w:eastAsia="宋体"/>
                <w:color w:val="000000" w:themeColor="text1"/>
                <w:sz w:val="24"/>
                <w:vertAlign w:val="baseline"/>
                <w:lang w:val="en-US" w:eastAsia="zh-CN"/>
                <w14:textFill>
                  <w14:solidFill>
                    <w14:schemeClr w14:val="tx1"/>
                  </w14:solidFill>
                </w14:textFill>
              </w:rPr>
            </w:pPr>
            <w:r>
              <w:rPr>
                <w:rFonts w:hint="eastAsia"/>
                <w:color w:val="000000" w:themeColor="text1"/>
                <w:sz w:val="24"/>
                <w:vertAlign w:val="baseline"/>
                <w:lang w:val="en-US" w:eastAsia="zh-CN"/>
                <w14:textFill>
                  <w14:solidFill>
                    <w14:schemeClr w14:val="tx1"/>
                  </w14:solidFill>
                </w14:textFill>
              </w:rPr>
              <w:t>水解废气经管道收集后进入生物除臭装置处理后经一根15m高排气筒排放。收集效率100%，处理效率以90%计。则恶臭排放量为</w:t>
            </w:r>
            <w:r>
              <w:rPr>
                <w:rFonts w:hint="eastAsia"/>
                <w:color w:val="000000" w:themeColor="text1"/>
                <w:sz w:val="24"/>
                <w:lang w:eastAsia="zh-CN"/>
                <w14:textFill>
                  <w14:solidFill>
                    <w14:schemeClr w14:val="tx1"/>
                  </w14:solidFill>
                </w14:textFill>
              </w:rPr>
              <w:t>NH</w:t>
            </w:r>
            <w:r>
              <w:rPr>
                <w:rFonts w:hint="eastAsia"/>
                <w:color w:val="000000" w:themeColor="text1"/>
                <w:sz w:val="24"/>
                <w:vertAlign w:val="subscript"/>
                <w:lang w:val="en-US" w:eastAsia="zh-CN"/>
                <w14:textFill>
                  <w14:solidFill>
                    <w14:schemeClr w14:val="tx1"/>
                  </w14:solidFill>
                </w14:textFill>
              </w:rPr>
              <w:t>3</w:t>
            </w:r>
            <w:r>
              <w:rPr>
                <w:rFonts w:hint="eastAsia"/>
                <w:color w:val="000000" w:themeColor="text1"/>
                <w:sz w:val="24"/>
                <w:vertAlign w:val="baseline"/>
                <w:lang w:val="en-US" w:eastAsia="zh-CN"/>
                <w14:textFill>
                  <w14:solidFill>
                    <w14:schemeClr w14:val="tx1"/>
                  </w14:solidFill>
                </w14:textFill>
              </w:rPr>
              <w:t>：0.253</w:t>
            </w:r>
            <w:r>
              <w:rPr>
                <w:rFonts w:hint="eastAsia"/>
                <w:color w:val="000000" w:themeColor="text1"/>
                <w:sz w:val="24"/>
                <w:lang w:val="en-US" w:eastAsia="zh-CN"/>
                <w14:textFill>
                  <w14:solidFill>
                    <w14:schemeClr w14:val="tx1"/>
                  </w14:solidFill>
                </w14:textFill>
              </w:rPr>
              <w:t>t/a</w:t>
            </w:r>
            <w:r>
              <w:rPr>
                <w:rFonts w:hint="eastAsia"/>
                <w:color w:val="000000" w:themeColor="text1"/>
                <w:sz w:val="24"/>
                <w:vertAlign w:val="baseline"/>
                <w:lang w:val="en-US"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H</w:t>
            </w:r>
            <w:r>
              <w:rPr>
                <w:rFonts w:hint="eastAsia"/>
                <w:color w:val="000000" w:themeColor="text1"/>
                <w:sz w:val="24"/>
                <w:vertAlign w:val="subscript"/>
                <w:lang w:val="en-US" w:eastAsia="zh-CN"/>
                <w14:textFill>
                  <w14:solidFill>
                    <w14:schemeClr w14:val="tx1"/>
                  </w14:solidFill>
                </w14:textFill>
              </w:rPr>
              <w:t>2</w:t>
            </w:r>
            <w:r>
              <w:rPr>
                <w:rFonts w:hint="eastAsia"/>
                <w:color w:val="000000" w:themeColor="text1"/>
                <w:sz w:val="24"/>
                <w:lang w:val="en-US" w:eastAsia="zh-CN"/>
                <w14:textFill>
                  <w14:solidFill>
                    <w14:schemeClr w14:val="tx1"/>
                  </w14:solidFill>
                </w14:textFill>
              </w:rPr>
              <w:t>S：</w:t>
            </w:r>
            <w:r>
              <w:rPr>
                <w:rFonts w:hint="eastAsia"/>
                <w:color w:val="000000" w:themeColor="text1"/>
                <w:sz w:val="24"/>
                <w:vertAlign w:val="baseline"/>
                <w:lang w:val="en-US" w:eastAsia="zh-CN"/>
                <w14:textFill>
                  <w14:solidFill>
                    <w14:schemeClr w14:val="tx1"/>
                  </w14:solidFill>
                </w14:textFill>
              </w:rPr>
              <w:t>0.039</w:t>
            </w:r>
            <w:r>
              <w:rPr>
                <w:rFonts w:hint="eastAsia"/>
                <w:color w:val="000000" w:themeColor="text1"/>
                <w:sz w:val="24"/>
                <w:lang w:val="en-US" w:eastAsia="zh-CN"/>
                <w14:textFill>
                  <w14:solidFill>
                    <w14:schemeClr w14:val="tx1"/>
                  </w14:solidFill>
                </w14:textFill>
              </w:rPr>
              <w:t>t/a。</w:t>
            </w:r>
          </w:p>
          <w:p w14:paraId="47DC20F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cs="Times New Roman"/>
                <w:b/>
                <w:bCs/>
                <w:sz w:val="24"/>
                <w:lang w:val="en-US" w:eastAsia="zh-CN"/>
              </w:rPr>
            </w:pPr>
            <w:r>
              <w:rPr>
                <w:rFonts w:hint="eastAsia" w:cs="Times New Roman"/>
                <w:b/>
                <w:bCs/>
                <w:sz w:val="24"/>
                <w:lang w:val="en-US" w:eastAsia="zh-CN"/>
              </w:rPr>
              <w:t>（2）污水处理站废气</w:t>
            </w:r>
          </w:p>
          <w:p w14:paraId="232916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rPr>
              <w:t>根据美国EPA对城市污水处理厂恶臭污染物产生情况的研究，每处理1gBOD</w:t>
            </w:r>
            <w:r>
              <w:rPr>
                <w:rFonts w:hint="default" w:ascii="Times New Roman" w:hAnsi="Times New Roman" w:cs="Times New Roman"/>
                <w:kern w:val="0"/>
                <w:sz w:val="24"/>
                <w:szCs w:val="24"/>
                <w:vertAlign w:val="subscript"/>
              </w:rPr>
              <w:t>5</w:t>
            </w:r>
            <w:r>
              <w:rPr>
                <w:rFonts w:hint="default" w:ascii="Times New Roman" w:hAnsi="Times New Roman" w:cs="Times New Roman"/>
                <w:kern w:val="0"/>
                <w:sz w:val="24"/>
                <w:szCs w:val="24"/>
              </w:rPr>
              <w:t>可产生0.0031gNH</w:t>
            </w:r>
            <w:r>
              <w:rPr>
                <w:rFonts w:hint="default" w:ascii="Times New Roman" w:hAnsi="Times New Roman" w:cs="Times New Roman"/>
                <w:kern w:val="0"/>
                <w:sz w:val="24"/>
                <w:szCs w:val="24"/>
                <w:vertAlign w:val="subscript"/>
              </w:rPr>
              <w:t>3</w:t>
            </w:r>
            <w:r>
              <w:rPr>
                <w:rFonts w:hint="default" w:ascii="Times New Roman" w:hAnsi="Times New Roman" w:cs="Times New Roman"/>
                <w:kern w:val="0"/>
                <w:sz w:val="24"/>
                <w:szCs w:val="24"/>
              </w:rPr>
              <w:t>和0.00012gH</w:t>
            </w:r>
            <w:r>
              <w:rPr>
                <w:rFonts w:hint="default" w:ascii="Times New Roman" w:hAnsi="Times New Roman" w:cs="Times New Roman"/>
                <w:kern w:val="0"/>
                <w:sz w:val="24"/>
                <w:szCs w:val="24"/>
                <w:vertAlign w:val="subscript"/>
              </w:rPr>
              <w:t>2</w:t>
            </w:r>
            <w:r>
              <w:rPr>
                <w:rFonts w:hint="default" w:ascii="Times New Roman" w:hAnsi="Times New Roman" w:cs="Times New Roman"/>
                <w:kern w:val="0"/>
                <w:sz w:val="24"/>
                <w:szCs w:val="24"/>
              </w:rPr>
              <w:t>S。本项目BOD</w:t>
            </w:r>
            <w:r>
              <w:rPr>
                <w:rFonts w:hint="eastAsia" w:cs="Times New Roman"/>
                <w:kern w:val="0"/>
                <w:sz w:val="24"/>
                <w:szCs w:val="24"/>
                <w:vertAlign w:val="subscript"/>
                <w:lang w:val="en-US" w:eastAsia="zh-CN"/>
              </w:rPr>
              <w:t>5</w:t>
            </w:r>
            <w:r>
              <w:rPr>
                <w:rFonts w:hint="default" w:ascii="Times New Roman" w:hAnsi="Times New Roman" w:cs="Times New Roman"/>
                <w:kern w:val="0"/>
                <w:sz w:val="24"/>
                <w:szCs w:val="24"/>
              </w:rPr>
              <w:t>去除量为</w:t>
            </w:r>
            <w:r>
              <w:rPr>
                <w:rFonts w:hint="eastAsia" w:cs="Times New Roman"/>
                <w:kern w:val="0"/>
                <w:sz w:val="24"/>
                <w:szCs w:val="24"/>
                <w:lang w:val="en-US" w:eastAsia="zh-CN"/>
              </w:rPr>
              <w:t>0.708</w:t>
            </w:r>
            <w:r>
              <w:rPr>
                <w:rFonts w:hint="default" w:ascii="Times New Roman" w:hAnsi="Times New Roman" w:cs="Times New Roman"/>
                <w:kern w:val="0"/>
                <w:sz w:val="24"/>
                <w:szCs w:val="24"/>
              </w:rPr>
              <w:t>t/a，则废气产生量NH</w:t>
            </w:r>
            <w:r>
              <w:rPr>
                <w:rFonts w:hint="default" w:ascii="Times New Roman" w:hAnsi="Times New Roman" w:cs="Times New Roman"/>
                <w:kern w:val="0"/>
                <w:sz w:val="24"/>
                <w:szCs w:val="24"/>
                <w:vertAlign w:val="subscript"/>
              </w:rPr>
              <w:t>3</w:t>
            </w:r>
            <w:r>
              <w:rPr>
                <w:rFonts w:hint="default" w:ascii="Times New Roman" w:hAnsi="Times New Roman" w:cs="Times New Roman"/>
                <w:kern w:val="0"/>
                <w:sz w:val="24"/>
                <w:szCs w:val="24"/>
              </w:rPr>
              <w:t>为</w:t>
            </w:r>
            <w:r>
              <w:rPr>
                <w:rFonts w:hint="eastAsia" w:ascii="Times New Roman" w:hAnsi="Times New Roman" w:cs="Times New Roman"/>
                <w:kern w:val="0"/>
                <w:sz w:val="24"/>
                <w:szCs w:val="24"/>
                <w:lang w:val="en-US" w:eastAsia="zh-CN"/>
              </w:rPr>
              <w:t>0.0022</w:t>
            </w:r>
            <w:r>
              <w:rPr>
                <w:rFonts w:hint="default" w:ascii="Times New Roman" w:hAnsi="Times New Roman" w:cs="Times New Roman"/>
                <w:kern w:val="0"/>
                <w:sz w:val="24"/>
                <w:szCs w:val="24"/>
              </w:rPr>
              <w:t>t/a；H</w:t>
            </w:r>
            <w:r>
              <w:rPr>
                <w:rFonts w:hint="default" w:ascii="Times New Roman" w:hAnsi="Times New Roman" w:cs="Times New Roman"/>
                <w:kern w:val="0"/>
                <w:sz w:val="24"/>
                <w:szCs w:val="24"/>
                <w:vertAlign w:val="subscript"/>
              </w:rPr>
              <w:t>2</w:t>
            </w:r>
            <w:r>
              <w:rPr>
                <w:rFonts w:hint="default" w:ascii="Times New Roman" w:hAnsi="Times New Roman" w:cs="Times New Roman"/>
                <w:kern w:val="0"/>
                <w:sz w:val="24"/>
                <w:szCs w:val="24"/>
              </w:rPr>
              <w:t>S为</w:t>
            </w:r>
            <w:r>
              <w:rPr>
                <w:rFonts w:hint="eastAsia" w:ascii="Times New Roman" w:hAnsi="Times New Roman" w:cs="Times New Roman"/>
                <w:kern w:val="0"/>
                <w:sz w:val="24"/>
                <w:szCs w:val="24"/>
                <w:lang w:val="en-US" w:eastAsia="zh-CN"/>
              </w:rPr>
              <w:t>0.0000</w:t>
            </w:r>
            <w:r>
              <w:rPr>
                <w:rFonts w:hint="eastAsia" w:cs="Times New Roman"/>
                <w:kern w:val="0"/>
                <w:sz w:val="24"/>
                <w:szCs w:val="24"/>
                <w:lang w:val="en-US" w:eastAsia="zh-CN"/>
              </w:rPr>
              <w:t>8</w:t>
            </w:r>
            <w:r>
              <w:rPr>
                <w:rFonts w:hint="default" w:ascii="Times New Roman" w:hAnsi="Times New Roman" w:cs="Times New Roman"/>
                <w:kern w:val="0"/>
                <w:sz w:val="24"/>
                <w:szCs w:val="24"/>
              </w:rPr>
              <w:t>t/a。</w:t>
            </w:r>
            <w:r>
              <w:rPr>
                <w:rFonts w:hint="eastAsia" w:cs="Times New Roman"/>
                <w:kern w:val="0"/>
                <w:sz w:val="24"/>
                <w:szCs w:val="24"/>
                <w:lang w:val="en-US" w:eastAsia="zh-CN"/>
              </w:rPr>
              <w:t>污水处理站废气产生量较小，且</w:t>
            </w:r>
            <w:r>
              <w:rPr>
                <w:rFonts w:hint="default" w:ascii="Times New Roman" w:hAnsi="Times New Roman" w:cs="Times New Roman"/>
                <w:kern w:val="0"/>
                <w:sz w:val="24"/>
                <w:szCs w:val="24"/>
              </w:rPr>
              <w:t>污水处理站加盖封闭</w:t>
            </w:r>
            <w:r>
              <w:rPr>
                <w:rFonts w:hint="eastAsia" w:ascii="Times New Roman" w:hAnsi="Times New Roman" w:cs="Times New Roman"/>
                <w:kern w:val="0"/>
                <w:sz w:val="24"/>
                <w:szCs w:val="24"/>
                <w:lang w:val="en-US" w:eastAsia="zh-CN"/>
              </w:rPr>
              <w:t>，可通过定期喷洒除臭剂降低影响，污水处理站废气无组织排放</w:t>
            </w:r>
            <w:r>
              <w:rPr>
                <w:rFonts w:hint="default" w:ascii="Times New Roman" w:hAnsi="Times New Roman" w:cs="Times New Roman"/>
                <w:kern w:val="0"/>
                <w:sz w:val="24"/>
                <w:szCs w:val="24"/>
              </w:rPr>
              <w:t>。</w:t>
            </w:r>
          </w:p>
          <w:p w14:paraId="4E2BC831">
            <w:pPr>
              <w:spacing w:line="360" w:lineRule="auto"/>
              <w:ind w:firstLine="482" w:firstLineChars="200"/>
              <w:rPr>
                <w:rFonts w:hint="eastAsia"/>
                <w:b/>
                <w:bCs/>
                <w:sz w:val="24"/>
                <w:szCs w:val="24"/>
                <w:lang w:val="en-US" w:eastAsia="zh-CN"/>
              </w:rPr>
            </w:pPr>
            <w:r>
              <w:rPr>
                <w:rFonts w:hint="eastAsia"/>
                <w:b/>
                <w:bCs/>
                <w:sz w:val="24"/>
                <w:szCs w:val="24"/>
                <w:lang w:val="en-US" w:eastAsia="zh-CN"/>
              </w:rPr>
              <w:t>风量核算：</w:t>
            </w:r>
          </w:p>
          <w:p w14:paraId="0F9B5DE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表4-5风量核算一览表</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40"/>
              <w:gridCol w:w="686"/>
              <w:gridCol w:w="1550"/>
              <w:gridCol w:w="1527"/>
              <w:gridCol w:w="1210"/>
              <w:gridCol w:w="686"/>
              <w:gridCol w:w="1666"/>
            </w:tblGrid>
            <w:tr w14:paraId="50C0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3" w:type="pct"/>
                  <w:shd w:val="clear" w:color="auto" w:fill="auto"/>
                  <w:noWrap/>
                  <w:vAlign w:val="center"/>
                </w:tcPr>
                <w:p w14:paraId="642FA6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设备名称</w:t>
                  </w:r>
                </w:p>
              </w:tc>
              <w:tc>
                <w:tcPr>
                  <w:tcW w:w="405" w:type="pct"/>
                  <w:shd w:val="clear" w:color="auto" w:fill="auto"/>
                  <w:noWrap/>
                  <w:vAlign w:val="center"/>
                </w:tcPr>
                <w:p w14:paraId="507B3E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数量</w:t>
                  </w:r>
                </w:p>
              </w:tc>
              <w:tc>
                <w:tcPr>
                  <w:tcW w:w="915" w:type="pct"/>
                  <w:shd w:val="clear" w:color="auto" w:fill="auto"/>
                  <w:noWrap/>
                  <w:vAlign w:val="center"/>
                </w:tcPr>
                <w:p w14:paraId="36955F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管道内径mm</w:t>
                  </w:r>
                </w:p>
              </w:tc>
              <w:tc>
                <w:tcPr>
                  <w:tcW w:w="901" w:type="pct"/>
                  <w:shd w:val="clear" w:color="auto" w:fill="auto"/>
                  <w:noWrap/>
                  <w:vAlign w:val="center"/>
                </w:tcPr>
                <w:p w14:paraId="2117BA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管道流速m/s</w:t>
                  </w:r>
                </w:p>
              </w:tc>
              <w:tc>
                <w:tcPr>
                  <w:tcW w:w="714" w:type="pct"/>
                  <w:shd w:val="clear" w:color="auto" w:fill="auto"/>
                  <w:noWrap/>
                  <w:vAlign w:val="center"/>
                </w:tcPr>
                <w:p w14:paraId="283741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风量m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/h</w:t>
                  </w:r>
                </w:p>
              </w:tc>
              <w:tc>
                <w:tcPr>
                  <w:tcW w:w="405" w:type="pct"/>
                  <w:shd w:val="clear" w:color="auto" w:fill="auto"/>
                  <w:noWrap/>
                  <w:vAlign w:val="center"/>
                </w:tcPr>
                <w:p w14:paraId="212B5F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损耗</w:t>
                  </w:r>
                </w:p>
              </w:tc>
              <w:tc>
                <w:tcPr>
                  <w:tcW w:w="983" w:type="pct"/>
                  <w:shd w:val="clear" w:color="auto" w:fill="auto"/>
                  <w:noWrap/>
                  <w:vAlign w:val="center"/>
                </w:tcPr>
                <w:p w14:paraId="788EB4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设计风量m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/h</w:t>
                  </w:r>
                </w:p>
              </w:tc>
            </w:tr>
            <w:tr w14:paraId="1BBB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3" w:type="pct"/>
                  <w:shd w:val="clear" w:color="auto" w:fill="auto"/>
                  <w:noWrap/>
                  <w:vAlign w:val="center"/>
                </w:tcPr>
                <w:p w14:paraId="73AD75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水解罐</w:t>
                  </w:r>
                </w:p>
              </w:tc>
              <w:tc>
                <w:tcPr>
                  <w:tcW w:w="405" w:type="pct"/>
                  <w:shd w:val="clear" w:color="auto" w:fill="auto"/>
                  <w:noWrap/>
                  <w:vAlign w:val="center"/>
                </w:tcPr>
                <w:p w14:paraId="09E18C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915" w:type="pct"/>
                  <w:shd w:val="clear" w:color="auto" w:fill="auto"/>
                  <w:noWrap/>
                  <w:vAlign w:val="center"/>
                </w:tcPr>
                <w:p w14:paraId="3F1726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901" w:type="pct"/>
                  <w:shd w:val="clear" w:color="auto" w:fill="auto"/>
                  <w:noWrap/>
                  <w:vAlign w:val="center"/>
                </w:tcPr>
                <w:p w14:paraId="30EDC5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714" w:type="pct"/>
                  <w:shd w:val="clear" w:color="auto" w:fill="auto"/>
                  <w:noWrap/>
                  <w:vAlign w:val="center"/>
                </w:tcPr>
                <w:p w14:paraId="249317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6782.4</w:t>
                  </w:r>
                </w:p>
              </w:tc>
              <w:tc>
                <w:tcPr>
                  <w:tcW w:w="405" w:type="pct"/>
                  <w:shd w:val="clear" w:color="auto" w:fill="auto"/>
                  <w:noWrap/>
                  <w:vAlign w:val="center"/>
                </w:tcPr>
                <w:p w14:paraId="304EEFD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983" w:type="pct"/>
                  <w:shd w:val="clear" w:color="auto" w:fill="auto"/>
                  <w:noWrap/>
                  <w:vAlign w:val="center"/>
                </w:tcPr>
                <w:p w14:paraId="1C3E06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7</w:t>
                  </w:r>
                  <w:r>
                    <w:rPr>
                      <w:rFonts w:hint="eastAsia" w:ascii="Times New Roman" w:hAnsi="Times New Roman" w:eastAsia="宋体" w:cs="Times New Roman"/>
                      <w:i w:val="0"/>
                      <w:iCs w:val="0"/>
                      <w:color w:val="000000"/>
                      <w:kern w:val="0"/>
                      <w:sz w:val="21"/>
                      <w:szCs w:val="21"/>
                      <w:u w:val="none"/>
                      <w:lang w:val="en-US" w:eastAsia="zh-CN" w:bidi="ar"/>
                    </w:rPr>
                    <w:t>500</w:t>
                  </w:r>
                </w:p>
              </w:tc>
            </w:tr>
          </w:tbl>
          <w:p w14:paraId="57641A42">
            <w:pPr>
              <w:adjustRightInd w:val="0"/>
              <w:snapToGrid w:val="0"/>
              <w:spacing w:line="360" w:lineRule="auto"/>
              <w:ind w:firstLine="480" w:firstLineChars="200"/>
              <w:rPr>
                <w:rFonts w:ascii="宋体" w:hAnsi="宋体" w:cs="宋体"/>
                <w:bCs/>
                <w:color w:val="000000" w:themeColor="text1"/>
                <w:spacing w:val="0"/>
                <w:sz w:val="24"/>
                <w14:textFill>
                  <w14:solidFill>
                    <w14:schemeClr w14:val="tx1"/>
                  </w14:solidFill>
                </w14:textFill>
              </w:rPr>
            </w:pPr>
            <w:r>
              <w:rPr>
                <w:bCs/>
                <w:color w:val="000000" w:themeColor="text1"/>
                <w:spacing w:val="0"/>
                <w:sz w:val="24"/>
                <w14:textFill>
                  <w14:solidFill>
                    <w14:schemeClr w14:val="tx1"/>
                  </w14:solidFill>
                </w14:textFill>
              </w:rPr>
              <w:t>2、项目废气处理措</w:t>
            </w:r>
            <w:r>
              <w:rPr>
                <w:rFonts w:hint="eastAsia" w:ascii="宋体" w:hAnsi="宋体" w:cs="宋体"/>
                <w:bCs/>
                <w:color w:val="000000" w:themeColor="text1"/>
                <w:spacing w:val="0"/>
                <w:sz w:val="24"/>
                <w14:textFill>
                  <w14:solidFill>
                    <w14:schemeClr w14:val="tx1"/>
                  </w14:solidFill>
                </w14:textFill>
              </w:rPr>
              <w:t>施可行性分析：</w:t>
            </w:r>
          </w:p>
          <w:p w14:paraId="497D497B">
            <w:pPr>
              <w:pStyle w:val="12"/>
              <w:spacing w:before="0" w:after="0" w:line="360" w:lineRule="auto"/>
              <w:ind w:firstLine="480" w:firstLineChars="200"/>
              <w:rPr>
                <w:rFonts w:hint="default" w:eastAsia="宋体"/>
                <w:color w:val="000000" w:themeColor="text1"/>
                <w:spacing w:val="0"/>
                <w:sz w:val="24"/>
                <w:szCs w:val="24"/>
                <w:lang w:val="en-US" w:eastAsia="zh-CN"/>
                <w14:textFill>
                  <w14:solidFill>
                    <w14:schemeClr w14:val="tx1"/>
                  </w14:solidFill>
                </w14:textFill>
              </w:rPr>
            </w:pPr>
            <w:r>
              <w:rPr>
                <w:rFonts w:hint="eastAsia"/>
                <w:color w:val="000000" w:themeColor="text1"/>
                <w:spacing w:val="0"/>
                <w:sz w:val="24"/>
                <w:szCs w:val="24"/>
                <w:lang w:eastAsia="zh-CN"/>
                <w14:textFill>
                  <w14:solidFill>
                    <w14:schemeClr w14:val="tx1"/>
                  </w14:solidFill>
                </w14:textFill>
              </w:rPr>
              <w:t>（</w:t>
            </w:r>
            <w:r>
              <w:rPr>
                <w:rFonts w:hint="eastAsia"/>
                <w:color w:val="000000" w:themeColor="text1"/>
                <w:spacing w:val="0"/>
                <w:sz w:val="24"/>
                <w:szCs w:val="24"/>
                <w:lang w:val="en-US" w:eastAsia="zh-CN"/>
                <w14:textFill>
                  <w14:solidFill>
                    <w14:schemeClr w14:val="tx1"/>
                  </w14:solidFill>
                </w14:textFill>
              </w:rPr>
              <w:t>1</w:t>
            </w:r>
            <w:r>
              <w:rPr>
                <w:rFonts w:hint="eastAsia"/>
                <w:color w:val="000000" w:themeColor="text1"/>
                <w:spacing w:val="0"/>
                <w:sz w:val="24"/>
                <w:szCs w:val="24"/>
                <w:lang w:eastAsia="zh-CN"/>
                <w14:textFill>
                  <w14:solidFill>
                    <w14:schemeClr w14:val="tx1"/>
                  </w14:solidFill>
                </w14:textFill>
              </w:rPr>
              <w:t>）</w:t>
            </w:r>
            <w:r>
              <w:rPr>
                <w:rFonts w:hint="eastAsia"/>
                <w:color w:val="000000" w:themeColor="text1"/>
                <w:spacing w:val="0"/>
                <w:sz w:val="24"/>
                <w:szCs w:val="24"/>
                <w:lang w:val="en-US" w:eastAsia="zh-CN"/>
                <w14:textFill>
                  <w14:solidFill>
                    <w14:schemeClr w14:val="tx1"/>
                  </w14:solidFill>
                </w14:textFill>
              </w:rPr>
              <w:t>有组织废气处理措施</w:t>
            </w:r>
          </w:p>
          <w:p w14:paraId="0C48D09C">
            <w:pPr>
              <w:pStyle w:val="12"/>
              <w:spacing w:before="0" w:after="0" w:line="360" w:lineRule="auto"/>
              <w:ind w:firstLine="480" w:firstLineChars="200"/>
              <w:rPr>
                <w:rFonts w:hint="eastAsia"/>
                <w:color w:val="000000" w:themeColor="text1"/>
                <w:spacing w:val="0"/>
                <w:sz w:val="24"/>
                <w:szCs w:val="24"/>
                <w14:textFill>
                  <w14:solidFill>
                    <w14:schemeClr w14:val="tx1"/>
                  </w14:solidFill>
                </w14:textFill>
              </w:rPr>
            </w:pPr>
            <w:r>
              <w:rPr>
                <w:color w:val="000000" w:themeColor="text1"/>
                <w:spacing w:val="0"/>
                <w:sz w:val="24"/>
                <w14:textFill>
                  <w14:solidFill>
                    <w14:schemeClr w14:val="tx1"/>
                  </w14:solidFill>
                </w14:textFill>
              </w:rPr>
              <w:t>针对</w:t>
            </w:r>
            <w:r>
              <w:rPr>
                <w:rFonts w:hint="eastAsia"/>
                <w:color w:val="000000" w:themeColor="text1"/>
                <w:spacing w:val="0"/>
                <w:sz w:val="24"/>
                <w:lang w:val="en-US" w:eastAsia="zh-CN"/>
                <w14:textFill>
                  <w14:solidFill>
                    <w14:schemeClr w14:val="tx1"/>
                  </w14:solidFill>
                </w14:textFill>
              </w:rPr>
              <w:t>水解工序</w:t>
            </w:r>
            <w:r>
              <w:rPr>
                <w:color w:val="000000" w:themeColor="text1"/>
                <w:spacing w:val="0"/>
                <w:sz w:val="24"/>
                <w14:textFill>
                  <w14:solidFill>
                    <w14:schemeClr w14:val="tx1"/>
                  </w14:solidFill>
                </w14:textFill>
              </w:rPr>
              <w:t>产生的恶臭气体，本环评要求</w:t>
            </w:r>
            <w:r>
              <w:rPr>
                <w:rFonts w:hint="eastAsia"/>
                <w:color w:val="000000" w:themeColor="text1"/>
                <w:spacing w:val="0"/>
                <w:sz w:val="24"/>
                <w:lang w:val="en-US" w:eastAsia="zh-CN"/>
                <w14:textFill>
                  <w14:solidFill>
                    <w14:schemeClr w14:val="tx1"/>
                  </w14:solidFill>
                </w14:textFill>
              </w:rPr>
              <w:t>引风机收集恶臭气体进入</w:t>
            </w:r>
            <w:r>
              <w:rPr>
                <w:color w:val="000000" w:themeColor="text1"/>
                <w:spacing w:val="0"/>
                <w:sz w:val="24"/>
                <w14:textFill>
                  <w14:solidFill>
                    <w14:schemeClr w14:val="tx1"/>
                  </w14:solidFill>
                </w14:textFill>
              </w:rPr>
              <w:t>生物除臭塔</w:t>
            </w:r>
            <w:r>
              <w:rPr>
                <w:rFonts w:hint="eastAsia"/>
                <w:color w:val="000000" w:themeColor="text1"/>
                <w:spacing w:val="0"/>
                <w:sz w:val="24"/>
                <w14:textFill>
                  <w14:solidFill>
                    <w14:schemeClr w14:val="tx1"/>
                  </w14:solidFill>
                </w14:textFill>
              </w:rPr>
              <w:t>吸收装置处理，处理后</w:t>
            </w:r>
            <w:r>
              <w:rPr>
                <w:color w:val="000000" w:themeColor="text1"/>
                <w:spacing w:val="0"/>
                <w:sz w:val="24"/>
                <w14:textFill>
                  <w14:solidFill>
                    <w14:schemeClr w14:val="tx1"/>
                  </w14:solidFill>
                </w14:textFill>
              </w:rPr>
              <w:t>经15m高排气筒排放。</w:t>
            </w:r>
            <w:r>
              <w:rPr>
                <w:rFonts w:hint="eastAsia"/>
                <w:color w:val="000000" w:themeColor="text1"/>
                <w:spacing w:val="0"/>
                <w:sz w:val="24"/>
                <w:szCs w:val="24"/>
                <w:lang w:val="en-US" w:eastAsia="zh-CN"/>
                <w14:textFill>
                  <w14:solidFill>
                    <w14:schemeClr w14:val="tx1"/>
                  </w14:solidFill>
                </w14:textFill>
              </w:rPr>
              <w:t>参照</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排污许可证申请与核发技术规范</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农副食品加工工业—饲料加工、植物油加工工业</w:t>
            </w:r>
            <w:r>
              <w:rPr>
                <w:color w:val="000000" w:themeColor="text1"/>
                <w:sz w:val="24"/>
                <w14:textFill>
                  <w14:solidFill>
                    <w14:schemeClr w14:val="tx1"/>
                  </w14:solidFill>
                </w14:textFill>
              </w:rPr>
              <w:t>》（HJ</w:t>
            </w:r>
            <w:r>
              <w:rPr>
                <w:rFonts w:hint="eastAsia"/>
                <w:color w:val="000000" w:themeColor="text1"/>
                <w:sz w:val="24"/>
                <w:lang w:val="en-US" w:eastAsia="zh-CN"/>
                <w14:textFill>
                  <w14:solidFill>
                    <w14:schemeClr w14:val="tx1"/>
                  </w14:solidFill>
                </w14:textFill>
              </w:rPr>
              <w:t>1110</w:t>
            </w:r>
            <w:r>
              <w:rPr>
                <w:color w:val="000000" w:themeColor="text1"/>
                <w:sz w:val="24"/>
                <w14:textFill>
                  <w14:solidFill>
                    <w14:schemeClr w14:val="tx1"/>
                  </w14:solidFill>
                </w14:textFill>
              </w:rPr>
              <w:t>-20</w:t>
            </w:r>
            <w:r>
              <w:rPr>
                <w:rFonts w:hint="eastAsia"/>
                <w:color w:val="000000" w:themeColor="text1"/>
                <w:sz w:val="24"/>
                <w:lang w:val="en-US" w:eastAsia="zh-CN"/>
                <w14:textFill>
                  <w14:solidFill>
                    <w14:schemeClr w14:val="tx1"/>
                  </w14:solidFill>
                </w14:textFill>
              </w:rPr>
              <w:t>20</w:t>
            </w: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附录C</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恶臭污染物可行技术为</w:t>
            </w:r>
            <w:r>
              <w:rPr>
                <w:rFonts w:hint="eastAsia"/>
                <w:color w:val="000000" w:themeColor="text1"/>
                <w:sz w:val="24"/>
                <w:lang w:eastAsia="zh-CN"/>
                <w14:textFill>
                  <w14:solidFill>
                    <w14:schemeClr w14:val="tx1"/>
                  </w14:solidFill>
                </w14:textFill>
              </w:rPr>
              <w:t>喷淋塔除臭、活性炭吸附除臭</w:t>
            </w:r>
            <w:r>
              <w:rPr>
                <w:rFonts w:hint="eastAsia"/>
                <w:color w:val="000000" w:themeColor="text1"/>
                <w:sz w:val="24"/>
                <w:lang w:val="en-US" w:eastAsia="zh-CN"/>
                <w14:textFill>
                  <w14:solidFill>
                    <w14:schemeClr w14:val="tx1"/>
                  </w14:solidFill>
                </w14:textFill>
              </w:rPr>
              <w:t>和</w:t>
            </w:r>
            <w:r>
              <w:rPr>
                <w:rFonts w:hint="eastAsia"/>
                <w:color w:val="000000" w:themeColor="text1"/>
                <w:sz w:val="24"/>
                <w:lang w:eastAsia="zh-CN"/>
                <w14:textFill>
                  <w14:solidFill>
                    <w14:schemeClr w14:val="tx1"/>
                  </w14:solidFill>
                </w14:textFill>
              </w:rPr>
              <w:t>生物除臭。</w:t>
            </w:r>
            <w:r>
              <w:rPr>
                <w:color w:val="000000" w:themeColor="text1"/>
                <w:spacing w:val="0"/>
                <w:sz w:val="24"/>
                <w:szCs w:val="24"/>
                <w14:textFill>
                  <w14:solidFill>
                    <w14:schemeClr w14:val="tx1"/>
                  </w14:solidFill>
                </w14:textFill>
              </w:rPr>
              <w:t>本项目</w:t>
            </w:r>
            <w:r>
              <w:rPr>
                <w:rFonts w:hint="eastAsia"/>
                <w:color w:val="000000" w:themeColor="text1"/>
                <w:spacing w:val="0"/>
                <w:sz w:val="24"/>
                <w:szCs w:val="24"/>
                <w:lang w:val="en-US" w:eastAsia="zh-CN"/>
                <w14:textFill>
                  <w14:solidFill>
                    <w14:schemeClr w14:val="tx1"/>
                  </w14:solidFill>
                </w14:textFill>
              </w:rPr>
              <w:t>水解恶臭</w:t>
            </w:r>
            <w:r>
              <w:rPr>
                <w:color w:val="000000" w:themeColor="text1"/>
                <w:spacing w:val="0"/>
                <w:sz w:val="24"/>
                <w:szCs w:val="24"/>
                <w14:textFill>
                  <w14:solidFill>
                    <w14:schemeClr w14:val="tx1"/>
                  </w14:solidFill>
                </w14:textFill>
              </w:rPr>
              <w:t>采取生物除臭工艺，</w:t>
            </w:r>
            <w:r>
              <w:rPr>
                <w:rFonts w:hint="eastAsia"/>
                <w:color w:val="000000" w:themeColor="text1"/>
                <w:sz w:val="24"/>
                <w:lang w:val="en-US" w:eastAsia="zh-CN"/>
                <w14:textFill>
                  <w14:solidFill>
                    <w14:schemeClr w14:val="tx1"/>
                  </w14:solidFill>
                </w14:textFill>
              </w:rPr>
              <w:t>属于可行技术，</w:t>
            </w:r>
            <w:r>
              <w:rPr>
                <w:rFonts w:ascii="宋体" w:hAnsi="宋体" w:cs="宋体"/>
                <w:color w:val="000000" w:themeColor="text1"/>
                <w:spacing w:val="0"/>
                <w:sz w:val="24"/>
                <w:szCs w:val="24"/>
                <w14:textFill>
                  <w14:solidFill>
                    <w14:schemeClr w14:val="tx1"/>
                  </w14:solidFill>
                </w14:textFill>
              </w:rPr>
              <w:t>因此</w:t>
            </w:r>
            <w:r>
              <w:rPr>
                <w:rFonts w:hint="eastAsia" w:ascii="宋体" w:hAnsi="宋体" w:cs="宋体"/>
                <w:color w:val="000000" w:themeColor="text1"/>
                <w:spacing w:val="0"/>
                <w:sz w:val="24"/>
                <w:szCs w:val="24"/>
                <w14:textFill>
                  <w14:solidFill>
                    <w14:schemeClr w14:val="tx1"/>
                  </w14:solidFill>
                </w14:textFill>
              </w:rPr>
              <w:t>，</w:t>
            </w:r>
            <w:r>
              <w:rPr>
                <w:color w:val="000000" w:themeColor="text1"/>
                <w:spacing w:val="0"/>
                <w:sz w:val="24"/>
                <w:szCs w:val="24"/>
                <w14:textFill>
                  <w14:solidFill>
                    <w14:schemeClr w14:val="tx1"/>
                  </w14:solidFill>
                </w14:textFill>
              </w:rPr>
              <w:t>本项目</w:t>
            </w:r>
            <w:r>
              <w:rPr>
                <w:rFonts w:hint="eastAsia"/>
                <w:color w:val="000000" w:themeColor="text1"/>
                <w:spacing w:val="0"/>
                <w:sz w:val="24"/>
                <w:szCs w:val="24"/>
                <w14:textFill>
                  <w14:solidFill>
                    <w14:schemeClr w14:val="tx1"/>
                  </w14:solidFill>
                </w14:textFill>
              </w:rPr>
              <w:t>废</w:t>
            </w:r>
            <w:r>
              <w:rPr>
                <w:color w:val="000000" w:themeColor="text1"/>
                <w:spacing w:val="0"/>
                <w:sz w:val="24"/>
                <w:szCs w:val="24"/>
                <w14:textFill>
                  <w14:solidFill>
                    <w14:schemeClr w14:val="tx1"/>
                  </w14:solidFill>
                </w14:textFill>
              </w:rPr>
              <w:t>气处理措施可行</w:t>
            </w:r>
            <w:r>
              <w:rPr>
                <w:rFonts w:hint="eastAsia"/>
                <w:color w:val="000000" w:themeColor="text1"/>
                <w:spacing w:val="0"/>
                <w:sz w:val="24"/>
                <w:szCs w:val="24"/>
                <w14:textFill>
                  <w14:solidFill>
                    <w14:schemeClr w14:val="tx1"/>
                  </w14:solidFill>
                </w14:textFill>
              </w:rPr>
              <w:t>。</w:t>
            </w:r>
          </w:p>
          <w:p w14:paraId="5459FC60">
            <w:pPr>
              <w:pStyle w:val="12"/>
              <w:adjustRightInd w:val="0"/>
              <w:spacing w:before="0" w:after="0" w:line="360" w:lineRule="auto"/>
              <w:ind w:right="0"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恶臭气体</w:t>
            </w:r>
            <w:r>
              <w:rPr>
                <w:rFonts w:hint="eastAsia"/>
                <w:color w:val="000000" w:themeColor="text1"/>
                <w:sz w:val="24"/>
                <w:szCs w:val="24"/>
                <w14:textFill>
                  <w14:solidFill>
                    <w14:schemeClr w14:val="tx1"/>
                  </w14:solidFill>
                </w14:textFill>
              </w:rPr>
              <w:t>中</w:t>
            </w:r>
            <w:r>
              <w:rPr>
                <w:color w:val="000000" w:themeColor="text1"/>
                <w:sz w:val="24"/>
                <w:szCs w:val="24"/>
                <w14:textFill>
                  <w14:solidFill>
                    <w14:schemeClr w14:val="tx1"/>
                  </w14:solidFill>
                </w14:textFill>
              </w:rPr>
              <w:t>H</w:t>
            </w:r>
            <w:r>
              <w:rPr>
                <w:color w:val="000000" w:themeColor="text1"/>
                <w:sz w:val="24"/>
                <w:szCs w:val="24"/>
                <w:vertAlign w:val="subscript"/>
                <w14:textFill>
                  <w14:solidFill>
                    <w14:schemeClr w14:val="tx1"/>
                  </w14:solidFill>
                </w14:textFill>
              </w:rPr>
              <w:t>2</w:t>
            </w:r>
            <w:r>
              <w:rPr>
                <w:color w:val="000000" w:themeColor="text1"/>
                <w:sz w:val="24"/>
                <w:szCs w:val="24"/>
                <w14:textFill>
                  <w14:solidFill>
                    <w14:schemeClr w14:val="tx1"/>
                  </w14:solidFill>
                </w14:textFill>
              </w:rPr>
              <w:t>S</w:t>
            </w:r>
            <w:r>
              <w:rPr>
                <w:rFonts w:hint="eastAsia"/>
                <w:color w:val="000000" w:themeColor="text1"/>
                <w:sz w:val="24"/>
                <w:szCs w:val="24"/>
                <w14:textFill>
                  <w14:solidFill>
                    <w14:schemeClr w14:val="tx1"/>
                  </w14:solidFill>
                </w14:textFill>
              </w:rPr>
              <w:t>为</w:t>
            </w:r>
            <w:r>
              <w:rPr>
                <w:color w:val="000000" w:themeColor="text1"/>
                <w:sz w:val="24"/>
                <w:szCs w:val="24"/>
                <w14:textFill>
                  <w14:solidFill>
                    <w14:schemeClr w14:val="tx1"/>
                  </w14:solidFill>
                </w14:textFill>
              </w:rPr>
              <w:t>酸性气体，NH</w:t>
            </w:r>
            <w:r>
              <w:rPr>
                <w:color w:val="000000" w:themeColor="text1"/>
                <w:sz w:val="24"/>
                <w:szCs w:val="24"/>
                <w:vertAlign w:val="subscript"/>
                <w14:textFill>
                  <w14:solidFill>
                    <w14:schemeClr w14:val="tx1"/>
                  </w14:solidFill>
                </w14:textFill>
              </w:rPr>
              <w:t>3</w:t>
            </w:r>
            <w:r>
              <w:rPr>
                <w:rFonts w:hint="eastAsia"/>
                <w:color w:val="000000" w:themeColor="text1"/>
                <w:sz w:val="24"/>
                <w:szCs w:val="24"/>
                <w14:textFill>
                  <w14:solidFill>
                    <w14:schemeClr w14:val="tx1"/>
                  </w14:solidFill>
                </w14:textFill>
              </w:rPr>
              <w:t>为</w:t>
            </w:r>
            <w:r>
              <w:rPr>
                <w:color w:val="000000" w:themeColor="text1"/>
                <w:sz w:val="24"/>
                <w:szCs w:val="24"/>
                <w14:textFill>
                  <w14:solidFill>
                    <w14:schemeClr w14:val="tx1"/>
                  </w14:solidFill>
                </w14:textFill>
              </w:rPr>
              <w:t>碱性</w:t>
            </w:r>
            <w:r>
              <w:rPr>
                <w:rFonts w:hint="eastAsia"/>
                <w:color w:val="000000" w:themeColor="text1"/>
                <w:sz w:val="24"/>
                <w:szCs w:val="24"/>
                <w14:textFill>
                  <w14:solidFill>
                    <w14:schemeClr w14:val="tx1"/>
                  </w14:solidFill>
                </w14:textFill>
              </w:rPr>
              <w:t>，但</w:t>
            </w:r>
            <w:r>
              <w:rPr>
                <w:color w:val="000000" w:themeColor="text1"/>
                <w:sz w:val="24"/>
                <w:szCs w:val="24"/>
                <w14:textFill>
                  <w14:solidFill>
                    <w14:schemeClr w14:val="tx1"/>
                  </w14:solidFill>
                </w14:textFill>
              </w:rPr>
              <w:t>NH</w:t>
            </w:r>
            <w:r>
              <w:rPr>
                <w:color w:val="000000" w:themeColor="text1"/>
                <w:sz w:val="24"/>
                <w:szCs w:val="24"/>
                <w:vertAlign w:val="subscript"/>
                <w14:textFill>
                  <w14:solidFill>
                    <w14:schemeClr w14:val="tx1"/>
                  </w14:solidFill>
                </w14:textFill>
              </w:rPr>
              <w:t>3</w:t>
            </w:r>
            <w:r>
              <w:rPr>
                <w:rFonts w:hint="eastAsia"/>
                <w:color w:val="000000" w:themeColor="text1"/>
                <w:sz w:val="24"/>
                <w:szCs w:val="24"/>
                <w14:textFill>
                  <w14:solidFill>
                    <w14:schemeClr w14:val="tx1"/>
                  </w14:solidFill>
                </w14:textFill>
              </w:rPr>
              <w:t>极</w:t>
            </w:r>
            <w:r>
              <w:rPr>
                <w:color w:val="000000" w:themeColor="text1"/>
                <w:sz w:val="24"/>
                <w:szCs w:val="24"/>
                <w14:textFill>
                  <w14:solidFill>
                    <w14:schemeClr w14:val="tx1"/>
                  </w14:solidFill>
                </w14:textFill>
              </w:rPr>
              <w:t>易溶于水的物质，采</w:t>
            </w:r>
            <w:r>
              <w:rPr>
                <w:rFonts w:hint="eastAsia"/>
                <w:color w:val="000000" w:themeColor="text1"/>
                <w:sz w:val="24"/>
                <w:szCs w:val="24"/>
                <w14:textFill>
                  <w14:solidFill>
                    <w14:schemeClr w14:val="tx1"/>
                  </w14:solidFill>
                </w14:textFill>
              </w:rPr>
              <w:t>用</w:t>
            </w:r>
            <w:r>
              <w:rPr>
                <w:color w:val="000000" w:themeColor="text1"/>
                <w:sz w:val="24"/>
                <w14:textFill>
                  <w14:solidFill>
                    <w14:schemeClr w14:val="tx1"/>
                  </w14:solidFill>
                </w14:textFill>
              </w:rPr>
              <w:t>生物除臭塔</w:t>
            </w:r>
            <w:r>
              <w:rPr>
                <w:rFonts w:hint="eastAsia"/>
                <w:color w:val="000000" w:themeColor="text1"/>
                <w:sz w:val="24"/>
                <w:szCs w:val="24"/>
                <w14:textFill>
                  <w14:solidFill>
                    <w14:schemeClr w14:val="tx1"/>
                  </w14:solidFill>
                </w14:textFill>
              </w:rPr>
              <w:t>吸收处理。微生物在生长过程中，会将外部物质转化为代谢物，二氧化碳和水，或者是将外部物质转变为无害的细胞物质。在生物化学作用下，污染物可以转变成无污染物质。</w:t>
            </w:r>
          </w:p>
          <w:p w14:paraId="6A26E458">
            <w:pPr>
              <w:pStyle w:val="12"/>
              <w:adjustRightInd w:val="0"/>
              <w:spacing w:before="0" w:after="0" w:line="360" w:lineRule="auto"/>
              <w:ind w:right="0"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大自然中存在着分解恶臭或诱导产生分介酶的微生物，但气相物质一般因其浓度较低而难以实现生物化学反应，因此臭气的生物净化过程需要通过生物脱臭塔的过滤来完成。</w:t>
            </w:r>
          </w:p>
          <w:p w14:paraId="71DE7C06">
            <w:pPr>
              <w:pStyle w:val="12"/>
              <w:adjustRightInd w:val="0"/>
              <w:spacing w:before="0" w:after="0" w:line="360" w:lineRule="auto"/>
              <w:ind w:right="0"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废气由塔底进入，经填料段微生物吸附、吸收、恶臭物质转移到微生物体内，作为能量和营养物质在微生物代谢过程中分解，转化为无害的化合物，再由生物除臭塔排出，从而完成生物除臭过程。</w:t>
            </w:r>
          </w:p>
          <w:p w14:paraId="28C14DE1">
            <w:pPr>
              <w:pStyle w:val="12"/>
              <w:adjustRightInd w:val="0"/>
              <w:spacing w:before="0" w:after="0" w:line="360" w:lineRule="auto"/>
              <w:ind w:right="0"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其结构形式如下图所示。</w:t>
            </w:r>
          </w:p>
          <w:p w14:paraId="627DAB7F">
            <w:pPr>
              <w:spacing w:line="360" w:lineRule="auto"/>
              <w:jc w:val="center"/>
              <w:rPr>
                <w:color w:val="000000" w:themeColor="text1"/>
                <w:sz w:val="24"/>
                <w14:textFill>
                  <w14:solidFill>
                    <w14:schemeClr w14:val="tx1"/>
                  </w14:solidFill>
                </w14:textFill>
              </w:rPr>
            </w:pPr>
            <w:r>
              <w:rPr>
                <w:color w:val="000000" w:themeColor="text1"/>
                <w14:textFill>
                  <w14:solidFill>
                    <w14:schemeClr w14:val="tx1"/>
                  </w14:solidFill>
                </w14:textFill>
              </w:rPr>
              <w:drawing>
                <wp:inline distT="0" distB="0" distL="114300" distR="114300">
                  <wp:extent cx="3862705" cy="2348230"/>
                  <wp:effectExtent l="0" t="0" r="4445" b="13970"/>
                  <wp:docPr id="1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2"/>
                          <pic:cNvPicPr>
                            <a:picLocks noChangeAspect="1"/>
                          </pic:cNvPicPr>
                        </pic:nvPicPr>
                        <pic:blipFill>
                          <a:blip r:embed="rId12"/>
                          <a:stretch>
                            <a:fillRect/>
                          </a:stretch>
                        </pic:blipFill>
                        <pic:spPr>
                          <a:xfrm>
                            <a:off x="0" y="0"/>
                            <a:ext cx="3862705" cy="2348230"/>
                          </a:xfrm>
                          <a:prstGeom prst="rect">
                            <a:avLst/>
                          </a:prstGeom>
                          <a:noFill/>
                          <a:ln>
                            <a:noFill/>
                          </a:ln>
                        </pic:spPr>
                      </pic:pic>
                    </a:graphicData>
                  </a:graphic>
                </wp:inline>
              </w:drawing>
            </w:r>
          </w:p>
          <w:p w14:paraId="77408E20">
            <w:pPr>
              <w:tabs>
                <w:tab w:val="left" w:pos="4579"/>
              </w:tabs>
              <w:spacing w:before="26" w:line="360" w:lineRule="auto"/>
              <w:ind w:right="115"/>
              <w:jc w:val="center"/>
              <w:rPr>
                <w:color w:val="000000" w:themeColor="text1"/>
                <w:sz w:val="24"/>
                <w:vertAlign w:val="superscript"/>
                <w:lang w:bidi="zh-CN"/>
                <w14:textFill>
                  <w14:solidFill>
                    <w14:schemeClr w14:val="tx1"/>
                  </w14:solidFill>
                </w14:textFill>
              </w:rPr>
            </w:pPr>
            <w:r>
              <w:rPr>
                <w:b/>
                <w:bCs/>
                <w:color w:val="000000" w:themeColor="text1"/>
                <w:spacing w:val="-1"/>
                <w:sz w:val="24"/>
                <w14:textFill>
                  <w14:solidFill>
                    <w14:schemeClr w14:val="tx1"/>
                  </w14:solidFill>
                </w14:textFill>
              </w:rPr>
              <w:t>图</w:t>
            </w:r>
            <w:r>
              <w:rPr>
                <w:rFonts w:hint="eastAsia"/>
                <w:b/>
                <w:bCs/>
                <w:color w:val="000000" w:themeColor="text1"/>
                <w:spacing w:val="-1"/>
                <w:sz w:val="24"/>
                <w14:textFill>
                  <w14:solidFill>
                    <w14:schemeClr w14:val="tx1"/>
                  </w14:solidFill>
                </w14:textFill>
              </w:rPr>
              <w:t xml:space="preserve">4-1 </w:t>
            </w:r>
            <w:r>
              <w:rPr>
                <w:b/>
                <w:bCs/>
                <w:color w:val="000000" w:themeColor="text1"/>
                <w:sz w:val="24"/>
                <w14:textFill>
                  <w14:solidFill>
                    <w14:schemeClr w14:val="tx1"/>
                  </w14:solidFill>
                </w14:textFill>
              </w:rPr>
              <w:t>生物除臭塔结构图</w:t>
            </w:r>
          </w:p>
          <w:p w14:paraId="0C78AA1E">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通过采取以上措施，H</w:t>
            </w:r>
            <w:r>
              <w:rPr>
                <w:color w:val="000000" w:themeColor="text1"/>
                <w:sz w:val="24"/>
                <w:vertAlign w:val="subscript"/>
                <w14:textFill>
                  <w14:solidFill>
                    <w14:schemeClr w14:val="tx1"/>
                  </w14:solidFill>
                </w14:textFill>
              </w:rPr>
              <w:t>2</w:t>
            </w:r>
            <w:r>
              <w:rPr>
                <w:color w:val="000000" w:themeColor="text1"/>
                <w:sz w:val="24"/>
                <w14:textFill>
                  <w14:solidFill>
                    <w14:schemeClr w14:val="tx1"/>
                  </w14:solidFill>
                </w14:textFill>
              </w:rPr>
              <w:t>S、NH</w:t>
            </w:r>
            <w:r>
              <w:rPr>
                <w:color w:val="000000" w:themeColor="text1"/>
                <w:sz w:val="24"/>
                <w:vertAlign w:val="subscript"/>
                <w14:textFill>
                  <w14:solidFill>
                    <w14:schemeClr w14:val="tx1"/>
                  </w14:solidFill>
                </w14:textFill>
              </w:rPr>
              <w:t>3</w:t>
            </w:r>
            <w:r>
              <w:rPr>
                <w:color w:val="000000" w:themeColor="text1"/>
                <w:sz w:val="24"/>
                <w14:textFill>
                  <w14:solidFill>
                    <w14:schemeClr w14:val="tx1"/>
                  </w14:solidFill>
                </w14:textFill>
              </w:rPr>
              <w:t>的排放浓度均能满足《恶臭污染物排放标准》（GB14554-93）标准要求，本环评提出的恶臭处理措施是可行的。</w:t>
            </w:r>
          </w:p>
          <w:p w14:paraId="427980EC">
            <w:pPr>
              <w:pStyle w:val="12"/>
              <w:spacing w:before="0" w:after="0" w:line="360" w:lineRule="auto"/>
              <w:ind w:firstLine="480" w:firstLineChars="200"/>
              <w:rPr>
                <w:rFonts w:hint="default" w:eastAsia="宋体"/>
                <w:color w:val="000000" w:themeColor="text1"/>
                <w:spacing w:val="0"/>
                <w:sz w:val="24"/>
                <w:szCs w:val="24"/>
                <w:lang w:val="en-US" w:eastAsia="zh-CN"/>
                <w14:textFill>
                  <w14:solidFill>
                    <w14:schemeClr w14:val="tx1"/>
                  </w14:solidFill>
                </w14:textFill>
              </w:rPr>
            </w:pPr>
            <w:r>
              <w:rPr>
                <w:rFonts w:hint="eastAsia"/>
                <w:color w:val="000000" w:themeColor="text1"/>
                <w:spacing w:val="0"/>
                <w:sz w:val="24"/>
                <w:szCs w:val="24"/>
                <w:lang w:eastAsia="zh-CN"/>
                <w14:textFill>
                  <w14:solidFill>
                    <w14:schemeClr w14:val="tx1"/>
                  </w14:solidFill>
                </w14:textFill>
              </w:rPr>
              <w:t>（</w:t>
            </w:r>
            <w:r>
              <w:rPr>
                <w:rFonts w:hint="eastAsia"/>
                <w:color w:val="000000" w:themeColor="text1"/>
                <w:spacing w:val="0"/>
                <w:sz w:val="24"/>
                <w:szCs w:val="24"/>
                <w:lang w:val="en-US" w:eastAsia="zh-CN"/>
                <w14:textFill>
                  <w14:solidFill>
                    <w14:schemeClr w14:val="tx1"/>
                  </w14:solidFill>
                </w14:textFill>
              </w:rPr>
              <w:t>2</w:t>
            </w:r>
            <w:r>
              <w:rPr>
                <w:rFonts w:hint="eastAsia"/>
                <w:color w:val="000000" w:themeColor="text1"/>
                <w:spacing w:val="0"/>
                <w:sz w:val="24"/>
                <w:szCs w:val="24"/>
                <w:lang w:eastAsia="zh-CN"/>
                <w14:textFill>
                  <w14:solidFill>
                    <w14:schemeClr w14:val="tx1"/>
                  </w14:solidFill>
                </w14:textFill>
              </w:rPr>
              <w:t>）</w:t>
            </w:r>
            <w:r>
              <w:rPr>
                <w:rFonts w:hint="eastAsia"/>
                <w:color w:val="000000" w:themeColor="text1"/>
                <w:spacing w:val="0"/>
                <w:sz w:val="24"/>
                <w:szCs w:val="24"/>
                <w:lang w:val="en-US" w:eastAsia="zh-CN"/>
                <w14:textFill>
                  <w14:solidFill>
                    <w14:schemeClr w14:val="tx1"/>
                  </w14:solidFill>
                </w14:textFill>
              </w:rPr>
              <w:t>无组织废气处理措施</w:t>
            </w:r>
          </w:p>
          <w:p w14:paraId="4511A114">
            <w:pPr>
              <w:pStyle w:val="12"/>
              <w:spacing w:before="0" w:after="0" w:line="360" w:lineRule="auto"/>
              <w:ind w:firstLine="480" w:firstLineChars="200"/>
              <w:rPr>
                <w:rFonts w:hint="eastAsia" w:ascii="Times New Roman" w:hAnsi="Times New Roman" w:eastAsia="宋体" w:cs="Times New Roman"/>
                <w:color w:val="000000" w:themeColor="text1"/>
                <w:spacing w:val="0"/>
                <w:sz w:val="24"/>
                <w:szCs w:val="24"/>
                <w14:textFill>
                  <w14:solidFill>
                    <w14:schemeClr w14:val="tx1"/>
                  </w14:solidFill>
                </w14:textFill>
              </w:rPr>
            </w:pPr>
            <w:r>
              <w:rPr>
                <w:rFonts w:hint="eastAsia" w:ascii="Times New Roman" w:hAnsi="Times New Roman" w:eastAsia="宋体" w:cs="Times New Roman"/>
                <w:color w:val="000000" w:themeColor="text1"/>
                <w:spacing w:val="0"/>
                <w:sz w:val="24"/>
                <w:szCs w:val="24"/>
                <w14:textFill>
                  <w14:solidFill>
                    <w14:schemeClr w14:val="tx1"/>
                  </w14:solidFill>
                </w14:textFill>
              </w:rPr>
              <w:t>项目</w:t>
            </w:r>
            <w:r>
              <w:rPr>
                <w:rFonts w:hint="eastAsia" w:ascii="Times New Roman" w:hAnsi="Times New Roman" w:eastAsia="宋体" w:cs="Times New Roman"/>
                <w:color w:val="000000" w:themeColor="text1"/>
                <w:spacing w:val="0"/>
                <w:sz w:val="24"/>
                <w:szCs w:val="24"/>
                <w:lang w:val="en-US" w:eastAsia="zh-CN"/>
                <w14:textFill>
                  <w14:solidFill>
                    <w14:schemeClr w14:val="tx1"/>
                  </w14:solidFill>
                </w14:textFill>
              </w:rPr>
              <w:t>生产</w:t>
            </w:r>
            <w:r>
              <w:rPr>
                <w:rFonts w:hint="eastAsia" w:cs="Times New Roman"/>
                <w:color w:val="000000" w:themeColor="text1"/>
                <w:spacing w:val="0"/>
                <w:sz w:val="24"/>
                <w:szCs w:val="24"/>
                <w:lang w:val="en-US" w:eastAsia="zh-CN"/>
                <w14:textFill>
                  <w14:solidFill>
                    <w14:schemeClr w14:val="tx1"/>
                  </w14:solidFill>
                </w14:textFill>
              </w:rPr>
              <w:t>在</w:t>
            </w:r>
            <w:r>
              <w:rPr>
                <w:rFonts w:hint="eastAsia" w:ascii="Times New Roman" w:hAnsi="Times New Roman" w:eastAsia="宋体" w:cs="Times New Roman"/>
                <w:color w:val="000000" w:themeColor="text1"/>
                <w:spacing w:val="0"/>
                <w:sz w:val="24"/>
                <w:szCs w:val="24"/>
                <w14:textFill>
                  <w14:solidFill>
                    <w14:schemeClr w14:val="tx1"/>
                  </w14:solidFill>
                </w14:textFill>
              </w:rPr>
              <w:t>厂房内进行</w:t>
            </w:r>
            <w:r>
              <w:rPr>
                <w:rFonts w:hint="eastAsia" w:cs="Times New Roman"/>
                <w:color w:val="000000" w:themeColor="text1"/>
                <w:spacing w:val="0"/>
                <w:sz w:val="24"/>
                <w:szCs w:val="24"/>
                <w:lang w:eastAsia="zh-CN"/>
                <w14:textFill>
                  <w14:solidFill>
                    <w14:schemeClr w14:val="tx1"/>
                  </w14:solidFill>
                </w14:textFill>
              </w:rPr>
              <w:t>，</w:t>
            </w:r>
            <w:r>
              <w:rPr>
                <w:rFonts w:hint="eastAsia" w:ascii="Times New Roman" w:hAnsi="Times New Roman" w:eastAsia="宋体" w:cs="Times New Roman"/>
                <w:color w:val="000000" w:themeColor="text1"/>
                <w:spacing w:val="0"/>
                <w:sz w:val="24"/>
                <w:szCs w:val="24"/>
                <w14:textFill>
                  <w14:solidFill>
                    <w14:schemeClr w14:val="tx1"/>
                  </w14:solidFill>
                </w14:textFill>
              </w:rPr>
              <w:t>同时给工作员工佩戴口罩。为了减少生产过程中产生的无组织异味气体对周围环境的影响，建设单位还应</w:t>
            </w:r>
            <w:r>
              <w:rPr>
                <w:rFonts w:hint="eastAsia" w:cs="Times New Roman"/>
                <w:color w:val="000000" w:themeColor="text1"/>
                <w:spacing w:val="0"/>
                <w:sz w:val="24"/>
                <w:szCs w:val="24"/>
                <w:lang w:val="en-US" w:eastAsia="zh-CN"/>
                <w14:textFill>
                  <w14:solidFill>
                    <w14:schemeClr w14:val="tx1"/>
                  </w14:solidFill>
                </w14:textFill>
              </w:rPr>
              <w:t>定期</w:t>
            </w:r>
            <w:r>
              <w:rPr>
                <w:rFonts w:hint="eastAsia" w:ascii="Times New Roman" w:hAnsi="Times New Roman" w:eastAsia="宋体" w:cs="Times New Roman"/>
                <w:color w:val="000000" w:themeColor="text1"/>
                <w:spacing w:val="0"/>
                <w:sz w:val="24"/>
                <w:szCs w:val="24"/>
                <w14:textFill>
                  <w14:solidFill>
                    <w14:schemeClr w14:val="tx1"/>
                  </w14:solidFill>
                </w14:textFill>
              </w:rPr>
              <w:t>喷洒除臭剂；完善厂房周边绿化植被，加强运营期恶臭气体吸收。通过上述措施，本项目厂界</w:t>
            </w:r>
            <w:r>
              <w:rPr>
                <w:rFonts w:hint="eastAsia" w:ascii="Times New Roman" w:hAnsi="Times New Roman" w:eastAsia="宋体" w:cs="Times New Roman"/>
                <w:color w:val="000000" w:themeColor="text1"/>
                <w:spacing w:val="0"/>
                <w:sz w:val="24"/>
                <w:szCs w:val="24"/>
                <w:lang w:val="en-US" w:eastAsia="zh-CN"/>
                <w14:textFill>
                  <w14:solidFill>
                    <w14:schemeClr w14:val="tx1"/>
                  </w14:solidFill>
                </w14:textFill>
              </w:rPr>
              <w:t>NH</w:t>
            </w:r>
            <w:r>
              <w:rPr>
                <w:rFonts w:hint="eastAsia" w:ascii="Times New Roman" w:hAnsi="Times New Roman" w:eastAsia="宋体" w:cs="Times New Roman"/>
                <w:color w:val="000000" w:themeColor="text1"/>
                <w:spacing w:val="0"/>
                <w:sz w:val="24"/>
                <w:szCs w:val="24"/>
                <w:vertAlign w:val="subscript"/>
                <w:lang w:val="en-US" w:eastAsia="zh-CN"/>
                <w14:textFill>
                  <w14:solidFill>
                    <w14:schemeClr w14:val="tx1"/>
                  </w14:solidFill>
                </w14:textFill>
              </w:rPr>
              <w:t>3</w:t>
            </w:r>
            <w:r>
              <w:rPr>
                <w:rFonts w:hint="eastAsia" w:ascii="Times New Roman" w:hAnsi="Times New Roman" w:eastAsia="宋体" w:cs="Times New Roman"/>
                <w:color w:val="000000" w:themeColor="text1"/>
                <w:spacing w:val="0"/>
                <w:sz w:val="24"/>
                <w:szCs w:val="24"/>
                <w:lang w:val="en-US" w:eastAsia="zh-CN"/>
                <w14:textFill>
                  <w14:solidFill>
                    <w14:schemeClr w14:val="tx1"/>
                  </w14:solidFill>
                </w14:textFill>
              </w:rPr>
              <w:t>及H</w:t>
            </w:r>
            <w:r>
              <w:rPr>
                <w:rFonts w:hint="eastAsia" w:ascii="Times New Roman" w:hAnsi="Times New Roman" w:eastAsia="宋体" w:cs="Times New Roman"/>
                <w:color w:val="000000" w:themeColor="text1"/>
                <w:spacing w:val="0"/>
                <w:sz w:val="24"/>
                <w:szCs w:val="24"/>
                <w:vertAlign w:val="subscript"/>
                <w:lang w:val="en-US" w:eastAsia="zh-CN"/>
                <w14:textFill>
                  <w14:solidFill>
                    <w14:schemeClr w14:val="tx1"/>
                  </w14:solidFill>
                </w14:textFill>
              </w:rPr>
              <w:t>2</w:t>
            </w:r>
            <w:r>
              <w:rPr>
                <w:rFonts w:hint="eastAsia" w:ascii="Times New Roman" w:hAnsi="Times New Roman" w:eastAsia="宋体" w:cs="Times New Roman"/>
                <w:color w:val="000000" w:themeColor="text1"/>
                <w:spacing w:val="0"/>
                <w:sz w:val="24"/>
                <w:szCs w:val="24"/>
                <w:lang w:val="en-US" w:eastAsia="zh-CN"/>
                <w14:textFill>
                  <w14:solidFill>
                    <w14:schemeClr w14:val="tx1"/>
                  </w14:solidFill>
                </w14:textFill>
              </w:rPr>
              <w:t>S</w:t>
            </w:r>
            <w:r>
              <w:rPr>
                <w:rFonts w:hint="eastAsia" w:ascii="Times New Roman" w:hAnsi="Times New Roman" w:eastAsia="宋体" w:cs="Times New Roman"/>
                <w:color w:val="000000" w:themeColor="text1"/>
                <w:spacing w:val="0"/>
                <w:sz w:val="24"/>
                <w:szCs w:val="24"/>
                <w14:textFill>
                  <w14:solidFill>
                    <w14:schemeClr w14:val="tx1"/>
                  </w14:solidFill>
                </w14:textFill>
              </w:rPr>
              <w:t>及臭气浓度可达到《恶臭污染物排放标准》（</w:t>
            </w:r>
            <w:r>
              <w:rPr>
                <w:rFonts w:hint="eastAsia" w:ascii="Times New Roman" w:hAnsi="Times New Roman" w:eastAsia="宋体" w:cs="Times New Roman"/>
                <w:color w:val="000000" w:themeColor="text1"/>
                <w:spacing w:val="0"/>
                <w:sz w:val="24"/>
                <w:szCs w:val="24"/>
                <w:lang w:val="en-US" w:eastAsia="zh-CN"/>
                <w14:textFill>
                  <w14:solidFill>
                    <w14:schemeClr w14:val="tx1"/>
                  </w14:solidFill>
                </w14:textFill>
              </w:rPr>
              <w:t>GB14554-93</w:t>
            </w:r>
            <w:r>
              <w:rPr>
                <w:rFonts w:hint="eastAsia" w:ascii="Times New Roman" w:hAnsi="Times New Roman" w:eastAsia="宋体" w:cs="Times New Roman"/>
                <w:color w:val="000000" w:themeColor="text1"/>
                <w:spacing w:val="0"/>
                <w:sz w:val="24"/>
                <w:szCs w:val="24"/>
                <w14:textFill>
                  <w14:solidFill>
                    <w14:schemeClr w14:val="tx1"/>
                  </w14:solidFill>
                </w14:textFill>
              </w:rPr>
              <w:t>）表</w:t>
            </w:r>
            <w:r>
              <w:rPr>
                <w:rFonts w:hint="eastAsia" w:ascii="Times New Roman" w:hAnsi="Times New Roman" w:eastAsia="宋体" w:cs="Times New Roman"/>
                <w:color w:val="000000" w:themeColor="text1"/>
                <w:spacing w:val="0"/>
                <w:sz w:val="24"/>
                <w:szCs w:val="24"/>
                <w:lang w:val="en-US" w:eastAsia="zh-CN"/>
                <w14:textFill>
                  <w14:solidFill>
                    <w14:schemeClr w14:val="tx1"/>
                  </w14:solidFill>
                </w14:textFill>
              </w:rPr>
              <w:t>1</w:t>
            </w:r>
            <w:r>
              <w:rPr>
                <w:rFonts w:hint="eastAsia" w:ascii="Times New Roman" w:hAnsi="Times New Roman" w:eastAsia="宋体" w:cs="Times New Roman"/>
                <w:color w:val="000000" w:themeColor="text1"/>
                <w:spacing w:val="0"/>
                <w:sz w:val="24"/>
                <w:szCs w:val="24"/>
                <w14:textFill>
                  <w14:solidFill>
                    <w14:schemeClr w14:val="tx1"/>
                  </w14:solidFill>
                </w14:textFill>
              </w:rPr>
              <w:t>中二级标准，对周围环境影响较小。</w:t>
            </w:r>
          </w:p>
          <w:p w14:paraId="53E0E4E7">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3、废气自行监测方案</w:t>
            </w:r>
          </w:p>
          <w:p w14:paraId="5AED5145">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本项目产品为</w:t>
            </w:r>
            <w:r>
              <w:rPr>
                <w:rFonts w:hint="eastAsia" w:cs="Times New Roman"/>
                <w:color w:val="000000" w:themeColor="text1"/>
                <w:sz w:val="24"/>
                <w:lang w:val="en-US" w:eastAsia="zh-CN"/>
                <w14:textFill>
                  <w14:solidFill>
                    <w14:schemeClr w14:val="tx1"/>
                  </w14:solidFill>
                </w14:textFill>
              </w:rPr>
              <w:t>饲料添加剂</w:t>
            </w:r>
            <w:r>
              <w:rPr>
                <w:rFonts w:hint="eastAsia" w:ascii="Times New Roman" w:hAnsi="Times New Roman"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根据</w:t>
            </w:r>
            <w:r>
              <w:rPr>
                <w:rFonts w:hint="eastAsia" w:ascii="Times New Roman" w:hAnsi="Times New Roman" w:eastAsia="宋体" w:cs="Times New Roman"/>
                <w:color w:val="000000" w:themeColor="text1"/>
                <w:sz w:val="24"/>
                <w14:textFill>
                  <w14:solidFill>
                    <w14:schemeClr w14:val="tx1"/>
                  </w14:solidFill>
                </w14:textFill>
              </w:rPr>
              <w:t>《固定污染源排污许可分类管理名录》（2019年版）</w:t>
            </w:r>
            <w:r>
              <w:rPr>
                <w:rFonts w:hint="eastAsia" w:ascii="Times New Roman" w:hAnsi="Times New Roman" w:eastAsia="宋体" w:cs="Times New Roman"/>
                <w:color w:val="000000" w:themeColor="text1"/>
                <w:sz w:val="24"/>
                <w:lang w:val="en-US" w:eastAsia="zh-CN"/>
                <w14:textFill>
                  <w14:solidFill>
                    <w14:schemeClr w14:val="tx1"/>
                  </w14:solidFill>
                </w14:textFill>
              </w:rPr>
              <w:t>“九、食品制造业14，方便食品制造143，其他食品制造149”中</w:t>
            </w:r>
            <w:r>
              <w:rPr>
                <w:rFonts w:hint="eastAsia" w:ascii="Times New Roman" w:hAnsi="Times New Roman" w:eastAsia="宋体" w:cs="Times New Roman"/>
                <w:color w:val="000000" w:themeColor="text1"/>
                <w:sz w:val="24"/>
                <w:lang w:eastAsia="zh-CN"/>
                <w14:textFill>
                  <w14:solidFill>
                    <w14:schemeClr w14:val="tx1"/>
                  </w14:solidFill>
                </w14:textFill>
              </w:rPr>
              <w:t>“食品及饲料添加剂制造1495*，以上均不含手工制作、单纯混合或者分装的”</w:t>
            </w:r>
            <w:r>
              <w:rPr>
                <w:rFonts w:hint="eastAsia" w:ascii="Times New Roman" w:hAnsi="Times New Roman" w:eastAsia="宋体" w:cs="Times New Roman"/>
                <w:color w:val="000000" w:themeColor="text1"/>
                <w:sz w:val="24"/>
                <w:lang w:val="en-US" w:eastAsia="zh-CN"/>
                <w14:textFill>
                  <w14:solidFill>
                    <w14:schemeClr w14:val="tx1"/>
                  </w14:solidFill>
                </w14:textFill>
              </w:rPr>
              <w:t>可知，项目属于简化管理</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本项目监测计划</w:t>
            </w:r>
            <w:r>
              <w:rPr>
                <w:rFonts w:hint="eastAsia" w:ascii="Times New Roman" w:hAnsi="Times New Roman" w:eastAsia="宋体" w:cs="Times New Roman"/>
                <w:color w:val="000000" w:themeColor="text1"/>
                <w:sz w:val="24"/>
                <w:lang w:val="en-US" w:eastAsia="zh-CN"/>
                <w14:textFill>
                  <w14:solidFill>
                    <w14:schemeClr w14:val="tx1"/>
                  </w14:solidFill>
                </w14:textFill>
              </w:rPr>
              <w:t>按照</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排污许可证申请与核发技术规范</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食品制造工业一方便食品、食品及饲料添加剂制造工业</w:t>
            </w:r>
            <w:r>
              <w:rPr>
                <w:color w:val="000000" w:themeColor="text1"/>
                <w:sz w:val="24"/>
                <w14:textFill>
                  <w14:solidFill>
                    <w14:schemeClr w14:val="tx1"/>
                  </w14:solidFill>
                </w14:textFill>
              </w:rPr>
              <w:t>》（HJ</w:t>
            </w:r>
            <w:r>
              <w:rPr>
                <w:rFonts w:hint="eastAsia"/>
                <w:color w:val="000000" w:themeColor="text1"/>
                <w:sz w:val="24"/>
                <w:lang w:val="en-US" w:eastAsia="zh-CN"/>
                <w14:textFill>
                  <w14:solidFill>
                    <w14:schemeClr w14:val="tx1"/>
                  </w14:solidFill>
                </w14:textFill>
              </w:rPr>
              <w:t>1030.3</w:t>
            </w:r>
            <w:r>
              <w:rPr>
                <w:color w:val="000000" w:themeColor="text1"/>
                <w:sz w:val="24"/>
                <w14:textFill>
                  <w14:solidFill>
                    <w14:schemeClr w14:val="tx1"/>
                  </w14:solidFill>
                </w14:textFill>
              </w:rPr>
              <w:t>-201</w:t>
            </w:r>
            <w:r>
              <w:rPr>
                <w:rFonts w:hint="eastAsia"/>
                <w:color w:val="000000" w:themeColor="text1"/>
                <w:sz w:val="24"/>
                <w:lang w:val="en-US" w:eastAsia="zh-CN"/>
                <w14:textFill>
                  <w14:solidFill>
                    <w14:schemeClr w14:val="tx1"/>
                  </w14:solidFill>
                </w14:textFill>
              </w:rPr>
              <w:t>9</w:t>
            </w:r>
            <w:r>
              <w:rPr>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中相关要求，</w:t>
            </w:r>
            <w:r>
              <w:rPr>
                <w:rFonts w:hint="eastAsia" w:ascii="Times New Roman" w:hAnsi="Times New Roman" w:eastAsia="宋体" w:cs="Times New Roman"/>
                <w:color w:val="000000" w:themeColor="text1"/>
                <w:sz w:val="24"/>
                <w:lang w:val="en-US" w:eastAsia="zh-CN"/>
                <w14:textFill>
                  <w14:solidFill>
                    <w14:schemeClr w14:val="tx1"/>
                  </w14:solidFill>
                </w14:textFill>
              </w:rPr>
              <w:t>制定监测方案，具体监测内容见表4-</w:t>
            </w:r>
            <w:r>
              <w:rPr>
                <w:rFonts w:hint="eastAsia" w:cs="Times New Roman"/>
                <w:color w:val="000000" w:themeColor="text1"/>
                <w:sz w:val="24"/>
                <w:lang w:val="en-US" w:eastAsia="zh-CN"/>
                <w14:textFill>
                  <w14:solidFill>
                    <w14:schemeClr w14:val="tx1"/>
                  </w14:solidFill>
                </w14:textFill>
              </w:rPr>
              <w:t>6</w:t>
            </w:r>
            <w:r>
              <w:rPr>
                <w:rFonts w:ascii="Times New Roman" w:hAnsi="Times New Roman" w:eastAsia="宋体" w:cs="Times New Roman"/>
                <w:color w:val="000000" w:themeColor="text1"/>
                <w:sz w:val="24"/>
                <w14:textFill>
                  <w14:solidFill>
                    <w14:schemeClr w14:val="tx1"/>
                  </w14:solidFill>
                </w14:textFill>
              </w:rPr>
              <w:t>。</w:t>
            </w:r>
          </w:p>
          <w:p w14:paraId="1A34FF65">
            <w:pPr>
              <w:autoSpaceDE w:val="0"/>
              <w:autoSpaceDN w:val="0"/>
              <w:adjustRightInd w:val="0"/>
              <w:jc w:val="center"/>
              <w:rPr>
                <w:b/>
                <w:bCs/>
                <w:color w:val="000000"/>
                <w:kern w:val="0"/>
                <w:sz w:val="24"/>
              </w:rPr>
            </w:pPr>
            <w:r>
              <w:rPr>
                <w:b/>
                <w:color w:val="000000"/>
                <w:kern w:val="0"/>
                <w:sz w:val="24"/>
                <w:lang w:bidi="ar"/>
              </w:rPr>
              <w:t>表4-</w:t>
            </w:r>
            <w:r>
              <w:rPr>
                <w:rFonts w:hint="eastAsia"/>
                <w:b/>
                <w:color w:val="000000"/>
                <w:kern w:val="0"/>
                <w:sz w:val="24"/>
                <w:lang w:val="en-US" w:eastAsia="zh-CN" w:bidi="ar"/>
              </w:rPr>
              <w:t xml:space="preserve">6 </w:t>
            </w:r>
            <w:r>
              <w:rPr>
                <w:b/>
                <w:color w:val="000000"/>
                <w:kern w:val="0"/>
                <w:sz w:val="24"/>
                <w:lang w:bidi="ar"/>
              </w:rPr>
              <w:t>废气监测计划</w:t>
            </w:r>
            <w:r>
              <w:rPr>
                <w:b/>
                <w:bCs/>
                <w:color w:val="000000"/>
                <w:kern w:val="0"/>
                <w:sz w:val="24"/>
                <w:lang w:bidi="ar"/>
              </w:rPr>
              <w:t>表</w:t>
            </w:r>
          </w:p>
          <w:tbl>
            <w:tblPr>
              <w:tblStyle w:val="23"/>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843"/>
              <w:gridCol w:w="1244"/>
              <w:gridCol w:w="1056"/>
              <w:gridCol w:w="1167"/>
              <w:gridCol w:w="1955"/>
            </w:tblGrid>
            <w:tr w14:paraId="4098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19" w:type="pct"/>
                  <w:noWrap w:val="0"/>
                  <w:vAlign w:val="center"/>
                </w:tcPr>
                <w:p w14:paraId="52D4FE34">
                  <w:pPr>
                    <w:pStyle w:val="46"/>
                    <w:spacing w:line="240" w:lineRule="auto"/>
                    <w:rPr>
                      <w:b/>
                      <w:bCs/>
                      <w:color w:val="000000"/>
                      <w:sz w:val="21"/>
                      <w:szCs w:val="21"/>
                    </w:rPr>
                  </w:pPr>
                  <w:r>
                    <w:rPr>
                      <w:b/>
                      <w:bCs/>
                      <w:color w:val="000000"/>
                      <w:sz w:val="21"/>
                      <w:szCs w:val="21"/>
                    </w:rPr>
                    <w:t>监测点位置</w:t>
                  </w:r>
                </w:p>
              </w:tc>
              <w:tc>
                <w:tcPr>
                  <w:tcW w:w="1101" w:type="pct"/>
                  <w:noWrap w:val="0"/>
                  <w:vAlign w:val="center"/>
                </w:tcPr>
                <w:p w14:paraId="05DDFB6B">
                  <w:pPr>
                    <w:pStyle w:val="46"/>
                    <w:spacing w:line="240" w:lineRule="auto"/>
                    <w:rPr>
                      <w:b/>
                      <w:bCs/>
                      <w:color w:val="000000"/>
                      <w:sz w:val="21"/>
                      <w:szCs w:val="21"/>
                    </w:rPr>
                  </w:pPr>
                  <w:r>
                    <w:rPr>
                      <w:b/>
                      <w:bCs/>
                      <w:color w:val="000000"/>
                      <w:sz w:val="21"/>
                      <w:szCs w:val="21"/>
                    </w:rPr>
                    <w:t>监测内容</w:t>
                  </w:r>
                </w:p>
              </w:tc>
              <w:tc>
                <w:tcPr>
                  <w:tcW w:w="747" w:type="pct"/>
                  <w:noWrap w:val="0"/>
                  <w:vAlign w:val="center"/>
                </w:tcPr>
                <w:p w14:paraId="035AC147">
                  <w:pPr>
                    <w:pStyle w:val="46"/>
                    <w:spacing w:line="240" w:lineRule="auto"/>
                    <w:rPr>
                      <w:b/>
                      <w:bCs/>
                      <w:color w:val="000000"/>
                      <w:sz w:val="21"/>
                      <w:szCs w:val="21"/>
                    </w:rPr>
                  </w:pPr>
                  <w:r>
                    <w:rPr>
                      <w:b/>
                      <w:bCs/>
                      <w:color w:val="000000"/>
                      <w:sz w:val="21"/>
                      <w:szCs w:val="21"/>
                    </w:rPr>
                    <w:t>监测指标</w:t>
                  </w:r>
                </w:p>
              </w:tc>
              <w:tc>
                <w:tcPr>
                  <w:tcW w:w="636" w:type="pct"/>
                  <w:noWrap w:val="0"/>
                  <w:vAlign w:val="center"/>
                </w:tcPr>
                <w:p w14:paraId="32353224">
                  <w:pPr>
                    <w:pStyle w:val="46"/>
                    <w:spacing w:line="240" w:lineRule="auto"/>
                    <w:rPr>
                      <w:b/>
                      <w:bCs/>
                      <w:color w:val="000000"/>
                      <w:sz w:val="21"/>
                      <w:szCs w:val="21"/>
                    </w:rPr>
                  </w:pPr>
                  <w:r>
                    <w:rPr>
                      <w:b/>
                      <w:bCs/>
                      <w:color w:val="000000"/>
                      <w:sz w:val="21"/>
                      <w:szCs w:val="21"/>
                    </w:rPr>
                    <w:t>监测方式</w:t>
                  </w:r>
                </w:p>
              </w:tc>
              <w:tc>
                <w:tcPr>
                  <w:tcW w:w="701" w:type="pct"/>
                  <w:noWrap w:val="0"/>
                  <w:vAlign w:val="center"/>
                </w:tcPr>
                <w:p w14:paraId="714D5C73">
                  <w:pPr>
                    <w:pStyle w:val="46"/>
                    <w:spacing w:line="240" w:lineRule="auto"/>
                    <w:rPr>
                      <w:b/>
                      <w:bCs/>
                      <w:color w:val="000000"/>
                      <w:sz w:val="21"/>
                      <w:szCs w:val="21"/>
                    </w:rPr>
                  </w:pPr>
                  <w:r>
                    <w:rPr>
                      <w:b/>
                      <w:bCs/>
                      <w:color w:val="000000"/>
                      <w:sz w:val="21"/>
                      <w:szCs w:val="21"/>
                    </w:rPr>
                    <w:t>监测频次</w:t>
                  </w:r>
                </w:p>
              </w:tc>
              <w:tc>
                <w:tcPr>
                  <w:tcW w:w="1093" w:type="pct"/>
                  <w:noWrap w:val="0"/>
                  <w:vAlign w:val="center"/>
                </w:tcPr>
                <w:p w14:paraId="41037559">
                  <w:pPr>
                    <w:pStyle w:val="46"/>
                    <w:spacing w:line="240" w:lineRule="auto"/>
                    <w:rPr>
                      <w:b/>
                      <w:bCs/>
                      <w:color w:val="000000"/>
                      <w:sz w:val="21"/>
                      <w:szCs w:val="21"/>
                    </w:rPr>
                  </w:pPr>
                  <w:r>
                    <w:rPr>
                      <w:rFonts w:hint="default" w:ascii="Times New Roman" w:hAnsi="Times New Roman" w:eastAsia="宋体" w:cs="Times New Roman"/>
                      <w:b/>
                      <w:bCs/>
                      <w:color w:val="auto"/>
                      <w:sz w:val="21"/>
                      <w:szCs w:val="21"/>
                      <w:lang w:bidi="en-US"/>
                    </w:rPr>
                    <w:t>执行标准</w:t>
                  </w:r>
                </w:p>
              </w:tc>
            </w:tr>
            <w:tr w14:paraId="3E81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9" w:type="pct"/>
                  <w:vMerge w:val="restart"/>
                  <w:noWrap w:val="0"/>
                  <w:vAlign w:val="center"/>
                </w:tcPr>
                <w:p w14:paraId="029F84A6">
                  <w:pPr>
                    <w:pStyle w:val="46"/>
                    <w:spacing w:line="240" w:lineRule="auto"/>
                    <w:rPr>
                      <w:rFonts w:hint="eastAsia"/>
                      <w:color w:val="000000"/>
                      <w:sz w:val="21"/>
                      <w:szCs w:val="21"/>
                    </w:rPr>
                  </w:pPr>
                  <w:r>
                    <w:rPr>
                      <w:rFonts w:hint="eastAsia"/>
                      <w:color w:val="000000"/>
                      <w:sz w:val="21"/>
                      <w:szCs w:val="21"/>
                      <w:lang w:val="en-US" w:eastAsia="zh-CN"/>
                    </w:rPr>
                    <w:t>水解废气排放口DA001</w:t>
                  </w:r>
                </w:p>
              </w:tc>
              <w:tc>
                <w:tcPr>
                  <w:tcW w:w="1101" w:type="pct"/>
                  <w:vMerge w:val="restart"/>
                  <w:noWrap w:val="0"/>
                  <w:vAlign w:val="center"/>
                </w:tcPr>
                <w:p w14:paraId="52CA467B">
                  <w:pPr>
                    <w:jc w:val="center"/>
                    <w:rPr>
                      <w:color w:val="000000"/>
                      <w:sz w:val="21"/>
                      <w:szCs w:val="21"/>
                    </w:rPr>
                  </w:pPr>
                  <w:r>
                    <w:rPr>
                      <w:color w:val="000000"/>
                      <w:sz w:val="21"/>
                      <w:szCs w:val="21"/>
                    </w:rPr>
                    <w:t>烟气温度、烟气量、烟气流速、烟气压力</w:t>
                  </w:r>
                </w:p>
              </w:tc>
              <w:tc>
                <w:tcPr>
                  <w:tcW w:w="747" w:type="pct"/>
                  <w:noWrap w:val="0"/>
                  <w:vAlign w:val="center"/>
                </w:tcPr>
                <w:p w14:paraId="50301273">
                  <w:pPr>
                    <w:jc w:val="center"/>
                    <w:rPr>
                      <w:rFonts w:hint="eastAsia" w:cs="Times New Roman"/>
                      <w:sz w:val="21"/>
                      <w:szCs w:val="21"/>
                      <w:lang w:val="en-US" w:eastAsia="zh-CN"/>
                    </w:rPr>
                  </w:pPr>
                  <w:r>
                    <w:rPr>
                      <w:rFonts w:hint="eastAsia"/>
                      <w:color w:val="000000"/>
                      <w:sz w:val="21"/>
                      <w:szCs w:val="21"/>
                      <w:lang w:val="en-US" w:eastAsia="zh-CN"/>
                    </w:rPr>
                    <w:t>氨</w:t>
                  </w:r>
                </w:p>
              </w:tc>
              <w:tc>
                <w:tcPr>
                  <w:tcW w:w="636" w:type="pct"/>
                  <w:noWrap w:val="0"/>
                  <w:vAlign w:val="center"/>
                </w:tcPr>
                <w:p w14:paraId="7DFDFA6B">
                  <w:pPr>
                    <w:jc w:val="center"/>
                    <w:rPr>
                      <w:color w:val="000000"/>
                      <w:sz w:val="21"/>
                      <w:szCs w:val="21"/>
                    </w:rPr>
                  </w:pPr>
                  <w:r>
                    <w:rPr>
                      <w:color w:val="000000"/>
                      <w:sz w:val="21"/>
                      <w:szCs w:val="21"/>
                    </w:rPr>
                    <w:t>手工监测</w:t>
                  </w:r>
                </w:p>
              </w:tc>
              <w:tc>
                <w:tcPr>
                  <w:tcW w:w="701" w:type="pct"/>
                  <w:noWrap w:val="0"/>
                  <w:vAlign w:val="center"/>
                </w:tcPr>
                <w:p w14:paraId="5182DD60">
                  <w:pPr>
                    <w:keepNext w:val="0"/>
                    <w:keepLines w:val="0"/>
                    <w:pageBreakBefore w:val="0"/>
                    <w:kinsoku/>
                    <w:wordWrap/>
                    <w:overflowPunct/>
                    <w:topLinePunct w:val="0"/>
                    <w:autoSpaceDE/>
                    <w:autoSpaceDN/>
                    <w:bidi w:val="0"/>
                    <w:adjustRightInd/>
                    <w:spacing w:line="240" w:lineRule="auto"/>
                    <w:ind w:right="0" w:rightChars="0"/>
                    <w:jc w:val="center"/>
                    <w:rPr>
                      <w:rFonts w:hint="default" w:ascii="Times New Roman" w:hAnsi="Times New Roman" w:eastAsia="宋体" w:cs="Times New Roman"/>
                      <w:color w:val="000000"/>
                      <w:sz w:val="21"/>
                      <w:szCs w:val="21"/>
                      <w:lang w:bidi="en-US"/>
                    </w:rPr>
                  </w:pPr>
                  <w:r>
                    <w:rPr>
                      <w:rFonts w:hint="default" w:ascii="Times New Roman" w:hAnsi="Times New Roman" w:eastAsia="宋体" w:cs="Times New Roman"/>
                      <w:color w:val="000000"/>
                      <w:sz w:val="21"/>
                      <w:szCs w:val="21"/>
                      <w:lang w:bidi="en-US"/>
                    </w:rPr>
                    <w:t>每</w:t>
                  </w:r>
                  <w:r>
                    <w:rPr>
                      <w:rFonts w:hint="eastAsia" w:ascii="Times New Roman" w:hAnsi="Times New Roman" w:eastAsia="宋体" w:cs="Times New Roman"/>
                      <w:color w:val="000000"/>
                      <w:sz w:val="21"/>
                      <w:szCs w:val="21"/>
                      <w:lang w:val="en-US" w:eastAsia="zh-CN" w:bidi="en-US"/>
                    </w:rPr>
                    <w:t>半</w:t>
                  </w:r>
                  <w:r>
                    <w:rPr>
                      <w:rFonts w:hint="default" w:ascii="Times New Roman" w:hAnsi="Times New Roman" w:eastAsia="宋体" w:cs="Times New Roman"/>
                      <w:color w:val="000000"/>
                      <w:sz w:val="21"/>
                      <w:szCs w:val="21"/>
                      <w:lang w:bidi="en-US"/>
                    </w:rPr>
                    <w:t>年一次</w:t>
                  </w:r>
                </w:p>
              </w:tc>
              <w:tc>
                <w:tcPr>
                  <w:tcW w:w="1093" w:type="pct"/>
                  <w:vMerge w:val="restart"/>
                  <w:noWrap w:val="0"/>
                  <w:vAlign w:val="center"/>
                </w:tcPr>
                <w:p w14:paraId="543BA1EA">
                  <w:pPr>
                    <w:jc w:val="center"/>
                    <w:rPr>
                      <w:sz w:val="21"/>
                      <w:szCs w:val="21"/>
                    </w:rPr>
                  </w:pPr>
                  <w:r>
                    <w:rPr>
                      <w:rFonts w:hint="eastAsia"/>
                      <w:sz w:val="21"/>
                      <w:szCs w:val="21"/>
                    </w:rPr>
                    <w:t>《恶臭污染物排放标准》（GB14554-93）</w:t>
                  </w:r>
                </w:p>
              </w:tc>
            </w:tr>
            <w:tr w14:paraId="2816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9" w:type="pct"/>
                  <w:vMerge w:val="continue"/>
                  <w:noWrap w:val="0"/>
                  <w:vAlign w:val="center"/>
                </w:tcPr>
                <w:p w14:paraId="15785575">
                  <w:pPr>
                    <w:jc w:val="center"/>
                    <w:rPr>
                      <w:sz w:val="21"/>
                      <w:szCs w:val="21"/>
                    </w:rPr>
                  </w:pPr>
                </w:p>
              </w:tc>
              <w:tc>
                <w:tcPr>
                  <w:tcW w:w="1101" w:type="pct"/>
                  <w:vMerge w:val="continue"/>
                  <w:noWrap w:val="0"/>
                  <w:vAlign w:val="center"/>
                </w:tcPr>
                <w:p w14:paraId="428BC213">
                  <w:pPr>
                    <w:jc w:val="center"/>
                    <w:rPr>
                      <w:sz w:val="21"/>
                      <w:szCs w:val="21"/>
                    </w:rPr>
                  </w:pPr>
                </w:p>
              </w:tc>
              <w:tc>
                <w:tcPr>
                  <w:tcW w:w="747" w:type="pct"/>
                  <w:noWrap w:val="0"/>
                  <w:vAlign w:val="center"/>
                </w:tcPr>
                <w:p w14:paraId="0809FB5F">
                  <w:pPr>
                    <w:jc w:val="center"/>
                    <w:rPr>
                      <w:rFonts w:hint="eastAsia" w:cs="Times New Roman"/>
                      <w:sz w:val="21"/>
                      <w:szCs w:val="21"/>
                      <w:lang w:val="en-US" w:eastAsia="zh-CN"/>
                    </w:rPr>
                  </w:pPr>
                  <w:r>
                    <w:rPr>
                      <w:rFonts w:hint="eastAsia"/>
                      <w:color w:val="000000"/>
                      <w:sz w:val="21"/>
                      <w:szCs w:val="21"/>
                      <w:lang w:val="en-US" w:eastAsia="zh-CN"/>
                    </w:rPr>
                    <w:t>硫化氢</w:t>
                  </w:r>
                </w:p>
              </w:tc>
              <w:tc>
                <w:tcPr>
                  <w:tcW w:w="636" w:type="pct"/>
                  <w:noWrap w:val="0"/>
                  <w:vAlign w:val="center"/>
                </w:tcPr>
                <w:p w14:paraId="7FCCC23C">
                  <w:pPr>
                    <w:jc w:val="center"/>
                    <w:rPr>
                      <w:rFonts w:hint="eastAsia" w:cs="Times New Roman"/>
                      <w:sz w:val="21"/>
                      <w:szCs w:val="21"/>
                      <w:lang w:val="en-US" w:eastAsia="zh-CN"/>
                    </w:rPr>
                  </w:pPr>
                  <w:r>
                    <w:rPr>
                      <w:color w:val="000000"/>
                      <w:sz w:val="21"/>
                      <w:szCs w:val="21"/>
                    </w:rPr>
                    <w:t>手工监测</w:t>
                  </w:r>
                </w:p>
              </w:tc>
              <w:tc>
                <w:tcPr>
                  <w:tcW w:w="701" w:type="pct"/>
                  <w:noWrap w:val="0"/>
                  <w:vAlign w:val="center"/>
                </w:tcPr>
                <w:p w14:paraId="68D24C19">
                  <w:pPr>
                    <w:keepNext w:val="0"/>
                    <w:keepLines w:val="0"/>
                    <w:pageBreakBefore w:val="0"/>
                    <w:kinsoku/>
                    <w:wordWrap/>
                    <w:overflowPunct/>
                    <w:topLinePunct w:val="0"/>
                    <w:autoSpaceDE/>
                    <w:autoSpaceDN/>
                    <w:bidi w:val="0"/>
                    <w:adjustRightInd/>
                    <w:spacing w:line="240" w:lineRule="auto"/>
                    <w:ind w:right="0" w:rightChars="0"/>
                    <w:jc w:val="center"/>
                    <w:rPr>
                      <w:rFonts w:hint="eastAsia" w:cs="Times New Roman"/>
                      <w:sz w:val="21"/>
                      <w:szCs w:val="21"/>
                      <w:lang w:val="en-US" w:eastAsia="zh-CN"/>
                    </w:rPr>
                  </w:pPr>
                  <w:r>
                    <w:rPr>
                      <w:rFonts w:hint="default" w:ascii="Times New Roman" w:hAnsi="Times New Roman" w:eastAsia="宋体" w:cs="Times New Roman"/>
                      <w:color w:val="000000"/>
                      <w:sz w:val="21"/>
                      <w:szCs w:val="21"/>
                      <w:lang w:bidi="en-US"/>
                    </w:rPr>
                    <w:t>每</w:t>
                  </w:r>
                  <w:r>
                    <w:rPr>
                      <w:rFonts w:hint="eastAsia" w:ascii="Times New Roman" w:hAnsi="Times New Roman" w:eastAsia="宋体" w:cs="Times New Roman"/>
                      <w:color w:val="000000"/>
                      <w:sz w:val="21"/>
                      <w:szCs w:val="21"/>
                      <w:lang w:val="en-US" w:eastAsia="zh-CN" w:bidi="en-US"/>
                    </w:rPr>
                    <w:t>半</w:t>
                  </w:r>
                  <w:r>
                    <w:rPr>
                      <w:rFonts w:hint="default" w:ascii="Times New Roman" w:hAnsi="Times New Roman" w:eastAsia="宋体" w:cs="Times New Roman"/>
                      <w:color w:val="000000"/>
                      <w:sz w:val="21"/>
                      <w:szCs w:val="21"/>
                      <w:lang w:bidi="en-US"/>
                    </w:rPr>
                    <w:t>年一次</w:t>
                  </w:r>
                </w:p>
              </w:tc>
              <w:tc>
                <w:tcPr>
                  <w:tcW w:w="1093" w:type="pct"/>
                  <w:vMerge w:val="continue"/>
                  <w:noWrap w:val="0"/>
                  <w:vAlign w:val="center"/>
                </w:tcPr>
                <w:p w14:paraId="3B4A42AC">
                  <w:pPr>
                    <w:jc w:val="center"/>
                    <w:rPr>
                      <w:rFonts w:hint="eastAsia" w:cs="Times New Roman"/>
                      <w:sz w:val="21"/>
                      <w:szCs w:val="21"/>
                      <w:lang w:val="en-US" w:eastAsia="zh-CN"/>
                    </w:rPr>
                  </w:pPr>
                </w:p>
              </w:tc>
            </w:tr>
            <w:tr w14:paraId="3177D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9" w:type="pct"/>
                  <w:vMerge w:val="continue"/>
                  <w:noWrap w:val="0"/>
                  <w:vAlign w:val="center"/>
                </w:tcPr>
                <w:p w14:paraId="31F7441B">
                  <w:pPr>
                    <w:jc w:val="center"/>
                    <w:rPr>
                      <w:rFonts w:hint="eastAsia" w:cs="Times New Roman"/>
                      <w:sz w:val="21"/>
                      <w:szCs w:val="21"/>
                      <w:lang w:val="en-US" w:eastAsia="zh-CN"/>
                    </w:rPr>
                  </w:pPr>
                </w:p>
              </w:tc>
              <w:tc>
                <w:tcPr>
                  <w:tcW w:w="1101" w:type="pct"/>
                  <w:vMerge w:val="continue"/>
                  <w:noWrap w:val="0"/>
                  <w:vAlign w:val="center"/>
                </w:tcPr>
                <w:p w14:paraId="661E055F">
                  <w:pPr>
                    <w:jc w:val="center"/>
                    <w:rPr>
                      <w:rFonts w:hint="eastAsia" w:cs="Times New Roman"/>
                      <w:sz w:val="21"/>
                      <w:szCs w:val="21"/>
                      <w:lang w:val="en-US" w:eastAsia="zh-CN"/>
                    </w:rPr>
                  </w:pPr>
                </w:p>
              </w:tc>
              <w:tc>
                <w:tcPr>
                  <w:tcW w:w="747" w:type="pct"/>
                  <w:noWrap w:val="0"/>
                  <w:vAlign w:val="center"/>
                </w:tcPr>
                <w:p w14:paraId="3C3ECB6A">
                  <w:pPr>
                    <w:jc w:val="center"/>
                    <w:rPr>
                      <w:rFonts w:hint="eastAsia" w:cs="Times New Roman"/>
                      <w:sz w:val="21"/>
                      <w:szCs w:val="21"/>
                      <w:lang w:val="en-US" w:eastAsia="zh-CN"/>
                    </w:rPr>
                  </w:pPr>
                  <w:r>
                    <w:rPr>
                      <w:rFonts w:hint="eastAsia"/>
                      <w:color w:val="000000"/>
                      <w:sz w:val="21"/>
                      <w:szCs w:val="21"/>
                      <w:lang w:val="en-US" w:eastAsia="zh-CN"/>
                    </w:rPr>
                    <w:t>臭气浓度</w:t>
                  </w:r>
                </w:p>
              </w:tc>
              <w:tc>
                <w:tcPr>
                  <w:tcW w:w="636" w:type="pct"/>
                  <w:noWrap w:val="0"/>
                  <w:vAlign w:val="center"/>
                </w:tcPr>
                <w:p w14:paraId="2793BE53">
                  <w:pPr>
                    <w:jc w:val="center"/>
                    <w:rPr>
                      <w:rFonts w:hint="eastAsia" w:cs="Times New Roman"/>
                      <w:sz w:val="21"/>
                      <w:szCs w:val="21"/>
                      <w:lang w:val="en-US" w:eastAsia="zh-CN"/>
                    </w:rPr>
                  </w:pPr>
                  <w:r>
                    <w:rPr>
                      <w:color w:val="000000"/>
                      <w:sz w:val="21"/>
                      <w:szCs w:val="21"/>
                    </w:rPr>
                    <w:t>手工监测</w:t>
                  </w:r>
                </w:p>
              </w:tc>
              <w:tc>
                <w:tcPr>
                  <w:tcW w:w="701" w:type="pct"/>
                  <w:noWrap w:val="0"/>
                  <w:vAlign w:val="center"/>
                </w:tcPr>
                <w:p w14:paraId="76AE7FB0">
                  <w:pPr>
                    <w:keepNext w:val="0"/>
                    <w:keepLines w:val="0"/>
                    <w:pageBreakBefore w:val="0"/>
                    <w:kinsoku/>
                    <w:wordWrap/>
                    <w:overflowPunct/>
                    <w:topLinePunct w:val="0"/>
                    <w:autoSpaceDE/>
                    <w:autoSpaceDN/>
                    <w:bidi w:val="0"/>
                    <w:adjustRightInd/>
                    <w:spacing w:line="240" w:lineRule="auto"/>
                    <w:ind w:right="0" w:rightChars="0"/>
                    <w:jc w:val="center"/>
                    <w:rPr>
                      <w:rFonts w:hint="eastAsia" w:cs="Times New Roman"/>
                      <w:sz w:val="21"/>
                      <w:szCs w:val="21"/>
                      <w:lang w:val="en-US" w:eastAsia="zh-CN"/>
                    </w:rPr>
                  </w:pPr>
                  <w:r>
                    <w:rPr>
                      <w:rFonts w:hint="default" w:ascii="Times New Roman" w:hAnsi="Times New Roman" w:eastAsia="宋体" w:cs="Times New Roman"/>
                      <w:color w:val="000000"/>
                      <w:sz w:val="21"/>
                      <w:szCs w:val="21"/>
                      <w:lang w:bidi="en-US"/>
                    </w:rPr>
                    <w:t>每</w:t>
                  </w:r>
                  <w:r>
                    <w:rPr>
                      <w:rFonts w:hint="eastAsia" w:ascii="Times New Roman" w:hAnsi="Times New Roman" w:eastAsia="宋体" w:cs="Times New Roman"/>
                      <w:color w:val="000000"/>
                      <w:sz w:val="21"/>
                      <w:szCs w:val="21"/>
                      <w:lang w:val="en-US" w:eastAsia="zh-CN" w:bidi="en-US"/>
                    </w:rPr>
                    <w:t>半</w:t>
                  </w:r>
                  <w:r>
                    <w:rPr>
                      <w:rFonts w:hint="default" w:ascii="Times New Roman" w:hAnsi="Times New Roman" w:eastAsia="宋体" w:cs="Times New Roman"/>
                      <w:color w:val="000000"/>
                      <w:sz w:val="21"/>
                      <w:szCs w:val="21"/>
                      <w:lang w:bidi="en-US"/>
                    </w:rPr>
                    <w:t>年一次</w:t>
                  </w:r>
                </w:p>
              </w:tc>
              <w:tc>
                <w:tcPr>
                  <w:tcW w:w="1093" w:type="pct"/>
                  <w:vMerge w:val="continue"/>
                  <w:noWrap w:val="0"/>
                  <w:vAlign w:val="center"/>
                </w:tcPr>
                <w:p w14:paraId="0356A1ED">
                  <w:pPr>
                    <w:jc w:val="center"/>
                    <w:rPr>
                      <w:rFonts w:hint="eastAsia" w:cs="Times New Roman"/>
                      <w:sz w:val="21"/>
                      <w:szCs w:val="21"/>
                      <w:lang w:val="en-US" w:eastAsia="zh-CN"/>
                    </w:rPr>
                  </w:pPr>
                </w:p>
              </w:tc>
            </w:tr>
            <w:tr w14:paraId="5063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9" w:type="pct"/>
                  <w:vMerge w:val="restart"/>
                  <w:noWrap w:val="0"/>
                  <w:vAlign w:val="center"/>
                </w:tcPr>
                <w:p w14:paraId="5BAEFE9D">
                  <w:pPr>
                    <w:pStyle w:val="46"/>
                    <w:spacing w:line="240" w:lineRule="auto"/>
                    <w:rPr>
                      <w:rFonts w:hint="eastAsia"/>
                      <w:color w:val="000000"/>
                      <w:sz w:val="21"/>
                      <w:szCs w:val="21"/>
                    </w:rPr>
                  </w:pPr>
                  <w:r>
                    <w:rPr>
                      <w:rFonts w:hint="eastAsia"/>
                      <w:color w:val="000000"/>
                      <w:sz w:val="21"/>
                      <w:szCs w:val="21"/>
                    </w:rPr>
                    <w:t>厂界</w:t>
                  </w:r>
                </w:p>
              </w:tc>
              <w:tc>
                <w:tcPr>
                  <w:tcW w:w="1101" w:type="pct"/>
                  <w:vMerge w:val="restart"/>
                  <w:noWrap w:val="0"/>
                  <w:vAlign w:val="center"/>
                </w:tcPr>
                <w:p w14:paraId="3F7FCCE0">
                  <w:pPr>
                    <w:jc w:val="center"/>
                    <w:rPr>
                      <w:color w:val="000000"/>
                      <w:sz w:val="21"/>
                      <w:szCs w:val="21"/>
                    </w:rPr>
                  </w:pPr>
                  <w:r>
                    <w:rPr>
                      <w:color w:val="000000"/>
                      <w:sz w:val="21"/>
                      <w:szCs w:val="21"/>
                    </w:rPr>
                    <w:t>温度，湿度，气压，风速，风向</w:t>
                  </w:r>
                </w:p>
              </w:tc>
              <w:tc>
                <w:tcPr>
                  <w:tcW w:w="747" w:type="pct"/>
                  <w:noWrap w:val="0"/>
                  <w:vAlign w:val="center"/>
                </w:tcPr>
                <w:p w14:paraId="58EF67E2">
                  <w:pPr>
                    <w:keepNext w:val="0"/>
                    <w:keepLines w:val="0"/>
                    <w:pageBreakBefore w:val="0"/>
                    <w:kinsoku/>
                    <w:wordWrap/>
                    <w:overflowPunct/>
                    <w:topLinePunct w:val="0"/>
                    <w:autoSpaceDE/>
                    <w:autoSpaceDN/>
                    <w:bidi w:val="0"/>
                    <w:adjustRightInd/>
                    <w:spacing w:line="240" w:lineRule="auto"/>
                    <w:ind w:right="0" w:rightChars="0"/>
                    <w:jc w:val="center"/>
                    <w:rPr>
                      <w:rFonts w:hint="default" w:eastAsia="宋体"/>
                      <w:color w:val="000000"/>
                      <w:sz w:val="21"/>
                      <w:szCs w:val="21"/>
                      <w:lang w:val="en-US" w:eastAsia="zh-CN"/>
                    </w:rPr>
                  </w:pPr>
                  <w:r>
                    <w:rPr>
                      <w:rFonts w:hint="eastAsia" w:cs="Times New Roman"/>
                      <w:sz w:val="21"/>
                      <w:szCs w:val="21"/>
                      <w:lang w:val="en-US" w:eastAsia="zh-CN"/>
                    </w:rPr>
                    <w:t>氨</w:t>
                  </w:r>
                </w:p>
              </w:tc>
              <w:tc>
                <w:tcPr>
                  <w:tcW w:w="636" w:type="pct"/>
                  <w:noWrap w:val="0"/>
                  <w:vAlign w:val="center"/>
                </w:tcPr>
                <w:p w14:paraId="056A9D73">
                  <w:pPr>
                    <w:jc w:val="center"/>
                    <w:rPr>
                      <w:color w:val="000000"/>
                      <w:sz w:val="21"/>
                      <w:szCs w:val="21"/>
                    </w:rPr>
                  </w:pPr>
                  <w:r>
                    <w:rPr>
                      <w:color w:val="000000"/>
                      <w:sz w:val="21"/>
                      <w:szCs w:val="21"/>
                    </w:rPr>
                    <w:t>手工监测</w:t>
                  </w:r>
                </w:p>
              </w:tc>
              <w:tc>
                <w:tcPr>
                  <w:tcW w:w="701" w:type="pct"/>
                  <w:noWrap w:val="0"/>
                  <w:vAlign w:val="center"/>
                </w:tcPr>
                <w:p w14:paraId="194246BC">
                  <w:pPr>
                    <w:keepNext w:val="0"/>
                    <w:keepLines w:val="0"/>
                    <w:pageBreakBefore w:val="0"/>
                    <w:kinsoku/>
                    <w:wordWrap/>
                    <w:overflowPunct/>
                    <w:topLinePunct w:val="0"/>
                    <w:autoSpaceDE/>
                    <w:autoSpaceDN/>
                    <w:bidi w:val="0"/>
                    <w:adjustRightInd/>
                    <w:spacing w:line="240" w:lineRule="auto"/>
                    <w:ind w:right="0" w:rightChars="0"/>
                    <w:jc w:val="center"/>
                    <w:rPr>
                      <w:color w:val="000000"/>
                      <w:sz w:val="21"/>
                      <w:szCs w:val="21"/>
                    </w:rPr>
                  </w:pPr>
                  <w:r>
                    <w:rPr>
                      <w:rFonts w:hint="default" w:ascii="Times New Roman" w:hAnsi="Times New Roman" w:eastAsia="宋体" w:cs="Times New Roman"/>
                      <w:color w:val="000000"/>
                      <w:sz w:val="21"/>
                      <w:szCs w:val="21"/>
                      <w:lang w:bidi="en-US"/>
                    </w:rPr>
                    <w:t>每</w:t>
                  </w:r>
                  <w:r>
                    <w:rPr>
                      <w:rFonts w:hint="eastAsia" w:ascii="Times New Roman" w:hAnsi="Times New Roman" w:eastAsia="宋体" w:cs="Times New Roman"/>
                      <w:color w:val="000000"/>
                      <w:sz w:val="21"/>
                      <w:szCs w:val="21"/>
                      <w:lang w:val="en-US" w:eastAsia="zh-CN" w:bidi="en-US"/>
                    </w:rPr>
                    <w:t>半</w:t>
                  </w:r>
                  <w:r>
                    <w:rPr>
                      <w:rFonts w:hint="default" w:ascii="Times New Roman" w:hAnsi="Times New Roman" w:eastAsia="宋体" w:cs="Times New Roman"/>
                      <w:color w:val="000000"/>
                      <w:sz w:val="21"/>
                      <w:szCs w:val="21"/>
                      <w:lang w:bidi="en-US"/>
                    </w:rPr>
                    <w:t>年一次</w:t>
                  </w:r>
                </w:p>
              </w:tc>
              <w:tc>
                <w:tcPr>
                  <w:tcW w:w="1093" w:type="pct"/>
                  <w:vMerge w:val="continue"/>
                  <w:noWrap w:val="0"/>
                  <w:vAlign w:val="center"/>
                </w:tcPr>
                <w:p w14:paraId="2916EA0A">
                  <w:pPr>
                    <w:jc w:val="center"/>
                    <w:rPr>
                      <w:sz w:val="21"/>
                      <w:szCs w:val="21"/>
                    </w:rPr>
                  </w:pPr>
                </w:p>
              </w:tc>
            </w:tr>
            <w:tr w14:paraId="35EB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9" w:type="pct"/>
                  <w:vMerge w:val="continue"/>
                  <w:noWrap w:val="0"/>
                  <w:vAlign w:val="center"/>
                </w:tcPr>
                <w:p w14:paraId="69AF36BB">
                  <w:pPr>
                    <w:jc w:val="center"/>
                    <w:rPr>
                      <w:sz w:val="21"/>
                      <w:szCs w:val="21"/>
                    </w:rPr>
                  </w:pPr>
                </w:p>
              </w:tc>
              <w:tc>
                <w:tcPr>
                  <w:tcW w:w="1101" w:type="pct"/>
                  <w:vMerge w:val="continue"/>
                  <w:noWrap w:val="0"/>
                  <w:vAlign w:val="center"/>
                </w:tcPr>
                <w:p w14:paraId="2D47AF96">
                  <w:pPr>
                    <w:jc w:val="center"/>
                    <w:rPr>
                      <w:sz w:val="21"/>
                      <w:szCs w:val="21"/>
                    </w:rPr>
                  </w:pPr>
                </w:p>
              </w:tc>
              <w:tc>
                <w:tcPr>
                  <w:tcW w:w="747" w:type="pct"/>
                  <w:noWrap w:val="0"/>
                  <w:vAlign w:val="center"/>
                </w:tcPr>
                <w:p w14:paraId="103F4D12">
                  <w:pPr>
                    <w:keepNext w:val="0"/>
                    <w:keepLines w:val="0"/>
                    <w:pageBreakBefore w:val="0"/>
                    <w:kinsoku/>
                    <w:wordWrap/>
                    <w:overflowPunct/>
                    <w:topLinePunct w:val="0"/>
                    <w:autoSpaceDE/>
                    <w:autoSpaceDN/>
                    <w:bidi w:val="0"/>
                    <w:adjustRightInd/>
                    <w:spacing w:line="240" w:lineRule="auto"/>
                    <w:ind w:right="0" w:rightChars="0"/>
                    <w:jc w:val="center"/>
                    <w:rPr>
                      <w:rFonts w:hint="eastAsia"/>
                      <w:sz w:val="21"/>
                      <w:szCs w:val="21"/>
                    </w:rPr>
                  </w:pPr>
                  <w:r>
                    <w:rPr>
                      <w:rFonts w:hint="eastAsia" w:cs="Times New Roman"/>
                      <w:sz w:val="21"/>
                      <w:szCs w:val="21"/>
                      <w:lang w:val="en-US" w:eastAsia="zh-CN"/>
                    </w:rPr>
                    <w:t>硫化氢</w:t>
                  </w:r>
                </w:p>
              </w:tc>
              <w:tc>
                <w:tcPr>
                  <w:tcW w:w="636" w:type="pct"/>
                  <w:noWrap w:val="0"/>
                  <w:vAlign w:val="center"/>
                </w:tcPr>
                <w:p w14:paraId="04D5158A">
                  <w:pPr>
                    <w:jc w:val="center"/>
                    <w:rPr>
                      <w:rFonts w:hint="eastAsia"/>
                      <w:sz w:val="21"/>
                      <w:szCs w:val="21"/>
                    </w:rPr>
                  </w:pPr>
                  <w:r>
                    <w:rPr>
                      <w:color w:val="000000"/>
                      <w:sz w:val="21"/>
                      <w:szCs w:val="21"/>
                    </w:rPr>
                    <w:t>手工监测</w:t>
                  </w:r>
                </w:p>
              </w:tc>
              <w:tc>
                <w:tcPr>
                  <w:tcW w:w="701" w:type="pct"/>
                  <w:noWrap w:val="0"/>
                  <w:vAlign w:val="center"/>
                </w:tcPr>
                <w:p w14:paraId="5096683C">
                  <w:pPr>
                    <w:keepNext w:val="0"/>
                    <w:keepLines w:val="0"/>
                    <w:pageBreakBefore w:val="0"/>
                    <w:kinsoku/>
                    <w:wordWrap/>
                    <w:overflowPunct/>
                    <w:topLinePunct w:val="0"/>
                    <w:autoSpaceDE/>
                    <w:autoSpaceDN/>
                    <w:bidi w:val="0"/>
                    <w:adjustRightInd/>
                    <w:spacing w:line="240" w:lineRule="auto"/>
                    <w:ind w:right="0" w:rightChars="0"/>
                    <w:jc w:val="center"/>
                    <w:rPr>
                      <w:rFonts w:hint="eastAsia"/>
                      <w:sz w:val="21"/>
                      <w:szCs w:val="21"/>
                    </w:rPr>
                  </w:pPr>
                  <w:r>
                    <w:rPr>
                      <w:rFonts w:hint="default" w:ascii="Times New Roman" w:hAnsi="Times New Roman" w:eastAsia="宋体" w:cs="Times New Roman"/>
                      <w:color w:val="000000"/>
                      <w:sz w:val="21"/>
                      <w:szCs w:val="21"/>
                      <w:lang w:bidi="en-US"/>
                    </w:rPr>
                    <w:t>每</w:t>
                  </w:r>
                  <w:r>
                    <w:rPr>
                      <w:rFonts w:hint="eastAsia" w:ascii="Times New Roman" w:hAnsi="Times New Roman" w:eastAsia="宋体" w:cs="Times New Roman"/>
                      <w:color w:val="000000"/>
                      <w:sz w:val="21"/>
                      <w:szCs w:val="21"/>
                      <w:lang w:val="en-US" w:eastAsia="zh-CN" w:bidi="en-US"/>
                    </w:rPr>
                    <w:t>半</w:t>
                  </w:r>
                  <w:r>
                    <w:rPr>
                      <w:rFonts w:hint="default" w:ascii="Times New Roman" w:hAnsi="Times New Roman" w:eastAsia="宋体" w:cs="Times New Roman"/>
                      <w:color w:val="000000"/>
                      <w:sz w:val="21"/>
                      <w:szCs w:val="21"/>
                      <w:lang w:bidi="en-US"/>
                    </w:rPr>
                    <w:t>年一次</w:t>
                  </w:r>
                </w:p>
              </w:tc>
              <w:tc>
                <w:tcPr>
                  <w:tcW w:w="1093" w:type="pct"/>
                  <w:vMerge w:val="continue"/>
                  <w:noWrap w:val="0"/>
                  <w:vAlign w:val="center"/>
                </w:tcPr>
                <w:p w14:paraId="0C95B4CD">
                  <w:pPr>
                    <w:jc w:val="center"/>
                    <w:rPr>
                      <w:rFonts w:hint="eastAsia"/>
                      <w:sz w:val="21"/>
                      <w:szCs w:val="21"/>
                    </w:rPr>
                  </w:pPr>
                </w:p>
              </w:tc>
            </w:tr>
            <w:tr w14:paraId="3B54D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9" w:type="pct"/>
                  <w:vMerge w:val="continue"/>
                  <w:noWrap w:val="0"/>
                  <w:vAlign w:val="center"/>
                </w:tcPr>
                <w:p w14:paraId="76F810D0">
                  <w:pPr>
                    <w:jc w:val="center"/>
                    <w:rPr>
                      <w:rFonts w:hint="eastAsia"/>
                      <w:sz w:val="21"/>
                      <w:szCs w:val="21"/>
                    </w:rPr>
                  </w:pPr>
                </w:p>
              </w:tc>
              <w:tc>
                <w:tcPr>
                  <w:tcW w:w="1101" w:type="pct"/>
                  <w:vMerge w:val="continue"/>
                  <w:noWrap w:val="0"/>
                  <w:vAlign w:val="center"/>
                </w:tcPr>
                <w:p w14:paraId="42BFB4CF">
                  <w:pPr>
                    <w:jc w:val="center"/>
                    <w:rPr>
                      <w:rFonts w:hint="eastAsia"/>
                      <w:sz w:val="21"/>
                      <w:szCs w:val="21"/>
                    </w:rPr>
                  </w:pPr>
                </w:p>
              </w:tc>
              <w:tc>
                <w:tcPr>
                  <w:tcW w:w="747" w:type="pct"/>
                  <w:noWrap w:val="0"/>
                  <w:vAlign w:val="center"/>
                </w:tcPr>
                <w:p w14:paraId="27C4614A">
                  <w:pPr>
                    <w:keepNext w:val="0"/>
                    <w:keepLines w:val="0"/>
                    <w:pageBreakBefore w:val="0"/>
                    <w:kinsoku/>
                    <w:wordWrap/>
                    <w:overflowPunct/>
                    <w:topLinePunct w:val="0"/>
                    <w:autoSpaceDE/>
                    <w:autoSpaceDN/>
                    <w:bidi w:val="0"/>
                    <w:adjustRightInd/>
                    <w:spacing w:line="240" w:lineRule="auto"/>
                    <w:ind w:right="0" w:rightChars="0"/>
                    <w:jc w:val="center"/>
                    <w:rPr>
                      <w:rFonts w:hint="eastAsia"/>
                      <w:sz w:val="21"/>
                      <w:szCs w:val="21"/>
                    </w:rPr>
                  </w:pPr>
                  <w:r>
                    <w:rPr>
                      <w:rFonts w:hint="eastAsia" w:cs="Times New Roman"/>
                      <w:sz w:val="21"/>
                      <w:szCs w:val="21"/>
                      <w:lang w:val="en-US" w:eastAsia="zh-CN"/>
                    </w:rPr>
                    <w:t>臭气浓度</w:t>
                  </w:r>
                </w:p>
              </w:tc>
              <w:tc>
                <w:tcPr>
                  <w:tcW w:w="636" w:type="pct"/>
                  <w:noWrap w:val="0"/>
                  <w:vAlign w:val="center"/>
                </w:tcPr>
                <w:p w14:paraId="4AC8307B">
                  <w:pPr>
                    <w:jc w:val="center"/>
                    <w:rPr>
                      <w:rFonts w:hint="eastAsia"/>
                      <w:sz w:val="21"/>
                      <w:szCs w:val="21"/>
                    </w:rPr>
                  </w:pPr>
                  <w:r>
                    <w:rPr>
                      <w:color w:val="000000"/>
                      <w:sz w:val="21"/>
                      <w:szCs w:val="21"/>
                    </w:rPr>
                    <w:t>手工监测</w:t>
                  </w:r>
                </w:p>
              </w:tc>
              <w:tc>
                <w:tcPr>
                  <w:tcW w:w="701" w:type="pct"/>
                  <w:noWrap w:val="0"/>
                  <w:vAlign w:val="center"/>
                </w:tcPr>
                <w:p w14:paraId="5B21BEDE">
                  <w:pPr>
                    <w:keepNext w:val="0"/>
                    <w:keepLines w:val="0"/>
                    <w:pageBreakBefore w:val="0"/>
                    <w:kinsoku/>
                    <w:wordWrap/>
                    <w:overflowPunct/>
                    <w:topLinePunct w:val="0"/>
                    <w:autoSpaceDE/>
                    <w:autoSpaceDN/>
                    <w:bidi w:val="0"/>
                    <w:adjustRightInd/>
                    <w:spacing w:line="240" w:lineRule="auto"/>
                    <w:ind w:right="0" w:rightChars="0"/>
                    <w:jc w:val="center"/>
                    <w:rPr>
                      <w:rFonts w:hint="eastAsia"/>
                      <w:sz w:val="21"/>
                      <w:szCs w:val="21"/>
                    </w:rPr>
                  </w:pPr>
                  <w:r>
                    <w:rPr>
                      <w:rFonts w:hint="default" w:ascii="Times New Roman" w:hAnsi="Times New Roman" w:eastAsia="宋体" w:cs="Times New Roman"/>
                      <w:color w:val="000000"/>
                      <w:sz w:val="21"/>
                      <w:szCs w:val="21"/>
                      <w:lang w:bidi="en-US"/>
                    </w:rPr>
                    <w:t>每</w:t>
                  </w:r>
                  <w:r>
                    <w:rPr>
                      <w:rFonts w:hint="eastAsia" w:ascii="Times New Roman" w:hAnsi="Times New Roman" w:eastAsia="宋体" w:cs="Times New Roman"/>
                      <w:color w:val="000000"/>
                      <w:sz w:val="21"/>
                      <w:szCs w:val="21"/>
                      <w:lang w:val="en-US" w:eastAsia="zh-CN" w:bidi="en-US"/>
                    </w:rPr>
                    <w:t>半</w:t>
                  </w:r>
                  <w:r>
                    <w:rPr>
                      <w:rFonts w:hint="default" w:ascii="Times New Roman" w:hAnsi="Times New Roman" w:eastAsia="宋体" w:cs="Times New Roman"/>
                      <w:color w:val="000000"/>
                      <w:sz w:val="21"/>
                      <w:szCs w:val="21"/>
                      <w:lang w:bidi="en-US"/>
                    </w:rPr>
                    <w:t>年一次</w:t>
                  </w:r>
                </w:p>
              </w:tc>
              <w:tc>
                <w:tcPr>
                  <w:tcW w:w="1093" w:type="pct"/>
                  <w:vMerge w:val="continue"/>
                  <w:noWrap w:val="0"/>
                  <w:vAlign w:val="center"/>
                </w:tcPr>
                <w:p w14:paraId="55107134">
                  <w:pPr>
                    <w:jc w:val="center"/>
                    <w:rPr>
                      <w:rFonts w:hint="eastAsia"/>
                      <w:sz w:val="21"/>
                      <w:szCs w:val="21"/>
                    </w:rPr>
                  </w:pPr>
                </w:p>
              </w:tc>
            </w:tr>
          </w:tbl>
          <w:p w14:paraId="3CE7BB37">
            <w:pPr>
              <w:spacing w:line="360" w:lineRule="auto"/>
              <w:ind w:firstLine="482" w:firstLineChars="200"/>
              <w:rPr>
                <w:rFonts w:hint="eastAsia"/>
                <w:b/>
                <w:bCs/>
                <w:color w:val="000000"/>
                <w:sz w:val="24"/>
                <w:lang w:val="en-US" w:eastAsia="zh-CN"/>
              </w:rPr>
            </w:pPr>
            <w:r>
              <w:rPr>
                <w:rFonts w:hint="eastAsia"/>
                <w:b/>
                <w:bCs/>
                <w:color w:val="000000"/>
                <w:sz w:val="24"/>
                <w:lang w:val="en-US" w:eastAsia="zh-CN"/>
              </w:rPr>
              <w:t>本项目建成后全厂废气处理工艺流程图如下：</w:t>
            </w:r>
          </w:p>
          <w:p w14:paraId="7B7324BE">
            <w:pPr>
              <w:keepNext w:val="0"/>
              <w:keepLines w:val="0"/>
              <w:pageBreakBefore w:val="0"/>
              <w:widowControl w:val="0"/>
              <w:tabs>
                <w:tab w:val="left" w:pos="720"/>
              </w:tabs>
              <w:kinsoku/>
              <w:wordWrap/>
              <w:overflowPunct/>
              <w:topLinePunct w:val="0"/>
              <w:autoSpaceDE/>
              <w:autoSpaceDN/>
              <w:bidi w:val="0"/>
              <w:adjustRightInd/>
              <w:snapToGrid/>
              <w:spacing w:line="240" w:lineRule="auto"/>
              <w:ind w:firstLine="0" w:firstLineChars="0"/>
              <w:jc w:val="center"/>
              <w:textAlignment w:val="auto"/>
              <w:rPr>
                <w:color w:val="FF0000"/>
                <w:sz w:val="24"/>
              </w:rPr>
            </w:pPr>
            <w:r>
              <w:rPr>
                <w:color w:val="FF0000"/>
                <w:sz w:val="24"/>
              </w:rPr>
              <w:object>
                <v:shape id="_x0000_i1027" o:spt="75" type="#_x0000_t75" style="height:65.7pt;width:375.45pt;" o:ole="t" filled="f" o:preferrelative="t" stroked="f" coordsize="21600,21600">
                  <v:path/>
                  <v:fill on="f" focussize="0,0"/>
                  <v:stroke on="f"/>
                  <v:imagedata r:id="rId14" cropleft="4751f" croptop="1747f" cropright="1135f" cropbottom="284f" o:title=""/>
                  <o:lock v:ext="edit" aspectratio="f"/>
                  <w10:wrap type="none"/>
                  <w10:anchorlock/>
                </v:shape>
                <o:OLEObject Type="Embed" ProgID="Visio.Drawing.11" ShapeID="_x0000_i1027" DrawAspect="Content" ObjectID="_1468075727" r:id="rId13">
                  <o:LockedField>false</o:LockedField>
                </o:OLEObject>
              </w:object>
            </w:r>
          </w:p>
          <w:p w14:paraId="011849ED">
            <w:pPr>
              <w:keepNext w:val="0"/>
              <w:keepLines w:val="0"/>
              <w:pageBreakBefore w:val="0"/>
              <w:widowControl w:val="0"/>
              <w:tabs>
                <w:tab w:val="left" w:pos="720"/>
              </w:tabs>
              <w:kinsoku/>
              <w:wordWrap/>
              <w:overflowPunct/>
              <w:topLinePunct w:val="0"/>
              <w:autoSpaceDE/>
              <w:autoSpaceDN/>
              <w:bidi w:val="0"/>
              <w:adjustRightInd/>
              <w:snapToGrid/>
              <w:spacing w:line="240" w:lineRule="auto"/>
              <w:ind w:firstLine="0" w:firstLineChars="0"/>
              <w:jc w:val="center"/>
              <w:textAlignment w:val="auto"/>
              <w:rPr>
                <w:rFonts w:hint="eastAsia"/>
                <w:b/>
                <w:bCs/>
                <w:color w:val="000000"/>
                <w:sz w:val="24"/>
                <w:szCs w:val="24"/>
                <w:lang w:val="en-US" w:eastAsia="zh-CN"/>
              </w:rPr>
            </w:pPr>
            <w:r>
              <w:rPr>
                <w:rFonts w:hint="default" w:ascii="Times New Roman" w:hAnsi="Times New Roman" w:eastAsia="宋体" w:cs="Times New Roman"/>
                <w:b/>
                <w:bCs/>
                <w:sz w:val="24"/>
                <w:szCs w:val="24"/>
                <w:lang w:val="en-US" w:eastAsia="zh-CN"/>
              </w:rPr>
              <w:t>图</w:t>
            </w:r>
            <w:r>
              <w:rPr>
                <w:rFonts w:hint="eastAsia" w:cs="Times New Roman"/>
                <w:b/>
                <w:bCs/>
                <w:sz w:val="24"/>
                <w:szCs w:val="24"/>
                <w:lang w:val="en-US" w:eastAsia="zh-CN"/>
              </w:rPr>
              <w:t>4-2</w:t>
            </w:r>
            <w:r>
              <w:rPr>
                <w:rFonts w:hint="eastAsia" w:ascii="Times New Roman" w:hAnsi="Times New Roman" w:eastAsia="宋体" w:cs="Times New Roman"/>
                <w:b/>
                <w:bCs/>
                <w:sz w:val="24"/>
                <w:szCs w:val="24"/>
                <w:lang w:val="en-US" w:eastAsia="zh-CN"/>
              </w:rPr>
              <w:t>废气收集管线</w:t>
            </w:r>
            <w:r>
              <w:rPr>
                <w:rFonts w:hint="default" w:ascii="Times New Roman" w:hAnsi="Times New Roman" w:eastAsia="宋体" w:cs="Times New Roman"/>
                <w:b/>
                <w:bCs/>
                <w:sz w:val="24"/>
                <w:szCs w:val="24"/>
                <w:lang w:val="en-US" w:eastAsia="zh-CN"/>
              </w:rPr>
              <w:t>图</w:t>
            </w:r>
          </w:p>
          <w:p w14:paraId="2C6C99C6">
            <w:pPr>
              <w:spacing w:line="360" w:lineRule="auto"/>
              <w:ind w:firstLine="480" w:firstLineChars="200"/>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bCs/>
                <w:color w:val="000000" w:themeColor="text1"/>
                <w:sz w:val="24"/>
                <w:szCs w:val="24"/>
                <w14:textFill>
                  <w14:solidFill>
                    <w14:schemeClr w14:val="tx1"/>
                  </w14:solidFill>
                </w14:textFill>
              </w:rPr>
              <w:t>非正常工况</w:t>
            </w:r>
          </w:p>
          <w:p w14:paraId="18D6CF0A">
            <w:pPr>
              <w:spacing w:line="360" w:lineRule="auto"/>
              <w:ind w:firstLine="480" w:firstLineChars="200"/>
              <w:rPr>
                <w:color w:val="000000"/>
                <w:sz w:val="24"/>
                <w:szCs w:val="24"/>
              </w:rPr>
            </w:pPr>
            <w:r>
              <w:rPr>
                <w:color w:val="000000"/>
                <w:sz w:val="24"/>
                <w:szCs w:val="24"/>
              </w:rPr>
              <w:t>非正常排放是指生产过程中开停车（工、炉）、设备检修、工艺设备运转异常等非正常工况下的污染物排放，以及污染物排放控制措施达不到应有效率等情况下的排放。项目废气非正常工况排放主要为</w:t>
            </w:r>
            <w:r>
              <w:rPr>
                <w:rFonts w:hint="eastAsia"/>
                <w:color w:val="000000"/>
                <w:sz w:val="24"/>
                <w:szCs w:val="24"/>
              </w:rPr>
              <w:t>废气处理系统</w:t>
            </w:r>
            <w:r>
              <w:rPr>
                <w:color w:val="000000"/>
                <w:sz w:val="24"/>
                <w:szCs w:val="24"/>
              </w:rPr>
              <w:t>发生故障时，废气治理效率仅为50%的状态进行估算，但废气收集系统可以正常运行，废气通过排气筒排放等情况，废气处理设施出现故障不能正常运行时，应立即停产进行维修，避免对周围环境造成污染。废气非正常工况源强情况见表</w:t>
            </w:r>
            <w:r>
              <w:rPr>
                <w:rFonts w:hint="eastAsia"/>
                <w:color w:val="000000"/>
                <w:sz w:val="24"/>
                <w:szCs w:val="24"/>
              </w:rPr>
              <w:t>4-</w:t>
            </w:r>
            <w:r>
              <w:rPr>
                <w:rFonts w:hint="eastAsia"/>
                <w:color w:val="000000"/>
                <w:sz w:val="24"/>
                <w:szCs w:val="24"/>
                <w:lang w:val="en-US" w:eastAsia="zh-CN"/>
              </w:rPr>
              <w:t>7</w:t>
            </w:r>
            <w:r>
              <w:rPr>
                <w:color w:val="000000"/>
                <w:sz w:val="24"/>
                <w:szCs w:val="24"/>
              </w:rPr>
              <w:t>。</w:t>
            </w:r>
          </w:p>
          <w:p w14:paraId="18E1AB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表4-</w:t>
            </w:r>
            <w:r>
              <w:rPr>
                <w:rFonts w:hint="eastAsia" w:cs="Times New Roman"/>
                <w:b/>
                <w:bCs/>
                <w:i w:val="0"/>
                <w:iCs w:val="0"/>
                <w:color w:val="000000"/>
                <w:kern w:val="0"/>
                <w:sz w:val="24"/>
                <w:szCs w:val="24"/>
                <w:u w:val="none"/>
                <w:lang w:val="en-US" w:eastAsia="zh-CN" w:bidi="ar"/>
              </w:rPr>
              <w:t>7</w:t>
            </w:r>
            <w:r>
              <w:rPr>
                <w:rFonts w:hint="default" w:ascii="Times New Roman" w:hAnsi="Times New Roman" w:eastAsia="宋体" w:cs="Times New Roman"/>
                <w:b/>
                <w:bCs/>
                <w:i w:val="0"/>
                <w:iCs w:val="0"/>
                <w:color w:val="000000"/>
                <w:kern w:val="0"/>
                <w:sz w:val="24"/>
                <w:szCs w:val="24"/>
                <w:u w:val="none"/>
                <w:lang w:val="en-US" w:eastAsia="zh-CN" w:bidi="ar"/>
              </w:rPr>
              <w:t>废气非正常工况排放量核算表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719"/>
              <w:gridCol w:w="888"/>
              <w:gridCol w:w="1404"/>
              <w:gridCol w:w="1156"/>
              <w:gridCol w:w="1008"/>
              <w:gridCol w:w="990"/>
              <w:gridCol w:w="1621"/>
            </w:tblGrid>
            <w:tr w14:paraId="49429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1" w:type="dxa"/>
                  <w:vAlign w:val="center"/>
                </w:tcPr>
                <w:p w14:paraId="0DCD87CB">
                  <w:pPr>
                    <w:jc w:val="center"/>
                    <w:rPr>
                      <w:b/>
                      <w:sz w:val="21"/>
                      <w:szCs w:val="21"/>
                    </w:rPr>
                  </w:pPr>
                  <w:r>
                    <w:rPr>
                      <w:b/>
                      <w:bCs/>
                      <w:color w:val="000000"/>
                      <w:sz w:val="21"/>
                      <w:szCs w:val="21"/>
                    </w:rPr>
                    <w:t>污染源</w:t>
                  </w:r>
                </w:p>
              </w:tc>
              <w:tc>
                <w:tcPr>
                  <w:tcW w:w="723" w:type="dxa"/>
                  <w:vAlign w:val="center"/>
                </w:tcPr>
                <w:p w14:paraId="2D16D233">
                  <w:pPr>
                    <w:jc w:val="center"/>
                    <w:rPr>
                      <w:b/>
                      <w:sz w:val="21"/>
                      <w:szCs w:val="21"/>
                    </w:rPr>
                  </w:pPr>
                  <w:r>
                    <w:rPr>
                      <w:b/>
                      <w:sz w:val="21"/>
                      <w:szCs w:val="21"/>
                    </w:rPr>
                    <w:t>污染物</w:t>
                  </w:r>
                </w:p>
              </w:tc>
              <w:tc>
                <w:tcPr>
                  <w:tcW w:w="896" w:type="dxa"/>
                  <w:vAlign w:val="center"/>
                </w:tcPr>
                <w:p w14:paraId="1FE3B63F">
                  <w:pPr>
                    <w:jc w:val="center"/>
                    <w:rPr>
                      <w:b/>
                      <w:sz w:val="21"/>
                      <w:szCs w:val="21"/>
                    </w:rPr>
                  </w:pPr>
                  <w:r>
                    <w:rPr>
                      <w:b/>
                      <w:bCs/>
                      <w:color w:val="000000"/>
                      <w:sz w:val="21"/>
                      <w:szCs w:val="21"/>
                    </w:rPr>
                    <w:t>非正常排放原因</w:t>
                  </w:r>
                </w:p>
              </w:tc>
              <w:tc>
                <w:tcPr>
                  <w:tcW w:w="1292" w:type="dxa"/>
                  <w:vAlign w:val="center"/>
                </w:tcPr>
                <w:p w14:paraId="020CFC36">
                  <w:pPr>
                    <w:jc w:val="center"/>
                    <w:rPr>
                      <w:b/>
                      <w:sz w:val="21"/>
                      <w:szCs w:val="21"/>
                    </w:rPr>
                  </w:pPr>
                  <w:r>
                    <w:rPr>
                      <w:b/>
                      <w:bCs/>
                      <w:color w:val="000000"/>
                      <w:sz w:val="21"/>
                      <w:szCs w:val="21"/>
                    </w:rPr>
                    <w:t>非正常排放浓度/（mg/m</w:t>
                  </w:r>
                  <w:r>
                    <w:rPr>
                      <w:b/>
                      <w:bCs/>
                      <w:color w:val="000000"/>
                      <w:sz w:val="21"/>
                      <w:szCs w:val="21"/>
                      <w:vertAlign w:val="superscript"/>
                    </w:rPr>
                    <w:t>3</w:t>
                  </w:r>
                  <w:r>
                    <w:rPr>
                      <w:b/>
                      <w:bCs/>
                      <w:color w:val="000000"/>
                      <w:sz w:val="21"/>
                      <w:szCs w:val="21"/>
                    </w:rPr>
                    <w:t>）</w:t>
                  </w:r>
                </w:p>
              </w:tc>
              <w:tc>
                <w:tcPr>
                  <w:tcW w:w="1156" w:type="dxa"/>
                  <w:vAlign w:val="center"/>
                </w:tcPr>
                <w:p w14:paraId="5548C6F8">
                  <w:pPr>
                    <w:jc w:val="center"/>
                    <w:rPr>
                      <w:b/>
                      <w:sz w:val="21"/>
                      <w:szCs w:val="21"/>
                    </w:rPr>
                  </w:pPr>
                  <w:r>
                    <w:rPr>
                      <w:b/>
                      <w:bCs/>
                      <w:color w:val="000000"/>
                      <w:sz w:val="21"/>
                      <w:szCs w:val="21"/>
                    </w:rPr>
                    <w:t>非正常排放速率/（kg/h）</w:t>
                  </w:r>
                </w:p>
              </w:tc>
              <w:tc>
                <w:tcPr>
                  <w:tcW w:w="1026" w:type="dxa"/>
                  <w:vAlign w:val="center"/>
                </w:tcPr>
                <w:p w14:paraId="6D03B8ED">
                  <w:pPr>
                    <w:jc w:val="center"/>
                    <w:rPr>
                      <w:b/>
                      <w:sz w:val="21"/>
                      <w:szCs w:val="21"/>
                    </w:rPr>
                  </w:pPr>
                  <w:r>
                    <w:rPr>
                      <w:b/>
                      <w:bCs/>
                      <w:color w:val="000000"/>
                      <w:sz w:val="21"/>
                      <w:szCs w:val="21"/>
                    </w:rPr>
                    <w:t>单次持续时间/h</w:t>
                  </w:r>
                </w:p>
              </w:tc>
              <w:tc>
                <w:tcPr>
                  <w:tcW w:w="1012" w:type="dxa"/>
                  <w:vAlign w:val="center"/>
                </w:tcPr>
                <w:p w14:paraId="2AF130B8">
                  <w:pPr>
                    <w:jc w:val="center"/>
                    <w:rPr>
                      <w:b/>
                      <w:sz w:val="21"/>
                      <w:szCs w:val="21"/>
                    </w:rPr>
                  </w:pPr>
                  <w:r>
                    <w:rPr>
                      <w:b/>
                      <w:bCs/>
                      <w:color w:val="000000"/>
                      <w:sz w:val="21"/>
                      <w:szCs w:val="21"/>
                    </w:rPr>
                    <w:t>单次发生频次/次</w:t>
                  </w:r>
                </w:p>
              </w:tc>
              <w:tc>
                <w:tcPr>
                  <w:tcW w:w="1660" w:type="dxa"/>
                  <w:vAlign w:val="center"/>
                </w:tcPr>
                <w:p w14:paraId="3E84101C">
                  <w:pPr>
                    <w:jc w:val="center"/>
                    <w:rPr>
                      <w:b/>
                      <w:bCs/>
                      <w:color w:val="000000"/>
                      <w:sz w:val="21"/>
                      <w:szCs w:val="21"/>
                    </w:rPr>
                  </w:pPr>
                  <w:r>
                    <w:rPr>
                      <w:b/>
                      <w:bCs/>
                      <w:color w:val="000000"/>
                      <w:sz w:val="21"/>
                      <w:szCs w:val="21"/>
                    </w:rPr>
                    <w:t>应对</w:t>
                  </w:r>
                </w:p>
                <w:p w14:paraId="71472577">
                  <w:pPr>
                    <w:jc w:val="center"/>
                    <w:rPr>
                      <w:b/>
                      <w:sz w:val="21"/>
                      <w:szCs w:val="21"/>
                    </w:rPr>
                  </w:pPr>
                  <w:r>
                    <w:rPr>
                      <w:b/>
                      <w:bCs/>
                      <w:color w:val="000000"/>
                      <w:sz w:val="21"/>
                      <w:szCs w:val="21"/>
                    </w:rPr>
                    <w:t>措施</w:t>
                  </w:r>
                </w:p>
              </w:tc>
            </w:tr>
            <w:tr w14:paraId="3AD8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91" w:type="dxa"/>
                  <w:vMerge w:val="restart"/>
                  <w:vAlign w:val="center"/>
                </w:tcPr>
                <w:p w14:paraId="17C0AE90">
                  <w:pPr>
                    <w:jc w:val="center"/>
                    <w:rPr>
                      <w:rFonts w:hint="eastAsia" w:eastAsia="宋体"/>
                      <w:sz w:val="21"/>
                      <w:szCs w:val="21"/>
                      <w:lang w:val="en-US" w:eastAsia="zh-CN"/>
                    </w:rPr>
                  </w:pPr>
                  <w:r>
                    <w:rPr>
                      <w:rFonts w:hint="eastAsia"/>
                      <w:sz w:val="21"/>
                      <w:szCs w:val="21"/>
                      <w:lang w:val="en-US" w:eastAsia="zh-CN"/>
                    </w:rPr>
                    <w:t>分解</w:t>
                  </w:r>
                </w:p>
              </w:tc>
              <w:tc>
                <w:tcPr>
                  <w:tcW w:w="723" w:type="dxa"/>
                  <w:vAlign w:val="center"/>
                </w:tcPr>
                <w:p w14:paraId="3B6D037D">
                  <w:pPr>
                    <w:keepNext w:val="0"/>
                    <w:keepLines w:val="0"/>
                    <w:pageBreakBefore w:val="0"/>
                    <w:widowControl w:val="0"/>
                    <w:kinsoku/>
                    <w:wordWrap/>
                    <w:overflowPunct/>
                    <w:topLinePunct w:val="0"/>
                    <w:autoSpaceDE/>
                    <w:autoSpaceDN/>
                    <w:bidi w:val="0"/>
                    <w:adjustRightInd/>
                    <w:snapToGrid/>
                    <w:jc w:val="center"/>
                    <w:textAlignment w:val="auto"/>
                    <w:outlineLvl w:val="9"/>
                    <w:rPr>
                      <w:sz w:val="21"/>
                      <w:szCs w:val="21"/>
                    </w:rPr>
                  </w:pPr>
                  <w:r>
                    <w:rPr>
                      <w:rFonts w:hint="default" w:ascii="Times New Roman" w:hAnsi="Times New Roman" w:eastAsia="TimesNewRomanPSMT" w:cs="Times New Roman"/>
                      <w:color w:val="000000" w:themeColor="text1"/>
                      <w:kern w:val="0"/>
                      <w:sz w:val="21"/>
                      <w:szCs w:val="21"/>
                      <w:lang w:bidi="ar"/>
                      <w14:textFill>
                        <w14:solidFill>
                          <w14:schemeClr w14:val="tx1"/>
                        </w14:solidFill>
                      </w14:textFill>
                    </w:rPr>
                    <w:t>NH</w:t>
                  </w:r>
                  <w:r>
                    <w:rPr>
                      <w:rFonts w:hint="default" w:ascii="Times New Roman" w:hAnsi="Times New Roman" w:eastAsia="TimesNewRomanPSMT" w:cs="Times New Roman"/>
                      <w:color w:val="000000" w:themeColor="text1"/>
                      <w:kern w:val="0"/>
                      <w:sz w:val="21"/>
                      <w:szCs w:val="21"/>
                      <w:vertAlign w:val="subscript"/>
                      <w:lang w:bidi="ar"/>
                      <w14:textFill>
                        <w14:solidFill>
                          <w14:schemeClr w14:val="tx1"/>
                        </w14:solidFill>
                      </w14:textFill>
                    </w:rPr>
                    <w:t>3</w:t>
                  </w:r>
                </w:p>
              </w:tc>
              <w:tc>
                <w:tcPr>
                  <w:tcW w:w="896" w:type="dxa"/>
                  <w:vMerge w:val="restart"/>
                  <w:vAlign w:val="center"/>
                </w:tcPr>
                <w:p w14:paraId="267F4EA8">
                  <w:pPr>
                    <w:jc w:val="center"/>
                    <w:rPr>
                      <w:sz w:val="21"/>
                      <w:szCs w:val="21"/>
                    </w:rPr>
                  </w:pPr>
                  <w:r>
                    <w:rPr>
                      <w:color w:val="000000"/>
                      <w:sz w:val="21"/>
                      <w:szCs w:val="21"/>
                    </w:rPr>
                    <w:t>废气处理设施故障，处理效率</w:t>
                  </w:r>
                  <w:r>
                    <w:rPr>
                      <w:rFonts w:hint="eastAsia"/>
                      <w:color w:val="000000"/>
                      <w:sz w:val="21"/>
                      <w:szCs w:val="21"/>
                      <w:lang w:val="en-US" w:eastAsia="zh-CN"/>
                    </w:rPr>
                    <w:t>下降了</w:t>
                  </w:r>
                  <w:r>
                    <w:rPr>
                      <w:rFonts w:hint="eastAsia"/>
                      <w:color w:val="000000"/>
                      <w:sz w:val="21"/>
                      <w:szCs w:val="21"/>
                    </w:rPr>
                    <w:t>5</w:t>
                  </w:r>
                  <w:r>
                    <w:rPr>
                      <w:color w:val="000000"/>
                      <w:sz w:val="21"/>
                      <w:szCs w:val="21"/>
                    </w:rPr>
                    <w:t>0</w:t>
                  </w:r>
                  <w:r>
                    <w:rPr>
                      <w:rFonts w:hint="eastAsia"/>
                      <w:color w:val="000000"/>
                      <w:sz w:val="21"/>
                      <w:szCs w:val="21"/>
                    </w:rPr>
                    <w:t>%</w:t>
                  </w:r>
                </w:p>
              </w:tc>
              <w:tc>
                <w:tcPr>
                  <w:tcW w:w="1292" w:type="dxa"/>
                  <w:vAlign w:val="center"/>
                </w:tcPr>
                <w:p w14:paraId="49EED7BA">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28.056</w:t>
                  </w:r>
                </w:p>
              </w:tc>
              <w:tc>
                <w:tcPr>
                  <w:tcW w:w="1156" w:type="dxa"/>
                  <w:vAlign w:val="center"/>
                </w:tcPr>
                <w:p w14:paraId="5BD4A207">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0.210</w:t>
                  </w:r>
                </w:p>
              </w:tc>
              <w:tc>
                <w:tcPr>
                  <w:tcW w:w="1026" w:type="dxa"/>
                  <w:vAlign w:val="center"/>
                </w:tcPr>
                <w:p w14:paraId="612A2523">
                  <w:pPr>
                    <w:jc w:val="center"/>
                    <w:rPr>
                      <w:sz w:val="21"/>
                      <w:szCs w:val="21"/>
                    </w:rPr>
                  </w:pPr>
                  <w:r>
                    <w:rPr>
                      <w:rFonts w:hint="eastAsia"/>
                      <w:sz w:val="21"/>
                      <w:szCs w:val="21"/>
                    </w:rPr>
                    <w:t>0.5</w:t>
                  </w:r>
                </w:p>
              </w:tc>
              <w:tc>
                <w:tcPr>
                  <w:tcW w:w="1012" w:type="dxa"/>
                  <w:vAlign w:val="center"/>
                </w:tcPr>
                <w:p w14:paraId="39D271AE">
                  <w:pPr>
                    <w:jc w:val="center"/>
                    <w:rPr>
                      <w:sz w:val="21"/>
                      <w:szCs w:val="21"/>
                    </w:rPr>
                  </w:pPr>
                  <w:r>
                    <w:rPr>
                      <w:color w:val="000000"/>
                      <w:sz w:val="21"/>
                      <w:szCs w:val="21"/>
                    </w:rPr>
                    <w:t>1</w:t>
                  </w:r>
                </w:p>
              </w:tc>
              <w:tc>
                <w:tcPr>
                  <w:tcW w:w="1660" w:type="dxa"/>
                  <w:vMerge w:val="restart"/>
                  <w:vAlign w:val="center"/>
                </w:tcPr>
                <w:p w14:paraId="00107C96">
                  <w:pPr>
                    <w:jc w:val="center"/>
                    <w:rPr>
                      <w:sz w:val="21"/>
                      <w:szCs w:val="21"/>
                    </w:rPr>
                  </w:pPr>
                  <w:r>
                    <w:rPr>
                      <w:rFonts w:hint="eastAsia"/>
                      <w:color w:val="000000"/>
                      <w:sz w:val="21"/>
                      <w:szCs w:val="21"/>
                    </w:rPr>
                    <w:t>立即停止生产，关闭排放阀，及时维修</w:t>
                  </w:r>
                </w:p>
              </w:tc>
            </w:tr>
            <w:tr w14:paraId="1307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1" w:type="dxa"/>
                  <w:vMerge w:val="continue"/>
                  <w:vAlign w:val="center"/>
                </w:tcPr>
                <w:p w14:paraId="4D5D59F0">
                  <w:pPr>
                    <w:jc w:val="center"/>
                    <w:rPr>
                      <w:sz w:val="21"/>
                      <w:szCs w:val="21"/>
                    </w:rPr>
                  </w:pPr>
                </w:p>
              </w:tc>
              <w:tc>
                <w:tcPr>
                  <w:tcW w:w="723" w:type="dxa"/>
                  <w:vAlign w:val="center"/>
                </w:tcPr>
                <w:p w14:paraId="5EA164CC">
                  <w:pPr>
                    <w:keepNext w:val="0"/>
                    <w:keepLines w:val="0"/>
                    <w:pageBreakBefore w:val="0"/>
                    <w:widowControl w:val="0"/>
                    <w:kinsoku/>
                    <w:wordWrap/>
                    <w:overflowPunct/>
                    <w:topLinePunct w:val="0"/>
                    <w:autoSpaceDE/>
                    <w:autoSpaceDN/>
                    <w:bidi w:val="0"/>
                    <w:adjustRightInd/>
                    <w:snapToGrid/>
                    <w:jc w:val="center"/>
                    <w:textAlignment w:val="auto"/>
                    <w:outlineLvl w:val="9"/>
                    <w:rPr>
                      <w:sz w:val="21"/>
                      <w:szCs w:val="21"/>
                    </w:rPr>
                  </w:pPr>
                  <w:r>
                    <w:rPr>
                      <w:rFonts w:hint="default" w:ascii="Times New Roman" w:hAnsi="Times New Roman" w:eastAsia="TimesNewRomanPSMT" w:cs="Times New Roman"/>
                      <w:color w:val="000000" w:themeColor="text1"/>
                      <w:kern w:val="0"/>
                      <w:sz w:val="21"/>
                      <w:szCs w:val="21"/>
                      <w:lang w:bidi="ar"/>
                      <w14:textFill>
                        <w14:solidFill>
                          <w14:schemeClr w14:val="tx1"/>
                        </w14:solidFill>
                      </w14:textFill>
                    </w:rPr>
                    <w:t>H</w:t>
                  </w:r>
                  <w:r>
                    <w:rPr>
                      <w:rFonts w:hint="default" w:ascii="Times New Roman" w:hAnsi="Times New Roman" w:eastAsia="TimesNewRomanPSMT" w:cs="Times New Roman"/>
                      <w:color w:val="000000" w:themeColor="text1"/>
                      <w:kern w:val="0"/>
                      <w:sz w:val="21"/>
                      <w:szCs w:val="21"/>
                      <w:vertAlign w:val="subscript"/>
                      <w:lang w:bidi="ar"/>
                      <w14:textFill>
                        <w14:solidFill>
                          <w14:schemeClr w14:val="tx1"/>
                        </w14:solidFill>
                      </w14:textFill>
                    </w:rPr>
                    <w:t>2</w:t>
                  </w:r>
                  <w:r>
                    <w:rPr>
                      <w:rFonts w:hint="default" w:ascii="Times New Roman" w:hAnsi="Times New Roman" w:eastAsia="TimesNewRomanPSMT" w:cs="Times New Roman"/>
                      <w:color w:val="000000" w:themeColor="text1"/>
                      <w:kern w:val="0"/>
                      <w:sz w:val="21"/>
                      <w:szCs w:val="21"/>
                      <w:lang w:bidi="ar"/>
                      <w14:textFill>
                        <w14:solidFill>
                          <w14:schemeClr w14:val="tx1"/>
                        </w14:solidFill>
                      </w14:textFill>
                    </w:rPr>
                    <w:t>S</w:t>
                  </w:r>
                </w:p>
              </w:tc>
              <w:tc>
                <w:tcPr>
                  <w:tcW w:w="896" w:type="dxa"/>
                  <w:vMerge w:val="continue"/>
                  <w:vAlign w:val="center"/>
                </w:tcPr>
                <w:p w14:paraId="49E64B57">
                  <w:pPr>
                    <w:jc w:val="center"/>
                    <w:rPr>
                      <w:sz w:val="21"/>
                      <w:szCs w:val="21"/>
                    </w:rPr>
                  </w:pPr>
                </w:p>
              </w:tc>
              <w:tc>
                <w:tcPr>
                  <w:tcW w:w="1292" w:type="dxa"/>
                  <w:vAlign w:val="center"/>
                </w:tcPr>
                <w:p w14:paraId="53977C84">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4.360</w:t>
                  </w:r>
                </w:p>
              </w:tc>
              <w:tc>
                <w:tcPr>
                  <w:tcW w:w="1156" w:type="dxa"/>
                  <w:vAlign w:val="center"/>
                </w:tcPr>
                <w:p w14:paraId="62252873">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0.033</w:t>
                  </w:r>
                </w:p>
              </w:tc>
              <w:tc>
                <w:tcPr>
                  <w:tcW w:w="1026" w:type="dxa"/>
                  <w:vAlign w:val="center"/>
                </w:tcPr>
                <w:p w14:paraId="2C65411D">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0.5</w:t>
                  </w:r>
                </w:p>
              </w:tc>
              <w:tc>
                <w:tcPr>
                  <w:tcW w:w="1012" w:type="dxa"/>
                  <w:vAlign w:val="center"/>
                </w:tcPr>
                <w:p w14:paraId="7F6A7B6B">
                  <w:pPr>
                    <w:jc w:val="center"/>
                    <w:rPr>
                      <w:color w:val="000000"/>
                      <w:sz w:val="21"/>
                      <w:szCs w:val="21"/>
                    </w:rPr>
                  </w:pPr>
                  <w:r>
                    <w:rPr>
                      <w:color w:val="000000"/>
                      <w:sz w:val="21"/>
                      <w:szCs w:val="21"/>
                    </w:rPr>
                    <w:t>1</w:t>
                  </w:r>
                </w:p>
              </w:tc>
              <w:tc>
                <w:tcPr>
                  <w:tcW w:w="1660" w:type="dxa"/>
                  <w:vMerge w:val="continue"/>
                  <w:vAlign w:val="center"/>
                </w:tcPr>
                <w:p w14:paraId="4EB1ADFA">
                  <w:pPr>
                    <w:jc w:val="center"/>
                    <w:rPr>
                      <w:sz w:val="21"/>
                      <w:szCs w:val="21"/>
                    </w:rPr>
                  </w:pPr>
                </w:p>
              </w:tc>
            </w:tr>
          </w:tbl>
          <w:p w14:paraId="53580630">
            <w:pPr>
              <w:autoSpaceDE w:val="0"/>
              <w:autoSpaceDN w:val="0"/>
              <w:adjustRightInd w:val="0"/>
              <w:spacing w:line="360" w:lineRule="auto"/>
              <w:ind w:firstLine="480" w:firstLineChars="200"/>
              <w:rPr>
                <w:kern w:val="0"/>
                <w:sz w:val="24"/>
                <w:szCs w:val="24"/>
                <w:lang w:bidi="ar"/>
              </w:rPr>
            </w:pPr>
            <w:r>
              <w:rPr>
                <w:rFonts w:hint="eastAsia"/>
                <w:kern w:val="0"/>
                <w:sz w:val="24"/>
                <w:szCs w:val="24"/>
                <w:lang w:bidi="ar"/>
              </w:rPr>
              <w:t>根据上表可见，非正常工况下污染物</w:t>
            </w:r>
            <w:r>
              <w:rPr>
                <w:rFonts w:hint="eastAsia"/>
                <w:kern w:val="0"/>
                <w:sz w:val="24"/>
                <w:szCs w:val="24"/>
                <w:lang w:val="en-US" w:eastAsia="zh-CN" w:bidi="ar"/>
              </w:rPr>
              <w:t>排</w:t>
            </w:r>
            <w:r>
              <w:rPr>
                <w:rFonts w:hint="eastAsia"/>
                <w:kern w:val="0"/>
                <w:sz w:val="24"/>
                <w:szCs w:val="24"/>
                <w:lang w:bidi="ar"/>
              </w:rPr>
              <w:t>放</w:t>
            </w:r>
            <w:r>
              <w:rPr>
                <w:rFonts w:hint="eastAsia"/>
                <w:kern w:val="0"/>
                <w:sz w:val="24"/>
                <w:szCs w:val="24"/>
                <w:lang w:val="en-US" w:eastAsia="zh-CN" w:bidi="ar"/>
              </w:rPr>
              <w:t>限值未</w:t>
            </w:r>
            <w:r>
              <w:rPr>
                <w:rFonts w:hint="eastAsia"/>
                <w:kern w:val="0"/>
                <w:sz w:val="24"/>
                <w:szCs w:val="24"/>
                <w:lang w:bidi="ar"/>
              </w:rPr>
              <w:t>超标，污染物排放量明显增加，因此企业应加强在岗人员培训和对工艺设备运行的管理，尽量降低、避免非正常情况的发生，当废气处理设施出现故障不能短时间恢复时，应停车检修。</w:t>
            </w:r>
          </w:p>
          <w:p w14:paraId="1ADC7E21">
            <w:pPr>
              <w:pStyle w:val="45"/>
              <w:autoSpaceDE w:val="0"/>
              <w:spacing w:line="360" w:lineRule="auto"/>
              <w:ind w:firstLine="480"/>
              <w:rPr>
                <w:b/>
                <w:bCs/>
                <w:color w:val="000000" w:themeColor="text1"/>
                <w14:textFill>
                  <w14:solidFill>
                    <w14:schemeClr w14:val="tx1"/>
                  </w14:solidFill>
                </w14:textFill>
              </w:rPr>
            </w:pPr>
            <w:r>
              <w:rPr>
                <w:rFonts w:ascii="宋体" w:hAnsi="宋体" w:cs="宋体"/>
                <w:color w:val="000000" w:themeColor="text1"/>
                <w:szCs w:val="24"/>
                <w14:textFill>
                  <w14:solidFill>
                    <w14:schemeClr w14:val="tx1"/>
                  </w14:solidFill>
                </w14:textFill>
              </w:rPr>
              <w:t>二</w:t>
            </w:r>
            <w:r>
              <w:rPr>
                <w:rFonts w:hint="eastAsia" w:ascii="宋体" w:hAnsi="宋体" w:cs="宋体"/>
                <w:color w:val="000000" w:themeColor="text1"/>
                <w:szCs w:val="24"/>
                <w14:textFill>
                  <w14:solidFill>
                    <w14:schemeClr w14:val="tx1"/>
                  </w14:solidFill>
                </w14:textFill>
              </w:rPr>
              <w:t>、</w:t>
            </w:r>
            <w:r>
              <w:rPr>
                <w:rFonts w:hint="eastAsia"/>
                <w:b/>
                <w:bCs/>
                <w:color w:val="000000" w:themeColor="text1"/>
                <w14:textFill>
                  <w14:solidFill>
                    <w14:schemeClr w14:val="tx1"/>
                  </w14:solidFill>
                </w14:textFill>
              </w:rPr>
              <w:t>水污染</w:t>
            </w:r>
          </w:p>
          <w:p w14:paraId="7810F1B0">
            <w:pPr>
              <w:spacing w:line="360" w:lineRule="auto"/>
              <w:ind w:left="420" w:leftChars="200"/>
              <w:outlineLvl w:val="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1、废水产生及排放情况</w:t>
            </w:r>
          </w:p>
          <w:p w14:paraId="406725B7">
            <w:pPr>
              <w:spacing w:line="360" w:lineRule="auto"/>
              <w:ind w:firstLine="480" w:firstLineChars="200"/>
              <w:jc w:val="left"/>
              <w:rPr>
                <w:rFonts w:hint="default"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项目用水包括生活用水、</w:t>
            </w:r>
            <w:r>
              <w:rPr>
                <w:rFonts w:hint="eastAsia" w:cs="Times New Roman"/>
                <w:bCs/>
                <w:sz w:val="24"/>
                <w:szCs w:val="24"/>
                <w:lang w:val="en-US" w:eastAsia="zh-CN"/>
              </w:rPr>
              <w:t>清洗用水、水解用水</w:t>
            </w:r>
            <w:r>
              <w:rPr>
                <w:rFonts w:hint="eastAsia" w:ascii="Times New Roman" w:hAnsi="Times New Roman" w:eastAsia="宋体" w:cs="Times New Roman"/>
                <w:bCs/>
                <w:sz w:val="24"/>
                <w:szCs w:val="24"/>
                <w:lang w:val="en-US" w:eastAsia="zh-CN"/>
              </w:rPr>
              <w:t>和纯水制备用水，废水包括生活污水、</w:t>
            </w:r>
            <w:r>
              <w:rPr>
                <w:rFonts w:hint="eastAsia" w:cs="Times New Roman"/>
                <w:bCs/>
                <w:sz w:val="24"/>
                <w:szCs w:val="24"/>
                <w:lang w:val="en-US" w:eastAsia="zh-CN"/>
              </w:rPr>
              <w:t>清洗废水、废气处理装置废水</w:t>
            </w:r>
            <w:r>
              <w:rPr>
                <w:rFonts w:hint="eastAsia" w:ascii="Times New Roman" w:hAnsi="Times New Roman" w:eastAsia="宋体" w:cs="Times New Roman"/>
                <w:bCs/>
                <w:sz w:val="24"/>
                <w:szCs w:val="24"/>
                <w:lang w:val="en-US" w:eastAsia="zh-CN"/>
              </w:rPr>
              <w:t>和纯水制备浓水。</w:t>
            </w:r>
          </w:p>
          <w:p w14:paraId="3A92C6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000000"/>
                <w:kern w:val="0"/>
                <w:sz w:val="24"/>
                <w:szCs w:val="20"/>
                <w:lang w:val="en-US" w:eastAsia="zh-CN" w:bidi="ar-SA"/>
              </w:rPr>
            </w:pPr>
            <w:r>
              <w:rPr>
                <w:rFonts w:hint="eastAsia" w:ascii="Times New Roman" w:hAnsi="Times New Roman" w:eastAsia="宋体" w:cs="Times New Roman"/>
                <w:color w:val="000000"/>
                <w:kern w:val="0"/>
                <w:sz w:val="24"/>
                <w:szCs w:val="20"/>
                <w:lang w:val="en-US" w:eastAsia="zh-CN" w:bidi="ar-SA"/>
              </w:rPr>
              <w:t>（1）生活用水及污水排放</w:t>
            </w:r>
          </w:p>
          <w:p w14:paraId="4438FA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kern w:val="0"/>
                <w:sz w:val="24"/>
                <w:szCs w:val="20"/>
                <w:lang w:val="en-US" w:eastAsia="zh-CN" w:bidi="ar-SA"/>
              </w:rPr>
            </w:pPr>
            <w:r>
              <w:rPr>
                <w:rFonts w:hint="eastAsia" w:ascii="Times New Roman" w:hAnsi="Times New Roman" w:eastAsia="宋体" w:cs="Times New Roman"/>
                <w:color w:val="000000"/>
                <w:kern w:val="0"/>
                <w:sz w:val="24"/>
                <w:szCs w:val="20"/>
                <w:lang w:val="en-US" w:eastAsia="zh-CN" w:bidi="ar-SA"/>
              </w:rPr>
              <w:t>本项目劳动定员</w:t>
            </w:r>
            <w:r>
              <w:rPr>
                <w:rFonts w:hint="eastAsia" w:cs="Times New Roman"/>
                <w:color w:val="000000"/>
                <w:kern w:val="0"/>
                <w:sz w:val="24"/>
                <w:szCs w:val="20"/>
                <w:lang w:val="en-US" w:eastAsia="zh-CN" w:bidi="ar-SA"/>
              </w:rPr>
              <w:t>30</w:t>
            </w:r>
            <w:r>
              <w:rPr>
                <w:rFonts w:hint="eastAsia" w:ascii="Times New Roman" w:hAnsi="Times New Roman" w:eastAsia="宋体" w:cs="Times New Roman"/>
                <w:color w:val="000000"/>
                <w:kern w:val="0"/>
                <w:sz w:val="24"/>
                <w:szCs w:val="20"/>
                <w:lang w:val="en-US" w:eastAsia="zh-CN" w:bidi="ar-SA"/>
              </w:rPr>
              <w:t>人，厂区不提供食宿，根据《安徽省行业用水定额》（DB34/T 679-2025），员工用水定额按</w:t>
            </w:r>
            <w:r>
              <w:rPr>
                <w:rFonts w:hint="eastAsia" w:cs="Times New Roman"/>
                <w:color w:val="000000"/>
                <w:kern w:val="0"/>
                <w:sz w:val="24"/>
                <w:szCs w:val="20"/>
                <w:lang w:val="en-US" w:eastAsia="zh-CN" w:bidi="ar-SA"/>
              </w:rPr>
              <w:t>15m</w:t>
            </w:r>
            <w:r>
              <w:rPr>
                <w:rFonts w:hint="eastAsia" w:cs="Times New Roman"/>
                <w:color w:val="000000"/>
                <w:kern w:val="0"/>
                <w:sz w:val="24"/>
                <w:szCs w:val="20"/>
                <w:vertAlign w:val="superscript"/>
                <w:lang w:val="en-US" w:eastAsia="zh-CN" w:bidi="ar-SA"/>
              </w:rPr>
              <w:t>3</w:t>
            </w:r>
            <w:r>
              <w:rPr>
                <w:rFonts w:hint="eastAsia" w:ascii="Times New Roman" w:hAnsi="Times New Roman" w:eastAsia="宋体" w:cs="Times New Roman"/>
                <w:color w:val="000000"/>
                <w:kern w:val="0"/>
                <w:sz w:val="24"/>
                <w:szCs w:val="20"/>
                <w:lang w:val="en-US" w:eastAsia="zh-CN" w:bidi="ar-SA"/>
              </w:rPr>
              <w:t>/人·</w:t>
            </w:r>
            <w:r>
              <w:rPr>
                <w:rFonts w:hint="eastAsia" w:cs="Times New Roman"/>
                <w:color w:val="000000"/>
                <w:kern w:val="0"/>
                <w:sz w:val="24"/>
                <w:szCs w:val="20"/>
                <w:lang w:val="en-US" w:eastAsia="zh-CN" w:bidi="ar-SA"/>
              </w:rPr>
              <w:t>a</w:t>
            </w:r>
            <w:r>
              <w:rPr>
                <w:rFonts w:hint="eastAsia" w:ascii="Times New Roman" w:hAnsi="Times New Roman" w:eastAsia="宋体" w:cs="Times New Roman"/>
                <w:color w:val="000000"/>
                <w:kern w:val="0"/>
                <w:sz w:val="24"/>
                <w:szCs w:val="20"/>
                <w:lang w:val="en-US" w:eastAsia="zh-CN" w:bidi="ar-SA"/>
              </w:rPr>
              <w:t>计算，生活用水量为</w:t>
            </w:r>
            <w:r>
              <w:rPr>
                <w:rFonts w:hint="eastAsia" w:cs="Times New Roman"/>
                <w:color w:val="000000"/>
                <w:kern w:val="0"/>
                <w:sz w:val="24"/>
                <w:szCs w:val="20"/>
                <w:lang w:val="en-US" w:eastAsia="zh-CN" w:bidi="ar-SA"/>
              </w:rPr>
              <w:t>450</w:t>
            </w:r>
            <w:r>
              <w:rPr>
                <w:rFonts w:hint="eastAsia" w:ascii="Times New Roman" w:hAnsi="Times New Roman" w:eastAsia="宋体" w:cs="Times New Roman"/>
                <w:color w:val="000000"/>
                <w:kern w:val="0"/>
                <w:sz w:val="24"/>
                <w:szCs w:val="20"/>
                <w:lang w:val="en-US" w:eastAsia="zh-CN" w:bidi="ar-SA"/>
              </w:rPr>
              <w:t>t/a，污水产生量按照用水量80%计算，则生活污水产生量为</w:t>
            </w:r>
            <w:r>
              <w:rPr>
                <w:rFonts w:hint="eastAsia" w:cs="Times New Roman"/>
                <w:color w:val="000000"/>
                <w:kern w:val="0"/>
                <w:sz w:val="24"/>
                <w:szCs w:val="20"/>
                <w:lang w:val="en-US" w:eastAsia="zh-CN" w:bidi="ar-SA"/>
              </w:rPr>
              <w:t>360</w:t>
            </w:r>
            <w:r>
              <w:rPr>
                <w:rFonts w:hint="eastAsia" w:ascii="Times New Roman" w:hAnsi="Times New Roman" w:eastAsia="宋体" w:cs="Times New Roman"/>
                <w:color w:val="000000"/>
                <w:kern w:val="0"/>
                <w:sz w:val="24"/>
                <w:szCs w:val="20"/>
                <w:lang w:val="en-US" w:eastAsia="zh-CN" w:bidi="ar-SA"/>
              </w:rPr>
              <w:t>t/a。</w:t>
            </w:r>
            <w:r>
              <w:rPr>
                <w:rFonts w:hint="eastAsia" w:cs="Times New Roman"/>
                <w:color w:val="000000"/>
                <w:kern w:val="0"/>
                <w:sz w:val="24"/>
                <w:szCs w:val="20"/>
                <w:lang w:val="en-US" w:eastAsia="zh-CN" w:bidi="ar-SA"/>
              </w:rPr>
              <w:t>生活污水经化粪池处理后，通过厂区污水综合排放口排放，经市政污水管网进入泗县工业污水处理厂处理。</w:t>
            </w:r>
          </w:p>
          <w:p w14:paraId="372075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kern w:val="0"/>
                <w:sz w:val="24"/>
                <w:szCs w:val="20"/>
                <w:lang w:val="en-US" w:eastAsia="zh-CN" w:bidi="ar-SA"/>
              </w:rPr>
            </w:pPr>
            <w:r>
              <w:rPr>
                <w:rFonts w:hint="eastAsia" w:ascii="Times New Roman" w:hAnsi="Times New Roman" w:eastAsia="宋体" w:cs="Times New Roman"/>
                <w:color w:val="000000"/>
                <w:kern w:val="0"/>
                <w:sz w:val="24"/>
                <w:szCs w:val="20"/>
                <w:lang w:val="en-US" w:eastAsia="zh-CN" w:bidi="ar-SA"/>
              </w:rPr>
              <w:t>（2）清洗</w:t>
            </w:r>
            <w:r>
              <w:rPr>
                <w:rFonts w:hint="eastAsia" w:cs="Times New Roman"/>
                <w:color w:val="000000"/>
                <w:kern w:val="0"/>
                <w:sz w:val="24"/>
                <w:szCs w:val="20"/>
                <w:lang w:val="en-US" w:eastAsia="zh-CN" w:bidi="ar-SA"/>
              </w:rPr>
              <w:t>用水及</w:t>
            </w:r>
            <w:r>
              <w:rPr>
                <w:rFonts w:hint="eastAsia" w:ascii="Times New Roman" w:hAnsi="Times New Roman" w:eastAsia="宋体" w:cs="Times New Roman"/>
                <w:color w:val="000000"/>
                <w:kern w:val="0"/>
                <w:sz w:val="24"/>
                <w:szCs w:val="20"/>
                <w:lang w:val="en-US" w:eastAsia="zh-CN" w:bidi="ar-SA"/>
              </w:rPr>
              <w:t>废水</w:t>
            </w:r>
            <w:r>
              <w:rPr>
                <w:rFonts w:hint="eastAsia" w:cs="Times New Roman"/>
                <w:color w:val="000000"/>
                <w:kern w:val="0"/>
                <w:sz w:val="24"/>
                <w:szCs w:val="20"/>
                <w:lang w:val="en-US" w:eastAsia="zh-CN" w:bidi="ar-SA"/>
              </w:rPr>
              <w:t>排放</w:t>
            </w:r>
          </w:p>
          <w:p w14:paraId="2BBFF2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000000"/>
                <w:kern w:val="0"/>
                <w:sz w:val="24"/>
                <w:szCs w:val="20"/>
                <w:lang w:val="en-US" w:eastAsia="zh-CN" w:bidi="ar-SA"/>
              </w:rPr>
            </w:pPr>
            <w:r>
              <w:rPr>
                <w:rFonts w:hint="eastAsia" w:ascii="Times New Roman" w:hAnsi="Times New Roman" w:eastAsia="宋体" w:cs="Times New Roman"/>
                <w:color w:val="000000"/>
                <w:kern w:val="0"/>
                <w:sz w:val="24"/>
                <w:szCs w:val="20"/>
                <w:lang w:val="en-US" w:eastAsia="zh-CN" w:bidi="ar-SA"/>
              </w:rPr>
              <w:t>项目清洗用水为</w:t>
            </w:r>
            <w:r>
              <w:rPr>
                <w:rFonts w:hint="eastAsia" w:cs="Times New Roman"/>
                <w:color w:val="000000"/>
                <w:kern w:val="0"/>
                <w:sz w:val="24"/>
                <w:szCs w:val="20"/>
                <w:lang w:val="en-US" w:eastAsia="zh-CN" w:bidi="ar-SA"/>
              </w:rPr>
              <w:t>纯水，用量约</w:t>
            </w:r>
            <w:r>
              <w:rPr>
                <w:rFonts w:hint="eastAsia" w:ascii="Times New Roman" w:hAnsi="Times New Roman" w:eastAsia="宋体" w:cs="Times New Roman"/>
                <w:color w:val="000000"/>
                <w:kern w:val="0"/>
                <w:sz w:val="24"/>
                <w:szCs w:val="20"/>
                <w:lang w:val="en-US" w:eastAsia="zh-CN" w:bidi="ar-SA"/>
              </w:rPr>
              <w:t>7500t/a，污水产生量按照用水量90%计算，则清洗废水产生量为6750/a。清洗废水经厂区污水处理设施处理后通过</w:t>
            </w:r>
            <w:r>
              <w:rPr>
                <w:rFonts w:hint="eastAsia" w:cs="Times New Roman"/>
                <w:color w:val="000000"/>
                <w:kern w:val="0"/>
                <w:sz w:val="24"/>
                <w:szCs w:val="20"/>
                <w:lang w:val="en-US" w:eastAsia="zh-CN" w:bidi="ar-SA"/>
              </w:rPr>
              <w:t>市政</w:t>
            </w:r>
            <w:r>
              <w:rPr>
                <w:rFonts w:hint="eastAsia" w:ascii="Times New Roman" w:hAnsi="Times New Roman" w:eastAsia="宋体" w:cs="Times New Roman"/>
                <w:color w:val="000000"/>
                <w:kern w:val="0"/>
                <w:sz w:val="24"/>
                <w:szCs w:val="20"/>
                <w:lang w:val="en-US" w:eastAsia="zh-CN" w:bidi="ar-SA"/>
              </w:rPr>
              <w:t>污水管网进入</w:t>
            </w:r>
            <w:r>
              <w:rPr>
                <w:rFonts w:hint="eastAsia" w:cs="Times New Roman"/>
                <w:color w:val="000000"/>
                <w:kern w:val="0"/>
                <w:sz w:val="24"/>
                <w:szCs w:val="20"/>
                <w:lang w:val="en-US" w:eastAsia="zh-CN" w:bidi="ar-SA"/>
              </w:rPr>
              <w:t>泗县工业污水处理厂</w:t>
            </w:r>
            <w:r>
              <w:rPr>
                <w:rFonts w:hint="eastAsia" w:ascii="Times New Roman" w:hAnsi="Times New Roman" w:eastAsia="宋体" w:cs="Times New Roman"/>
                <w:color w:val="000000"/>
                <w:kern w:val="0"/>
                <w:sz w:val="24"/>
                <w:szCs w:val="20"/>
                <w:lang w:val="en-US" w:eastAsia="zh-CN" w:bidi="ar-SA"/>
              </w:rPr>
              <w:t>处理。</w:t>
            </w:r>
          </w:p>
          <w:p w14:paraId="234BAD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000000"/>
                <w:kern w:val="0"/>
                <w:sz w:val="24"/>
                <w:szCs w:val="20"/>
                <w:lang w:val="en-US" w:eastAsia="zh-CN" w:bidi="ar-SA"/>
              </w:rPr>
            </w:pPr>
            <w:r>
              <w:rPr>
                <w:rFonts w:hint="eastAsia" w:ascii="Times New Roman" w:hAnsi="Times New Roman" w:eastAsia="宋体" w:cs="Times New Roman"/>
                <w:color w:val="000000"/>
                <w:kern w:val="0"/>
                <w:sz w:val="24"/>
                <w:szCs w:val="20"/>
                <w:lang w:val="en-US" w:eastAsia="zh-CN" w:bidi="ar-SA"/>
              </w:rPr>
              <w:t>（3）纯水制备用水及浓水排放</w:t>
            </w:r>
          </w:p>
          <w:p w14:paraId="482799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000000"/>
                <w:kern w:val="0"/>
                <w:sz w:val="24"/>
                <w:szCs w:val="20"/>
                <w:lang w:val="en-US" w:eastAsia="zh-CN" w:bidi="ar-SA"/>
              </w:rPr>
            </w:pPr>
            <w:r>
              <w:rPr>
                <w:rFonts w:hint="eastAsia" w:ascii="Times New Roman" w:hAnsi="Times New Roman" w:eastAsia="宋体" w:cs="Times New Roman"/>
                <w:color w:val="000000"/>
                <w:kern w:val="0"/>
                <w:sz w:val="24"/>
                <w:szCs w:val="20"/>
                <w:lang w:val="en-US" w:eastAsia="zh-CN" w:bidi="ar-SA"/>
              </w:rPr>
              <w:t>项目清洗和水解工序用水为纯水，其中清洗工序纯水用量约7500t/a，水解工序纯水用量约500t/a，合计纯水用量约为</w:t>
            </w:r>
            <w:r>
              <w:rPr>
                <w:rFonts w:hint="eastAsia" w:cs="Times New Roman"/>
                <w:color w:val="000000"/>
                <w:kern w:val="0"/>
                <w:sz w:val="24"/>
                <w:szCs w:val="20"/>
                <w:lang w:val="en-US" w:eastAsia="zh-CN" w:bidi="ar-SA"/>
              </w:rPr>
              <w:t>8</w:t>
            </w:r>
            <w:r>
              <w:rPr>
                <w:rFonts w:hint="eastAsia" w:ascii="Times New Roman" w:hAnsi="Times New Roman" w:eastAsia="宋体" w:cs="Times New Roman"/>
                <w:color w:val="000000"/>
                <w:kern w:val="0"/>
                <w:sz w:val="24"/>
                <w:szCs w:val="20"/>
                <w:lang w:val="en-US" w:eastAsia="zh-CN" w:bidi="ar-SA"/>
              </w:rPr>
              <w:t>000t/a（</w:t>
            </w:r>
            <w:r>
              <w:rPr>
                <w:rFonts w:hint="eastAsia" w:cs="Times New Roman"/>
                <w:color w:val="000000"/>
                <w:kern w:val="0"/>
                <w:sz w:val="24"/>
                <w:szCs w:val="20"/>
                <w:lang w:val="en-US" w:eastAsia="zh-CN" w:bidi="ar-SA"/>
              </w:rPr>
              <w:t>26.67</w:t>
            </w:r>
            <w:r>
              <w:rPr>
                <w:rFonts w:hint="eastAsia" w:ascii="Times New Roman" w:hAnsi="Times New Roman" w:eastAsia="宋体" w:cs="Times New Roman"/>
                <w:color w:val="000000"/>
                <w:kern w:val="0"/>
                <w:sz w:val="24"/>
                <w:szCs w:val="20"/>
                <w:lang w:val="en-US" w:eastAsia="zh-CN" w:bidi="ar-SA"/>
              </w:rPr>
              <w:t>t/d）。本项目设置2台纯水制备机供应纯水，纯水制备机规格分别为2t/h和4t/h，纯水出水率约为60%，则新鲜水用量为1</w:t>
            </w:r>
            <w:r>
              <w:rPr>
                <w:rFonts w:hint="eastAsia" w:cs="Times New Roman"/>
                <w:color w:val="000000"/>
                <w:kern w:val="0"/>
                <w:sz w:val="24"/>
                <w:szCs w:val="20"/>
                <w:lang w:val="en-US" w:eastAsia="zh-CN" w:bidi="ar-SA"/>
              </w:rPr>
              <w:t>3333.33</w:t>
            </w:r>
            <w:r>
              <w:rPr>
                <w:rFonts w:hint="eastAsia" w:ascii="Times New Roman" w:hAnsi="Times New Roman" w:eastAsia="宋体" w:cs="Times New Roman"/>
                <w:color w:val="000000"/>
                <w:kern w:val="0"/>
                <w:sz w:val="24"/>
                <w:szCs w:val="20"/>
                <w:lang w:val="en-US" w:eastAsia="zh-CN" w:bidi="ar-SA"/>
              </w:rPr>
              <w:t>t/a（</w:t>
            </w:r>
            <w:r>
              <w:rPr>
                <w:rFonts w:hint="eastAsia" w:cs="Times New Roman"/>
                <w:color w:val="000000"/>
                <w:kern w:val="0"/>
                <w:sz w:val="24"/>
                <w:szCs w:val="20"/>
                <w:lang w:val="en-US" w:eastAsia="zh-CN" w:bidi="ar-SA"/>
              </w:rPr>
              <w:t>44.44</w:t>
            </w:r>
            <w:r>
              <w:rPr>
                <w:rFonts w:hint="eastAsia" w:ascii="Times New Roman" w:hAnsi="Times New Roman" w:eastAsia="宋体" w:cs="Times New Roman"/>
                <w:color w:val="000000"/>
                <w:kern w:val="0"/>
                <w:sz w:val="24"/>
                <w:szCs w:val="20"/>
                <w:lang w:val="en-US" w:eastAsia="zh-CN" w:bidi="ar-SA"/>
              </w:rPr>
              <w:t>t/d），浓水排放量为</w:t>
            </w:r>
            <w:r>
              <w:rPr>
                <w:rFonts w:hint="eastAsia" w:cs="Times New Roman"/>
                <w:color w:val="000000"/>
                <w:kern w:val="0"/>
                <w:sz w:val="24"/>
                <w:szCs w:val="20"/>
                <w:lang w:val="en-US" w:eastAsia="zh-CN" w:bidi="ar-SA"/>
              </w:rPr>
              <w:t>5333.33</w:t>
            </w:r>
            <w:r>
              <w:rPr>
                <w:rFonts w:hint="eastAsia" w:ascii="Times New Roman" w:hAnsi="Times New Roman" w:eastAsia="宋体" w:cs="Times New Roman"/>
                <w:color w:val="000000"/>
                <w:kern w:val="0"/>
                <w:sz w:val="24"/>
                <w:szCs w:val="20"/>
                <w:lang w:val="en-US" w:eastAsia="zh-CN" w:bidi="ar-SA"/>
              </w:rPr>
              <w:t>t/a（</w:t>
            </w:r>
            <w:r>
              <w:rPr>
                <w:rFonts w:hint="eastAsia" w:cs="Times New Roman"/>
                <w:color w:val="000000"/>
                <w:kern w:val="0"/>
                <w:sz w:val="24"/>
                <w:szCs w:val="20"/>
                <w:lang w:val="en-US" w:eastAsia="zh-CN" w:bidi="ar-SA"/>
              </w:rPr>
              <w:t>17.77</w:t>
            </w:r>
            <w:r>
              <w:rPr>
                <w:rFonts w:hint="eastAsia" w:ascii="Times New Roman" w:hAnsi="Times New Roman" w:eastAsia="宋体" w:cs="Times New Roman"/>
                <w:color w:val="000000"/>
                <w:kern w:val="0"/>
                <w:sz w:val="24"/>
                <w:szCs w:val="20"/>
                <w:lang w:val="en-US" w:eastAsia="zh-CN" w:bidi="ar-SA"/>
              </w:rPr>
              <w:t>t/d），经厂区污水</w:t>
            </w:r>
            <w:r>
              <w:rPr>
                <w:rFonts w:hint="eastAsia" w:cs="Times New Roman"/>
                <w:color w:val="000000"/>
                <w:kern w:val="0"/>
                <w:sz w:val="24"/>
                <w:szCs w:val="20"/>
                <w:lang w:val="en-US" w:eastAsia="zh-CN" w:bidi="ar-SA"/>
              </w:rPr>
              <w:t>总排口</w:t>
            </w:r>
            <w:r>
              <w:rPr>
                <w:rFonts w:hint="eastAsia" w:ascii="Times New Roman" w:hAnsi="Times New Roman" w:eastAsia="宋体" w:cs="Times New Roman"/>
                <w:color w:val="000000"/>
                <w:kern w:val="0"/>
                <w:sz w:val="24"/>
                <w:szCs w:val="20"/>
                <w:lang w:val="en-US" w:eastAsia="zh-CN" w:bidi="ar-SA"/>
              </w:rPr>
              <w:t>进入</w:t>
            </w:r>
            <w:r>
              <w:rPr>
                <w:rFonts w:hint="eastAsia" w:cs="Times New Roman"/>
                <w:color w:val="000000"/>
                <w:kern w:val="0"/>
                <w:sz w:val="24"/>
                <w:szCs w:val="20"/>
                <w:lang w:val="en-US" w:eastAsia="zh-CN" w:bidi="ar-SA"/>
              </w:rPr>
              <w:t>市政</w:t>
            </w:r>
            <w:r>
              <w:rPr>
                <w:rFonts w:hint="eastAsia" w:ascii="Times New Roman" w:hAnsi="Times New Roman" w:eastAsia="宋体" w:cs="Times New Roman"/>
                <w:color w:val="000000"/>
                <w:kern w:val="0"/>
                <w:sz w:val="24"/>
                <w:szCs w:val="20"/>
                <w:lang w:val="en-US" w:eastAsia="zh-CN" w:bidi="ar-SA"/>
              </w:rPr>
              <w:t>污水管网，最终进入</w:t>
            </w:r>
            <w:r>
              <w:rPr>
                <w:rFonts w:hint="eastAsia" w:cs="Times New Roman"/>
                <w:color w:val="000000"/>
                <w:kern w:val="0"/>
                <w:sz w:val="24"/>
                <w:szCs w:val="20"/>
                <w:lang w:val="en-US" w:eastAsia="zh-CN" w:bidi="ar-SA"/>
              </w:rPr>
              <w:t>泗县工业污水处理厂</w:t>
            </w:r>
            <w:r>
              <w:rPr>
                <w:rFonts w:hint="eastAsia" w:ascii="Times New Roman" w:hAnsi="Times New Roman" w:eastAsia="宋体" w:cs="Times New Roman"/>
                <w:color w:val="000000"/>
                <w:kern w:val="0"/>
                <w:sz w:val="24"/>
                <w:szCs w:val="20"/>
                <w:lang w:val="en-US" w:eastAsia="zh-CN" w:bidi="ar-SA"/>
              </w:rPr>
              <w:t>处理。</w:t>
            </w:r>
          </w:p>
          <w:p w14:paraId="1DB6C6D7">
            <w:pPr>
              <w:spacing w:line="360" w:lineRule="auto"/>
              <w:ind w:firstLine="480" w:firstLineChars="200"/>
              <w:outlineLvl w:val="0"/>
              <w:rPr>
                <w:rFonts w:hint="default" w:ascii="宋体" w:hAnsi="宋体" w:eastAsia="宋体" w:cs="宋体"/>
                <w:color w:val="000000" w:themeColor="text1"/>
                <w:sz w:val="24"/>
                <w:lang w:val="en-US" w:eastAsia="zh-CN"/>
                <w14:textFill>
                  <w14:solidFill>
                    <w14:schemeClr w14:val="tx1"/>
                  </w14:solidFill>
                </w14:textFill>
              </w:rPr>
            </w:pPr>
            <w:r>
              <w:rPr>
                <w:rFonts w:hint="eastAsia"/>
                <w:bCs/>
                <w:color w:val="000000" w:themeColor="text1"/>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4</w:t>
            </w:r>
            <w:r>
              <w:rPr>
                <w:rFonts w:hint="eastAsia"/>
                <w:bCs/>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生物除臭塔用水及废水排放</w:t>
            </w:r>
          </w:p>
          <w:p w14:paraId="41FD3537">
            <w:pPr>
              <w:spacing w:line="360" w:lineRule="auto"/>
              <w:ind w:firstLine="480" w:firstLineChars="200"/>
              <w:outlineLvl w:val="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项目设置一套生物除臭装置，用于处理水解工序产生的恶臭气体，其废水成分有COD、盐类等。</w:t>
            </w:r>
          </w:p>
          <w:p w14:paraId="78264BD8">
            <w:pPr>
              <w:spacing w:line="360" w:lineRule="auto"/>
              <w:ind w:firstLine="480" w:firstLineChars="200"/>
              <w:outlineLvl w:val="0"/>
              <w:rPr>
                <w:rFonts w:hint="eastAsia"/>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生物除臭塔</w:t>
            </w:r>
            <w:r>
              <w:rPr>
                <w:rFonts w:hint="eastAsia"/>
                <w:color w:val="000000" w:themeColor="text1"/>
                <w:sz w:val="24"/>
                <w:lang w:val="en-US" w:eastAsia="zh-CN"/>
                <w14:textFill>
                  <w14:solidFill>
                    <w14:schemeClr w14:val="tx1"/>
                  </w14:solidFill>
                </w14:textFill>
              </w:rPr>
              <w:t>配套风机风量7500m</w:t>
            </w:r>
            <w:r>
              <w:rPr>
                <w:rFonts w:hint="eastAsia"/>
                <w:color w:val="000000" w:themeColor="text1"/>
                <w:sz w:val="24"/>
                <w:vertAlign w:val="superscript"/>
                <w:lang w:val="en-US" w:eastAsia="zh-CN"/>
                <w14:textFill>
                  <w14:solidFill>
                    <w14:schemeClr w14:val="tx1"/>
                  </w14:solidFill>
                </w14:textFill>
              </w:rPr>
              <w:t>3</w:t>
            </w:r>
            <w:r>
              <w:rPr>
                <w:rFonts w:hint="eastAsia"/>
                <w:color w:val="000000" w:themeColor="text1"/>
                <w:sz w:val="24"/>
                <w:lang w:val="en-US" w:eastAsia="zh-CN"/>
                <w14:textFill>
                  <w14:solidFill>
                    <w14:schemeClr w14:val="tx1"/>
                  </w14:solidFill>
                </w14:textFill>
              </w:rPr>
              <w:t>/h，液气比以2L/m</w:t>
            </w:r>
            <w:r>
              <w:rPr>
                <w:rFonts w:hint="eastAsia"/>
                <w:color w:val="000000" w:themeColor="text1"/>
                <w:sz w:val="24"/>
                <w:vertAlign w:val="superscript"/>
                <w:lang w:val="en-US" w:eastAsia="zh-CN"/>
                <w14:textFill>
                  <w14:solidFill>
                    <w14:schemeClr w14:val="tx1"/>
                  </w14:solidFill>
                </w14:textFill>
              </w:rPr>
              <w:t>3</w:t>
            </w:r>
            <w:r>
              <w:rPr>
                <w:rFonts w:hint="eastAsia"/>
                <w:color w:val="000000" w:themeColor="text1"/>
                <w:sz w:val="24"/>
                <w:lang w:val="en-US" w:eastAsia="zh-CN"/>
                <w14:textFill>
                  <w14:solidFill>
                    <w14:schemeClr w14:val="tx1"/>
                  </w14:solidFill>
                </w14:textFill>
              </w:rPr>
              <w:t>计，循环水量为15m</w:t>
            </w:r>
            <w:r>
              <w:rPr>
                <w:rFonts w:hint="eastAsia"/>
                <w:color w:val="000000" w:themeColor="text1"/>
                <w:sz w:val="24"/>
                <w:vertAlign w:val="superscript"/>
                <w:lang w:val="en-US" w:eastAsia="zh-CN"/>
                <w14:textFill>
                  <w14:solidFill>
                    <w14:schemeClr w14:val="tx1"/>
                  </w14:solidFill>
                </w14:textFill>
              </w:rPr>
              <w:t>3</w:t>
            </w:r>
            <w:r>
              <w:rPr>
                <w:rFonts w:hint="eastAsia"/>
                <w:color w:val="000000" w:themeColor="text1"/>
                <w:sz w:val="24"/>
                <w:lang w:val="en-US" w:eastAsia="zh-CN"/>
                <w14:textFill>
                  <w14:solidFill>
                    <w14:schemeClr w14:val="tx1"/>
                  </w14:solidFill>
                </w14:textFill>
              </w:rPr>
              <w:t>/h，喷淋用水循环使用，储水槽有效容积为16.5m</w:t>
            </w:r>
            <w:r>
              <w:rPr>
                <w:rFonts w:hint="eastAsia"/>
                <w:color w:val="000000" w:themeColor="text1"/>
                <w:sz w:val="24"/>
                <w:vertAlign w:val="superscript"/>
                <w:lang w:val="en-US" w:eastAsia="zh-CN"/>
                <w14:textFill>
                  <w14:solidFill>
                    <w14:schemeClr w14:val="tx1"/>
                  </w14:solidFill>
                </w14:textFill>
              </w:rPr>
              <w:t>3</w:t>
            </w:r>
            <w:r>
              <w:rPr>
                <w:rFonts w:hint="eastAsia"/>
                <w:color w:val="000000" w:themeColor="text1"/>
                <w:sz w:val="24"/>
                <w:lang w:val="en-US" w:eastAsia="zh-CN"/>
                <w14:textFill>
                  <w14:solidFill>
                    <w14:schemeClr w14:val="tx1"/>
                  </w14:solidFill>
                </w14:textFill>
              </w:rPr>
              <w:t>，30天更换处理一次，年更换次数按10次计，则喷淋废水更换量为165m</w:t>
            </w:r>
            <w:r>
              <w:rPr>
                <w:rFonts w:hint="eastAsia"/>
                <w:color w:val="000000" w:themeColor="text1"/>
                <w:sz w:val="24"/>
                <w:vertAlign w:val="superscript"/>
                <w:lang w:val="en-US" w:eastAsia="zh-CN"/>
                <w14:textFill>
                  <w14:solidFill>
                    <w14:schemeClr w14:val="tx1"/>
                  </w14:solidFill>
                </w14:textFill>
              </w:rPr>
              <w:t>3</w:t>
            </w:r>
            <w:r>
              <w:rPr>
                <w:rFonts w:hint="eastAsia"/>
                <w:color w:val="000000" w:themeColor="text1"/>
                <w:sz w:val="24"/>
                <w:lang w:val="en-US" w:eastAsia="zh-CN"/>
                <w14:textFill>
                  <w14:solidFill>
                    <w14:schemeClr w14:val="tx1"/>
                  </w14:solidFill>
                </w14:textFill>
              </w:rPr>
              <w:t>/a（0.55m</w:t>
            </w:r>
            <w:r>
              <w:rPr>
                <w:rFonts w:hint="eastAsia"/>
                <w:color w:val="000000" w:themeColor="text1"/>
                <w:sz w:val="24"/>
                <w:vertAlign w:val="superscript"/>
                <w:lang w:val="en-US" w:eastAsia="zh-CN"/>
                <w14:textFill>
                  <w14:solidFill>
                    <w14:schemeClr w14:val="tx1"/>
                  </w14:solidFill>
                </w14:textFill>
              </w:rPr>
              <w:t>3</w:t>
            </w:r>
            <w:r>
              <w:rPr>
                <w:rFonts w:hint="eastAsia"/>
                <w:color w:val="000000" w:themeColor="text1"/>
                <w:sz w:val="24"/>
                <w:lang w:val="en-US" w:eastAsia="zh-CN"/>
                <w14:textFill>
                  <w14:solidFill>
                    <w14:schemeClr w14:val="tx1"/>
                  </w14:solidFill>
                </w14:textFill>
              </w:rPr>
              <w:t>/d）。每天按照循环水量的0.5%补充新鲜水，补充用水即0.075m</w:t>
            </w:r>
            <w:r>
              <w:rPr>
                <w:rFonts w:hint="eastAsia"/>
                <w:color w:val="000000" w:themeColor="text1"/>
                <w:sz w:val="24"/>
                <w:vertAlign w:val="superscript"/>
                <w:lang w:val="en-US" w:eastAsia="zh-CN"/>
                <w14:textFill>
                  <w14:solidFill>
                    <w14:schemeClr w14:val="tx1"/>
                  </w14:solidFill>
                </w14:textFill>
              </w:rPr>
              <w:t>3</w:t>
            </w:r>
            <w:r>
              <w:rPr>
                <w:rFonts w:hint="eastAsia"/>
                <w:color w:val="000000" w:themeColor="text1"/>
                <w:sz w:val="24"/>
                <w:lang w:val="en-US" w:eastAsia="zh-CN"/>
                <w14:textFill>
                  <w14:solidFill>
                    <w14:schemeClr w14:val="tx1"/>
                  </w14:solidFill>
                </w14:textFill>
              </w:rPr>
              <w:t>/h（0.6m</w:t>
            </w:r>
            <w:r>
              <w:rPr>
                <w:rFonts w:hint="eastAsia"/>
                <w:color w:val="000000" w:themeColor="text1"/>
                <w:sz w:val="24"/>
                <w:vertAlign w:val="superscript"/>
                <w:lang w:val="en-US" w:eastAsia="zh-CN"/>
                <w14:textFill>
                  <w14:solidFill>
                    <w14:schemeClr w14:val="tx1"/>
                  </w14:solidFill>
                </w14:textFill>
              </w:rPr>
              <w:t>3</w:t>
            </w:r>
            <w:r>
              <w:rPr>
                <w:rFonts w:hint="eastAsia"/>
                <w:color w:val="000000" w:themeColor="text1"/>
                <w:sz w:val="24"/>
                <w:lang w:val="en-US" w:eastAsia="zh-CN"/>
                <w14:textFill>
                  <w14:solidFill>
                    <w14:schemeClr w14:val="tx1"/>
                  </w14:solidFill>
                </w14:textFill>
              </w:rPr>
              <w:t>/d），总用水量为345m</w:t>
            </w:r>
            <w:r>
              <w:rPr>
                <w:rFonts w:hint="eastAsia"/>
                <w:color w:val="000000" w:themeColor="text1"/>
                <w:sz w:val="24"/>
                <w:vertAlign w:val="superscript"/>
                <w:lang w:val="en-US" w:eastAsia="zh-CN"/>
                <w14:textFill>
                  <w14:solidFill>
                    <w14:schemeClr w14:val="tx1"/>
                  </w14:solidFill>
                </w14:textFill>
              </w:rPr>
              <w:t>3</w:t>
            </w:r>
            <w:r>
              <w:rPr>
                <w:rFonts w:hint="eastAsia"/>
                <w:color w:val="000000" w:themeColor="text1"/>
                <w:sz w:val="24"/>
                <w:lang w:val="en-US" w:eastAsia="zh-CN"/>
                <w14:textFill>
                  <w14:solidFill>
                    <w14:schemeClr w14:val="tx1"/>
                  </w14:solidFill>
                </w14:textFill>
              </w:rPr>
              <w:t>/a（1.15m</w:t>
            </w:r>
            <w:r>
              <w:rPr>
                <w:rFonts w:hint="eastAsia"/>
                <w:color w:val="000000" w:themeColor="text1"/>
                <w:sz w:val="24"/>
                <w:vertAlign w:val="superscript"/>
                <w:lang w:val="en-US" w:eastAsia="zh-CN"/>
                <w14:textFill>
                  <w14:solidFill>
                    <w14:schemeClr w14:val="tx1"/>
                  </w14:solidFill>
                </w14:textFill>
              </w:rPr>
              <w:t>3</w:t>
            </w:r>
            <w:r>
              <w:rPr>
                <w:rFonts w:hint="eastAsia"/>
                <w:color w:val="000000" w:themeColor="text1"/>
                <w:sz w:val="24"/>
                <w:lang w:val="en-US" w:eastAsia="zh-CN"/>
                <w14:textFill>
                  <w14:solidFill>
                    <w14:schemeClr w14:val="tx1"/>
                  </w14:solidFill>
                </w14:textFill>
              </w:rPr>
              <w:t>/d）。</w:t>
            </w:r>
          </w:p>
          <w:p w14:paraId="1DA89F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生物除臭塔</w:t>
            </w:r>
            <w:r>
              <w:rPr>
                <w:rFonts w:hint="eastAsia" w:ascii="Times New Roman" w:hAnsi="Times New Roman" w:eastAsia="宋体" w:cs="Times New Roman"/>
                <w:color w:val="000000"/>
                <w:kern w:val="0"/>
                <w:sz w:val="24"/>
                <w:szCs w:val="20"/>
                <w:lang w:val="en-US" w:eastAsia="zh-CN" w:bidi="ar-SA"/>
              </w:rPr>
              <w:t>废水经厂区污水处理设施处理后通过</w:t>
            </w:r>
            <w:r>
              <w:rPr>
                <w:rFonts w:hint="eastAsia" w:cs="Times New Roman"/>
                <w:color w:val="000000"/>
                <w:kern w:val="0"/>
                <w:sz w:val="24"/>
                <w:szCs w:val="20"/>
                <w:lang w:val="en-US" w:eastAsia="zh-CN" w:bidi="ar-SA"/>
              </w:rPr>
              <w:t>市政</w:t>
            </w:r>
            <w:r>
              <w:rPr>
                <w:rFonts w:hint="eastAsia" w:ascii="Times New Roman" w:hAnsi="Times New Roman" w:eastAsia="宋体" w:cs="Times New Roman"/>
                <w:color w:val="000000"/>
                <w:kern w:val="0"/>
                <w:sz w:val="24"/>
                <w:szCs w:val="20"/>
                <w:lang w:val="en-US" w:eastAsia="zh-CN" w:bidi="ar-SA"/>
              </w:rPr>
              <w:t>污水管网进入</w:t>
            </w:r>
            <w:r>
              <w:rPr>
                <w:rFonts w:hint="eastAsia" w:cs="Times New Roman"/>
                <w:color w:val="000000"/>
                <w:kern w:val="0"/>
                <w:sz w:val="24"/>
                <w:szCs w:val="20"/>
                <w:lang w:val="en-US" w:eastAsia="zh-CN" w:bidi="ar-SA"/>
              </w:rPr>
              <w:t>泗县工业污水处理厂</w:t>
            </w:r>
            <w:r>
              <w:rPr>
                <w:rFonts w:hint="eastAsia" w:ascii="Times New Roman" w:hAnsi="Times New Roman" w:eastAsia="宋体" w:cs="Times New Roman"/>
                <w:color w:val="000000"/>
                <w:kern w:val="0"/>
                <w:sz w:val="24"/>
                <w:szCs w:val="20"/>
                <w:lang w:val="en-US" w:eastAsia="zh-CN" w:bidi="ar-SA"/>
              </w:rPr>
              <w:t>处理。</w:t>
            </w:r>
          </w:p>
          <w:p w14:paraId="22629676">
            <w:pPr>
              <w:numPr>
                <w:ilvl w:val="0"/>
                <w:numId w:val="0"/>
              </w:numPr>
              <w:jc w:val="center"/>
              <w:rPr>
                <w:rFonts w:hint="eastAsia" w:ascii="Times New Roman" w:hAnsi="Times New Roman" w:eastAsia="宋体" w:cs="Times New Roman"/>
                <w:b/>
                <w:bCs/>
                <w:color w:val="auto"/>
                <w:sz w:val="24"/>
                <w:szCs w:val="32"/>
                <w:lang w:val="en-US" w:eastAsia="zh-CN"/>
              </w:rPr>
            </w:pPr>
            <w:r>
              <w:rPr>
                <w:rFonts w:hint="eastAsia" w:ascii="Times New Roman" w:hAnsi="Times New Roman" w:eastAsia="宋体" w:cs="Times New Roman"/>
                <w:b/>
                <w:bCs/>
                <w:color w:val="auto"/>
                <w:sz w:val="24"/>
                <w:szCs w:val="32"/>
                <w:lang w:val="en-US" w:eastAsia="zh-CN"/>
              </w:rPr>
              <w:t>表4-8废水类别、污染物种类、排放方式及污染治理设施一览表</w:t>
            </w:r>
          </w:p>
          <w:tbl>
            <w:tblPr>
              <w:tblStyle w:val="23"/>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445"/>
              <w:gridCol w:w="1123"/>
              <w:gridCol w:w="661"/>
              <w:gridCol w:w="898"/>
              <w:gridCol w:w="1011"/>
              <w:gridCol w:w="987"/>
              <w:gridCol w:w="1248"/>
            </w:tblGrid>
            <w:tr w14:paraId="1C60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8" w:type="pct"/>
                  <w:vMerge w:val="restart"/>
                  <w:vAlign w:val="center"/>
                </w:tcPr>
                <w:p w14:paraId="4A9855F1">
                  <w:pPr>
                    <w:jc w:val="center"/>
                    <w:rPr>
                      <w:b/>
                      <w:bCs/>
                      <w:sz w:val="21"/>
                      <w:szCs w:val="21"/>
                    </w:rPr>
                  </w:pPr>
                  <w:r>
                    <w:rPr>
                      <w:b/>
                      <w:bCs/>
                      <w:sz w:val="21"/>
                      <w:szCs w:val="21"/>
                    </w:rPr>
                    <w:t>废水类别</w:t>
                  </w:r>
                </w:p>
              </w:tc>
              <w:tc>
                <w:tcPr>
                  <w:tcW w:w="856" w:type="pct"/>
                  <w:vMerge w:val="restart"/>
                  <w:vAlign w:val="center"/>
                </w:tcPr>
                <w:p w14:paraId="0B785A7D">
                  <w:pPr>
                    <w:jc w:val="center"/>
                    <w:rPr>
                      <w:b/>
                      <w:bCs/>
                      <w:sz w:val="21"/>
                      <w:szCs w:val="21"/>
                    </w:rPr>
                  </w:pPr>
                  <w:r>
                    <w:rPr>
                      <w:b/>
                      <w:bCs/>
                      <w:sz w:val="21"/>
                      <w:szCs w:val="21"/>
                    </w:rPr>
                    <w:t>污染物种类</w:t>
                  </w:r>
                </w:p>
              </w:tc>
              <w:tc>
                <w:tcPr>
                  <w:tcW w:w="1057" w:type="pct"/>
                  <w:gridSpan w:val="2"/>
                  <w:vAlign w:val="center"/>
                </w:tcPr>
                <w:p w14:paraId="5BC0317D">
                  <w:pPr>
                    <w:jc w:val="center"/>
                    <w:rPr>
                      <w:b/>
                      <w:bCs/>
                      <w:sz w:val="21"/>
                      <w:szCs w:val="21"/>
                    </w:rPr>
                  </w:pPr>
                  <w:r>
                    <w:rPr>
                      <w:b/>
                      <w:bCs/>
                      <w:sz w:val="21"/>
                      <w:szCs w:val="21"/>
                    </w:rPr>
                    <w:t>污染治理设施</w:t>
                  </w:r>
                </w:p>
              </w:tc>
              <w:tc>
                <w:tcPr>
                  <w:tcW w:w="532" w:type="pct"/>
                  <w:vMerge w:val="restart"/>
                  <w:vAlign w:val="center"/>
                </w:tcPr>
                <w:p w14:paraId="6CFCFB6A">
                  <w:pPr>
                    <w:jc w:val="center"/>
                    <w:rPr>
                      <w:b/>
                      <w:bCs/>
                      <w:sz w:val="21"/>
                      <w:szCs w:val="21"/>
                    </w:rPr>
                  </w:pPr>
                  <w:r>
                    <w:rPr>
                      <w:b/>
                      <w:bCs/>
                      <w:sz w:val="21"/>
                      <w:szCs w:val="21"/>
                    </w:rPr>
                    <w:t>排放去向</w:t>
                  </w:r>
                </w:p>
              </w:tc>
              <w:tc>
                <w:tcPr>
                  <w:tcW w:w="599" w:type="pct"/>
                  <w:vMerge w:val="restart"/>
                  <w:vAlign w:val="center"/>
                </w:tcPr>
                <w:p w14:paraId="23748BB1">
                  <w:pPr>
                    <w:jc w:val="center"/>
                    <w:rPr>
                      <w:b/>
                      <w:bCs/>
                      <w:sz w:val="21"/>
                      <w:szCs w:val="21"/>
                    </w:rPr>
                  </w:pPr>
                  <w:r>
                    <w:rPr>
                      <w:b/>
                      <w:bCs/>
                      <w:sz w:val="21"/>
                      <w:szCs w:val="21"/>
                    </w:rPr>
                    <w:t>排放方式及排放规律</w:t>
                  </w:r>
                </w:p>
              </w:tc>
              <w:tc>
                <w:tcPr>
                  <w:tcW w:w="576" w:type="pct"/>
                  <w:vMerge w:val="restart"/>
                  <w:vAlign w:val="center"/>
                </w:tcPr>
                <w:p w14:paraId="186B009C">
                  <w:pPr>
                    <w:jc w:val="center"/>
                    <w:rPr>
                      <w:b/>
                      <w:bCs/>
                      <w:sz w:val="21"/>
                      <w:szCs w:val="21"/>
                    </w:rPr>
                  </w:pPr>
                  <w:r>
                    <w:rPr>
                      <w:b/>
                      <w:bCs/>
                      <w:sz w:val="21"/>
                      <w:szCs w:val="21"/>
                    </w:rPr>
                    <w:t>排放口编号</w:t>
                  </w:r>
                </w:p>
              </w:tc>
              <w:tc>
                <w:tcPr>
                  <w:tcW w:w="739" w:type="pct"/>
                  <w:vMerge w:val="restart"/>
                  <w:vAlign w:val="center"/>
                </w:tcPr>
                <w:p w14:paraId="3C81645F">
                  <w:pPr>
                    <w:jc w:val="center"/>
                    <w:rPr>
                      <w:b/>
                      <w:bCs/>
                      <w:sz w:val="21"/>
                      <w:szCs w:val="21"/>
                    </w:rPr>
                  </w:pPr>
                  <w:r>
                    <w:rPr>
                      <w:b/>
                      <w:bCs/>
                      <w:sz w:val="21"/>
                      <w:szCs w:val="21"/>
                    </w:rPr>
                    <w:t>排放口类型</w:t>
                  </w:r>
                </w:p>
              </w:tc>
            </w:tr>
            <w:tr w14:paraId="4D4A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8" w:type="pct"/>
                  <w:vMerge w:val="continue"/>
                  <w:vAlign w:val="center"/>
                </w:tcPr>
                <w:p w14:paraId="591732E3">
                  <w:pPr>
                    <w:jc w:val="center"/>
                    <w:rPr>
                      <w:sz w:val="21"/>
                      <w:szCs w:val="21"/>
                    </w:rPr>
                  </w:pPr>
                </w:p>
              </w:tc>
              <w:tc>
                <w:tcPr>
                  <w:tcW w:w="856" w:type="pct"/>
                  <w:vMerge w:val="continue"/>
                  <w:vAlign w:val="center"/>
                </w:tcPr>
                <w:p w14:paraId="205B6AEB">
                  <w:pPr>
                    <w:jc w:val="center"/>
                    <w:rPr>
                      <w:sz w:val="21"/>
                      <w:szCs w:val="21"/>
                    </w:rPr>
                  </w:pPr>
                </w:p>
              </w:tc>
              <w:tc>
                <w:tcPr>
                  <w:tcW w:w="665" w:type="pct"/>
                  <w:vAlign w:val="center"/>
                </w:tcPr>
                <w:p w14:paraId="44C44334">
                  <w:pPr>
                    <w:jc w:val="center"/>
                    <w:rPr>
                      <w:b/>
                      <w:bCs/>
                      <w:sz w:val="21"/>
                      <w:szCs w:val="21"/>
                    </w:rPr>
                  </w:pPr>
                  <w:r>
                    <w:rPr>
                      <w:b/>
                      <w:bCs/>
                      <w:sz w:val="21"/>
                      <w:szCs w:val="21"/>
                    </w:rPr>
                    <w:t>治理工艺</w:t>
                  </w:r>
                </w:p>
              </w:tc>
              <w:tc>
                <w:tcPr>
                  <w:tcW w:w="392" w:type="pct"/>
                  <w:vAlign w:val="center"/>
                </w:tcPr>
                <w:p w14:paraId="1515C9CF">
                  <w:pPr>
                    <w:jc w:val="center"/>
                    <w:rPr>
                      <w:b/>
                      <w:bCs/>
                      <w:sz w:val="21"/>
                      <w:szCs w:val="21"/>
                    </w:rPr>
                  </w:pPr>
                  <w:r>
                    <w:rPr>
                      <w:b/>
                      <w:bCs/>
                      <w:sz w:val="21"/>
                      <w:szCs w:val="21"/>
                    </w:rPr>
                    <w:t>是否可行</w:t>
                  </w:r>
                </w:p>
              </w:tc>
              <w:tc>
                <w:tcPr>
                  <w:tcW w:w="532" w:type="pct"/>
                  <w:vMerge w:val="continue"/>
                  <w:vAlign w:val="center"/>
                </w:tcPr>
                <w:p w14:paraId="1B40CCE8">
                  <w:pPr>
                    <w:jc w:val="center"/>
                    <w:rPr>
                      <w:sz w:val="21"/>
                      <w:szCs w:val="21"/>
                    </w:rPr>
                  </w:pPr>
                </w:p>
              </w:tc>
              <w:tc>
                <w:tcPr>
                  <w:tcW w:w="599" w:type="pct"/>
                  <w:vMerge w:val="continue"/>
                  <w:vAlign w:val="center"/>
                </w:tcPr>
                <w:p w14:paraId="348F8D46">
                  <w:pPr>
                    <w:jc w:val="center"/>
                    <w:rPr>
                      <w:sz w:val="21"/>
                      <w:szCs w:val="21"/>
                    </w:rPr>
                  </w:pPr>
                </w:p>
              </w:tc>
              <w:tc>
                <w:tcPr>
                  <w:tcW w:w="576" w:type="pct"/>
                  <w:vMerge w:val="continue"/>
                  <w:vAlign w:val="center"/>
                </w:tcPr>
                <w:p w14:paraId="718477FE">
                  <w:pPr>
                    <w:jc w:val="center"/>
                    <w:rPr>
                      <w:sz w:val="21"/>
                      <w:szCs w:val="21"/>
                    </w:rPr>
                  </w:pPr>
                </w:p>
              </w:tc>
              <w:tc>
                <w:tcPr>
                  <w:tcW w:w="739" w:type="pct"/>
                  <w:vMerge w:val="continue"/>
                  <w:vAlign w:val="center"/>
                </w:tcPr>
                <w:p w14:paraId="4D5F2E93">
                  <w:pPr>
                    <w:jc w:val="center"/>
                    <w:rPr>
                      <w:sz w:val="21"/>
                      <w:szCs w:val="21"/>
                    </w:rPr>
                  </w:pPr>
                </w:p>
              </w:tc>
            </w:tr>
            <w:tr w14:paraId="28F7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38" w:type="pct"/>
                  <w:vAlign w:val="center"/>
                </w:tcPr>
                <w:p w14:paraId="22122F89">
                  <w:pPr>
                    <w:jc w:val="center"/>
                    <w:rPr>
                      <w:sz w:val="21"/>
                      <w:szCs w:val="21"/>
                    </w:rPr>
                  </w:pPr>
                  <w:r>
                    <w:rPr>
                      <w:sz w:val="21"/>
                      <w:szCs w:val="21"/>
                    </w:rPr>
                    <w:t>生活污水</w:t>
                  </w:r>
                </w:p>
              </w:tc>
              <w:tc>
                <w:tcPr>
                  <w:tcW w:w="856" w:type="pct"/>
                  <w:vAlign w:val="center"/>
                </w:tcPr>
                <w:p w14:paraId="6ECD2F81">
                  <w:pPr>
                    <w:jc w:val="center"/>
                    <w:rPr>
                      <w:rFonts w:hint="default" w:eastAsia="宋体"/>
                      <w:sz w:val="21"/>
                      <w:szCs w:val="21"/>
                      <w:lang w:val="en-US" w:eastAsia="zh-CN"/>
                    </w:rPr>
                  </w:pPr>
                  <w:r>
                    <w:rPr>
                      <w:sz w:val="21"/>
                      <w:szCs w:val="21"/>
                    </w:rPr>
                    <w:t>pH、COD、BOD</w:t>
                  </w:r>
                  <w:r>
                    <w:rPr>
                      <w:sz w:val="21"/>
                      <w:szCs w:val="21"/>
                      <w:vertAlign w:val="subscript"/>
                    </w:rPr>
                    <w:t>5</w:t>
                  </w:r>
                  <w:r>
                    <w:rPr>
                      <w:sz w:val="21"/>
                      <w:szCs w:val="21"/>
                    </w:rPr>
                    <w:t>、SS、</w:t>
                  </w:r>
                  <w:r>
                    <w:rPr>
                      <w:bCs/>
                      <w:snapToGrid w:val="0"/>
                      <w:kern w:val="0"/>
                      <w:sz w:val="21"/>
                      <w:szCs w:val="21"/>
                    </w:rPr>
                    <w:t>NH</w:t>
                  </w:r>
                  <w:r>
                    <w:rPr>
                      <w:bCs/>
                      <w:snapToGrid w:val="0"/>
                      <w:kern w:val="0"/>
                      <w:sz w:val="21"/>
                      <w:szCs w:val="21"/>
                      <w:vertAlign w:val="subscript"/>
                    </w:rPr>
                    <w:t>3</w:t>
                  </w:r>
                  <w:r>
                    <w:rPr>
                      <w:bCs/>
                      <w:snapToGrid w:val="0"/>
                      <w:kern w:val="0"/>
                      <w:sz w:val="21"/>
                      <w:szCs w:val="21"/>
                    </w:rPr>
                    <w:t>-N</w:t>
                  </w:r>
                </w:p>
              </w:tc>
              <w:tc>
                <w:tcPr>
                  <w:tcW w:w="665" w:type="pct"/>
                  <w:vAlign w:val="center"/>
                </w:tcPr>
                <w:p w14:paraId="544C04B8">
                  <w:pPr>
                    <w:jc w:val="center"/>
                    <w:rPr>
                      <w:rFonts w:hint="eastAsia" w:eastAsia="宋体"/>
                      <w:sz w:val="21"/>
                      <w:szCs w:val="21"/>
                      <w:lang w:val="en-US" w:eastAsia="zh-CN"/>
                    </w:rPr>
                  </w:pPr>
                  <w:r>
                    <w:rPr>
                      <w:sz w:val="21"/>
                      <w:szCs w:val="21"/>
                    </w:rPr>
                    <w:t>化粪池</w:t>
                  </w:r>
                </w:p>
              </w:tc>
              <w:tc>
                <w:tcPr>
                  <w:tcW w:w="392" w:type="pct"/>
                  <w:vAlign w:val="center"/>
                </w:tcPr>
                <w:p w14:paraId="1D95087B">
                  <w:pPr>
                    <w:jc w:val="center"/>
                    <w:rPr>
                      <w:sz w:val="21"/>
                      <w:szCs w:val="21"/>
                    </w:rPr>
                  </w:pPr>
                  <w:r>
                    <w:rPr>
                      <w:sz w:val="21"/>
                      <w:szCs w:val="21"/>
                    </w:rPr>
                    <w:t>是</w:t>
                  </w:r>
                </w:p>
              </w:tc>
              <w:tc>
                <w:tcPr>
                  <w:tcW w:w="532" w:type="pct"/>
                  <w:vMerge w:val="restart"/>
                  <w:vAlign w:val="center"/>
                </w:tcPr>
                <w:p w14:paraId="2EFAFABD">
                  <w:pPr>
                    <w:jc w:val="center"/>
                    <w:rPr>
                      <w:sz w:val="21"/>
                      <w:szCs w:val="21"/>
                    </w:rPr>
                  </w:pPr>
                  <w:r>
                    <w:rPr>
                      <w:rFonts w:hint="eastAsia"/>
                      <w:sz w:val="21"/>
                      <w:szCs w:val="21"/>
                      <w:lang w:val="en-US" w:eastAsia="zh-CN"/>
                    </w:rPr>
                    <w:t>泗县工业污水处理厂</w:t>
                  </w:r>
                </w:p>
              </w:tc>
              <w:tc>
                <w:tcPr>
                  <w:tcW w:w="599" w:type="pct"/>
                  <w:vMerge w:val="restart"/>
                  <w:vAlign w:val="center"/>
                </w:tcPr>
                <w:p w14:paraId="28D1C051">
                  <w:pPr>
                    <w:jc w:val="center"/>
                    <w:rPr>
                      <w:sz w:val="21"/>
                      <w:szCs w:val="21"/>
                    </w:rPr>
                  </w:pPr>
                  <w:r>
                    <w:rPr>
                      <w:sz w:val="21"/>
                      <w:szCs w:val="21"/>
                    </w:rPr>
                    <w:t>间接排放</w:t>
                  </w:r>
                </w:p>
              </w:tc>
              <w:tc>
                <w:tcPr>
                  <w:tcW w:w="576" w:type="pct"/>
                  <w:vMerge w:val="restart"/>
                  <w:vAlign w:val="center"/>
                </w:tcPr>
                <w:p w14:paraId="5497D0EF">
                  <w:pPr>
                    <w:jc w:val="center"/>
                    <w:rPr>
                      <w:sz w:val="21"/>
                      <w:szCs w:val="21"/>
                    </w:rPr>
                  </w:pPr>
                  <w:r>
                    <w:rPr>
                      <w:sz w:val="21"/>
                      <w:szCs w:val="21"/>
                    </w:rPr>
                    <w:t>DW001</w:t>
                  </w:r>
                </w:p>
              </w:tc>
              <w:tc>
                <w:tcPr>
                  <w:tcW w:w="739" w:type="pct"/>
                  <w:vMerge w:val="restart"/>
                  <w:vAlign w:val="center"/>
                </w:tcPr>
                <w:p w14:paraId="6376C223">
                  <w:pPr>
                    <w:jc w:val="center"/>
                    <w:rPr>
                      <w:sz w:val="21"/>
                      <w:szCs w:val="21"/>
                    </w:rPr>
                  </w:pPr>
                  <w:r>
                    <w:rPr>
                      <w:rFonts w:hint="eastAsia"/>
                      <w:sz w:val="21"/>
                      <w:szCs w:val="21"/>
                      <w:lang w:val="en-US" w:eastAsia="zh-CN"/>
                    </w:rPr>
                    <w:t>一般</w:t>
                  </w:r>
                  <w:r>
                    <w:rPr>
                      <w:sz w:val="21"/>
                      <w:szCs w:val="21"/>
                    </w:rPr>
                    <w:t>排放口-总排口</w:t>
                  </w:r>
                </w:p>
              </w:tc>
            </w:tr>
            <w:tr w14:paraId="3A53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38" w:type="pct"/>
                  <w:vAlign w:val="center"/>
                </w:tcPr>
                <w:p w14:paraId="0724E7CC">
                  <w:pPr>
                    <w:keepNext w:val="0"/>
                    <w:keepLines w:val="0"/>
                    <w:pageBreakBefore w:val="0"/>
                    <w:widowControl/>
                    <w:suppressLineNumbers w:val="0"/>
                    <w:kinsoku/>
                    <w:wordWrap/>
                    <w:overflowPunct/>
                    <w:topLinePunct w:val="0"/>
                    <w:autoSpaceDE/>
                    <w:autoSpaceDN/>
                    <w:bidi w:val="0"/>
                    <w:adjustRightInd/>
                    <w:spacing w:line="240" w:lineRule="auto"/>
                    <w:ind w:left="0" w:leftChars="0" w:firstLine="0" w:firstLineChars="0"/>
                    <w:jc w:val="center"/>
                    <w:textAlignment w:val="center"/>
                    <w:rPr>
                      <w:rFonts w:hint="default" w:eastAsia="宋体"/>
                      <w:sz w:val="21"/>
                      <w:szCs w:val="21"/>
                      <w:lang w:val="en-US" w:eastAsia="zh-CN"/>
                    </w:rPr>
                  </w:pPr>
                  <w:r>
                    <w:rPr>
                      <w:rFonts w:hint="eastAsia" w:cs="Times New Roman"/>
                      <w:i w:val="0"/>
                      <w:iCs w:val="0"/>
                      <w:color w:val="000000"/>
                      <w:kern w:val="0"/>
                      <w:sz w:val="21"/>
                      <w:szCs w:val="21"/>
                      <w:u w:val="none"/>
                      <w:vertAlign w:val="baseline"/>
                      <w:lang w:val="en-US" w:eastAsia="zh-CN" w:bidi="ar"/>
                    </w:rPr>
                    <w:t>清洗</w:t>
                  </w:r>
                  <w:r>
                    <w:rPr>
                      <w:rFonts w:hint="eastAsia" w:ascii="Times New Roman" w:hAnsi="Times New Roman" w:eastAsia="宋体" w:cs="Times New Roman"/>
                      <w:i w:val="0"/>
                      <w:iCs w:val="0"/>
                      <w:color w:val="000000"/>
                      <w:kern w:val="0"/>
                      <w:sz w:val="21"/>
                      <w:szCs w:val="21"/>
                      <w:u w:val="none"/>
                      <w:vertAlign w:val="baseline"/>
                      <w:lang w:val="en-US" w:eastAsia="zh-CN" w:bidi="ar"/>
                    </w:rPr>
                    <w:t>废水</w:t>
                  </w:r>
                </w:p>
              </w:tc>
              <w:tc>
                <w:tcPr>
                  <w:tcW w:w="856" w:type="pct"/>
                  <w:vAlign w:val="center"/>
                </w:tcPr>
                <w:p w14:paraId="5F73A877">
                  <w:pPr>
                    <w:jc w:val="center"/>
                    <w:rPr>
                      <w:rFonts w:hint="default" w:eastAsia="宋体"/>
                      <w:sz w:val="21"/>
                      <w:szCs w:val="21"/>
                      <w:lang w:val="en-US" w:eastAsia="zh-CN"/>
                    </w:rPr>
                  </w:pPr>
                  <w:r>
                    <w:rPr>
                      <w:sz w:val="21"/>
                      <w:szCs w:val="21"/>
                    </w:rPr>
                    <w:t>COD、SS、BOD</w:t>
                  </w:r>
                  <w:r>
                    <w:rPr>
                      <w:sz w:val="21"/>
                      <w:szCs w:val="21"/>
                      <w:vertAlign w:val="subscript"/>
                    </w:rPr>
                    <w:t>5</w:t>
                  </w:r>
                  <w:r>
                    <w:rPr>
                      <w:sz w:val="21"/>
                      <w:szCs w:val="21"/>
                    </w:rPr>
                    <w:t>、</w:t>
                  </w:r>
                  <w:r>
                    <w:rPr>
                      <w:bCs/>
                      <w:snapToGrid w:val="0"/>
                      <w:kern w:val="0"/>
                      <w:sz w:val="21"/>
                      <w:szCs w:val="21"/>
                    </w:rPr>
                    <w:t>NH</w:t>
                  </w:r>
                  <w:r>
                    <w:rPr>
                      <w:bCs/>
                      <w:snapToGrid w:val="0"/>
                      <w:kern w:val="0"/>
                      <w:sz w:val="21"/>
                      <w:szCs w:val="21"/>
                      <w:vertAlign w:val="subscript"/>
                    </w:rPr>
                    <w:t>3</w:t>
                  </w:r>
                  <w:r>
                    <w:rPr>
                      <w:bCs/>
                      <w:snapToGrid w:val="0"/>
                      <w:kern w:val="0"/>
                      <w:sz w:val="21"/>
                      <w:szCs w:val="21"/>
                    </w:rPr>
                    <w:t>-N</w:t>
                  </w:r>
                  <w:r>
                    <w:rPr>
                      <w:rFonts w:hint="eastAsia"/>
                      <w:bCs/>
                      <w:snapToGrid w:val="0"/>
                      <w:kern w:val="0"/>
                      <w:sz w:val="21"/>
                      <w:szCs w:val="21"/>
                      <w:lang w:eastAsia="zh-CN"/>
                    </w:rPr>
                    <w:t>、</w:t>
                  </w:r>
                  <w:r>
                    <w:rPr>
                      <w:rFonts w:hint="eastAsia"/>
                      <w:bCs/>
                      <w:snapToGrid w:val="0"/>
                      <w:kern w:val="0"/>
                      <w:sz w:val="21"/>
                      <w:szCs w:val="21"/>
                      <w:lang w:val="en-US" w:eastAsia="zh-CN"/>
                    </w:rPr>
                    <w:t>TP、TN</w:t>
                  </w:r>
                </w:p>
              </w:tc>
              <w:tc>
                <w:tcPr>
                  <w:tcW w:w="665" w:type="pct"/>
                  <w:vMerge w:val="restart"/>
                  <w:vAlign w:val="center"/>
                </w:tcPr>
                <w:p w14:paraId="7FF72C6C">
                  <w:pPr>
                    <w:jc w:val="center"/>
                    <w:rPr>
                      <w:rFonts w:hint="default" w:eastAsia="宋体"/>
                      <w:sz w:val="21"/>
                      <w:szCs w:val="21"/>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“格栅-调节池+气浮+A/O+沉淀池”</w:t>
                  </w:r>
                </w:p>
              </w:tc>
              <w:tc>
                <w:tcPr>
                  <w:tcW w:w="392" w:type="pct"/>
                  <w:vAlign w:val="center"/>
                </w:tcPr>
                <w:p w14:paraId="39399D63">
                  <w:pPr>
                    <w:jc w:val="center"/>
                    <w:rPr>
                      <w:rFonts w:hint="eastAsia" w:eastAsia="宋体"/>
                      <w:sz w:val="21"/>
                      <w:szCs w:val="21"/>
                      <w:lang w:eastAsia="zh-CN"/>
                    </w:rPr>
                  </w:pPr>
                  <w:r>
                    <w:rPr>
                      <w:rFonts w:hint="eastAsia"/>
                      <w:sz w:val="21"/>
                      <w:szCs w:val="21"/>
                      <w:lang w:val="en-US" w:eastAsia="zh-CN"/>
                    </w:rPr>
                    <w:t>是</w:t>
                  </w:r>
                </w:p>
              </w:tc>
              <w:tc>
                <w:tcPr>
                  <w:tcW w:w="532" w:type="pct"/>
                  <w:vMerge w:val="continue"/>
                  <w:vAlign w:val="center"/>
                </w:tcPr>
                <w:p w14:paraId="36C1D364">
                  <w:pPr>
                    <w:jc w:val="center"/>
                    <w:rPr>
                      <w:sz w:val="21"/>
                      <w:szCs w:val="21"/>
                    </w:rPr>
                  </w:pPr>
                </w:p>
              </w:tc>
              <w:tc>
                <w:tcPr>
                  <w:tcW w:w="599" w:type="pct"/>
                  <w:vMerge w:val="continue"/>
                  <w:vAlign w:val="center"/>
                </w:tcPr>
                <w:p w14:paraId="3231B42C">
                  <w:pPr>
                    <w:jc w:val="center"/>
                    <w:rPr>
                      <w:sz w:val="21"/>
                      <w:szCs w:val="21"/>
                    </w:rPr>
                  </w:pPr>
                </w:p>
              </w:tc>
              <w:tc>
                <w:tcPr>
                  <w:tcW w:w="576" w:type="pct"/>
                  <w:vMerge w:val="continue"/>
                  <w:vAlign w:val="center"/>
                </w:tcPr>
                <w:p w14:paraId="37F88402">
                  <w:pPr>
                    <w:jc w:val="center"/>
                    <w:rPr>
                      <w:sz w:val="21"/>
                      <w:szCs w:val="21"/>
                    </w:rPr>
                  </w:pPr>
                </w:p>
              </w:tc>
              <w:tc>
                <w:tcPr>
                  <w:tcW w:w="739" w:type="pct"/>
                  <w:vMerge w:val="continue"/>
                  <w:vAlign w:val="center"/>
                </w:tcPr>
                <w:p w14:paraId="32CD9434">
                  <w:pPr>
                    <w:jc w:val="center"/>
                    <w:rPr>
                      <w:sz w:val="21"/>
                      <w:szCs w:val="21"/>
                    </w:rPr>
                  </w:pPr>
                </w:p>
              </w:tc>
            </w:tr>
            <w:tr w14:paraId="2260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38" w:type="pct"/>
                  <w:vAlign w:val="center"/>
                </w:tcPr>
                <w:p w14:paraId="47A2230B">
                  <w:pPr>
                    <w:keepNext w:val="0"/>
                    <w:keepLines w:val="0"/>
                    <w:pageBreakBefore w:val="0"/>
                    <w:widowControl/>
                    <w:suppressLineNumbers w:val="0"/>
                    <w:kinsoku/>
                    <w:wordWrap/>
                    <w:overflowPunct/>
                    <w:topLinePunct w:val="0"/>
                    <w:autoSpaceDE/>
                    <w:autoSpaceDN/>
                    <w:bidi w:val="0"/>
                    <w:adjustRightInd/>
                    <w:spacing w:line="240" w:lineRule="auto"/>
                    <w:ind w:left="0" w:leftChars="0" w:firstLine="0" w:firstLineChars="0"/>
                    <w:jc w:val="center"/>
                    <w:textAlignment w:val="center"/>
                    <w:rPr>
                      <w:rFonts w:hint="default" w:cs="Times New Roman"/>
                      <w:i w:val="0"/>
                      <w:iCs w:val="0"/>
                      <w:color w:val="000000"/>
                      <w:kern w:val="0"/>
                      <w:sz w:val="21"/>
                      <w:szCs w:val="21"/>
                      <w:u w:val="none"/>
                      <w:vertAlign w:val="baseline"/>
                      <w:lang w:val="en-US" w:eastAsia="zh-CN" w:bidi="ar"/>
                    </w:rPr>
                  </w:pPr>
                  <w:r>
                    <w:rPr>
                      <w:rFonts w:hint="eastAsia" w:cs="Times New Roman"/>
                      <w:i w:val="0"/>
                      <w:iCs w:val="0"/>
                      <w:color w:val="000000"/>
                      <w:kern w:val="0"/>
                      <w:sz w:val="21"/>
                      <w:szCs w:val="21"/>
                      <w:u w:val="none"/>
                      <w:vertAlign w:val="baseline"/>
                      <w:lang w:val="en-US" w:eastAsia="zh-CN" w:bidi="ar"/>
                    </w:rPr>
                    <w:t>生物除臭装置废水</w:t>
                  </w:r>
                </w:p>
              </w:tc>
              <w:tc>
                <w:tcPr>
                  <w:tcW w:w="856" w:type="pct"/>
                  <w:vAlign w:val="center"/>
                </w:tcPr>
                <w:p w14:paraId="5BAB51C6">
                  <w:pPr>
                    <w:jc w:val="center"/>
                    <w:rPr>
                      <w:sz w:val="21"/>
                      <w:szCs w:val="21"/>
                    </w:rPr>
                  </w:pPr>
                  <w:r>
                    <w:rPr>
                      <w:sz w:val="21"/>
                      <w:szCs w:val="21"/>
                    </w:rPr>
                    <w:t>COD、SS、BOD</w:t>
                  </w:r>
                  <w:r>
                    <w:rPr>
                      <w:sz w:val="21"/>
                      <w:szCs w:val="21"/>
                      <w:vertAlign w:val="subscript"/>
                    </w:rPr>
                    <w:t>5</w:t>
                  </w:r>
                  <w:r>
                    <w:rPr>
                      <w:sz w:val="21"/>
                      <w:szCs w:val="21"/>
                    </w:rPr>
                    <w:t>、</w:t>
                  </w:r>
                  <w:r>
                    <w:rPr>
                      <w:bCs/>
                      <w:snapToGrid w:val="0"/>
                      <w:kern w:val="0"/>
                      <w:sz w:val="21"/>
                      <w:szCs w:val="21"/>
                    </w:rPr>
                    <w:t>NH</w:t>
                  </w:r>
                  <w:r>
                    <w:rPr>
                      <w:bCs/>
                      <w:snapToGrid w:val="0"/>
                      <w:kern w:val="0"/>
                      <w:sz w:val="21"/>
                      <w:szCs w:val="21"/>
                      <w:vertAlign w:val="subscript"/>
                    </w:rPr>
                    <w:t>3</w:t>
                  </w:r>
                  <w:r>
                    <w:rPr>
                      <w:bCs/>
                      <w:snapToGrid w:val="0"/>
                      <w:kern w:val="0"/>
                      <w:sz w:val="21"/>
                      <w:szCs w:val="21"/>
                    </w:rPr>
                    <w:t>-N</w:t>
                  </w:r>
                  <w:r>
                    <w:rPr>
                      <w:rFonts w:hint="eastAsia"/>
                      <w:bCs/>
                      <w:snapToGrid w:val="0"/>
                      <w:kern w:val="0"/>
                      <w:sz w:val="21"/>
                      <w:szCs w:val="21"/>
                      <w:lang w:eastAsia="zh-CN"/>
                    </w:rPr>
                    <w:t>、</w:t>
                  </w:r>
                  <w:r>
                    <w:rPr>
                      <w:rFonts w:hint="eastAsia"/>
                      <w:bCs/>
                      <w:snapToGrid w:val="0"/>
                      <w:kern w:val="0"/>
                      <w:sz w:val="21"/>
                      <w:szCs w:val="21"/>
                      <w:lang w:val="en-US" w:eastAsia="zh-CN"/>
                    </w:rPr>
                    <w:t>TP、TN</w:t>
                  </w:r>
                  <w:r>
                    <w:rPr>
                      <w:sz w:val="21"/>
                      <w:szCs w:val="21"/>
                    </w:rPr>
                    <w:t>、</w:t>
                  </w:r>
                  <w:r>
                    <w:rPr>
                      <w:rFonts w:hint="eastAsia"/>
                      <w:bCs/>
                      <w:snapToGrid w:val="0"/>
                      <w:kern w:val="0"/>
                      <w:sz w:val="21"/>
                      <w:szCs w:val="21"/>
                      <w:lang w:val="en-US" w:eastAsia="zh-CN"/>
                    </w:rPr>
                    <w:t>全盐量</w:t>
                  </w:r>
                </w:p>
              </w:tc>
              <w:tc>
                <w:tcPr>
                  <w:tcW w:w="665" w:type="pct"/>
                  <w:vMerge w:val="continue"/>
                  <w:vAlign w:val="center"/>
                </w:tcPr>
                <w:p w14:paraId="1BF4550B">
                  <w:pPr>
                    <w:jc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392" w:type="pct"/>
                  <w:vAlign w:val="center"/>
                </w:tcPr>
                <w:p w14:paraId="3AB055F3">
                  <w:pPr>
                    <w:jc w:val="center"/>
                    <w:rPr>
                      <w:rFonts w:hint="eastAsia"/>
                      <w:sz w:val="21"/>
                      <w:szCs w:val="21"/>
                      <w:lang w:val="en-US" w:eastAsia="zh-CN"/>
                    </w:rPr>
                  </w:pPr>
                  <w:r>
                    <w:rPr>
                      <w:rFonts w:hint="eastAsia"/>
                      <w:sz w:val="21"/>
                      <w:szCs w:val="21"/>
                      <w:lang w:val="en-US" w:eastAsia="zh-CN"/>
                    </w:rPr>
                    <w:t>是</w:t>
                  </w:r>
                </w:p>
              </w:tc>
              <w:tc>
                <w:tcPr>
                  <w:tcW w:w="532" w:type="pct"/>
                  <w:vMerge w:val="continue"/>
                  <w:vAlign w:val="center"/>
                </w:tcPr>
                <w:p w14:paraId="69DF6728">
                  <w:pPr>
                    <w:jc w:val="center"/>
                    <w:rPr>
                      <w:sz w:val="21"/>
                      <w:szCs w:val="21"/>
                    </w:rPr>
                  </w:pPr>
                </w:p>
              </w:tc>
              <w:tc>
                <w:tcPr>
                  <w:tcW w:w="599" w:type="pct"/>
                  <w:vMerge w:val="continue"/>
                  <w:vAlign w:val="center"/>
                </w:tcPr>
                <w:p w14:paraId="0A599EE9">
                  <w:pPr>
                    <w:jc w:val="center"/>
                    <w:rPr>
                      <w:sz w:val="21"/>
                      <w:szCs w:val="21"/>
                    </w:rPr>
                  </w:pPr>
                </w:p>
              </w:tc>
              <w:tc>
                <w:tcPr>
                  <w:tcW w:w="576" w:type="pct"/>
                  <w:vMerge w:val="continue"/>
                  <w:vAlign w:val="center"/>
                </w:tcPr>
                <w:p w14:paraId="5164BF4B">
                  <w:pPr>
                    <w:jc w:val="center"/>
                    <w:rPr>
                      <w:sz w:val="21"/>
                      <w:szCs w:val="21"/>
                    </w:rPr>
                  </w:pPr>
                </w:p>
              </w:tc>
              <w:tc>
                <w:tcPr>
                  <w:tcW w:w="739" w:type="pct"/>
                  <w:vMerge w:val="continue"/>
                  <w:vAlign w:val="center"/>
                </w:tcPr>
                <w:p w14:paraId="7D9A4141">
                  <w:pPr>
                    <w:jc w:val="center"/>
                    <w:rPr>
                      <w:sz w:val="21"/>
                      <w:szCs w:val="21"/>
                    </w:rPr>
                  </w:pPr>
                </w:p>
              </w:tc>
            </w:tr>
            <w:tr w14:paraId="1CAA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38" w:type="pct"/>
                  <w:vAlign w:val="center"/>
                </w:tcPr>
                <w:p w14:paraId="72F696BA">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sz w:val="21"/>
                      <w:szCs w:val="21"/>
                      <w:lang w:val="en-US" w:eastAsia="zh-CN"/>
                    </w:rPr>
                  </w:pPr>
                  <w:r>
                    <w:rPr>
                      <w:rFonts w:hint="eastAsia" w:ascii="Times New Roman" w:hAnsi="Times New Roman" w:eastAsia="宋体" w:cs="Times New Roman"/>
                      <w:i w:val="0"/>
                      <w:iCs w:val="0"/>
                      <w:color w:val="000000"/>
                      <w:sz w:val="21"/>
                      <w:szCs w:val="21"/>
                      <w:u w:val="none"/>
                      <w:vertAlign w:val="baseline"/>
                      <w:lang w:val="en-US" w:eastAsia="zh-CN"/>
                    </w:rPr>
                    <w:t>纯水制备浓水</w:t>
                  </w:r>
                </w:p>
              </w:tc>
              <w:tc>
                <w:tcPr>
                  <w:tcW w:w="856" w:type="pct"/>
                  <w:vAlign w:val="center"/>
                </w:tcPr>
                <w:p w14:paraId="58915078">
                  <w:pPr>
                    <w:jc w:val="center"/>
                    <w:rPr>
                      <w:rFonts w:hint="default" w:eastAsia="宋体"/>
                      <w:sz w:val="21"/>
                      <w:szCs w:val="21"/>
                      <w:lang w:val="en-US" w:eastAsia="zh-CN"/>
                    </w:rPr>
                  </w:pPr>
                  <w:r>
                    <w:rPr>
                      <w:sz w:val="21"/>
                      <w:szCs w:val="21"/>
                    </w:rPr>
                    <w:t>COD、</w:t>
                  </w:r>
                  <w:r>
                    <w:rPr>
                      <w:rFonts w:hint="eastAsia"/>
                      <w:bCs/>
                      <w:snapToGrid w:val="0"/>
                      <w:kern w:val="0"/>
                      <w:sz w:val="21"/>
                      <w:szCs w:val="21"/>
                      <w:lang w:val="en-US" w:eastAsia="zh-CN"/>
                    </w:rPr>
                    <w:t>全盐量</w:t>
                  </w:r>
                </w:p>
              </w:tc>
              <w:tc>
                <w:tcPr>
                  <w:tcW w:w="665" w:type="pct"/>
                  <w:vAlign w:val="center"/>
                </w:tcPr>
                <w:p w14:paraId="21E0C80E">
                  <w:pPr>
                    <w:jc w:val="center"/>
                    <w:rPr>
                      <w:rFonts w:hint="default"/>
                      <w:sz w:val="21"/>
                      <w:szCs w:val="21"/>
                      <w:lang w:val="en-US" w:eastAsia="zh-CN"/>
                    </w:rPr>
                  </w:pPr>
                  <w:r>
                    <w:rPr>
                      <w:rFonts w:hint="eastAsia"/>
                      <w:sz w:val="21"/>
                      <w:szCs w:val="21"/>
                      <w:lang w:val="en-US" w:eastAsia="zh-CN"/>
                    </w:rPr>
                    <w:t>/</w:t>
                  </w:r>
                </w:p>
              </w:tc>
              <w:tc>
                <w:tcPr>
                  <w:tcW w:w="392" w:type="pct"/>
                  <w:vAlign w:val="center"/>
                </w:tcPr>
                <w:p w14:paraId="53E28B48">
                  <w:pPr>
                    <w:jc w:val="center"/>
                    <w:rPr>
                      <w:rFonts w:hint="default"/>
                      <w:sz w:val="21"/>
                      <w:szCs w:val="21"/>
                      <w:lang w:val="en-US" w:eastAsia="zh-CN"/>
                    </w:rPr>
                  </w:pPr>
                  <w:r>
                    <w:rPr>
                      <w:rFonts w:hint="eastAsia"/>
                      <w:sz w:val="21"/>
                      <w:szCs w:val="21"/>
                      <w:lang w:val="en-US" w:eastAsia="zh-CN"/>
                    </w:rPr>
                    <w:t>/</w:t>
                  </w:r>
                </w:p>
              </w:tc>
              <w:tc>
                <w:tcPr>
                  <w:tcW w:w="532" w:type="pct"/>
                  <w:vMerge w:val="continue"/>
                  <w:vAlign w:val="center"/>
                </w:tcPr>
                <w:p w14:paraId="03080052">
                  <w:pPr>
                    <w:jc w:val="center"/>
                    <w:rPr>
                      <w:sz w:val="21"/>
                      <w:szCs w:val="21"/>
                    </w:rPr>
                  </w:pPr>
                </w:p>
              </w:tc>
              <w:tc>
                <w:tcPr>
                  <w:tcW w:w="599" w:type="pct"/>
                  <w:vMerge w:val="continue"/>
                  <w:vAlign w:val="center"/>
                </w:tcPr>
                <w:p w14:paraId="68D58BA4">
                  <w:pPr>
                    <w:jc w:val="center"/>
                    <w:rPr>
                      <w:sz w:val="21"/>
                      <w:szCs w:val="21"/>
                    </w:rPr>
                  </w:pPr>
                </w:p>
              </w:tc>
              <w:tc>
                <w:tcPr>
                  <w:tcW w:w="576" w:type="pct"/>
                  <w:vMerge w:val="continue"/>
                  <w:vAlign w:val="center"/>
                </w:tcPr>
                <w:p w14:paraId="215F4F26">
                  <w:pPr>
                    <w:jc w:val="center"/>
                    <w:rPr>
                      <w:sz w:val="21"/>
                      <w:szCs w:val="21"/>
                    </w:rPr>
                  </w:pPr>
                </w:p>
              </w:tc>
              <w:tc>
                <w:tcPr>
                  <w:tcW w:w="739" w:type="pct"/>
                  <w:vMerge w:val="continue"/>
                  <w:vAlign w:val="center"/>
                </w:tcPr>
                <w:p w14:paraId="6D89E70B">
                  <w:pPr>
                    <w:jc w:val="center"/>
                    <w:rPr>
                      <w:sz w:val="21"/>
                      <w:szCs w:val="21"/>
                    </w:rPr>
                  </w:pPr>
                </w:p>
              </w:tc>
            </w:tr>
          </w:tbl>
          <w:p w14:paraId="5B24579B">
            <w:pPr>
              <w:numPr>
                <w:ilvl w:val="0"/>
                <w:numId w:val="0"/>
              </w:numPr>
              <w:jc w:val="center"/>
              <w:rPr>
                <w:rFonts w:hint="eastAsia" w:ascii="Times New Roman" w:hAnsi="Times New Roman" w:eastAsia="宋体" w:cs="Times New Roman"/>
                <w:b/>
                <w:bCs/>
                <w:color w:val="auto"/>
                <w:sz w:val="24"/>
                <w:szCs w:val="32"/>
                <w:lang w:val="en-US" w:eastAsia="zh-CN"/>
              </w:rPr>
            </w:pPr>
            <w:r>
              <w:rPr>
                <w:rFonts w:hint="eastAsia" w:ascii="Times New Roman" w:hAnsi="Times New Roman" w:eastAsia="宋体" w:cs="Times New Roman"/>
                <w:b/>
                <w:bCs/>
                <w:color w:val="auto"/>
                <w:sz w:val="24"/>
                <w:szCs w:val="32"/>
                <w:lang w:val="en-US" w:eastAsia="zh-CN"/>
              </w:rPr>
              <w:t>表4-9 项目废水水污染物产生情况表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79"/>
              <w:gridCol w:w="1451"/>
              <w:gridCol w:w="1280"/>
              <w:gridCol w:w="1392"/>
              <w:gridCol w:w="1651"/>
              <w:gridCol w:w="1417"/>
            </w:tblGrid>
            <w:tr w14:paraId="31CE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580" w:type="dxa"/>
                  <w:vMerge w:val="restart"/>
                  <w:shd w:val="clear" w:color="auto" w:fill="auto"/>
                  <w:vAlign w:val="center"/>
                </w:tcPr>
                <w:p w14:paraId="7A5A8565">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vertAlign w:val="baseline"/>
                    </w:rPr>
                  </w:pPr>
                  <w:r>
                    <w:rPr>
                      <w:rFonts w:hint="default" w:ascii="Times New Roman" w:hAnsi="Times New Roman" w:eastAsia="宋体" w:cs="Times New Roman"/>
                      <w:b/>
                      <w:bCs/>
                      <w:i w:val="0"/>
                      <w:iCs w:val="0"/>
                      <w:color w:val="auto"/>
                      <w:kern w:val="0"/>
                      <w:sz w:val="21"/>
                      <w:szCs w:val="21"/>
                      <w:u w:val="none"/>
                      <w:vertAlign w:val="baseline"/>
                      <w:lang w:val="en-US" w:eastAsia="zh-CN" w:bidi="ar"/>
                    </w:rPr>
                    <w:t>废水种类</w:t>
                  </w:r>
                </w:p>
              </w:tc>
              <w:tc>
                <w:tcPr>
                  <w:tcW w:w="1580" w:type="dxa"/>
                  <w:vMerge w:val="restart"/>
                  <w:shd w:val="clear" w:color="auto" w:fill="auto"/>
                  <w:vAlign w:val="center"/>
                </w:tcPr>
                <w:p w14:paraId="015F587A">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vertAlign w:val="baseline"/>
                    </w:rPr>
                  </w:pPr>
                  <w:r>
                    <w:rPr>
                      <w:rFonts w:hint="default" w:ascii="Times New Roman" w:hAnsi="Times New Roman" w:eastAsia="宋体" w:cs="Times New Roman"/>
                      <w:b/>
                      <w:bCs/>
                      <w:i w:val="0"/>
                      <w:iCs w:val="0"/>
                      <w:color w:val="auto"/>
                      <w:kern w:val="0"/>
                      <w:sz w:val="21"/>
                      <w:szCs w:val="21"/>
                      <w:u w:val="none"/>
                      <w:vertAlign w:val="baseline"/>
                      <w:lang w:val="en-US" w:eastAsia="zh-CN" w:bidi="ar"/>
                    </w:rPr>
                    <w:t>废水量</w:t>
                  </w:r>
                  <w:r>
                    <w:rPr>
                      <w:rStyle w:val="72"/>
                      <w:rFonts w:hint="default" w:ascii="Times New Roman" w:hAnsi="Times New Roman" w:eastAsia="宋体" w:cs="Times New Roman"/>
                      <w:b/>
                      <w:bCs/>
                      <w:color w:val="auto"/>
                      <w:sz w:val="21"/>
                      <w:szCs w:val="21"/>
                      <w:vertAlign w:val="baseline"/>
                      <w:lang w:val="en-US" w:eastAsia="zh-CN" w:bidi="ar"/>
                    </w:rPr>
                    <w:t>m</w:t>
                  </w:r>
                  <w:r>
                    <w:rPr>
                      <w:rStyle w:val="70"/>
                      <w:rFonts w:hint="default" w:ascii="Times New Roman" w:hAnsi="Times New Roman" w:eastAsia="宋体" w:cs="Times New Roman"/>
                      <w:b/>
                      <w:bCs/>
                      <w:color w:val="auto"/>
                      <w:sz w:val="21"/>
                      <w:szCs w:val="21"/>
                      <w:vertAlign w:val="superscript"/>
                      <w:lang w:val="en-US" w:eastAsia="zh-CN" w:bidi="ar"/>
                    </w:rPr>
                    <w:t>3</w:t>
                  </w:r>
                  <w:r>
                    <w:rPr>
                      <w:rStyle w:val="72"/>
                      <w:rFonts w:hint="default" w:ascii="Times New Roman" w:hAnsi="Times New Roman" w:eastAsia="宋体" w:cs="Times New Roman"/>
                      <w:b/>
                      <w:bCs/>
                      <w:color w:val="auto"/>
                      <w:sz w:val="21"/>
                      <w:szCs w:val="21"/>
                      <w:vertAlign w:val="baseline"/>
                      <w:lang w:val="en-US" w:eastAsia="zh-CN" w:bidi="ar"/>
                    </w:rPr>
                    <w:t>/a</w:t>
                  </w:r>
                </w:p>
              </w:tc>
              <w:tc>
                <w:tcPr>
                  <w:tcW w:w="1580" w:type="dxa"/>
                  <w:vMerge w:val="restart"/>
                  <w:shd w:val="clear" w:color="auto" w:fill="auto"/>
                  <w:vAlign w:val="center"/>
                </w:tcPr>
                <w:p w14:paraId="7B061115">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vertAlign w:val="baseline"/>
                    </w:rPr>
                  </w:pPr>
                  <w:r>
                    <w:rPr>
                      <w:rFonts w:hint="default" w:ascii="Times New Roman" w:hAnsi="Times New Roman" w:eastAsia="宋体" w:cs="Times New Roman"/>
                      <w:b/>
                      <w:bCs/>
                      <w:i w:val="0"/>
                      <w:iCs w:val="0"/>
                      <w:color w:val="auto"/>
                      <w:kern w:val="0"/>
                      <w:sz w:val="21"/>
                      <w:szCs w:val="21"/>
                      <w:u w:val="none"/>
                      <w:vertAlign w:val="baseline"/>
                      <w:lang w:val="en-US" w:eastAsia="zh-CN" w:bidi="ar"/>
                    </w:rPr>
                    <w:t>核算方法</w:t>
                  </w:r>
                </w:p>
              </w:tc>
              <w:tc>
                <w:tcPr>
                  <w:tcW w:w="1580" w:type="dxa"/>
                  <w:shd w:val="clear" w:color="auto" w:fill="auto"/>
                  <w:vAlign w:val="center"/>
                </w:tcPr>
                <w:p w14:paraId="4FAC91D5">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vertAlign w:val="baseline"/>
                    </w:rPr>
                  </w:pPr>
                  <w:r>
                    <w:rPr>
                      <w:rFonts w:hint="default" w:ascii="Times New Roman" w:hAnsi="Times New Roman" w:eastAsia="宋体" w:cs="Times New Roman"/>
                      <w:b/>
                      <w:bCs/>
                      <w:i w:val="0"/>
                      <w:iCs w:val="0"/>
                      <w:color w:val="auto"/>
                      <w:kern w:val="0"/>
                      <w:sz w:val="21"/>
                      <w:szCs w:val="21"/>
                      <w:u w:val="none"/>
                      <w:vertAlign w:val="baseline"/>
                      <w:lang w:val="en-US" w:eastAsia="zh-CN" w:bidi="ar"/>
                    </w:rPr>
                    <w:t>污染物</w:t>
                  </w:r>
                </w:p>
              </w:tc>
              <w:tc>
                <w:tcPr>
                  <w:tcW w:w="3534" w:type="dxa"/>
                  <w:gridSpan w:val="2"/>
                  <w:shd w:val="clear" w:color="auto" w:fill="auto"/>
                  <w:vAlign w:val="center"/>
                </w:tcPr>
                <w:p w14:paraId="2B95A9D7">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vertAlign w:val="baseline"/>
                    </w:rPr>
                  </w:pPr>
                  <w:r>
                    <w:rPr>
                      <w:rFonts w:hint="default" w:ascii="Times New Roman" w:hAnsi="Times New Roman" w:eastAsia="宋体" w:cs="Times New Roman"/>
                      <w:b/>
                      <w:bCs/>
                      <w:i w:val="0"/>
                      <w:iCs w:val="0"/>
                      <w:color w:val="auto"/>
                      <w:kern w:val="0"/>
                      <w:sz w:val="21"/>
                      <w:szCs w:val="21"/>
                      <w:u w:val="none"/>
                      <w:vertAlign w:val="baseline"/>
                      <w:lang w:val="en-US" w:eastAsia="zh-CN" w:bidi="ar"/>
                    </w:rPr>
                    <w:t>污染物产生情况</w:t>
                  </w:r>
                </w:p>
              </w:tc>
            </w:tr>
            <w:tr w14:paraId="2520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580" w:type="dxa"/>
                  <w:vMerge w:val="continue"/>
                  <w:shd w:val="clear" w:color="auto" w:fill="auto"/>
                  <w:vAlign w:val="center"/>
                </w:tcPr>
                <w:p w14:paraId="5723B925">
                  <w:pPr>
                    <w:jc w:val="center"/>
                    <w:rPr>
                      <w:rFonts w:hint="default" w:ascii="Times New Roman" w:hAnsi="Times New Roman" w:eastAsia="宋体" w:cs="Times New Roman"/>
                      <w:b/>
                      <w:bCs/>
                      <w:i w:val="0"/>
                      <w:iCs w:val="0"/>
                      <w:color w:val="auto"/>
                      <w:sz w:val="21"/>
                      <w:szCs w:val="21"/>
                      <w:u w:val="none"/>
                      <w:vertAlign w:val="baseline"/>
                    </w:rPr>
                  </w:pPr>
                </w:p>
              </w:tc>
              <w:tc>
                <w:tcPr>
                  <w:tcW w:w="1580" w:type="dxa"/>
                  <w:vMerge w:val="continue"/>
                  <w:shd w:val="clear" w:color="auto" w:fill="auto"/>
                  <w:vAlign w:val="center"/>
                </w:tcPr>
                <w:p w14:paraId="1808BEE5">
                  <w:pPr>
                    <w:jc w:val="center"/>
                    <w:rPr>
                      <w:rFonts w:hint="default" w:ascii="Times New Roman" w:hAnsi="Times New Roman" w:eastAsia="宋体" w:cs="Times New Roman"/>
                      <w:b/>
                      <w:bCs/>
                      <w:i w:val="0"/>
                      <w:iCs w:val="0"/>
                      <w:color w:val="auto"/>
                      <w:sz w:val="21"/>
                      <w:szCs w:val="21"/>
                      <w:u w:val="none"/>
                      <w:vertAlign w:val="baseline"/>
                    </w:rPr>
                  </w:pPr>
                </w:p>
              </w:tc>
              <w:tc>
                <w:tcPr>
                  <w:tcW w:w="1580" w:type="dxa"/>
                  <w:vMerge w:val="continue"/>
                  <w:shd w:val="clear" w:color="auto" w:fill="auto"/>
                  <w:vAlign w:val="center"/>
                </w:tcPr>
                <w:p w14:paraId="24294C5E">
                  <w:pPr>
                    <w:jc w:val="center"/>
                    <w:rPr>
                      <w:rFonts w:hint="default" w:ascii="Times New Roman" w:hAnsi="Times New Roman" w:eastAsia="宋体" w:cs="Times New Roman"/>
                      <w:b/>
                      <w:bCs/>
                      <w:i w:val="0"/>
                      <w:iCs w:val="0"/>
                      <w:color w:val="auto"/>
                      <w:sz w:val="21"/>
                      <w:szCs w:val="21"/>
                      <w:u w:val="none"/>
                      <w:vertAlign w:val="baseline"/>
                    </w:rPr>
                  </w:pPr>
                </w:p>
              </w:tc>
              <w:tc>
                <w:tcPr>
                  <w:tcW w:w="1580" w:type="dxa"/>
                  <w:shd w:val="clear" w:color="auto" w:fill="auto"/>
                  <w:vAlign w:val="center"/>
                </w:tcPr>
                <w:p w14:paraId="0F7888B3">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vertAlign w:val="baseline"/>
                    </w:rPr>
                  </w:pPr>
                  <w:r>
                    <w:rPr>
                      <w:rFonts w:hint="default" w:ascii="Times New Roman" w:hAnsi="Times New Roman" w:eastAsia="宋体" w:cs="Times New Roman"/>
                      <w:b/>
                      <w:bCs/>
                      <w:i w:val="0"/>
                      <w:iCs w:val="0"/>
                      <w:color w:val="auto"/>
                      <w:kern w:val="0"/>
                      <w:sz w:val="21"/>
                      <w:szCs w:val="21"/>
                      <w:u w:val="none"/>
                      <w:vertAlign w:val="baseline"/>
                      <w:lang w:val="en-US" w:eastAsia="zh-CN" w:bidi="ar"/>
                    </w:rPr>
                    <w:t>种类</w:t>
                  </w:r>
                </w:p>
              </w:tc>
              <w:tc>
                <w:tcPr>
                  <w:tcW w:w="1953" w:type="dxa"/>
                  <w:shd w:val="clear" w:color="auto" w:fill="auto"/>
                  <w:vAlign w:val="center"/>
                </w:tcPr>
                <w:p w14:paraId="69F29C1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vertAlign w:val="baseline"/>
                    </w:rPr>
                  </w:pPr>
                  <w:r>
                    <w:rPr>
                      <w:rFonts w:hint="default" w:ascii="Times New Roman" w:hAnsi="Times New Roman" w:eastAsia="宋体" w:cs="Times New Roman"/>
                      <w:b/>
                      <w:bCs/>
                      <w:i w:val="0"/>
                      <w:iCs w:val="0"/>
                      <w:color w:val="auto"/>
                      <w:kern w:val="0"/>
                      <w:sz w:val="21"/>
                      <w:szCs w:val="21"/>
                      <w:u w:val="none"/>
                      <w:vertAlign w:val="baseline"/>
                      <w:lang w:val="en-US" w:eastAsia="zh-CN" w:bidi="ar"/>
                    </w:rPr>
                    <w:t>产生浓度</w:t>
                  </w:r>
                  <w:r>
                    <w:rPr>
                      <w:rStyle w:val="72"/>
                      <w:rFonts w:hint="default" w:ascii="Times New Roman" w:hAnsi="Times New Roman" w:eastAsia="宋体" w:cs="Times New Roman"/>
                      <w:b/>
                      <w:bCs/>
                      <w:color w:val="auto"/>
                      <w:sz w:val="21"/>
                      <w:szCs w:val="21"/>
                      <w:vertAlign w:val="baseline"/>
                      <w:lang w:val="en-US" w:eastAsia="zh-CN" w:bidi="ar"/>
                    </w:rPr>
                    <w:t>mg/L</w:t>
                  </w:r>
                </w:p>
              </w:tc>
              <w:tc>
                <w:tcPr>
                  <w:tcW w:w="1581" w:type="dxa"/>
                  <w:shd w:val="clear" w:color="auto" w:fill="auto"/>
                  <w:vAlign w:val="center"/>
                </w:tcPr>
                <w:p w14:paraId="7118BEA9">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vertAlign w:val="baseline"/>
                    </w:rPr>
                  </w:pPr>
                  <w:r>
                    <w:rPr>
                      <w:rFonts w:hint="default" w:ascii="Times New Roman" w:hAnsi="Times New Roman" w:eastAsia="宋体" w:cs="Times New Roman"/>
                      <w:b/>
                      <w:bCs/>
                      <w:i w:val="0"/>
                      <w:iCs w:val="0"/>
                      <w:color w:val="auto"/>
                      <w:kern w:val="0"/>
                      <w:sz w:val="21"/>
                      <w:szCs w:val="21"/>
                      <w:u w:val="none"/>
                      <w:vertAlign w:val="baseline"/>
                      <w:lang w:val="en-US" w:eastAsia="zh-CN" w:bidi="ar"/>
                    </w:rPr>
                    <w:t>产生量</w:t>
                  </w:r>
                  <w:r>
                    <w:rPr>
                      <w:rStyle w:val="72"/>
                      <w:rFonts w:hint="default" w:ascii="Times New Roman" w:hAnsi="Times New Roman" w:eastAsia="宋体" w:cs="Times New Roman"/>
                      <w:b/>
                      <w:bCs/>
                      <w:color w:val="auto"/>
                      <w:sz w:val="21"/>
                      <w:szCs w:val="21"/>
                      <w:vertAlign w:val="baseline"/>
                      <w:lang w:val="en-US" w:eastAsia="zh-CN" w:bidi="ar"/>
                    </w:rPr>
                    <w:t>t/a</w:t>
                  </w:r>
                </w:p>
              </w:tc>
            </w:tr>
            <w:tr w14:paraId="6A4B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580" w:type="dxa"/>
                  <w:vMerge w:val="restart"/>
                  <w:shd w:val="clear" w:color="auto" w:fill="auto"/>
                  <w:vAlign w:val="center"/>
                </w:tcPr>
                <w:p w14:paraId="18429AA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生活污水</w:t>
                  </w:r>
                </w:p>
              </w:tc>
              <w:tc>
                <w:tcPr>
                  <w:tcW w:w="1580" w:type="dxa"/>
                  <w:vMerge w:val="restart"/>
                  <w:shd w:val="clear" w:color="auto" w:fill="auto"/>
                  <w:vAlign w:val="center"/>
                </w:tcPr>
                <w:p w14:paraId="73F5CC6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color w:val="auto"/>
                      <w:kern w:val="0"/>
                      <w:sz w:val="21"/>
                      <w:szCs w:val="21"/>
                      <w:lang w:val="en-US" w:eastAsia="zh-CN" w:bidi="ar-SA"/>
                    </w:rPr>
                    <w:t>360</w:t>
                  </w:r>
                </w:p>
              </w:tc>
              <w:tc>
                <w:tcPr>
                  <w:tcW w:w="1580" w:type="dxa"/>
                  <w:vMerge w:val="restart"/>
                  <w:shd w:val="clear" w:color="auto" w:fill="auto"/>
                  <w:vAlign w:val="center"/>
                </w:tcPr>
                <w:p w14:paraId="189E226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类比</w:t>
                  </w:r>
                </w:p>
              </w:tc>
              <w:tc>
                <w:tcPr>
                  <w:tcW w:w="1580" w:type="dxa"/>
                  <w:shd w:val="clear" w:color="auto" w:fill="auto"/>
                  <w:vAlign w:val="center"/>
                </w:tcPr>
                <w:p w14:paraId="2C8DF392">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vertAlign w:val="baseline"/>
                      <w:lang w:val="en-US" w:eastAsia="zh-CN" w:bidi="ar"/>
                    </w:rPr>
                    <w:t>COD</w:t>
                  </w:r>
                </w:p>
              </w:tc>
              <w:tc>
                <w:tcPr>
                  <w:tcW w:w="1953" w:type="dxa"/>
                  <w:shd w:val="clear" w:color="auto" w:fill="auto"/>
                  <w:vAlign w:val="center"/>
                </w:tcPr>
                <w:p w14:paraId="7B1C479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w:t>
                  </w:r>
                </w:p>
              </w:tc>
              <w:tc>
                <w:tcPr>
                  <w:tcW w:w="1581" w:type="dxa"/>
                  <w:shd w:val="clear" w:color="auto" w:fill="auto"/>
                  <w:vAlign w:val="center"/>
                </w:tcPr>
                <w:p w14:paraId="0CFC3E5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0.1080</w:t>
                  </w:r>
                </w:p>
              </w:tc>
            </w:tr>
            <w:tr w14:paraId="6AFE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580" w:type="dxa"/>
                  <w:vMerge w:val="continue"/>
                  <w:shd w:val="clear" w:color="auto" w:fill="auto"/>
                  <w:vAlign w:val="center"/>
                </w:tcPr>
                <w:p w14:paraId="15EF0B3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p>
              </w:tc>
              <w:tc>
                <w:tcPr>
                  <w:tcW w:w="1580" w:type="dxa"/>
                  <w:vMerge w:val="continue"/>
                  <w:shd w:val="clear" w:color="auto" w:fill="auto"/>
                  <w:vAlign w:val="center"/>
                </w:tcPr>
                <w:p w14:paraId="1637A7B7">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p>
              </w:tc>
              <w:tc>
                <w:tcPr>
                  <w:tcW w:w="1580" w:type="dxa"/>
                  <w:vMerge w:val="continue"/>
                  <w:shd w:val="clear" w:color="auto" w:fill="auto"/>
                  <w:vAlign w:val="center"/>
                </w:tcPr>
                <w:p w14:paraId="16BD07B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580" w:type="dxa"/>
                  <w:shd w:val="clear" w:color="auto" w:fill="auto"/>
                  <w:vAlign w:val="center"/>
                </w:tcPr>
                <w:p w14:paraId="1D3B8C21">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vertAlign w:val="baseline"/>
                      <w:lang w:val="en-US" w:eastAsia="zh-CN" w:bidi="ar"/>
                    </w:rPr>
                    <w:t>BOD</w:t>
                  </w:r>
                  <w:r>
                    <w:rPr>
                      <w:rFonts w:hint="default" w:ascii="Times New Roman" w:hAnsi="Times New Roman" w:eastAsia="宋体" w:cs="Times New Roman"/>
                      <w:i w:val="0"/>
                      <w:iCs w:val="0"/>
                      <w:color w:val="auto"/>
                      <w:kern w:val="0"/>
                      <w:sz w:val="21"/>
                      <w:szCs w:val="21"/>
                      <w:u w:val="none"/>
                      <w:vertAlign w:val="subscript"/>
                      <w:lang w:val="en-US" w:eastAsia="zh-CN" w:bidi="ar"/>
                    </w:rPr>
                    <w:t>5</w:t>
                  </w:r>
                </w:p>
              </w:tc>
              <w:tc>
                <w:tcPr>
                  <w:tcW w:w="1953" w:type="dxa"/>
                  <w:shd w:val="clear" w:color="auto" w:fill="auto"/>
                  <w:vAlign w:val="center"/>
                </w:tcPr>
                <w:p w14:paraId="49B9A82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1581" w:type="dxa"/>
                  <w:shd w:val="clear" w:color="auto" w:fill="auto"/>
                  <w:vAlign w:val="center"/>
                </w:tcPr>
                <w:p w14:paraId="209BB3C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0.0720</w:t>
                  </w:r>
                </w:p>
              </w:tc>
            </w:tr>
            <w:tr w14:paraId="5282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580" w:type="dxa"/>
                  <w:vMerge w:val="continue"/>
                  <w:shd w:val="clear" w:color="auto" w:fill="auto"/>
                  <w:vAlign w:val="center"/>
                </w:tcPr>
                <w:p w14:paraId="02BDE16A">
                  <w:pPr>
                    <w:jc w:val="center"/>
                    <w:rPr>
                      <w:rFonts w:hint="default" w:ascii="Times New Roman" w:hAnsi="Times New Roman" w:eastAsia="宋体" w:cs="Times New Roman"/>
                      <w:i w:val="0"/>
                      <w:iCs w:val="0"/>
                      <w:color w:val="auto"/>
                      <w:sz w:val="21"/>
                      <w:szCs w:val="21"/>
                      <w:u w:val="none"/>
                    </w:rPr>
                  </w:pPr>
                </w:p>
              </w:tc>
              <w:tc>
                <w:tcPr>
                  <w:tcW w:w="1580" w:type="dxa"/>
                  <w:vMerge w:val="continue"/>
                  <w:shd w:val="clear" w:color="auto" w:fill="auto"/>
                  <w:vAlign w:val="center"/>
                </w:tcPr>
                <w:p w14:paraId="21FCC442">
                  <w:pPr>
                    <w:jc w:val="center"/>
                    <w:rPr>
                      <w:rFonts w:hint="default" w:ascii="Times New Roman" w:hAnsi="Times New Roman" w:eastAsia="宋体" w:cs="Times New Roman"/>
                      <w:i w:val="0"/>
                      <w:iCs w:val="0"/>
                      <w:color w:val="auto"/>
                      <w:sz w:val="21"/>
                      <w:szCs w:val="21"/>
                      <w:u w:val="none"/>
                    </w:rPr>
                  </w:pPr>
                </w:p>
              </w:tc>
              <w:tc>
                <w:tcPr>
                  <w:tcW w:w="1580" w:type="dxa"/>
                  <w:vMerge w:val="continue"/>
                  <w:shd w:val="clear" w:color="auto" w:fill="auto"/>
                  <w:vAlign w:val="center"/>
                </w:tcPr>
                <w:p w14:paraId="761D3158">
                  <w:pPr>
                    <w:jc w:val="center"/>
                    <w:rPr>
                      <w:rFonts w:hint="default" w:ascii="Times New Roman" w:hAnsi="Times New Roman" w:eastAsia="宋体" w:cs="Times New Roman"/>
                      <w:i w:val="0"/>
                      <w:iCs w:val="0"/>
                      <w:color w:val="auto"/>
                      <w:sz w:val="21"/>
                      <w:szCs w:val="21"/>
                      <w:u w:val="none"/>
                    </w:rPr>
                  </w:pPr>
                </w:p>
              </w:tc>
              <w:tc>
                <w:tcPr>
                  <w:tcW w:w="1580" w:type="dxa"/>
                  <w:shd w:val="clear" w:color="auto" w:fill="auto"/>
                  <w:vAlign w:val="center"/>
                </w:tcPr>
                <w:p w14:paraId="6AF2185C">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vertAlign w:val="baseline"/>
                      <w:lang w:val="en-US" w:eastAsia="zh-CN" w:bidi="ar"/>
                    </w:rPr>
                    <w:t>SS</w:t>
                  </w:r>
                </w:p>
              </w:tc>
              <w:tc>
                <w:tcPr>
                  <w:tcW w:w="1953" w:type="dxa"/>
                  <w:shd w:val="clear" w:color="auto" w:fill="auto"/>
                  <w:vAlign w:val="center"/>
                </w:tcPr>
                <w:p w14:paraId="74D8671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1581" w:type="dxa"/>
                  <w:shd w:val="clear" w:color="auto" w:fill="auto"/>
                  <w:vAlign w:val="center"/>
                </w:tcPr>
                <w:p w14:paraId="6DC76FA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0.0720</w:t>
                  </w:r>
                </w:p>
              </w:tc>
            </w:tr>
            <w:tr w14:paraId="53F24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580" w:type="dxa"/>
                  <w:vMerge w:val="continue"/>
                  <w:shd w:val="clear" w:color="auto" w:fill="auto"/>
                  <w:vAlign w:val="center"/>
                </w:tcPr>
                <w:p w14:paraId="0293638E">
                  <w:pPr>
                    <w:jc w:val="center"/>
                    <w:rPr>
                      <w:rFonts w:hint="default" w:ascii="Times New Roman" w:hAnsi="Times New Roman" w:eastAsia="宋体" w:cs="Times New Roman"/>
                      <w:i w:val="0"/>
                      <w:iCs w:val="0"/>
                      <w:color w:val="auto"/>
                      <w:sz w:val="21"/>
                      <w:szCs w:val="21"/>
                      <w:u w:val="none"/>
                    </w:rPr>
                  </w:pPr>
                </w:p>
              </w:tc>
              <w:tc>
                <w:tcPr>
                  <w:tcW w:w="1580" w:type="dxa"/>
                  <w:vMerge w:val="continue"/>
                  <w:shd w:val="clear" w:color="auto" w:fill="auto"/>
                  <w:vAlign w:val="center"/>
                </w:tcPr>
                <w:p w14:paraId="7F0CD202">
                  <w:pPr>
                    <w:jc w:val="center"/>
                    <w:rPr>
                      <w:rFonts w:hint="default" w:ascii="Times New Roman" w:hAnsi="Times New Roman" w:eastAsia="宋体" w:cs="Times New Roman"/>
                      <w:i w:val="0"/>
                      <w:iCs w:val="0"/>
                      <w:color w:val="auto"/>
                      <w:sz w:val="21"/>
                      <w:szCs w:val="21"/>
                      <w:u w:val="none"/>
                    </w:rPr>
                  </w:pPr>
                </w:p>
              </w:tc>
              <w:tc>
                <w:tcPr>
                  <w:tcW w:w="1580" w:type="dxa"/>
                  <w:vMerge w:val="continue"/>
                  <w:shd w:val="clear" w:color="auto" w:fill="auto"/>
                  <w:vAlign w:val="center"/>
                </w:tcPr>
                <w:p w14:paraId="03D0921A">
                  <w:pPr>
                    <w:jc w:val="center"/>
                    <w:rPr>
                      <w:rFonts w:hint="default" w:ascii="Times New Roman" w:hAnsi="Times New Roman" w:eastAsia="宋体" w:cs="Times New Roman"/>
                      <w:i w:val="0"/>
                      <w:iCs w:val="0"/>
                      <w:color w:val="auto"/>
                      <w:sz w:val="21"/>
                      <w:szCs w:val="21"/>
                      <w:u w:val="none"/>
                    </w:rPr>
                  </w:pPr>
                </w:p>
              </w:tc>
              <w:tc>
                <w:tcPr>
                  <w:tcW w:w="1580" w:type="dxa"/>
                  <w:shd w:val="clear" w:color="auto" w:fill="auto"/>
                  <w:vAlign w:val="center"/>
                </w:tcPr>
                <w:p w14:paraId="61511143">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vertAlign w:val="baseline"/>
                      <w:lang w:val="en-US" w:eastAsia="zh-CN" w:bidi="ar"/>
                    </w:rPr>
                    <w:t>NH</w:t>
                  </w:r>
                  <w:r>
                    <w:rPr>
                      <w:rFonts w:hint="default" w:ascii="Times New Roman" w:hAnsi="Times New Roman" w:eastAsia="宋体" w:cs="Times New Roman"/>
                      <w:i w:val="0"/>
                      <w:iCs w:val="0"/>
                      <w:color w:val="auto"/>
                      <w:kern w:val="0"/>
                      <w:sz w:val="21"/>
                      <w:szCs w:val="21"/>
                      <w:u w:val="none"/>
                      <w:vertAlign w:val="subscript"/>
                      <w:lang w:val="en-US" w:eastAsia="zh-CN" w:bidi="ar"/>
                    </w:rPr>
                    <w:t>3</w:t>
                  </w:r>
                  <w:r>
                    <w:rPr>
                      <w:rFonts w:hint="default" w:ascii="Times New Roman" w:hAnsi="Times New Roman" w:eastAsia="宋体" w:cs="Times New Roman"/>
                      <w:i w:val="0"/>
                      <w:iCs w:val="0"/>
                      <w:color w:val="auto"/>
                      <w:kern w:val="0"/>
                      <w:sz w:val="21"/>
                      <w:szCs w:val="21"/>
                      <w:u w:val="none"/>
                      <w:vertAlign w:val="baseline"/>
                      <w:lang w:val="en-US" w:eastAsia="zh-CN" w:bidi="ar"/>
                    </w:rPr>
                    <w:t>-N</w:t>
                  </w:r>
                </w:p>
              </w:tc>
              <w:tc>
                <w:tcPr>
                  <w:tcW w:w="1953" w:type="dxa"/>
                  <w:shd w:val="clear" w:color="auto" w:fill="auto"/>
                  <w:vAlign w:val="center"/>
                </w:tcPr>
                <w:p w14:paraId="54FFEC1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581" w:type="dxa"/>
                  <w:shd w:val="clear" w:color="auto" w:fill="auto"/>
                  <w:vAlign w:val="center"/>
                </w:tcPr>
                <w:p w14:paraId="6BB7FE8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0.0090</w:t>
                  </w:r>
                </w:p>
              </w:tc>
            </w:tr>
            <w:tr w14:paraId="2FE7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580" w:type="dxa"/>
                  <w:vMerge w:val="restart"/>
                  <w:shd w:val="clear" w:color="auto" w:fill="auto"/>
                  <w:vAlign w:val="center"/>
                </w:tcPr>
                <w:p w14:paraId="12A68A4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清洗废水</w:t>
                  </w:r>
                </w:p>
              </w:tc>
              <w:tc>
                <w:tcPr>
                  <w:tcW w:w="1580" w:type="dxa"/>
                  <w:vMerge w:val="restart"/>
                  <w:shd w:val="clear" w:color="auto" w:fill="auto"/>
                  <w:vAlign w:val="center"/>
                </w:tcPr>
                <w:p w14:paraId="16E9ED5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sz w:val="21"/>
                      <w:szCs w:val="21"/>
                      <w:lang w:val="en-US" w:eastAsia="zh-CN"/>
                    </w:rPr>
                    <w:t>6750</w:t>
                  </w:r>
                </w:p>
              </w:tc>
              <w:tc>
                <w:tcPr>
                  <w:tcW w:w="1580" w:type="dxa"/>
                  <w:vMerge w:val="restart"/>
                  <w:shd w:val="clear" w:color="auto" w:fill="auto"/>
                  <w:vAlign w:val="center"/>
                </w:tcPr>
                <w:p w14:paraId="5328335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根据企业提供数据</w:t>
                  </w:r>
                </w:p>
              </w:tc>
              <w:tc>
                <w:tcPr>
                  <w:tcW w:w="1580" w:type="dxa"/>
                  <w:shd w:val="clear" w:color="auto" w:fill="auto"/>
                  <w:vAlign w:val="center"/>
                </w:tcPr>
                <w:p w14:paraId="33A252F6">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vertAlign w:val="baseline"/>
                      <w:lang w:val="en-US" w:eastAsia="zh-CN" w:bidi="ar"/>
                    </w:rPr>
                    <w:t>COD</w:t>
                  </w:r>
                </w:p>
              </w:tc>
              <w:tc>
                <w:tcPr>
                  <w:tcW w:w="1953" w:type="dxa"/>
                  <w:shd w:val="clear" w:color="auto" w:fill="auto"/>
                  <w:vAlign w:val="center"/>
                </w:tcPr>
                <w:p w14:paraId="5D0ED3B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420</w:t>
                  </w:r>
                </w:p>
              </w:tc>
              <w:tc>
                <w:tcPr>
                  <w:tcW w:w="1581" w:type="dxa"/>
                  <w:shd w:val="clear" w:color="auto" w:fill="auto"/>
                  <w:vAlign w:val="center"/>
                </w:tcPr>
                <w:p w14:paraId="52399FA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2.8350</w:t>
                  </w:r>
                </w:p>
              </w:tc>
            </w:tr>
            <w:tr w14:paraId="246E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580" w:type="dxa"/>
                  <w:vMerge w:val="continue"/>
                  <w:shd w:val="clear" w:color="auto" w:fill="auto"/>
                  <w:vAlign w:val="center"/>
                </w:tcPr>
                <w:p w14:paraId="511BDA32">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1580" w:type="dxa"/>
                  <w:vMerge w:val="continue"/>
                  <w:shd w:val="clear" w:color="auto" w:fill="auto"/>
                  <w:vAlign w:val="center"/>
                </w:tcPr>
                <w:p w14:paraId="4D6B5703">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1580" w:type="dxa"/>
                  <w:vMerge w:val="continue"/>
                  <w:shd w:val="clear" w:color="auto" w:fill="auto"/>
                  <w:vAlign w:val="center"/>
                </w:tcPr>
                <w:p w14:paraId="79AD6C8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580" w:type="dxa"/>
                  <w:shd w:val="clear" w:color="auto" w:fill="auto"/>
                  <w:vAlign w:val="center"/>
                </w:tcPr>
                <w:p w14:paraId="65F3511D">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vertAlign w:val="baseline"/>
                      <w:lang w:val="en-US" w:eastAsia="zh-CN" w:bidi="ar"/>
                    </w:rPr>
                    <w:t>BOD</w:t>
                  </w:r>
                  <w:r>
                    <w:rPr>
                      <w:rFonts w:hint="default" w:ascii="Times New Roman" w:hAnsi="Times New Roman" w:eastAsia="宋体" w:cs="Times New Roman"/>
                      <w:i w:val="0"/>
                      <w:iCs w:val="0"/>
                      <w:color w:val="auto"/>
                      <w:kern w:val="0"/>
                      <w:sz w:val="21"/>
                      <w:szCs w:val="21"/>
                      <w:u w:val="none"/>
                      <w:vertAlign w:val="subscript"/>
                      <w:lang w:val="en-US" w:eastAsia="zh-CN" w:bidi="ar"/>
                    </w:rPr>
                    <w:t>5</w:t>
                  </w:r>
                </w:p>
              </w:tc>
              <w:tc>
                <w:tcPr>
                  <w:tcW w:w="1953" w:type="dxa"/>
                  <w:shd w:val="clear" w:color="auto" w:fill="auto"/>
                  <w:vAlign w:val="center"/>
                </w:tcPr>
                <w:p w14:paraId="701839C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170</w:t>
                  </w:r>
                </w:p>
              </w:tc>
              <w:tc>
                <w:tcPr>
                  <w:tcW w:w="1581" w:type="dxa"/>
                  <w:shd w:val="clear" w:color="auto" w:fill="auto"/>
                  <w:vAlign w:val="center"/>
                </w:tcPr>
                <w:p w14:paraId="079633B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1.1475</w:t>
                  </w:r>
                </w:p>
              </w:tc>
            </w:tr>
            <w:tr w14:paraId="3176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580" w:type="dxa"/>
                  <w:vMerge w:val="continue"/>
                  <w:shd w:val="clear" w:color="auto" w:fill="auto"/>
                  <w:vAlign w:val="center"/>
                </w:tcPr>
                <w:p w14:paraId="26840C16">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1580" w:type="dxa"/>
                  <w:vMerge w:val="continue"/>
                  <w:shd w:val="clear" w:color="auto" w:fill="auto"/>
                  <w:vAlign w:val="center"/>
                </w:tcPr>
                <w:p w14:paraId="2A4AD580">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1580" w:type="dxa"/>
                  <w:vMerge w:val="continue"/>
                  <w:shd w:val="clear" w:color="auto" w:fill="auto"/>
                  <w:vAlign w:val="center"/>
                </w:tcPr>
                <w:p w14:paraId="77ACC1C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580" w:type="dxa"/>
                  <w:shd w:val="clear" w:color="auto" w:fill="auto"/>
                  <w:vAlign w:val="center"/>
                </w:tcPr>
                <w:p w14:paraId="2BC5E82F">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vertAlign w:val="baseline"/>
                      <w:lang w:val="en-US" w:eastAsia="zh-CN" w:bidi="ar"/>
                    </w:rPr>
                    <w:t>SS</w:t>
                  </w:r>
                </w:p>
              </w:tc>
              <w:tc>
                <w:tcPr>
                  <w:tcW w:w="1953" w:type="dxa"/>
                  <w:shd w:val="clear" w:color="auto" w:fill="auto"/>
                  <w:vAlign w:val="center"/>
                </w:tcPr>
                <w:p w14:paraId="1524D3D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210</w:t>
                  </w:r>
                </w:p>
              </w:tc>
              <w:tc>
                <w:tcPr>
                  <w:tcW w:w="1581" w:type="dxa"/>
                  <w:shd w:val="clear" w:color="auto" w:fill="auto"/>
                  <w:vAlign w:val="center"/>
                </w:tcPr>
                <w:p w14:paraId="1A70A4C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1.4175</w:t>
                  </w:r>
                </w:p>
              </w:tc>
            </w:tr>
            <w:tr w14:paraId="41D9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580" w:type="dxa"/>
                  <w:vMerge w:val="continue"/>
                  <w:shd w:val="clear" w:color="auto" w:fill="auto"/>
                  <w:vAlign w:val="center"/>
                </w:tcPr>
                <w:p w14:paraId="076B5DDE">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1580" w:type="dxa"/>
                  <w:vMerge w:val="continue"/>
                  <w:shd w:val="clear" w:color="auto" w:fill="auto"/>
                  <w:vAlign w:val="center"/>
                </w:tcPr>
                <w:p w14:paraId="1635D91D">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1580" w:type="dxa"/>
                  <w:vMerge w:val="continue"/>
                  <w:shd w:val="clear" w:color="auto" w:fill="auto"/>
                  <w:vAlign w:val="center"/>
                </w:tcPr>
                <w:p w14:paraId="43BAD73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580" w:type="dxa"/>
                  <w:shd w:val="clear" w:color="auto" w:fill="auto"/>
                  <w:vAlign w:val="center"/>
                </w:tcPr>
                <w:p w14:paraId="5802DD6B">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vertAlign w:val="baseline"/>
                      <w:lang w:val="en-US" w:eastAsia="zh-CN" w:bidi="ar"/>
                    </w:rPr>
                  </w:pPr>
                  <w:r>
                    <w:rPr>
                      <w:rFonts w:hint="default" w:ascii="Times New Roman" w:hAnsi="Times New Roman" w:eastAsia="宋体" w:cs="Times New Roman"/>
                      <w:i w:val="0"/>
                      <w:iCs w:val="0"/>
                      <w:color w:val="auto"/>
                      <w:kern w:val="0"/>
                      <w:sz w:val="21"/>
                      <w:szCs w:val="21"/>
                      <w:u w:val="none"/>
                      <w:vertAlign w:val="baseline"/>
                      <w:lang w:val="en-US" w:eastAsia="zh-CN" w:bidi="ar"/>
                    </w:rPr>
                    <w:t>NH</w:t>
                  </w:r>
                  <w:r>
                    <w:rPr>
                      <w:rFonts w:hint="default" w:ascii="Times New Roman" w:hAnsi="Times New Roman" w:eastAsia="宋体" w:cs="Times New Roman"/>
                      <w:i w:val="0"/>
                      <w:iCs w:val="0"/>
                      <w:color w:val="auto"/>
                      <w:kern w:val="0"/>
                      <w:sz w:val="21"/>
                      <w:szCs w:val="21"/>
                      <w:u w:val="none"/>
                      <w:vertAlign w:val="subscript"/>
                      <w:lang w:val="en-US" w:eastAsia="zh-CN" w:bidi="ar"/>
                    </w:rPr>
                    <w:t>3</w:t>
                  </w:r>
                  <w:r>
                    <w:rPr>
                      <w:rFonts w:hint="default" w:ascii="Times New Roman" w:hAnsi="Times New Roman" w:eastAsia="宋体" w:cs="Times New Roman"/>
                      <w:i w:val="0"/>
                      <w:iCs w:val="0"/>
                      <w:color w:val="auto"/>
                      <w:kern w:val="0"/>
                      <w:sz w:val="21"/>
                      <w:szCs w:val="21"/>
                      <w:u w:val="none"/>
                      <w:vertAlign w:val="baseline"/>
                      <w:lang w:val="en-US" w:eastAsia="zh-CN" w:bidi="ar"/>
                    </w:rPr>
                    <w:t>-N</w:t>
                  </w:r>
                </w:p>
              </w:tc>
              <w:tc>
                <w:tcPr>
                  <w:tcW w:w="1953" w:type="dxa"/>
                  <w:shd w:val="clear" w:color="auto" w:fill="auto"/>
                  <w:vAlign w:val="center"/>
                </w:tcPr>
                <w:p w14:paraId="76EADAD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581" w:type="dxa"/>
                  <w:shd w:val="clear" w:color="auto" w:fill="auto"/>
                  <w:vAlign w:val="center"/>
                </w:tcPr>
                <w:p w14:paraId="5015C8F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0.2363</w:t>
                  </w:r>
                </w:p>
              </w:tc>
            </w:tr>
            <w:tr w14:paraId="03F0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580" w:type="dxa"/>
                  <w:vMerge w:val="continue"/>
                  <w:shd w:val="clear" w:color="auto" w:fill="auto"/>
                  <w:vAlign w:val="center"/>
                </w:tcPr>
                <w:p w14:paraId="0DA4051E">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1580" w:type="dxa"/>
                  <w:vMerge w:val="continue"/>
                  <w:shd w:val="clear" w:color="auto" w:fill="auto"/>
                  <w:vAlign w:val="center"/>
                </w:tcPr>
                <w:p w14:paraId="68D833E1">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1580" w:type="dxa"/>
                  <w:vMerge w:val="continue"/>
                  <w:shd w:val="clear" w:color="auto" w:fill="auto"/>
                  <w:vAlign w:val="center"/>
                </w:tcPr>
                <w:p w14:paraId="2C86642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580" w:type="dxa"/>
                  <w:shd w:val="clear" w:color="auto" w:fill="auto"/>
                  <w:vAlign w:val="center"/>
                </w:tcPr>
                <w:p w14:paraId="7CDFA141">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vertAlign w:val="baseline"/>
                      <w:lang w:val="en-US" w:eastAsia="zh-CN" w:bidi="ar"/>
                    </w:rPr>
                  </w:pPr>
                  <w:r>
                    <w:rPr>
                      <w:rFonts w:hint="default" w:ascii="Times New Roman" w:hAnsi="Times New Roman" w:eastAsia="宋体" w:cs="Times New Roman"/>
                      <w:i w:val="0"/>
                      <w:iCs w:val="0"/>
                      <w:color w:val="auto"/>
                      <w:kern w:val="0"/>
                      <w:sz w:val="21"/>
                      <w:szCs w:val="21"/>
                      <w:u w:val="none"/>
                      <w:vertAlign w:val="baseline"/>
                      <w:lang w:val="en-US" w:eastAsia="zh-CN" w:bidi="ar"/>
                    </w:rPr>
                    <w:t>TN</w:t>
                  </w:r>
                </w:p>
              </w:tc>
              <w:tc>
                <w:tcPr>
                  <w:tcW w:w="1953" w:type="dxa"/>
                  <w:shd w:val="clear" w:color="auto" w:fill="auto"/>
                  <w:vAlign w:val="center"/>
                </w:tcPr>
                <w:p w14:paraId="2BE910A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1581" w:type="dxa"/>
                  <w:shd w:val="clear" w:color="auto" w:fill="auto"/>
                  <w:vAlign w:val="center"/>
                </w:tcPr>
                <w:p w14:paraId="6F06C67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0.4050</w:t>
                  </w:r>
                </w:p>
              </w:tc>
            </w:tr>
            <w:tr w14:paraId="4C2A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580" w:type="dxa"/>
                  <w:vMerge w:val="continue"/>
                  <w:shd w:val="clear" w:color="auto" w:fill="auto"/>
                  <w:vAlign w:val="center"/>
                </w:tcPr>
                <w:p w14:paraId="04F1F648">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1580" w:type="dxa"/>
                  <w:vMerge w:val="continue"/>
                  <w:shd w:val="clear" w:color="auto" w:fill="auto"/>
                  <w:vAlign w:val="center"/>
                </w:tcPr>
                <w:p w14:paraId="527163BC">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1580" w:type="dxa"/>
                  <w:vMerge w:val="continue"/>
                  <w:shd w:val="clear" w:color="auto" w:fill="auto"/>
                  <w:vAlign w:val="center"/>
                </w:tcPr>
                <w:p w14:paraId="760D36F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580" w:type="dxa"/>
                  <w:shd w:val="clear" w:color="auto" w:fill="auto"/>
                  <w:vAlign w:val="center"/>
                </w:tcPr>
                <w:p w14:paraId="51022DBD">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vertAlign w:val="baseline"/>
                      <w:lang w:val="en-US" w:eastAsia="zh-CN" w:bidi="ar"/>
                    </w:rPr>
                  </w:pPr>
                  <w:r>
                    <w:rPr>
                      <w:rFonts w:hint="default" w:ascii="Times New Roman" w:hAnsi="Times New Roman" w:eastAsia="宋体" w:cs="Times New Roman"/>
                      <w:i w:val="0"/>
                      <w:iCs w:val="0"/>
                      <w:color w:val="auto"/>
                      <w:kern w:val="0"/>
                      <w:sz w:val="21"/>
                      <w:szCs w:val="21"/>
                      <w:u w:val="none"/>
                      <w:vertAlign w:val="baseline"/>
                      <w:lang w:val="en-US" w:eastAsia="zh-CN" w:bidi="ar"/>
                    </w:rPr>
                    <w:t>TP</w:t>
                  </w:r>
                </w:p>
              </w:tc>
              <w:tc>
                <w:tcPr>
                  <w:tcW w:w="1953" w:type="dxa"/>
                  <w:shd w:val="clear" w:color="auto" w:fill="auto"/>
                  <w:vAlign w:val="center"/>
                </w:tcPr>
                <w:p w14:paraId="6531B23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581" w:type="dxa"/>
                  <w:shd w:val="clear" w:color="auto" w:fill="auto"/>
                  <w:vAlign w:val="center"/>
                </w:tcPr>
                <w:p w14:paraId="7CFFDA3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0.0338</w:t>
                  </w:r>
                </w:p>
              </w:tc>
            </w:tr>
            <w:tr w14:paraId="4D9F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580" w:type="dxa"/>
                  <w:vMerge w:val="restart"/>
                  <w:shd w:val="clear" w:color="auto" w:fill="auto"/>
                  <w:vAlign w:val="center"/>
                </w:tcPr>
                <w:p w14:paraId="0D9160D8">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r>
                    <w:rPr>
                      <w:rFonts w:hint="default" w:ascii="Times New Roman" w:hAnsi="Times New Roman" w:eastAsia="宋体" w:cs="Times New Roman"/>
                      <w:i w:val="0"/>
                      <w:iCs w:val="0"/>
                      <w:color w:val="auto"/>
                      <w:kern w:val="0"/>
                      <w:sz w:val="21"/>
                      <w:szCs w:val="21"/>
                      <w:u w:val="none"/>
                      <w:vertAlign w:val="baseline"/>
                      <w:lang w:val="en-US" w:eastAsia="zh-CN" w:bidi="ar"/>
                    </w:rPr>
                    <w:t>生物除臭装置废水</w:t>
                  </w:r>
                </w:p>
              </w:tc>
              <w:tc>
                <w:tcPr>
                  <w:tcW w:w="1580" w:type="dxa"/>
                  <w:vMerge w:val="restart"/>
                  <w:shd w:val="clear" w:color="auto" w:fill="auto"/>
                  <w:vAlign w:val="center"/>
                </w:tcPr>
                <w:p w14:paraId="12077EE3">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r>
                    <w:rPr>
                      <w:rFonts w:hint="default" w:ascii="Times New Roman" w:hAnsi="Times New Roman" w:eastAsia="宋体" w:cs="Times New Roman"/>
                      <w:i w:val="0"/>
                      <w:iCs w:val="0"/>
                      <w:color w:val="auto"/>
                      <w:sz w:val="21"/>
                      <w:szCs w:val="21"/>
                      <w:u w:val="none"/>
                      <w:vertAlign w:val="baseline"/>
                      <w:lang w:val="en-US" w:eastAsia="zh-CN"/>
                    </w:rPr>
                    <w:t>165</w:t>
                  </w:r>
                </w:p>
              </w:tc>
              <w:tc>
                <w:tcPr>
                  <w:tcW w:w="1580" w:type="dxa"/>
                  <w:vMerge w:val="restart"/>
                  <w:shd w:val="clear" w:color="auto" w:fill="auto"/>
                  <w:vAlign w:val="center"/>
                </w:tcPr>
                <w:p w14:paraId="3D21B0B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类比</w:t>
                  </w:r>
                </w:p>
              </w:tc>
              <w:tc>
                <w:tcPr>
                  <w:tcW w:w="1580" w:type="dxa"/>
                  <w:shd w:val="clear" w:color="auto" w:fill="auto"/>
                  <w:vAlign w:val="center"/>
                </w:tcPr>
                <w:p w14:paraId="0C6C37E3">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vertAlign w:val="baseline"/>
                      <w:lang w:val="en-US" w:eastAsia="zh-CN" w:bidi="ar"/>
                    </w:rPr>
                  </w:pPr>
                  <w:r>
                    <w:rPr>
                      <w:rFonts w:hint="default" w:ascii="Times New Roman" w:hAnsi="Times New Roman" w:eastAsia="宋体" w:cs="Times New Roman"/>
                      <w:i w:val="0"/>
                      <w:iCs w:val="0"/>
                      <w:color w:val="auto"/>
                      <w:kern w:val="0"/>
                      <w:sz w:val="21"/>
                      <w:szCs w:val="21"/>
                      <w:u w:val="none"/>
                      <w:vertAlign w:val="baseline"/>
                      <w:lang w:val="en-US" w:eastAsia="zh-CN" w:bidi="ar"/>
                    </w:rPr>
                    <w:t>COD</w:t>
                  </w:r>
                </w:p>
              </w:tc>
              <w:tc>
                <w:tcPr>
                  <w:tcW w:w="1953" w:type="dxa"/>
                  <w:shd w:val="clear" w:color="auto" w:fill="auto"/>
                  <w:vAlign w:val="center"/>
                </w:tcPr>
                <w:p w14:paraId="533E084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400</w:t>
                  </w:r>
                </w:p>
              </w:tc>
              <w:tc>
                <w:tcPr>
                  <w:tcW w:w="1581" w:type="dxa"/>
                  <w:shd w:val="clear" w:color="auto" w:fill="auto"/>
                  <w:vAlign w:val="center"/>
                </w:tcPr>
                <w:p w14:paraId="4C8A634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0.0660</w:t>
                  </w:r>
                </w:p>
              </w:tc>
            </w:tr>
            <w:tr w14:paraId="4965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580" w:type="dxa"/>
                  <w:vMerge w:val="continue"/>
                  <w:shd w:val="clear" w:color="auto" w:fill="auto"/>
                  <w:vAlign w:val="center"/>
                </w:tcPr>
                <w:p w14:paraId="77CE8A60">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1580" w:type="dxa"/>
                  <w:vMerge w:val="continue"/>
                  <w:shd w:val="clear" w:color="auto" w:fill="auto"/>
                  <w:vAlign w:val="center"/>
                </w:tcPr>
                <w:p w14:paraId="3160C175">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1580" w:type="dxa"/>
                  <w:vMerge w:val="continue"/>
                  <w:shd w:val="clear" w:color="auto" w:fill="auto"/>
                  <w:vAlign w:val="center"/>
                </w:tcPr>
                <w:p w14:paraId="7C609E2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580" w:type="dxa"/>
                  <w:shd w:val="clear" w:color="auto" w:fill="auto"/>
                  <w:vAlign w:val="center"/>
                </w:tcPr>
                <w:p w14:paraId="2BF4282E">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vertAlign w:val="baseline"/>
                      <w:lang w:val="en-US" w:eastAsia="zh-CN" w:bidi="ar"/>
                    </w:rPr>
                  </w:pPr>
                  <w:r>
                    <w:rPr>
                      <w:rFonts w:hint="default" w:ascii="Times New Roman" w:hAnsi="Times New Roman" w:eastAsia="宋体" w:cs="Times New Roman"/>
                      <w:i w:val="0"/>
                      <w:iCs w:val="0"/>
                      <w:color w:val="auto"/>
                      <w:kern w:val="0"/>
                      <w:sz w:val="21"/>
                      <w:szCs w:val="21"/>
                      <w:u w:val="none"/>
                      <w:vertAlign w:val="baseline"/>
                      <w:lang w:val="en-US" w:eastAsia="zh-CN" w:bidi="ar"/>
                    </w:rPr>
                    <w:t>BOD</w:t>
                  </w:r>
                  <w:r>
                    <w:rPr>
                      <w:rFonts w:hint="default" w:ascii="Times New Roman" w:hAnsi="Times New Roman" w:eastAsia="宋体" w:cs="Times New Roman"/>
                      <w:i w:val="0"/>
                      <w:iCs w:val="0"/>
                      <w:color w:val="auto"/>
                      <w:kern w:val="0"/>
                      <w:sz w:val="21"/>
                      <w:szCs w:val="21"/>
                      <w:u w:val="none"/>
                      <w:vertAlign w:val="subscript"/>
                      <w:lang w:val="en-US" w:eastAsia="zh-CN" w:bidi="ar"/>
                    </w:rPr>
                    <w:t>5</w:t>
                  </w:r>
                </w:p>
              </w:tc>
              <w:tc>
                <w:tcPr>
                  <w:tcW w:w="1953" w:type="dxa"/>
                  <w:shd w:val="clear" w:color="auto" w:fill="auto"/>
                  <w:vAlign w:val="center"/>
                </w:tcPr>
                <w:p w14:paraId="5D77FA3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1581" w:type="dxa"/>
                  <w:shd w:val="clear" w:color="auto" w:fill="auto"/>
                  <w:vAlign w:val="center"/>
                </w:tcPr>
                <w:p w14:paraId="0E598BE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0.0330</w:t>
                  </w:r>
                </w:p>
              </w:tc>
            </w:tr>
            <w:tr w14:paraId="0A90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580" w:type="dxa"/>
                  <w:vMerge w:val="continue"/>
                  <w:shd w:val="clear" w:color="auto" w:fill="auto"/>
                  <w:vAlign w:val="center"/>
                </w:tcPr>
                <w:p w14:paraId="50823964">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1580" w:type="dxa"/>
                  <w:vMerge w:val="continue"/>
                  <w:shd w:val="clear" w:color="auto" w:fill="auto"/>
                  <w:vAlign w:val="center"/>
                </w:tcPr>
                <w:p w14:paraId="14D67E84">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1580" w:type="dxa"/>
                  <w:vMerge w:val="continue"/>
                  <w:shd w:val="clear" w:color="auto" w:fill="auto"/>
                  <w:vAlign w:val="center"/>
                </w:tcPr>
                <w:p w14:paraId="64A8277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580" w:type="dxa"/>
                  <w:shd w:val="clear" w:color="auto" w:fill="auto"/>
                  <w:vAlign w:val="center"/>
                </w:tcPr>
                <w:p w14:paraId="14BC881C">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vertAlign w:val="baseline"/>
                      <w:lang w:val="en-US" w:eastAsia="zh-CN" w:bidi="ar"/>
                    </w:rPr>
                  </w:pPr>
                  <w:r>
                    <w:rPr>
                      <w:rFonts w:hint="default" w:ascii="Times New Roman" w:hAnsi="Times New Roman" w:eastAsia="宋体" w:cs="Times New Roman"/>
                      <w:i w:val="0"/>
                      <w:iCs w:val="0"/>
                      <w:color w:val="auto"/>
                      <w:kern w:val="0"/>
                      <w:sz w:val="21"/>
                      <w:szCs w:val="21"/>
                      <w:u w:val="none"/>
                      <w:vertAlign w:val="baseline"/>
                      <w:lang w:val="en-US" w:eastAsia="zh-CN" w:bidi="ar"/>
                    </w:rPr>
                    <w:t>SS</w:t>
                  </w:r>
                </w:p>
              </w:tc>
              <w:tc>
                <w:tcPr>
                  <w:tcW w:w="1953" w:type="dxa"/>
                  <w:shd w:val="clear" w:color="auto" w:fill="auto"/>
                  <w:vAlign w:val="center"/>
                </w:tcPr>
                <w:p w14:paraId="632D127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150</w:t>
                  </w:r>
                </w:p>
              </w:tc>
              <w:tc>
                <w:tcPr>
                  <w:tcW w:w="1581" w:type="dxa"/>
                  <w:shd w:val="clear" w:color="auto" w:fill="auto"/>
                  <w:vAlign w:val="center"/>
                </w:tcPr>
                <w:p w14:paraId="5AD12CD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0.0248</w:t>
                  </w:r>
                </w:p>
              </w:tc>
            </w:tr>
            <w:tr w14:paraId="3DEF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580" w:type="dxa"/>
                  <w:vMerge w:val="continue"/>
                  <w:shd w:val="clear" w:color="auto" w:fill="auto"/>
                  <w:vAlign w:val="center"/>
                </w:tcPr>
                <w:p w14:paraId="00B7B39C">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1580" w:type="dxa"/>
                  <w:vMerge w:val="continue"/>
                  <w:shd w:val="clear" w:color="auto" w:fill="auto"/>
                  <w:vAlign w:val="center"/>
                </w:tcPr>
                <w:p w14:paraId="272C598E">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1580" w:type="dxa"/>
                  <w:vMerge w:val="continue"/>
                  <w:shd w:val="clear" w:color="auto" w:fill="auto"/>
                  <w:vAlign w:val="center"/>
                </w:tcPr>
                <w:p w14:paraId="1C11DD8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580" w:type="dxa"/>
                  <w:shd w:val="clear" w:color="auto" w:fill="auto"/>
                  <w:vAlign w:val="center"/>
                </w:tcPr>
                <w:p w14:paraId="16F5F89B">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vertAlign w:val="baseline"/>
                      <w:lang w:val="en-US" w:eastAsia="zh-CN" w:bidi="ar"/>
                    </w:rPr>
                  </w:pPr>
                  <w:r>
                    <w:rPr>
                      <w:rFonts w:hint="default" w:ascii="Times New Roman" w:hAnsi="Times New Roman" w:eastAsia="宋体" w:cs="Times New Roman"/>
                      <w:i w:val="0"/>
                      <w:iCs w:val="0"/>
                      <w:color w:val="auto"/>
                      <w:kern w:val="0"/>
                      <w:sz w:val="21"/>
                      <w:szCs w:val="21"/>
                      <w:u w:val="none"/>
                      <w:vertAlign w:val="baseline"/>
                      <w:lang w:val="en-US" w:eastAsia="zh-CN" w:bidi="ar"/>
                    </w:rPr>
                    <w:t>NH</w:t>
                  </w:r>
                  <w:r>
                    <w:rPr>
                      <w:rFonts w:hint="default" w:ascii="Times New Roman" w:hAnsi="Times New Roman" w:eastAsia="宋体" w:cs="Times New Roman"/>
                      <w:i w:val="0"/>
                      <w:iCs w:val="0"/>
                      <w:color w:val="auto"/>
                      <w:kern w:val="0"/>
                      <w:sz w:val="21"/>
                      <w:szCs w:val="21"/>
                      <w:u w:val="none"/>
                      <w:vertAlign w:val="subscript"/>
                      <w:lang w:val="en-US" w:eastAsia="zh-CN" w:bidi="ar"/>
                    </w:rPr>
                    <w:t>3</w:t>
                  </w:r>
                  <w:r>
                    <w:rPr>
                      <w:rFonts w:hint="default" w:ascii="Times New Roman" w:hAnsi="Times New Roman" w:eastAsia="宋体" w:cs="Times New Roman"/>
                      <w:i w:val="0"/>
                      <w:iCs w:val="0"/>
                      <w:color w:val="auto"/>
                      <w:kern w:val="0"/>
                      <w:sz w:val="21"/>
                      <w:szCs w:val="21"/>
                      <w:u w:val="none"/>
                      <w:vertAlign w:val="baseline"/>
                      <w:lang w:val="en-US" w:eastAsia="zh-CN" w:bidi="ar"/>
                    </w:rPr>
                    <w:t>-N</w:t>
                  </w:r>
                </w:p>
              </w:tc>
              <w:tc>
                <w:tcPr>
                  <w:tcW w:w="1953" w:type="dxa"/>
                  <w:shd w:val="clear" w:color="auto" w:fill="auto"/>
                  <w:vAlign w:val="center"/>
                </w:tcPr>
                <w:p w14:paraId="3AB148E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1581" w:type="dxa"/>
                  <w:shd w:val="clear" w:color="auto" w:fill="auto"/>
                  <w:vAlign w:val="center"/>
                </w:tcPr>
                <w:p w14:paraId="4494632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0.0066</w:t>
                  </w:r>
                </w:p>
              </w:tc>
            </w:tr>
            <w:tr w14:paraId="2C10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580" w:type="dxa"/>
                  <w:vMerge w:val="continue"/>
                  <w:shd w:val="clear" w:color="auto" w:fill="auto"/>
                  <w:vAlign w:val="center"/>
                </w:tcPr>
                <w:p w14:paraId="61201ED4">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1580" w:type="dxa"/>
                  <w:vMerge w:val="continue"/>
                  <w:shd w:val="clear" w:color="auto" w:fill="auto"/>
                  <w:vAlign w:val="center"/>
                </w:tcPr>
                <w:p w14:paraId="6ACE5906">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1580" w:type="dxa"/>
                  <w:vMerge w:val="continue"/>
                  <w:shd w:val="clear" w:color="auto" w:fill="auto"/>
                  <w:vAlign w:val="center"/>
                </w:tcPr>
                <w:p w14:paraId="31B6A29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580" w:type="dxa"/>
                  <w:shd w:val="clear" w:color="auto" w:fill="auto"/>
                  <w:vAlign w:val="center"/>
                </w:tcPr>
                <w:p w14:paraId="71951554">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vertAlign w:val="baseline"/>
                      <w:lang w:val="en-US" w:eastAsia="zh-CN" w:bidi="ar"/>
                    </w:rPr>
                  </w:pPr>
                  <w:r>
                    <w:rPr>
                      <w:rFonts w:hint="default" w:ascii="Times New Roman" w:hAnsi="Times New Roman" w:eastAsia="宋体" w:cs="Times New Roman"/>
                      <w:i w:val="0"/>
                      <w:iCs w:val="0"/>
                      <w:color w:val="auto"/>
                      <w:kern w:val="0"/>
                      <w:sz w:val="21"/>
                      <w:szCs w:val="21"/>
                      <w:u w:val="none"/>
                      <w:vertAlign w:val="baseline"/>
                      <w:lang w:val="en-US" w:eastAsia="zh-CN" w:bidi="ar"/>
                    </w:rPr>
                    <w:t>TN</w:t>
                  </w:r>
                </w:p>
              </w:tc>
              <w:tc>
                <w:tcPr>
                  <w:tcW w:w="1953" w:type="dxa"/>
                  <w:shd w:val="clear" w:color="auto" w:fill="auto"/>
                  <w:vAlign w:val="center"/>
                </w:tcPr>
                <w:p w14:paraId="05595B3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1581" w:type="dxa"/>
                  <w:shd w:val="clear" w:color="auto" w:fill="auto"/>
                  <w:vAlign w:val="center"/>
                </w:tcPr>
                <w:p w14:paraId="6E1FF85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0.0083</w:t>
                  </w:r>
                </w:p>
              </w:tc>
            </w:tr>
            <w:tr w14:paraId="2B93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580" w:type="dxa"/>
                  <w:vMerge w:val="continue"/>
                  <w:shd w:val="clear" w:color="auto" w:fill="auto"/>
                  <w:vAlign w:val="center"/>
                </w:tcPr>
                <w:p w14:paraId="27F95375">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1580" w:type="dxa"/>
                  <w:vMerge w:val="continue"/>
                  <w:shd w:val="clear" w:color="auto" w:fill="auto"/>
                  <w:vAlign w:val="center"/>
                </w:tcPr>
                <w:p w14:paraId="2E7991E0">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1580" w:type="dxa"/>
                  <w:vMerge w:val="continue"/>
                  <w:shd w:val="clear" w:color="auto" w:fill="auto"/>
                  <w:vAlign w:val="center"/>
                </w:tcPr>
                <w:p w14:paraId="4A738EF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580" w:type="dxa"/>
                  <w:shd w:val="clear" w:color="auto" w:fill="auto"/>
                  <w:vAlign w:val="center"/>
                </w:tcPr>
                <w:p w14:paraId="0F6B45C6">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vertAlign w:val="baseline"/>
                      <w:lang w:val="en-US" w:eastAsia="zh-CN" w:bidi="ar"/>
                    </w:rPr>
                  </w:pPr>
                  <w:r>
                    <w:rPr>
                      <w:rFonts w:hint="default" w:ascii="Times New Roman" w:hAnsi="Times New Roman" w:eastAsia="宋体" w:cs="Times New Roman"/>
                      <w:i w:val="0"/>
                      <w:iCs w:val="0"/>
                      <w:color w:val="auto"/>
                      <w:kern w:val="0"/>
                      <w:sz w:val="21"/>
                      <w:szCs w:val="21"/>
                      <w:u w:val="none"/>
                      <w:vertAlign w:val="baseline"/>
                      <w:lang w:val="en-US" w:eastAsia="zh-CN" w:bidi="ar"/>
                    </w:rPr>
                    <w:t>TP</w:t>
                  </w:r>
                </w:p>
              </w:tc>
              <w:tc>
                <w:tcPr>
                  <w:tcW w:w="1953" w:type="dxa"/>
                  <w:shd w:val="clear" w:color="auto" w:fill="auto"/>
                  <w:vAlign w:val="center"/>
                </w:tcPr>
                <w:p w14:paraId="5C4BFDA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581" w:type="dxa"/>
                  <w:shd w:val="clear" w:color="auto" w:fill="auto"/>
                  <w:vAlign w:val="center"/>
                </w:tcPr>
                <w:p w14:paraId="4239FC0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0.0007</w:t>
                  </w:r>
                </w:p>
              </w:tc>
            </w:tr>
            <w:tr w14:paraId="5370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580" w:type="dxa"/>
                  <w:vMerge w:val="continue"/>
                  <w:shd w:val="clear" w:color="auto" w:fill="auto"/>
                  <w:vAlign w:val="center"/>
                </w:tcPr>
                <w:p w14:paraId="420ACC4A">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1580" w:type="dxa"/>
                  <w:vMerge w:val="continue"/>
                  <w:shd w:val="clear" w:color="auto" w:fill="auto"/>
                  <w:vAlign w:val="center"/>
                </w:tcPr>
                <w:p w14:paraId="624999BF">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1580" w:type="dxa"/>
                  <w:vMerge w:val="continue"/>
                  <w:shd w:val="clear" w:color="auto" w:fill="auto"/>
                  <w:vAlign w:val="center"/>
                </w:tcPr>
                <w:p w14:paraId="1D239A1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580" w:type="dxa"/>
                  <w:shd w:val="clear" w:color="auto" w:fill="auto"/>
                  <w:vAlign w:val="center"/>
                </w:tcPr>
                <w:p w14:paraId="3F73098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vertAlign w:val="baseli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全盐量</w:t>
                  </w:r>
                </w:p>
              </w:tc>
              <w:tc>
                <w:tcPr>
                  <w:tcW w:w="1953" w:type="dxa"/>
                  <w:shd w:val="clear" w:color="auto" w:fill="auto"/>
                  <w:vAlign w:val="center"/>
                </w:tcPr>
                <w:p w14:paraId="2B42E3E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500</w:t>
                  </w:r>
                </w:p>
              </w:tc>
              <w:tc>
                <w:tcPr>
                  <w:tcW w:w="1581" w:type="dxa"/>
                  <w:shd w:val="clear" w:color="auto" w:fill="auto"/>
                  <w:vAlign w:val="center"/>
                </w:tcPr>
                <w:p w14:paraId="6D44539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0.0825</w:t>
                  </w:r>
                </w:p>
              </w:tc>
            </w:tr>
            <w:tr w14:paraId="3802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580" w:type="dxa"/>
                  <w:vMerge w:val="restart"/>
                  <w:shd w:val="clear" w:color="auto" w:fill="auto"/>
                  <w:vAlign w:val="center"/>
                </w:tcPr>
                <w:p w14:paraId="73697A38">
                  <w:pPr>
                    <w:jc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b w:val="0"/>
                      <w:bCs w:val="0"/>
                      <w:i w:val="0"/>
                      <w:iCs w:val="0"/>
                      <w:color w:val="auto"/>
                      <w:sz w:val="21"/>
                      <w:szCs w:val="21"/>
                      <w:u w:val="none"/>
                      <w:lang w:val="en-US" w:eastAsia="zh-CN"/>
                    </w:rPr>
                    <w:t>纯水制备浓水</w:t>
                  </w:r>
                </w:p>
              </w:tc>
              <w:tc>
                <w:tcPr>
                  <w:tcW w:w="1580" w:type="dxa"/>
                  <w:vMerge w:val="restart"/>
                  <w:shd w:val="clear" w:color="auto" w:fill="auto"/>
                  <w:vAlign w:val="center"/>
                </w:tcPr>
                <w:p w14:paraId="428E08D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bidi="ar-SA"/>
                    </w:rPr>
                    <w:t>5333.33</w:t>
                  </w:r>
                </w:p>
              </w:tc>
              <w:tc>
                <w:tcPr>
                  <w:tcW w:w="1580" w:type="dxa"/>
                  <w:vMerge w:val="restart"/>
                  <w:shd w:val="clear" w:color="auto" w:fill="auto"/>
                  <w:vAlign w:val="center"/>
                </w:tcPr>
                <w:p w14:paraId="23908AB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类比</w:t>
                  </w:r>
                </w:p>
              </w:tc>
              <w:tc>
                <w:tcPr>
                  <w:tcW w:w="1580" w:type="dxa"/>
                  <w:shd w:val="clear" w:color="auto" w:fill="auto"/>
                  <w:vAlign w:val="center"/>
                </w:tcPr>
                <w:p w14:paraId="36FBC58E">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vertAlign w:val="baseline"/>
                      <w:lang w:val="en-US" w:eastAsia="zh-CN" w:bidi="ar"/>
                    </w:rPr>
                    <w:t>COD</w:t>
                  </w:r>
                </w:p>
              </w:tc>
              <w:tc>
                <w:tcPr>
                  <w:tcW w:w="1953" w:type="dxa"/>
                  <w:shd w:val="clear" w:color="auto" w:fill="auto"/>
                  <w:vAlign w:val="center"/>
                </w:tcPr>
                <w:p w14:paraId="12708F1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581" w:type="dxa"/>
                  <w:shd w:val="clear" w:color="auto" w:fill="auto"/>
                  <w:vAlign w:val="center"/>
                </w:tcPr>
                <w:p w14:paraId="4A2AEA7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0.1600</w:t>
                  </w:r>
                </w:p>
              </w:tc>
            </w:tr>
            <w:tr w14:paraId="485C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580" w:type="dxa"/>
                  <w:vMerge w:val="continue"/>
                  <w:shd w:val="clear" w:color="auto" w:fill="auto"/>
                  <w:vAlign w:val="center"/>
                </w:tcPr>
                <w:p w14:paraId="0FEFB9AB">
                  <w:pPr>
                    <w:jc w:val="center"/>
                    <w:rPr>
                      <w:rFonts w:hint="default" w:ascii="Times New Roman" w:hAnsi="Times New Roman" w:eastAsia="宋体" w:cs="Times New Roman"/>
                      <w:i w:val="0"/>
                      <w:iCs w:val="0"/>
                      <w:color w:val="auto"/>
                      <w:sz w:val="21"/>
                      <w:szCs w:val="21"/>
                      <w:u w:val="none"/>
                    </w:rPr>
                  </w:pPr>
                </w:p>
              </w:tc>
              <w:tc>
                <w:tcPr>
                  <w:tcW w:w="1580" w:type="dxa"/>
                  <w:vMerge w:val="continue"/>
                  <w:shd w:val="clear" w:color="auto" w:fill="auto"/>
                  <w:vAlign w:val="center"/>
                </w:tcPr>
                <w:p w14:paraId="792AAE81">
                  <w:pPr>
                    <w:jc w:val="center"/>
                    <w:rPr>
                      <w:rFonts w:hint="default" w:ascii="Times New Roman" w:hAnsi="Times New Roman" w:eastAsia="宋体" w:cs="Times New Roman"/>
                      <w:i w:val="0"/>
                      <w:iCs w:val="0"/>
                      <w:color w:val="auto"/>
                      <w:sz w:val="21"/>
                      <w:szCs w:val="21"/>
                      <w:u w:val="none"/>
                    </w:rPr>
                  </w:pPr>
                </w:p>
              </w:tc>
              <w:tc>
                <w:tcPr>
                  <w:tcW w:w="1580" w:type="dxa"/>
                  <w:vMerge w:val="continue"/>
                  <w:shd w:val="clear" w:color="auto" w:fill="auto"/>
                  <w:vAlign w:val="center"/>
                </w:tcPr>
                <w:p w14:paraId="69ADD19B">
                  <w:pPr>
                    <w:jc w:val="center"/>
                    <w:rPr>
                      <w:rFonts w:hint="default" w:ascii="Times New Roman" w:hAnsi="Times New Roman" w:eastAsia="宋体" w:cs="Times New Roman"/>
                      <w:i w:val="0"/>
                      <w:iCs w:val="0"/>
                      <w:color w:val="auto"/>
                      <w:sz w:val="21"/>
                      <w:szCs w:val="21"/>
                      <w:u w:val="none"/>
                    </w:rPr>
                  </w:pPr>
                </w:p>
              </w:tc>
              <w:tc>
                <w:tcPr>
                  <w:tcW w:w="1580" w:type="dxa"/>
                  <w:shd w:val="clear" w:color="auto" w:fill="auto"/>
                  <w:vAlign w:val="center"/>
                </w:tcPr>
                <w:p w14:paraId="426EA2E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全盐量</w:t>
                  </w:r>
                </w:p>
              </w:tc>
              <w:tc>
                <w:tcPr>
                  <w:tcW w:w="1953" w:type="dxa"/>
                  <w:shd w:val="clear" w:color="auto" w:fill="auto"/>
                  <w:vAlign w:val="center"/>
                </w:tcPr>
                <w:p w14:paraId="35D24A5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700</w:t>
                  </w:r>
                </w:p>
              </w:tc>
              <w:tc>
                <w:tcPr>
                  <w:tcW w:w="1581" w:type="dxa"/>
                  <w:shd w:val="clear" w:color="auto" w:fill="auto"/>
                  <w:vAlign w:val="center"/>
                </w:tcPr>
                <w:p w14:paraId="2473D3D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3.7333</w:t>
                  </w:r>
                </w:p>
              </w:tc>
            </w:tr>
          </w:tbl>
          <w:p w14:paraId="0459BDA3">
            <w:pPr>
              <w:numPr>
                <w:ilvl w:val="0"/>
                <w:numId w:val="0"/>
              </w:numPr>
              <w:jc w:val="center"/>
              <w:rPr>
                <w:rFonts w:hint="eastAsia"/>
                <w:b/>
                <w:bCs/>
                <w:color w:val="auto"/>
                <w:sz w:val="24"/>
                <w:szCs w:val="32"/>
                <w:lang w:val="en-US" w:eastAsia="zh-CN"/>
              </w:rPr>
            </w:pPr>
            <w:r>
              <w:rPr>
                <w:rFonts w:hint="eastAsia"/>
                <w:b/>
                <w:bCs/>
                <w:color w:val="auto"/>
                <w:sz w:val="24"/>
                <w:szCs w:val="32"/>
                <w:lang w:val="en-US" w:eastAsia="zh-CN"/>
              </w:rPr>
              <w:t>表4-10 进入厂区污水处理站废水水污染物产生情况表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616"/>
              <w:gridCol w:w="1616"/>
              <w:gridCol w:w="1616"/>
              <w:gridCol w:w="1999"/>
              <w:gridCol w:w="1620"/>
            </w:tblGrid>
            <w:tr w14:paraId="606E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54" w:type="pct"/>
                  <w:vMerge w:val="restart"/>
                  <w:shd w:val="clear" w:color="auto" w:fill="auto"/>
                  <w:vAlign w:val="center"/>
                </w:tcPr>
                <w:p w14:paraId="5BB0388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vertAlign w:val="baseline"/>
                    </w:rPr>
                  </w:pPr>
                  <w:r>
                    <w:rPr>
                      <w:rFonts w:hint="default" w:ascii="Times New Roman" w:hAnsi="Times New Roman" w:eastAsia="宋体" w:cs="Times New Roman"/>
                      <w:b/>
                      <w:bCs/>
                      <w:i w:val="0"/>
                      <w:iCs w:val="0"/>
                      <w:color w:val="auto"/>
                      <w:kern w:val="0"/>
                      <w:sz w:val="21"/>
                      <w:szCs w:val="21"/>
                      <w:u w:val="none"/>
                      <w:vertAlign w:val="baseline"/>
                      <w:lang w:val="en-US" w:eastAsia="zh-CN" w:bidi="ar"/>
                    </w:rPr>
                    <w:t>废水种类</w:t>
                  </w:r>
                </w:p>
              </w:tc>
              <w:tc>
                <w:tcPr>
                  <w:tcW w:w="954" w:type="pct"/>
                  <w:vMerge w:val="restart"/>
                  <w:shd w:val="clear" w:color="auto" w:fill="auto"/>
                  <w:vAlign w:val="center"/>
                </w:tcPr>
                <w:p w14:paraId="08FD530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vertAlign w:val="baseline"/>
                    </w:rPr>
                  </w:pPr>
                  <w:r>
                    <w:rPr>
                      <w:rFonts w:hint="default" w:ascii="Times New Roman" w:hAnsi="Times New Roman" w:eastAsia="宋体" w:cs="Times New Roman"/>
                      <w:b/>
                      <w:bCs/>
                      <w:i w:val="0"/>
                      <w:iCs w:val="0"/>
                      <w:color w:val="auto"/>
                      <w:kern w:val="0"/>
                      <w:sz w:val="21"/>
                      <w:szCs w:val="21"/>
                      <w:u w:val="none"/>
                      <w:vertAlign w:val="baseline"/>
                      <w:lang w:val="en-US" w:eastAsia="zh-CN" w:bidi="ar"/>
                    </w:rPr>
                    <w:t>废水量</w:t>
                  </w:r>
                  <w:r>
                    <w:rPr>
                      <w:rStyle w:val="72"/>
                      <w:rFonts w:hint="default" w:ascii="Times New Roman" w:hAnsi="Times New Roman" w:eastAsia="宋体" w:cs="Times New Roman"/>
                      <w:b/>
                      <w:bCs/>
                      <w:color w:val="auto"/>
                      <w:vertAlign w:val="baseline"/>
                      <w:lang w:val="en-US" w:eastAsia="zh-CN" w:bidi="ar"/>
                    </w:rPr>
                    <w:t>m</w:t>
                  </w:r>
                  <w:r>
                    <w:rPr>
                      <w:rStyle w:val="70"/>
                      <w:rFonts w:hint="default" w:ascii="Times New Roman" w:hAnsi="Times New Roman" w:eastAsia="宋体" w:cs="Times New Roman"/>
                      <w:b/>
                      <w:bCs/>
                      <w:color w:val="auto"/>
                      <w:vertAlign w:val="superscript"/>
                      <w:lang w:val="en-US" w:eastAsia="zh-CN" w:bidi="ar"/>
                    </w:rPr>
                    <w:t>3</w:t>
                  </w:r>
                  <w:r>
                    <w:rPr>
                      <w:rStyle w:val="72"/>
                      <w:rFonts w:hint="default" w:ascii="Times New Roman" w:hAnsi="Times New Roman" w:eastAsia="宋体" w:cs="Times New Roman"/>
                      <w:b/>
                      <w:bCs/>
                      <w:color w:val="auto"/>
                      <w:vertAlign w:val="baseline"/>
                      <w:lang w:val="en-US" w:eastAsia="zh-CN" w:bidi="ar"/>
                    </w:rPr>
                    <w:t>/a</w:t>
                  </w:r>
                </w:p>
              </w:tc>
              <w:tc>
                <w:tcPr>
                  <w:tcW w:w="954" w:type="pct"/>
                  <w:shd w:val="clear" w:color="auto" w:fill="auto"/>
                  <w:vAlign w:val="center"/>
                </w:tcPr>
                <w:p w14:paraId="60405F43">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vertAlign w:val="baseline"/>
                    </w:rPr>
                  </w:pPr>
                  <w:r>
                    <w:rPr>
                      <w:rFonts w:hint="default" w:ascii="Times New Roman" w:hAnsi="Times New Roman" w:eastAsia="宋体" w:cs="Times New Roman"/>
                      <w:b/>
                      <w:bCs/>
                      <w:i w:val="0"/>
                      <w:iCs w:val="0"/>
                      <w:color w:val="auto"/>
                      <w:kern w:val="0"/>
                      <w:sz w:val="21"/>
                      <w:szCs w:val="21"/>
                      <w:u w:val="none"/>
                      <w:vertAlign w:val="baseline"/>
                      <w:lang w:val="en-US" w:eastAsia="zh-CN" w:bidi="ar"/>
                    </w:rPr>
                    <w:t>污染物</w:t>
                  </w:r>
                </w:p>
              </w:tc>
              <w:tc>
                <w:tcPr>
                  <w:tcW w:w="2136" w:type="pct"/>
                  <w:gridSpan w:val="2"/>
                  <w:shd w:val="clear" w:color="auto" w:fill="auto"/>
                  <w:vAlign w:val="center"/>
                </w:tcPr>
                <w:p w14:paraId="7CB326F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vertAlign w:val="baseline"/>
                    </w:rPr>
                  </w:pPr>
                  <w:r>
                    <w:rPr>
                      <w:rFonts w:hint="default" w:ascii="Times New Roman" w:hAnsi="Times New Roman" w:eastAsia="宋体" w:cs="Times New Roman"/>
                      <w:b/>
                      <w:bCs/>
                      <w:i w:val="0"/>
                      <w:iCs w:val="0"/>
                      <w:color w:val="auto"/>
                      <w:kern w:val="0"/>
                      <w:sz w:val="21"/>
                      <w:szCs w:val="21"/>
                      <w:u w:val="none"/>
                      <w:vertAlign w:val="baseline"/>
                      <w:lang w:val="en-US" w:eastAsia="zh-CN" w:bidi="ar"/>
                    </w:rPr>
                    <w:t>污染物产生情况</w:t>
                  </w:r>
                </w:p>
              </w:tc>
            </w:tr>
            <w:tr w14:paraId="06F9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54" w:type="pct"/>
                  <w:vMerge w:val="continue"/>
                  <w:shd w:val="clear" w:color="auto" w:fill="auto"/>
                  <w:vAlign w:val="center"/>
                </w:tcPr>
                <w:p w14:paraId="52398420">
                  <w:pPr>
                    <w:jc w:val="center"/>
                    <w:rPr>
                      <w:rFonts w:hint="default" w:ascii="Times New Roman" w:hAnsi="Times New Roman" w:eastAsia="宋体" w:cs="Times New Roman"/>
                      <w:b/>
                      <w:bCs/>
                      <w:i w:val="0"/>
                      <w:iCs w:val="0"/>
                      <w:color w:val="auto"/>
                      <w:sz w:val="21"/>
                      <w:szCs w:val="21"/>
                      <w:u w:val="none"/>
                      <w:vertAlign w:val="baseline"/>
                    </w:rPr>
                  </w:pPr>
                </w:p>
              </w:tc>
              <w:tc>
                <w:tcPr>
                  <w:tcW w:w="954" w:type="pct"/>
                  <w:vMerge w:val="continue"/>
                  <w:shd w:val="clear" w:color="auto" w:fill="auto"/>
                  <w:vAlign w:val="center"/>
                </w:tcPr>
                <w:p w14:paraId="00CF9F8B">
                  <w:pPr>
                    <w:jc w:val="center"/>
                    <w:rPr>
                      <w:rFonts w:hint="default" w:ascii="Times New Roman" w:hAnsi="Times New Roman" w:eastAsia="宋体" w:cs="Times New Roman"/>
                      <w:b/>
                      <w:bCs/>
                      <w:i w:val="0"/>
                      <w:iCs w:val="0"/>
                      <w:color w:val="auto"/>
                      <w:sz w:val="21"/>
                      <w:szCs w:val="21"/>
                      <w:u w:val="none"/>
                      <w:vertAlign w:val="baseline"/>
                    </w:rPr>
                  </w:pPr>
                </w:p>
              </w:tc>
              <w:tc>
                <w:tcPr>
                  <w:tcW w:w="954" w:type="pct"/>
                  <w:shd w:val="clear" w:color="auto" w:fill="auto"/>
                  <w:vAlign w:val="center"/>
                </w:tcPr>
                <w:p w14:paraId="446E2BF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vertAlign w:val="baseline"/>
                    </w:rPr>
                  </w:pPr>
                  <w:r>
                    <w:rPr>
                      <w:rFonts w:hint="default" w:ascii="Times New Roman" w:hAnsi="Times New Roman" w:eastAsia="宋体" w:cs="Times New Roman"/>
                      <w:b/>
                      <w:bCs/>
                      <w:i w:val="0"/>
                      <w:iCs w:val="0"/>
                      <w:color w:val="auto"/>
                      <w:kern w:val="0"/>
                      <w:sz w:val="21"/>
                      <w:szCs w:val="21"/>
                      <w:u w:val="none"/>
                      <w:vertAlign w:val="baseline"/>
                      <w:lang w:val="en-US" w:eastAsia="zh-CN" w:bidi="ar"/>
                    </w:rPr>
                    <w:t>种类</w:t>
                  </w:r>
                </w:p>
              </w:tc>
              <w:tc>
                <w:tcPr>
                  <w:tcW w:w="1180" w:type="pct"/>
                  <w:shd w:val="clear" w:color="auto" w:fill="auto"/>
                  <w:vAlign w:val="center"/>
                </w:tcPr>
                <w:p w14:paraId="6839946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vertAlign w:val="baseline"/>
                    </w:rPr>
                  </w:pPr>
                  <w:r>
                    <w:rPr>
                      <w:rFonts w:hint="default" w:ascii="Times New Roman" w:hAnsi="Times New Roman" w:eastAsia="宋体" w:cs="Times New Roman"/>
                      <w:b/>
                      <w:bCs/>
                      <w:i w:val="0"/>
                      <w:iCs w:val="0"/>
                      <w:color w:val="auto"/>
                      <w:kern w:val="0"/>
                      <w:sz w:val="21"/>
                      <w:szCs w:val="21"/>
                      <w:u w:val="none"/>
                      <w:vertAlign w:val="baseline"/>
                      <w:lang w:val="en-US" w:eastAsia="zh-CN" w:bidi="ar"/>
                    </w:rPr>
                    <w:t>产生浓度</w:t>
                  </w:r>
                  <w:r>
                    <w:rPr>
                      <w:rStyle w:val="72"/>
                      <w:rFonts w:hint="default" w:ascii="Times New Roman" w:hAnsi="Times New Roman" w:eastAsia="宋体" w:cs="Times New Roman"/>
                      <w:b/>
                      <w:bCs/>
                      <w:color w:val="auto"/>
                      <w:vertAlign w:val="baseline"/>
                      <w:lang w:val="en-US" w:eastAsia="zh-CN" w:bidi="ar"/>
                    </w:rPr>
                    <w:t>mg/L</w:t>
                  </w:r>
                </w:p>
              </w:tc>
              <w:tc>
                <w:tcPr>
                  <w:tcW w:w="955" w:type="pct"/>
                  <w:shd w:val="clear" w:color="auto" w:fill="auto"/>
                  <w:vAlign w:val="center"/>
                </w:tcPr>
                <w:p w14:paraId="3A5A0F3A">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vertAlign w:val="baseline"/>
                    </w:rPr>
                  </w:pPr>
                  <w:r>
                    <w:rPr>
                      <w:rFonts w:hint="default" w:ascii="Times New Roman" w:hAnsi="Times New Roman" w:eastAsia="宋体" w:cs="Times New Roman"/>
                      <w:b/>
                      <w:bCs/>
                      <w:i w:val="0"/>
                      <w:iCs w:val="0"/>
                      <w:color w:val="auto"/>
                      <w:kern w:val="0"/>
                      <w:sz w:val="21"/>
                      <w:szCs w:val="21"/>
                      <w:u w:val="none"/>
                      <w:vertAlign w:val="baseline"/>
                      <w:lang w:val="en-US" w:eastAsia="zh-CN" w:bidi="ar"/>
                    </w:rPr>
                    <w:t>产生量</w:t>
                  </w:r>
                  <w:r>
                    <w:rPr>
                      <w:rStyle w:val="72"/>
                      <w:rFonts w:hint="default" w:ascii="Times New Roman" w:hAnsi="Times New Roman" w:eastAsia="宋体" w:cs="Times New Roman"/>
                      <w:b/>
                      <w:bCs/>
                      <w:color w:val="auto"/>
                      <w:vertAlign w:val="baseline"/>
                      <w:lang w:val="en-US" w:eastAsia="zh-CN" w:bidi="ar"/>
                    </w:rPr>
                    <w:t>t/a</w:t>
                  </w:r>
                </w:p>
              </w:tc>
            </w:tr>
            <w:tr w14:paraId="1672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54" w:type="pct"/>
                  <w:vMerge w:val="restart"/>
                  <w:shd w:val="clear" w:color="auto" w:fill="auto"/>
                  <w:vAlign w:val="center"/>
                </w:tcPr>
                <w:p w14:paraId="0510947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b w:val="0"/>
                      <w:bCs w:val="0"/>
                      <w:i w:val="0"/>
                      <w:iCs w:val="0"/>
                      <w:color w:val="auto"/>
                      <w:kern w:val="0"/>
                      <w:sz w:val="21"/>
                      <w:szCs w:val="21"/>
                      <w:u w:val="none"/>
                      <w:lang w:val="en-US" w:eastAsia="zh-CN" w:bidi="ar"/>
                    </w:rPr>
                    <w:t>清洗废水</w:t>
                  </w:r>
                </w:p>
              </w:tc>
              <w:tc>
                <w:tcPr>
                  <w:tcW w:w="954" w:type="pct"/>
                  <w:vMerge w:val="restart"/>
                  <w:shd w:val="clear" w:color="auto" w:fill="auto"/>
                  <w:vAlign w:val="center"/>
                </w:tcPr>
                <w:p w14:paraId="7B96823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color w:val="auto"/>
                      <w:lang w:val="en-US" w:eastAsia="zh-CN"/>
                    </w:rPr>
                    <w:t>6750</w:t>
                  </w:r>
                </w:p>
              </w:tc>
              <w:tc>
                <w:tcPr>
                  <w:tcW w:w="954" w:type="pct"/>
                  <w:shd w:val="clear" w:color="auto" w:fill="auto"/>
                  <w:vAlign w:val="center"/>
                </w:tcPr>
                <w:p w14:paraId="0B399F29">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vertAlign w:val="baseline"/>
                      <w:lang w:val="en-US" w:eastAsia="zh-CN" w:bidi="ar"/>
                    </w:rPr>
                    <w:t>COD</w:t>
                  </w:r>
                </w:p>
              </w:tc>
              <w:tc>
                <w:tcPr>
                  <w:tcW w:w="1997" w:type="dxa"/>
                  <w:shd w:val="clear" w:color="auto" w:fill="auto"/>
                  <w:vAlign w:val="center"/>
                </w:tcPr>
                <w:p w14:paraId="5B1BCB1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420</w:t>
                  </w:r>
                </w:p>
              </w:tc>
              <w:tc>
                <w:tcPr>
                  <w:tcW w:w="1618" w:type="dxa"/>
                  <w:shd w:val="clear" w:color="auto" w:fill="auto"/>
                  <w:vAlign w:val="center"/>
                </w:tcPr>
                <w:p w14:paraId="40F9177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2.8350</w:t>
                  </w:r>
                </w:p>
              </w:tc>
            </w:tr>
            <w:tr w14:paraId="39C4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54" w:type="pct"/>
                  <w:vMerge w:val="continue"/>
                  <w:shd w:val="clear" w:color="auto" w:fill="auto"/>
                  <w:vAlign w:val="center"/>
                </w:tcPr>
                <w:p w14:paraId="5BA6C4FE">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954" w:type="pct"/>
                  <w:vMerge w:val="continue"/>
                  <w:shd w:val="clear" w:color="auto" w:fill="auto"/>
                  <w:vAlign w:val="center"/>
                </w:tcPr>
                <w:p w14:paraId="474E4588">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954" w:type="pct"/>
                  <w:shd w:val="clear" w:color="auto" w:fill="auto"/>
                  <w:vAlign w:val="center"/>
                </w:tcPr>
                <w:p w14:paraId="6A9B380F">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vertAlign w:val="baseline"/>
                      <w:lang w:val="en-US" w:eastAsia="zh-CN" w:bidi="ar"/>
                    </w:rPr>
                    <w:t>BOD</w:t>
                  </w:r>
                  <w:r>
                    <w:rPr>
                      <w:rFonts w:hint="default" w:ascii="Times New Roman" w:hAnsi="Times New Roman" w:eastAsia="宋体" w:cs="Times New Roman"/>
                      <w:i w:val="0"/>
                      <w:iCs w:val="0"/>
                      <w:color w:val="auto"/>
                      <w:kern w:val="0"/>
                      <w:sz w:val="21"/>
                      <w:szCs w:val="21"/>
                      <w:u w:val="none"/>
                      <w:vertAlign w:val="subscript"/>
                      <w:lang w:val="en-US" w:eastAsia="zh-CN" w:bidi="ar"/>
                    </w:rPr>
                    <w:t>5</w:t>
                  </w:r>
                </w:p>
              </w:tc>
              <w:tc>
                <w:tcPr>
                  <w:tcW w:w="1997" w:type="dxa"/>
                  <w:shd w:val="clear" w:color="auto" w:fill="auto"/>
                  <w:vAlign w:val="center"/>
                </w:tcPr>
                <w:p w14:paraId="1998B75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170</w:t>
                  </w:r>
                </w:p>
              </w:tc>
              <w:tc>
                <w:tcPr>
                  <w:tcW w:w="1618" w:type="dxa"/>
                  <w:shd w:val="clear" w:color="auto" w:fill="auto"/>
                  <w:vAlign w:val="center"/>
                </w:tcPr>
                <w:p w14:paraId="42CFE4A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1.1475</w:t>
                  </w:r>
                </w:p>
              </w:tc>
            </w:tr>
            <w:tr w14:paraId="6A80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54" w:type="pct"/>
                  <w:vMerge w:val="continue"/>
                  <w:shd w:val="clear" w:color="auto" w:fill="auto"/>
                  <w:vAlign w:val="center"/>
                </w:tcPr>
                <w:p w14:paraId="68FED533">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954" w:type="pct"/>
                  <w:vMerge w:val="continue"/>
                  <w:shd w:val="clear" w:color="auto" w:fill="auto"/>
                  <w:vAlign w:val="center"/>
                </w:tcPr>
                <w:p w14:paraId="03EEF2C4">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954" w:type="pct"/>
                  <w:shd w:val="clear" w:color="auto" w:fill="auto"/>
                  <w:vAlign w:val="center"/>
                </w:tcPr>
                <w:p w14:paraId="484318F2">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vertAlign w:val="baseline"/>
                      <w:lang w:val="en-US" w:eastAsia="zh-CN" w:bidi="ar"/>
                    </w:rPr>
                    <w:t>SS</w:t>
                  </w:r>
                </w:p>
              </w:tc>
              <w:tc>
                <w:tcPr>
                  <w:tcW w:w="1997" w:type="dxa"/>
                  <w:shd w:val="clear" w:color="auto" w:fill="auto"/>
                  <w:vAlign w:val="center"/>
                </w:tcPr>
                <w:p w14:paraId="35BEEC4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210</w:t>
                  </w:r>
                </w:p>
              </w:tc>
              <w:tc>
                <w:tcPr>
                  <w:tcW w:w="1618" w:type="dxa"/>
                  <w:shd w:val="clear" w:color="auto" w:fill="auto"/>
                  <w:vAlign w:val="center"/>
                </w:tcPr>
                <w:p w14:paraId="7B62505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1.4175</w:t>
                  </w:r>
                </w:p>
              </w:tc>
            </w:tr>
            <w:tr w14:paraId="68E2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54" w:type="pct"/>
                  <w:vMerge w:val="continue"/>
                  <w:shd w:val="clear" w:color="auto" w:fill="auto"/>
                  <w:vAlign w:val="center"/>
                </w:tcPr>
                <w:p w14:paraId="6572A93B">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954" w:type="pct"/>
                  <w:vMerge w:val="continue"/>
                  <w:shd w:val="clear" w:color="auto" w:fill="auto"/>
                  <w:vAlign w:val="center"/>
                </w:tcPr>
                <w:p w14:paraId="3E01A078">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954" w:type="pct"/>
                  <w:shd w:val="clear" w:color="auto" w:fill="auto"/>
                  <w:vAlign w:val="center"/>
                </w:tcPr>
                <w:p w14:paraId="292058E2">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vertAlign w:val="baseline"/>
                      <w:lang w:val="en-US" w:eastAsia="zh-CN" w:bidi="ar"/>
                    </w:rPr>
                  </w:pPr>
                  <w:r>
                    <w:rPr>
                      <w:rFonts w:hint="default" w:ascii="Times New Roman" w:hAnsi="Times New Roman" w:eastAsia="宋体" w:cs="Times New Roman"/>
                      <w:i w:val="0"/>
                      <w:iCs w:val="0"/>
                      <w:color w:val="auto"/>
                      <w:kern w:val="0"/>
                      <w:sz w:val="21"/>
                      <w:szCs w:val="21"/>
                      <w:u w:val="none"/>
                      <w:vertAlign w:val="baseline"/>
                      <w:lang w:val="en-US" w:eastAsia="zh-CN" w:bidi="ar"/>
                    </w:rPr>
                    <w:t>NH</w:t>
                  </w:r>
                  <w:r>
                    <w:rPr>
                      <w:rFonts w:hint="default" w:ascii="Times New Roman" w:hAnsi="Times New Roman" w:eastAsia="宋体" w:cs="Times New Roman"/>
                      <w:i w:val="0"/>
                      <w:iCs w:val="0"/>
                      <w:color w:val="auto"/>
                      <w:kern w:val="0"/>
                      <w:sz w:val="21"/>
                      <w:szCs w:val="21"/>
                      <w:u w:val="none"/>
                      <w:vertAlign w:val="subscript"/>
                      <w:lang w:val="en-US" w:eastAsia="zh-CN" w:bidi="ar"/>
                    </w:rPr>
                    <w:t>3</w:t>
                  </w:r>
                  <w:r>
                    <w:rPr>
                      <w:rFonts w:hint="default" w:ascii="Times New Roman" w:hAnsi="Times New Roman" w:eastAsia="宋体" w:cs="Times New Roman"/>
                      <w:i w:val="0"/>
                      <w:iCs w:val="0"/>
                      <w:color w:val="auto"/>
                      <w:kern w:val="0"/>
                      <w:sz w:val="21"/>
                      <w:szCs w:val="21"/>
                      <w:u w:val="none"/>
                      <w:vertAlign w:val="baseline"/>
                      <w:lang w:val="en-US" w:eastAsia="zh-CN" w:bidi="ar"/>
                    </w:rPr>
                    <w:t>-N</w:t>
                  </w:r>
                </w:p>
              </w:tc>
              <w:tc>
                <w:tcPr>
                  <w:tcW w:w="1997" w:type="dxa"/>
                  <w:shd w:val="clear" w:color="auto" w:fill="auto"/>
                  <w:vAlign w:val="center"/>
                </w:tcPr>
                <w:p w14:paraId="50E42DEE">
                  <w:pPr>
                    <w:keepNext w:val="0"/>
                    <w:keepLines w:val="0"/>
                    <w:widowControl/>
                    <w:suppressLineNumbers w:val="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618" w:type="dxa"/>
                  <w:shd w:val="clear" w:color="auto" w:fill="auto"/>
                  <w:vAlign w:val="center"/>
                </w:tcPr>
                <w:p w14:paraId="008C9E0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0.2363</w:t>
                  </w:r>
                </w:p>
              </w:tc>
            </w:tr>
            <w:tr w14:paraId="2630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54" w:type="pct"/>
                  <w:vMerge w:val="continue"/>
                  <w:shd w:val="clear" w:color="auto" w:fill="auto"/>
                  <w:vAlign w:val="center"/>
                </w:tcPr>
                <w:p w14:paraId="40BA0797">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954" w:type="pct"/>
                  <w:vMerge w:val="continue"/>
                  <w:shd w:val="clear" w:color="auto" w:fill="auto"/>
                  <w:vAlign w:val="center"/>
                </w:tcPr>
                <w:p w14:paraId="3E427EAE">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954" w:type="pct"/>
                  <w:shd w:val="clear" w:color="auto" w:fill="auto"/>
                  <w:vAlign w:val="center"/>
                </w:tcPr>
                <w:p w14:paraId="73559AA4">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vertAlign w:val="baseline"/>
                      <w:lang w:val="en-US" w:eastAsia="zh-CN" w:bidi="ar"/>
                    </w:rPr>
                  </w:pPr>
                  <w:r>
                    <w:rPr>
                      <w:rFonts w:hint="default" w:ascii="Times New Roman" w:hAnsi="Times New Roman" w:cs="Times New Roman"/>
                      <w:i w:val="0"/>
                      <w:iCs w:val="0"/>
                      <w:color w:val="auto"/>
                      <w:kern w:val="0"/>
                      <w:sz w:val="21"/>
                      <w:szCs w:val="21"/>
                      <w:u w:val="none"/>
                      <w:vertAlign w:val="baseline"/>
                      <w:lang w:val="en-US" w:eastAsia="zh-CN" w:bidi="ar"/>
                    </w:rPr>
                    <w:t>TN</w:t>
                  </w:r>
                </w:p>
              </w:tc>
              <w:tc>
                <w:tcPr>
                  <w:tcW w:w="1997" w:type="dxa"/>
                  <w:shd w:val="clear" w:color="auto" w:fill="auto"/>
                  <w:vAlign w:val="center"/>
                </w:tcPr>
                <w:p w14:paraId="1F84E1BC">
                  <w:pPr>
                    <w:keepNext w:val="0"/>
                    <w:keepLines w:val="0"/>
                    <w:widowControl/>
                    <w:suppressLineNumbers w:val="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1618" w:type="dxa"/>
                  <w:shd w:val="clear" w:color="auto" w:fill="auto"/>
                  <w:vAlign w:val="center"/>
                </w:tcPr>
                <w:p w14:paraId="13C9F1F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0.4050</w:t>
                  </w:r>
                </w:p>
              </w:tc>
            </w:tr>
            <w:tr w14:paraId="0B68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54" w:type="pct"/>
                  <w:vMerge w:val="continue"/>
                  <w:shd w:val="clear" w:color="auto" w:fill="auto"/>
                  <w:vAlign w:val="center"/>
                </w:tcPr>
                <w:p w14:paraId="4F3BBA2C">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954" w:type="pct"/>
                  <w:vMerge w:val="continue"/>
                  <w:shd w:val="clear" w:color="auto" w:fill="auto"/>
                  <w:vAlign w:val="center"/>
                </w:tcPr>
                <w:p w14:paraId="0F43A83E">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954" w:type="pct"/>
                  <w:shd w:val="clear" w:color="auto" w:fill="auto"/>
                  <w:vAlign w:val="center"/>
                </w:tcPr>
                <w:p w14:paraId="0B2DA0F5">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vertAlign w:val="baseline"/>
                      <w:lang w:val="en-US" w:eastAsia="zh-CN" w:bidi="ar"/>
                    </w:rPr>
                  </w:pPr>
                  <w:r>
                    <w:rPr>
                      <w:rFonts w:hint="default" w:ascii="Times New Roman" w:hAnsi="Times New Roman" w:cs="Times New Roman"/>
                      <w:i w:val="0"/>
                      <w:iCs w:val="0"/>
                      <w:color w:val="auto"/>
                      <w:kern w:val="0"/>
                      <w:sz w:val="21"/>
                      <w:szCs w:val="21"/>
                      <w:u w:val="none"/>
                      <w:vertAlign w:val="baseline"/>
                      <w:lang w:val="en-US" w:eastAsia="zh-CN" w:bidi="ar"/>
                    </w:rPr>
                    <w:t>TP</w:t>
                  </w:r>
                </w:p>
              </w:tc>
              <w:tc>
                <w:tcPr>
                  <w:tcW w:w="1997" w:type="dxa"/>
                  <w:shd w:val="clear" w:color="auto" w:fill="auto"/>
                  <w:vAlign w:val="center"/>
                </w:tcPr>
                <w:p w14:paraId="67CC928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618" w:type="dxa"/>
                  <w:shd w:val="clear" w:color="auto" w:fill="auto"/>
                  <w:vAlign w:val="center"/>
                </w:tcPr>
                <w:p w14:paraId="4B159AF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0.0338</w:t>
                  </w:r>
                </w:p>
              </w:tc>
            </w:tr>
            <w:tr w14:paraId="5283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54" w:type="pct"/>
                  <w:vMerge w:val="restart"/>
                  <w:shd w:val="clear" w:color="auto" w:fill="auto"/>
                  <w:vAlign w:val="center"/>
                </w:tcPr>
                <w:p w14:paraId="120F73B2">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r>
                    <w:rPr>
                      <w:rFonts w:hint="default" w:ascii="Times New Roman" w:hAnsi="Times New Roman" w:cs="Times New Roman"/>
                      <w:i w:val="0"/>
                      <w:iCs w:val="0"/>
                      <w:color w:val="auto"/>
                      <w:kern w:val="0"/>
                      <w:sz w:val="21"/>
                      <w:szCs w:val="21"/>
                      <w:u w:val="none"/>
                      <w:vertAlign w:val="baseline"/>
                      <w:lang w:val="en-US" w:eastAsia="zh-CN" w:bidi="ar"/>
                    </w:rPr>
                    <w:t>生物除臭装置废水</w:t>
                  </w:r>
                </w:p>
              </w:tc>
              <w:tc>
                <w:tcPr>
                  <w:tcW w:w="954" w:type="pct"/>
                  <w:vMerge w:val="restart"/>
                  <w:shd w:val="clear" w:color="auto" w:fill="auto"/>
                  <w:vAlign w:val="center"/>
                </w:tcPr>
                <w:p w14:paraId="4E55A684">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r>
                    <w:rPr>
                      <w:rFonts w:hint="default" w:ascii="Times New Roman" w:hAnsi="Times New Roman" w:cs="Times New Roman"/>
                      <w:i w:val="0"/>
                      <w:iCs w:val="0"/>
                      <w:color w:val="auto"/>
                      <w:sz w:val="21"/>
                      <w:szCs w:val="21"/>
                      <w:u w:val="none"/>
                      <w:vertAlign w:val="baseline"/>
                      <w:lang w:val="en-US" w:eastAsia="zh-CN"/>
                    </w:rPr>
                    <w:t>165</w:t>
                  </w:r>
                </w:p>
              </w:tc>
              <w:tc>
                <w:tcPr>
                  <w:tcW w:w="954" w:type="pct"/>
                  <w:shd w:val="clear" w:color="auto" w:fill="auto"/>
                  <w:vAlign w:val="center"/>
                </w:tcPr>
                <w:p w14:paraId="0B823C9F">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cs="Times New Roman"/>
                      <w:i w:val="0"/>
                      <w:iCs w:val="0"/>
                      <w:color w:val="auto"/>
                      <w:kern w:val="0"/>
                      <w:sz w:val="21"/>
                      <w:szCs w:val="21"/>
                      <w:u w:val="none"/>
                      <w:vertAlign w:val="baseline"/>
                      <w:lang w:val="en-US" w:eastAsia="zh-CN" w:bidi="ar"/>
                    </w:rPr>
                  </w:pPr>
                  <w:r>
                    <w:rPr>
                      <w:rFonts w:hint="default" w:ascii="Times New Roman" w:hAnsi="Times New Roman" w:eastAsia="宋体" w:cs="Times New Roman"/>
                      <w:i w:val="0"/>
                      <w:iCs w:val="0"/>
                      <w:color w:val="auto"/>
                      <w:kern w:val="0"/>
                      <w:sz w:val="21"/>
                      <w:szCs w:val="21"/>
                      <w:u w:val="none"/>
                      <w:vertAlign w:val="baseline"/>
                      <w:lang w:val="en-US" w:eastAsia="zh-CN" w:bidi="ar"/>
                    </w:rPr>
                    <w:t>COD</w:t>
                  </w:r>
                </w:p>
              </w:tc>
              <w:tc>
                <w:tcPr>
                  <w:tcW w:w="1997" w:type="dxa"/>
                  <w:shd w:val="clear" w:color="auto" w:fill="auto"/>
                  <w:vAlign w:val="center"/>
                </w:tcPr>
                <w:p w14:paraId="26EC13F4">
                  <w:pPr>
                    <w:keepNext w:val="0"/>
                    <w:keepLines w:val="0"/>
                    <w:widowControl/>
                    <w:suppressLineNumbers w:val="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400</w:t>
                  </w:r>
                </w:p>
              </w:tc>
              <w:tc>
                <w:tcPr>
                  <w:tcW w:w="1618" w:type="dxa"/>
                  <w:shd w:val="clear" w:color="auto" w:fill="auto"/>
                  <w:vAlign w:val="center"/>
                </w:tcPr>
                <w:p w14:paraId="7FE8CE8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0.0660</w:t>
                  </w:r>
                </w:p>
              </w:tc>
            </w:tr>
            <w:tr w14:paraId="050B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54" w:type="pct"/>
                  <w:vMerge w:val="continue"/>
                  <w:shd w:val="clear" w:color="auto" w:fill="auto"/>
                  <w:vAlign w:val="center"/>
                </w:tcPr>
                <w:p w14:paraId="1C44DA93">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954" w:type="pct"/>
                  <w:vMerge w:val="continue"/>
                  <w:shd w:val="clear" w:color="auto" w:fill="auto"/>
                  <w:vAlign w:val="center"/>
                </w:tcPr>
                <w:p w14:paraId="524D588C">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954" w:type="pct"/>
                  <w:shd w:val="clear" w:color="auto" w:fill="auto"/>
                  <w:vAlign w:val="center"/>
                </w:tcPr>
                <w:p w14:paraId="738B30DB">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cs="Times New Roman"/>
                      <w:i w:val="0"/>
                      <w:iCs w:val="0"/>
                      <w:color w:val="auto"/>
                      <w:kern w:val="0"/>
                      <w:sz w:val="21"/>
                      <w:szCs w:val="21"/>
                      <w:u w:val="none"/>
                      <w:vertAlign w:val="baseline"/>
                      <w:lang w:val="en-US" w:eastAsia="zh-CN" w:bidi="ar"/>
                    </w:rPr>
                  </w:pPr>
                  <w:r>
                    <w:rPr>
                      <w:rFonts w:hint="default" w:ascii="Times New Roman" w:hAnsi="Times New Roman" w:eastAsia="宋体" w:cs="Times New Roman"/>
                      <w:i w:val="0"/>
                      <w:iCs w:val="0"/>
                      <w:color w:val="auto"/>
                      <w:kern w:val="0"/>
                      <w:sz w:val="21"/>
                      <w:szCs w:val="21"/>
                      <w:u w:val="none"/>
                      <w:vertAlign w:val="baseline"/>
                      <w:lang w:val="en-US" w:eastAsia="zh-CN" w:bidi="ar"/>
                    </w:rPr>
                    <w:t>BOD</w:t>
                  </w:r>
                  <w:r>
                    <w:rPr>
                      <w:rFonts w:hint="default" w:ascii="Times New Roman" w:hAnsi="Times New Roman" w:eastAsia="宋体" w:cs="Times New Roman"/>
                      <w:i w:val="0"/>
                      <w:iCs w:val="0"/>
                      <w:color w:val="auto"/>
                      <w:kern w:val="0"/>
                      <w:sz w:val="21"/>
                      <w:szCs w:val="21"/>
                      <w:u w:val="none"/>
                      <w:vertAlign w:val="subscript"/>
                      <w:lang w:val="en-US" w:eastAsia="zh-CN" w:bidi="ar"/>
                    </w:rPr>
                    <w:t>5</w:t>
                  </w:r>
                </w:p>
              </w:tc>
              <w:tc>
                <w:tcPr>
                  <w:tcW w:w="1997" w:type="dxa"/>
                  <w:shd w:val="clear" w:color="auto" w:fill="auto"/>
                  <w:vAlign w:val="center"/>
                </w:tcPr>
                <w:p w14:paraId="0233934E">
                  <w:pPr>
                    <w:keepNext w:val="0"/>
                    <w:keepLines w:val="0"/>
                    <w:widowControl/>
                    <w:suppressLineNumbers w:val="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1618" w:type="dxa"/>
                  <w:shd w:val="clear" w:color="auto" w:fill="auto"/>
                  <w:vAlign w:val="center"/>
                </w:tcPr>
                <w:p w14:paraId="04C1210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0.0330</w:t>
                  </w:r>
                </w:p>
              </w:tc>
            </w:tr>
            <w:tr w14:paraId="3FBC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54" w:type="pct"/>
                  <w:vMerge w:val="continue"/>
                  <w:shd w:val="clear" w:color="auto" w:fill="auto"/>
                  <w:vAlign w:val="center"/>
                </w:tcPr>
                <w:p w14:paraId="6C7B292A">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954" w:type="pct"/>
                  <w:vMerge w:val="continue"/>
                  <w:shd w:val="clear" w:color="auto" w:fill="auto"/>
                  <w:vAlign w:val="center"/>
                </w:tcPr>
                <w:p w14:paraId="7EF1FDCA">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954" w:type="pct"/>
                  <w:shd w:val="clear" w:color="auto" w:fill="auto"/>
                  <w:vAlign w:val="center"/>
                </w:tcPr>
                <w:p w14:paraId="45542BD6">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cs="Times New Roman"/>
                      <w:i w:val="0"/>
                      <w:iCs w:val="0"/>
                      <w:color w:val="auto"/>
                      <w:kern w:val="0"/>
                      <w:sz w:val="21"/>
                      <w:szCs w:val="21"/>
                      <w:u w:val="none"/>
                      <w:vertAlign w:val="baseline"/>
                      <w:lang w:val="en-US" w:eastAsia="zh-CN" w:bidi="ar"/>
                    </w:rPr>
                  </w:pPr>
                  <w:r>
                    <w:rPr>
                      <w:rFonts w:hint="default" w:ascii="Times New Roman" w:hAnsi="Times New Roman" w:eastAsia="宋体" w:cs="Times New Roman"/>
                      <w:i w:val="0"/>
                      <w:iCs w:val="0"/>
                      <w:color w:val="auto"/>
                      <w:kern w:val="0"/>
                      <w:sz w:val="21"/>
                      <w:szCs w:val="21"/>
                      <w:u w:val="none"/>
                      <w:vertAlign w:val="baseline"/>
                      <w:lang w:val="en-US" w:eastAsia="zh-CN" w:bidi="ar"/>
                    </w:rPr>
                    <w:t>SS</w:t>
                  </w:r>
                </w:p>
              </w:tc>
              <w:tc>
                <w:tcPr>
                  <w:tcW w:w="1997" w:type="dxa"/>
                  <w:shd w:val="clear" w:color="auto" w:fill="auto"/>
                  <w:vAlign w:val="center"/>
                </w:tcPr>
                <w:p w14:paraId="15581B7B">
                  <w:pPr>
                    <w:keepNext w:val="0"/>
                    <w:keepLines w:val="0"/>
                    <w:widowControl/>
                    <w:suppressLineNumbers w:val="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150</w:t>
                  </w:r>
                </w:p>
              </w:tc>
              <w:tc>
                <w:tcPr>
                  <w:tcW w:w="1618" w:type="dxa"/>
                  <w:shd w:val="clear" w:color="auto" w:fill="auto"/>
                  <w:vAlign w:val="center"/>
                </w:tcPr>
                <w:p w14:paraId="22FEE0A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0.0248</w:t>
                  </w:r>
                </w:p>
              </w:tc>
            </w:tr>
            <w:tr w14:paraId="33CCF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54" w:type="pct"/>
                  <w:vMerge w:val="continue"/>
                  <w:shd w:val="clear" w:color="auto" w:fill="auto"/>
                  <w:vAlign w:val="center"/>
                </w:tcPr>
                <w:p w14:paraId="0572C747">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954" w:type="pct"/>
                  <w:vMerge w:val="continue"/>
                  <w:shd w:val="clear" w:color="auto" w:fill="auto"/>
                  <w:vAlign w:val="center"/>
                </w:tcPr>
                <w:p w14:paraId="53B40CD2">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954" w:type="pct"/>
                  <w:shd w:val="clear" w:color="auto" w:fill="auto"/>
                  <w:vAlign w:val="center"/>
                </w:tcPr>
                <w:p w14:paraId="7142E0B7">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cs="Times New Roman"/>
                      <w:i w:val="0"/>
                      <w:iCs w:val="0"/>
                      <w:color w:val="auto"/>
                      <w:kern w:val="0"/>
                      <w:sz w:val="21"/>
                      <w:szCs w:val="21"/>
                      <w:u w:val="none"/>
                      <w:vertAlign w:val="baseline"/>
                      <w:lang w:val="en-US" w:eastAsia="zh-CN" w:bidi="ar"/>
                    </w:rPr>
                  </w:pPr>
                  <w:r>
                    <w:rPr>
                      <w:rFonts w:hint="default" w:ascii="Times New Roman" w:hAnsi="Times New Roman" w:eastAsia="宋体" w:cs="Times New Roman"/>
                      <w:i w:val="0"/>
                      <w:iCs w:val="0"/>
                      <w:color w:val="auto"/>
                      <w:kern w:val="0"/>
                      <w:sz w:val="21"/>
                      <w:szCs w:val="21"/>
                      <w:u w:val="none"/>
                      <w:vertAlign w:val="baseline"/>
                      <w:lang w:val="en-US" w:eastAsia="zh-CN" w:bidi="ar"/>
                    </w:rPr>
                    <w:t>NH</w:t>
                  </w:r>
                  <w:r>
                    <w:rPr>
                      <w:rFonts w:hint="default" w:ascii="Times New Roman" w:hAnsi="Times New Roman" w:eastAsia="宋体" w:cs="Times New Roman"/>
                      <w:i w:val="0"/>
                      <w:iCs w:val="0"/>
                      <w:color w:val="auto"/>
                      <w:kern w:val="0"/>
                      <w:sz w:val="21"/>
                      <w:szCs w:val="21"/>
                      <w:u w:val="none"/>
                      <w:vertAlign w:val="subscript"/>
                      <w:lang w:val="en-US" w:eastAsia="zh-CN" w:bidi="ar"/>
                    </w:rPr>
                    <w:t>3</w:t>
                  </w:r>
                  <w:r>
                    <w:rPr>
                      <w:rFonts w:hint="default" w:ascii="Times New Roman" w:hAnsi="Times New Roman" w:eastAsia="宋体" w:cs="Times New Roman"/>
                      <w:i w:val="0"/>
                      <w:iCs w:val="0"/>
                      <w:color w:val="auto"/>
                      <w:kern w:val="0"/>
                      <w:sz w:val="21"/>
                      <w:szCs w:val="21"/>
                      <w:u w:val="none"/>
                      <w:vertAlign w:val="baseline"/>
                      <w:lang w:val="en-US" w:eastAsia="zh-CN" w:bidi="ar"/>
                    </w:rPr>
                    <w:t>-N</w:t>
                  </w:r>
                </w:p>
              </w:tc>
              <w:tc>
                <w:tcPr>
                  <w:tcW w:w="1997" w:type="dxa"/>
                  <w:shd w:val="clear" w:color="auto" w:fill="auto"/>
                  <w:vAlign w:val="center"/>
                </w:tcPr>
                <w:p w14:paraId="551E3099">
                  <w:pPr>
                    <w:keepNext w:val="0"/>
                    <w:keepLines w:val="0"/>
                    <w:widowControl/>
                    <w:suppressLineNumbers w:val="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1618" w:type="dxa"/>
                  <w:shd w:val="clear" w:color="auto" w:fill="auto"/>
                  <w:vAlign w:val="center"/>
                </w:tcPr>
                <w:p w14:paraId="65125BF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0.0066</w:t>
                  </w:r>
                </w:p>
              </w:tc>
            </w:tr>
            <w:tr w14:paraId="3435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54" w:type="pct"/>
                  <w:vMerge w:val="continue"/>
                  <w:shd w:val="clear" w:color="auto" w:fill="auto"/>
                  <w:vAlign w:val="center"/>
                </w:tcPr>
                <w:p w14:paraId="7A388253">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954" w:type="pct"/>
                  <w:vMerge w:val="continue"/>
                  <w:shd w:val="clear" w:color="auto" w:fill="auto"/>
                  <w:vAlign w:val="center"/>
                </w:tcPr>
                <w:p w14:paraId="40006DF4">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954" w:type="pct"/>
                  <w:shd w:val="clear" w:color="auto" w:fill="auto"/>
                  <w:vAlign w:val="center"/>
                </w:tcPr>
                <w:p w14:paraId="71A01137">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cs="Times New Roman"/>
                      <w:i w:val="0"/>
                      <w:iCs w:val="0"/>
                      <w:color w:val="auto"/>
                      <w:kern w:val="0"/>
                      <w:sz w:val="21"/>
                      <w:szCs w:val="21"/>
                      <w:u w:val="none"/>
                      <w:vertAlign w:val="baseline"/>
                      <w:lang w:val="en-US" w:eastAsia="zh-CN" w:bidi="ar"/>
                    </w:rPr>
                  </w:pPr>
                  <w:r>
                    <w:rPr>
                      <w:rFonts w:hint="default" w:ascii="Times New Roman" w:hAnsi="Times New Roman" w:cs="Times New Roman"/>
                      <w:i w:val="0"/>
                      <w:iCs w:val="0"/>
                      <w:color w:val="auto"/>
                      <w:kern w:val="0"/>
                      <w:sz w:val="21"/>
                      <w:szCs w:val="21"/>
                      <w:u w:val="none"/>
                      <w:vertAlign w:val="baseline"/>
                      <w:lang w:val="en-US" w:eastAsia="zh-CN" w:bidi="ar"/>
                    </w:rPr>
                    <w:t>TN</w:t>
                  </w:r>
                </w:p>
              </w:tc>
              <w:tc>
                <w:tcPr>
                  <w:tcW w:w="1997" w:type="dxa"/>
                  <w:shd w:val="clear" w:color="auto" w:fill="auto"/>
                  <w:vAlign w:val="center"/>
                </w:tcPr>
                <w:p w14:paraId="2430FDC5">
                  <w:pPr>
                    <w:keepNext w:val="0"/>
                    <w:keepLines w:val="0"/>
                    <w:widowControl/>
                    <w:suppressLineNumbers w:val="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1618" w:type="dxa"/>
                  <w:shd w:val="clear" w:color="auto" w:fill="auto"/>
                  <w:vAlign w:val="center"/>
                </w:tcPr>
                <w:p w14:paraId="6A3CEF2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0.0083</w:t>
                  </w:r>
                </w:p>
              </w:tc>
            </w:tr>
            <w:tr w14:paraId="3F547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54" w:type="pct"/>
                  <w:vMerge w:val="continue"/>
                  <w:shd w:val="clear" w:color="auto" w:fill="auto"/>
                  <w:vAlign w:val="center"/>
                </w:tcPr>
                <w:p w14:paraId="7D45DC4D">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954" w:type="pct"/>
                  <w:vMerge w:val="continue"/>
                  <w:shd w:val="clear" w:color="auto" w:fill="auto"/>
                  <w:vAlign w:val="center"/>
                </w:tcPr>
                <w:p w14:paraId="318C2C75">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954" w:type="pct"/>
                  <w:shd w:val="clear" w:color="auto" w:fill="auto"/>
                  <w:vAlign w:val="center"/>
                </w:tcPr>
                <w:p w14:paraId="713F96B6">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cs="Times New Roman"/>
                      <w:i w:val="0"/>
                      <w:iCs w:val="0"/>
                      <w:color w:val="auto"/>
                      <w:kern w:val="0"/>
                      <w:sz w:val="21"/>
                      <w:szCs w:val="21"/>
                      <w:u w:val="none"/>
                      <w:vertAlign w:val="baseline"/>
                      <w:lang w:val="en-US" w:eastAsia="zh-CN" w:bidi="ar"/>
                    </w:rPr>
                  </w:pPr>
                  <w:r>
                    <w:rPr>
                      <w:rFonts w:hint="default" w:ascii="Times New Roman" w:hAnsi="Times New Roman" w:cs="Times New Roman"/>
                      <w:i w:val="0"/>
                      <w:iCs w:val="0"/>
                      <w:color w:val="auto"/>
                      <w:kern w:val="0"/>
                      <w:sz w:val="21"/>
                      <w:szCs w:val="21"/>
                      <w:u w:val="none"/>
                      <w:vertAlign w:val="baseline"/>
                      <w:lang w:val="en-US" w:eastAsia="zh-CN" w:bidi="ar"/>
                    </w:rPr>
                    <w:t>TP</w:t>
                  </w:r>
                </w:p>
              </w:tc>
              <w:tc>
                <w:tcPr>
                  <w:tcW w:w="1997" w:type="dxa"/>
                  <w:shd w:val="clear" w:color="auto" w:fill="auto"/>
                  <w:vAlign w:val="center"/>
                </w:tcPr>
                <w:p w14:paraId="38549CA7">
                  <w:pPr>
                    <w:keepNext w:val="0"/>
                    <w:keepLines w:val="0"/>
                    <w:widowControl/>
                    <w:suppressLineNumbers w:val="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618" w:type="dxa"/>
                  <w:shd w:val="clear" w:color="auto" w:fill="auto"/>
                  <w:vAlign w:val="center"/>
                </w:tcPr>
                <w:p w14:paraId="186CCBB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0.0007</w:t>
                  </w:r>
                </w:p>
              </w:tc>
            </w:tr>
            <w:tr w14:paraId="0B40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54" w:type="pct"/>
                  <w:vMerge w:val="continue"/>
                  <w:shd w:val="clear" w:color="auto" w:fill="auto"/>
                  <w:vAlign w:val="center"/>
                </w:tcPr>
                <w:p w14:paraId="0E9A59E9">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954" w:type="pct"/>
                  <w:vMerge w:val="continue"/>
                  <w:shd w:val="clear" w:color="auto" w:fill="auto"/>
                  <w:vAlign w:val="center"/>
                </w:tcPr>
                <w:p w14:paraId="0A87BEA7">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i w:val="0"/>
                      <w:iCs w:val="0"/>
                      <w:color w:val="auto"/>
                      <w:sz w:val="21"/>
                      <w:szCs w:val="21"/>
                      <w:u w:val="none"/>
                      <w:vertAlign w:val="baseline"/>
                      <w:lang w:val="en-US" w:eastAsia="zh-CN"/>
                    </w:rPr>
                  </w:pPr>
                </w:p>
              </w:tc>
              <w:tc>
                <w:tcPr>
                  <w:tcW w:w="954" w:type="pct"/>
                  <w:shd w:val="clear" w:color="auto" w:fill="auto"/>
                  <w:vAlign w:val="center"/>
                </w:tcPr>
                <w:p w14:paraId="795391A0">
                  <w:pPr>
                    <w:keepNext w:val="0"/>
                    <w:keepLines w:val="0"/>
                    <w:widowControl/>
                    <w:suppressLineNumbers w:val="0"/>
                    <w:jc w:val="center"/>
                    <w:textAlignment w:val="center"/>
                    <w:rPr>
                      <w:rFonts w:hint="default" w:ascii="Times New Roman" w:hAnsi="Times New Roman" w:cs="Times New Roman"/>
                      <w:i w:val="0"/>
                      <w:iCs w:val="0"/>
                      <w:color w:val="auto"/>
                      <w:kern w:val="0"/>
                      <w:sz w:val="21"/>
                      <w:szCs w:val="21"/>
                      <w:u w:val="none"/>
                      <w:vertAlign w:val="baseli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全盐量</w:t>
                  </w:r>
                </w:p>
              </w:tc>
              <w:tc>
                <w:tcPr>
                  <w:tcW w:w="1997" w:type="dxa"/>
                  <w:shd w:val="clear" w:color="auto" w:fill="auto"/>
                  <w:vAlign w:val="center"/>
                </w:tcPr>
                <w:p w14:paraId="55FEA236">
                  <w:pPr>
                    <w:keepNext w:val="0"/>
                    <w:keepLines w:val="0"/>
                    <w:widowControl/>
                    <w:suppressLineNumbers w:val="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500</w:t>
                  </w:r>
                </w:p>
              </w:tc>
              <w:tc>
                <w:tcPr>
                  <w:tcW w:w="1618" w:type="dxa"/>
                  <w:shd w:val="clear" w:color="auto" w:fill="auto"/>
                  <w:vAlign w:val="center"/>
                </w:tcPr>
                <w:p w14:paraId="3504A08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0.0825</w:t>
                  </w:r>
                </w:p>
              </w:tc>
            </w:tr>
            <w:tr w14:paraId="135A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54" w:type="pct"/>
                  <w:vMerge w:val="restart"/>
                  <w:shd w:val="clear" w:color="auto" w:fill="auto"/>
                  <w:vAlign w:val="center"/>
                </w:tcPr>
                <w:p w14:paraId="2EC2D32D">
                  <w:pPr>
                    <w:jc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b w:val="0"/>
                      <w:bCs w:val="0"/>
                      <w:i w:val="0"/>
                      <w:iCs w:val="0"/>
                      <w:color w:val="auto"/>
                      <w:sz w:val="21"/>
                      <w:szCs w:val="21"/>
                      <w:u w:val="none"/>
                      <w:lang w:val="en-US" w:eastAsia="zh-CN"/>
                    </w:rPr>
                    <w:t>进入厂区污水处理站综合废水</w:t>
                  </w:r>
                </w:p>
              </w:tc>
              <w:tc>
                <w:tcPr>
                  <w:tcW w:w="954" w:type="pct"/>
                  <w:vMerge w:val="restart"/>
                  <w:shd w:val="clear" w:color="auto" w:fill="auto"/>
                  <w:vAlign w:val="center"/>
                </w:tcPr>
                <w:p w14:paraId="3176A15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sz w:val="21"/>
                      <w:szCs w:val="21"/>
                      <w:u w:val="none"/>
                      <w:vertAlign w:val="baseline"/>
                      <w:lang w:val="en-US" w:eastAsia="zh-CN"/>
                    </w:rPr>
                    <w:t>6915</w:t>
                  </w:r>
                </w:p>
              </w:tc>
              <w:tc>
                <w:tcPr>
                  <w:tcW w:w="1880" w:type="dxa"/>
                  <w:shd w:val="clear" w:color="auto" w:fill="auto"/>
                  <w:vAlign w:val="center"/>
                </w:tcPr>
                <w:p w14:paraId="11AF17C3">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vertAlign w:val="baseline"/>
                      <w:lang w:val="en-US" w:eastAsia="zh-CN" w:bidi="ar"/>
                    </w:rPr>
                    <w:t>COD</w:t>
                  </w:r>
                </w:p>
              </w:tc>
              <w:tc>
                <w:tcPr>
                  <w:tcW w:w="2326" w:type="dxa"/>
                  <w:shd w:val="clear" w:color="auto" w:fill="auto"/>
                  <w:vAlign w:val="center"/>
                </w:tcPr>
                <w:p w14:paraId="36023FC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420</w:t>
                  </w:r>
                </w:p>
              </w:tc>
              <w:tc>
                <w:tcPr>
                  <w:tcW w:w="1884" w:type="dxa"/>
                  <w:shd w:val="clear" w:color="auto" w:fill="auto"/>
                  <w:vAlign w:val="center"/>
                </w:tcPr>
                <w:p w14:paraId="14591C2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2.9010</w:t>
                  </w:r>
                </w:p>
              </w:tc>
            </w:tr>
            <w:tr w14:paraId="53BE3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54" w:type="pct"/>
                  <w:vMerge w:val="continue"/>
                  <w:shd w:val="clear" w:color="auto" w:fill="auto"/>
                  <w:vAlign w:val="center"/>
                </w:tcPr>
                <w:p w14:paraId="02425754">
                  <w:pPr>
                    <w:jc w:val="center"/>
                    <w:rPr>
                      <w:rFonts w:hint="default" w:ascii="Times New Roman" w:hAnsi="Times New Roman" w:cs="Times New Roman"/>
                      <w:b w:val="0"/>
                      <w:bCs w:val="0"/>
                      <w:i w:val="0"/>
                      <w:iCs w:val="0"/>
                      <w:color w:val="auto"/>
                      <w:sz w:val="21"/>
                      <w:szCs w:val="21"/>
                      <w:u w:val="none"/>
                      <w:lang w:val="en-US" w:eastAsia="zh-CN"/>
                    </w:rPr>
                  </w:pPr>
                </w:p>
              </w:tc>
              <w:tc>
                <w:tcPr>
                  <w:tcW w:w="954" w:type="pct"/>
                  <w:vMerge w:val="continue"/>
                  <w:shd w:val="clear" w:color="auto" w:fill="auto"/>
                  <w:vAlign w:val="center"/>
                </w:tcPr>
                <w:p w14:paraId="2041FE83">
                  <w:pPr>
                    <w:keepNext w:val="0"/>
                    <w:keepLines w:val="0"/>
                    <w:widowControl/>
                    <w:suppressLineNumbers w:val="0"/>
                    <w:jc w:val="center"/>
                    <w:textAlignment w:val="center"/>
                    <w:rPr>
                      <w:rFonts w:hint="default" w:ascii="Times New Roman" w:hAnsi="Times New Roman" w:cs="Times New Roman"/>
                      <w:i w:val="0"/>
                      <w:iCs w:val="0"/>
                      <w:color w:val="auto"/>
                      <w:sz w:val="21"/>
                      <w:szCs w:val="21"/>
                      <w:u w:val="none"/>
                      <w:vertAlign w:val="baseline"/>
                      <w:lang w:val="en-US" w:eastAsia="zh-CN"/>
                    </w:rPr>
                  </w:pPr>
                </w:p>
              </w:tc>
              <w:tc>
                <w:tcPr>
                  <w:tcW w:w="1880" w:type="dxa"/>
                  <w:shd w:val="clear" w:color="auto" w:fill="auto"/>
                  <w:vAlign w:val="center"/>
                </w:tcPr>
                <w:p w14:paraId="1EC41B70">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vertAlign w:val="baseline"/>
                      <w:lang w:val="en-US" w:eastAsia="zh-CN" w:bidi="ar"/>
                    </w:rPr>
                  </w:pPr>
                  <w:r>
                    <w:rPr>
                      <w:rFonts w:hint="default" w:ascii="Times New Roman" w:hAnsi="Times New Roman" w:eastAsia="宋体" w:cs="Times New Roman"/>
                      <w:i w:val="0"/>
                      <w:iCs w:val="0"/>
                      <w:color w:val="auto"/>
                      <w:kern w:val="0"/>
                      <w:sz w:val="21"/>
                      <w:szCs w:val="21"/>
                      <w:u w:val="none"/>
                      <w:vertAlign w:val="baseline"/>
                      <w:lang w:val="en-US" w:eastAsia="zh-CN" w:bidi="ar"/>
                    </w:rPr>
                    <w:t>BOD</w:t>
                  </w:r>
                  <w:r>
                    <w:rPr>
                      <w:rFonts w:hint="default" w:ascii="Times New Roman" w:hAnsi="Times New Roman" w:eastAsia="宋体" w:cs="Times New Roman"/>
                      <w:i w:val="0"/>
                      <w:iCs w:val="0"/>
                      <w:color w:val="auto"/>
                      <w:kern w:val="0"/>
                      <w:sz w:val="21"/>
                      <w:szCs w:val="21"/>
                      <w:u w:val="none"/>
                      <w:vertAlign w:val="subscript"/>
                      <w:lang w:val="en-US" w:eastAsia="zh-CN" w:bidi="ar"/>
                    </w:rPr>
                    <w:t>5</w:t>
                  </w:r>
                </w:p>
              </w:tc>
              <w:tc>
                <w:tcPr>
                  <w:tcW w:w="2326" w:type="dxa"/>
                  <w:shd w:val="clear" w:color="auto" w:fill="auto"/>
                  <w:vAlign w:val="center"/>
                </w:tcPr>
                <w:p w14:paraId="7955F868">
                  <w:pPr>
                    <w:keepNext w:val="0"/>
                    <w:keepLines w:val="0"/>
                    <w:widowControl/>
                    <w:suppressLineNumbers w:val="0"/>
                    <w:jc w:val="center"/>
                    <w:textAlignment w:val="center"/>
                    <w:rPr>
                      <w:rFonts w:hint="default" w:ascii="Times New Roman" w:hAnsi="Times New Roman"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171</w:t>
                  </w:r>
                </w:p>
              </w:tc>
              <w:tc>
                <w:tcPr>
                  <w:tcW w:w="1884" w:type="dxa"/>
                  <w:shd w:val="clear" w:color="auto" w:fill="auto"/>
                  <w:vAlign w:val="center"/>
                </w:tcPr>
                <w:p w14:paraId="3E77DFD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1.1805</w:t>
                  </w:r>
                </w:p>
              </w:tc>
            </w:tr>
            <w:tr w14:paraId="3889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54" w:type="pct"/>
                  <w:vMerge w:val="continue"/>
                  <w:shd w:val="clear" w:color="auto" w:fill="auto"/>
                  <w:vAlign w:val="center"/>
                </w:tcPr>
                <w:p w14:paraId="6D63E408">
                  <w:pPr>
                    <w:jc w:val="center"/>
                    <w:rPr>
                      <w:rFonts w:hint="default" w:ascii="Times New Roman" w:hAnsi="Times New Roman" w:cs="Times New Roman"/>
                      <w:b w:val="0"/>
                      <w:bCs w:val="0"/>
                      <w:i w:val="0"/>
                      <w:iCs w:val="0"/>
                      <w:color w:val="auto"/>
                      <w:sz w:val="21"/>
                      <w:szCs w:val="21"/>
                      <w:u w:val="none"/>
                      <w:lang w:val="en-US" w:eastAsia="zh-CN"/>
                    </w:rPr>
                  </w:pPr>
                </w:p>
              </w:tc>
              <w:tc>
                <w:tcPr>
                  <w:tcW w:w="954" w:type="pct"/>
                  <w:vMerge w:val="continue"/>
                  <w:shd w:val="clear" w:color="auto" w:fill="auto"/>
                  <w:vAlign w:val="center"/>
                </w:tcPr>
                <w:p w14:paraId="3B1A972A">
                  <w:pPr>
                    <w:keepNext w:val="0"/>
                    <w:keepLines w:val="0"/>
                    <w:widowControl/>
                    <w:suppressLineNumbers w:val="0"/>
                    <w:jc w:val="center"/>
                    <w:textAlignment w:val="center"/>
                    <w:rPr>
                      <w:rFonts w:hint="default" w:ascii="Times New Roman" w:hAnsi="Times New Roman" w:cs="Times New Roman"/>
                      <w:i w:val="0"/>
                      <w:iCs w:val="0"/>
                      <w:color w:val="auto"/>
                      <w:sz w:val="21"/>
                      <w:szCs w:val="21"/>
                      <w:u w:val="none"/>
                      <w:vertAlign w:val="baseline"/>
                      <w:lang w:val="en-US" w:eastAsia="zh-CN"/>
                    </w:rPr>
                  </w:pPr>
                </w:p>
              </w:tc>
              <w:tc>
                <w:tcPr>
                  <w:tcW w:w="1880" w:type="dxa"/>
                  <w:shd w:val="clear" w:color="auto" w:fill="auto"/>
                  <w:vAlign w:val="center"/>
                </w:tcPr>
                <w:p w14:paraId="4A5AC361">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vertAlign w:val="baseline"/>
                      <w:lang w:val="en-US" w:eastAsia="zh-CN" w:bidi="ar"/>
                    </w:rPr>
                  </w:pPr>
                  <w:r>
                    <w:rPr>
                      <w:rFonts w:hint="default" w:ascii="Times New Roman" w:hAnsi="Times New Roman" w:eastAsia="宋体" w:cs="Times New Roman"/>
                      <w:i w:val="0"/>
                      <w:iCs w:val="0"/>
                      <w:color w:val="auto"/>
                      <w:kern w:val="0"/>
                      <w:sz w:val="21"/>
                      <w:szCs w:val="21"/>
                      <w:u w:val="none"/>
                      <w:vertAlign w:val="baseline"/>
                      <w:lang w:val="en-US" w:eastAsia="zh-CN" w:bidi="ar"/>
                    </w:rPr>
                    <w:t>SS</w:t>
                  </w:r>
                </w:p>
              </w:tc>
              <w:tc>
                <w:tcPr>
                  <w:tcW w:w="2326" w:type="dxa"/>
                  <w:shd w:val="clear" w:color="auto" w:fill="auto"/>
                  <w:vAlign w:val="center"/>
                </w:tcPr>
                <w:p w14:paraId="73C0A596">
                  <w:pPr>
                    <w:keepNext w:val="0"/>
                    <w:keepLines w:val="0"/>
                    <w:widowControl/>
                    <w:suppressLineNumbers w:val="0"/>
                    <w:jc w:val="center"/>
                    <w:textAlignment w:val="center"/>
                    <w:rPr>
                      <w:rFonts w:hint="default" w:ascii="Times New Roman" w:hAnsi="Times New Roman"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209</w:t>
                  </w:r>
                </w:p>
              </w:tc>
              <w:tc>
                <w:tcPr>
                  <w:tcW w:w="1884" w:type="dxa"/>
                  <w:shd w:val="clear" w:color="auto" w:fill="auto"/>
                  <w:vAlign w:val="center"/>
                </w:tcPr>
                <w:p w14:paraId="11CECA1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1.4423</w:t>
                  </w:r>
                </w:p>
              </w:tc>
            </w:tr>
            <w:tr w14:paraId="1E19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54" w:type="pct"/>
                  <w:vMerge w:val="continue"/>
                  <w:shd w:val="clear" w:color="auto" w:fill="auto"/>
                  <w:vAlign w:val="center"/>
                </w:tcPr>
                <w:p w14:paraId="178124A7">
                  <w:pPr>
                    <w:jc w:val="center"/>
                    <w:rPr>
                      <w:rFonts w:hint="default" w:ascii="Times New Roman" w:hAnsi="Times New Roman" w:cs="Times New Roman"/>
                      <w:b w:val="0"/>
                      <w:bCs w:val="0"/>
                      <w:i w:val="0"/>
                      <w:iCs w:val="0"/>
                      <w:color w:val="auto"/>
                      <w:sz w:val="21"/>
                      <w:szCs w:val="21"/>
                      <w:u w:val="none"/>
                      <w:lang w:val="en-US" w:eastAsia="zh-CN"/>
                    </w:rPr>
                  </w:pPr>
                </w:p>
              </w:tc>
              <w:tc>
                <w:tcPr>
                  <w:tcW w:w="954" w:type="pct"/>
                  <w:vMerge w:val="continue"/>
                  <w:shd w:val="clear" w:color="auto" w:fill="auto"/>
                  <w:vAlign w:val="center"/>
                </w:tcPr>
                <w:p w14:paraId="2ADBB3B3">
                  <w:pPr>
                    <w:keepNext w:val="0"/>
                    <w:keepLines w:val="0"/>
                    <w:widowControl/>
                    <w:suppressLineNumbers w:val="0"/>
                    <w:jc w:val="center"/>
                    <w:textAlignment w:val="center"/>
                    <w:rPr>
                      <w:rFonts w:hint="default" w:ascii="Times New Roman" w:hAnsi="Times New Roman" w:cs="Times New Roman"/>
                      <w:i w:val="0"/>
                      <w:iCs w:val="0"/>
                      <w:color w:val="auto"/>
                      <w:sz w:val="21"/>
                      <w:szCs w:val="21"/>
                      <w:u w:val="none"/>
                      <w:vertAlign w:val="baseline"/>
                      <w:lang w:val="en-US" w:eastAsia="zh-CN"/>
                    </w:rPr>
                  </w:pPr>
                </w:p>
              </w:tc>
              <w:tc>
                <w:tcPr>
                  <w:tcW w:w="1880" w:type="dxa"/>
                  <w:shd w:val="clear" w:color="auto" w:fill="auto"/>
                  <w:vAlign w:val="center"/>
                </w:tcPr>
                <w:p w14:paraId="0D01FB90">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vertAlign w:val="baseline"/>
                      <w:lang w:val="en-US" w:eastAsia="zh-CN" w:bidi="ar"/>
                    </w:rPr>
                  </w:pPr>
                  <w:r>
                    <w:rPr>
                      <w:rFonts w:hint="default" w:ascii="Times New Roman" w:hAnsi="Times New Roman" w:eastAsia="宋体" w:cs="Times New Roman"/>
                      <w:i w:val="0"/>
                      <w:iCs w:val="0"/>
                      <w:color w:val="auto"/>
                      <w:kern w:val="0"/>
                      <w:sz w:val="21"/>
                      <w:szCs w:val="21"/>
                      <w:u w:val="none"/>
                      <w:vertAlign w:val="baseline"/>
                      <w:lang w:val="en-US" w:eastAsia="zh-CN" w:bidi="ar"/>
                    </w:rPr>
                    <w:t>NH</w:t>
                  </w:r>
                  <w:r>
                    <w:rPr>
                      <w:rFonts w:hint="default" w:ascii="Times New Roman" w:hAnsi="Times New Roman" w:eastAsia="宋体" w:cs="Times New Roman"/>
                      <w:i w:val="0"/>
                      <w:iCs w:val="0"/>
                      <w:color w:val="auto"/>
                      <w:kern w:val="0"/>
                      <w:sz w:val="21"/>
                      <w:szCs w:val="21"/>
                      <w:u w:val="none"/>
                      <w:vertAlign w:val="subscript"/>
                      <w:lang w:val="en-US" w:eastAsia="zh-CN" w:bidi="ar"/>
                    </w:rPr>
                    <w:t>3</w:t>
                  </w:r>
                  <w:r>
                    <w:rPr>
                      <w:rFonts w:hint="default" w:ascii="Times New Roman" w:hAnsi="Times New Roman" w:eastAsia="宋体" w:cs="Times New Roman"/>
                      <w:i w:val="0"/>
                      <w:iCs w:val="0"/>
                      <w:color w:val="auto"/>
                      <w:kern w:val="0"/>
                      <w:sz w:val="21"/>
                      <w:szCs w:val="21"/>
                      <w:u w:val="none"/>
                      <w:vertAlign w:val="baseline"/>
                      <w:lang w:val="en-US" w:eastAsia="zh-CN" w:bidi="ar"/>
                    </w:rPr>
                    <w:t>-N</w:t>
                  </w:r>
                </w:p>
              </w:tc>
              <w:tc>
                <w:tcPr>
                  <w:tcW w:w="2326" w:type="dxa"/>
                  <w:shd w:val="clear" w:color="auto" w:fill="auto"/>
                  <w:vAlign w:val="center"/>
                </w:tcPr>
                <w:p w14:paraId="16BA14DE">
                  <w:pPr>
                    <w:keepNext w:val="0"/>
                    <w:keepLines w:val="0"/>
                    <w:widowControl/>
                    <w:suppressLineNumbers w:val="0"/>
                    <w:jc w:val="center"/>
                    <w:textAlignment w:val="center"/>
                    <w:rPr>
                      <w:rFonts w:hint="default" w:ascii="Times New Roman" w:hAnsi="Times New Roman"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884" w:type="dxa"/>
                  <w:shd w:val="clear" w:color="auto" w:fill="auto"/>
                  <w:vAlign w:val="center"/>
                </w:tcPr>
                <w:p w14:paraId="430DD9C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0.2429</w:t>
                  </w:r>
                </w:p>
              </w:tc>
            </w:tr>
            <w:tr w14:paraId="61A4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54" w:type="pct"/>
                  <w:vMerge w:val="continue"/>
                  <w:shd w:val="clear" w:color="auto" w:fill="auto"/>
                  <w:vAlign w:val="center"/>
                </w:tcPr>
                <w:p w14:paraId="2D48024B">
                  <w:pPr>
                    <w:jc w:val="center"/>
                    <w:rPr>
                      <w:rFonts w:hint="default" w:ascii="Times New Roman" w:hAnsi="Times New Roman" w:cs="Times New Roman"/>
                      <w:b w:val="0"/>
                      <w:bCs w:val="0"/>
                      <w:i w:val="0"/>
                      <w:iCs w:val="0"/>
                      <w:color w:val="auto"/>
                      <w:sz w:val="21"/>
                      <w:szCs w:val="21"/>
                      <w:u w:val="none"/>
                      <w:lang w:val="en-US" w:eastAsia="zh-CN"/>
                    </w:rPr>
                  </w:pPr>
                </w:p>
              </w:tc>
              <w:tc>
                <w:tcPr>
                  <w:tcW w:w="954" w:type="pct"/>
                  <w:vMerge w:val="continue"/>
                  <w:shd w:val="clear" w:color="auto" w:fill="auto"/>
                  <w:vAlign w:val="center"/>
                </w:tcPr>
                <w:p w14:paraId="64EE5DB4">
                  <w:pPr>
                    <w:keepNext w:val="0"/>
                    <w:keepLines w:val="0"/>
                    <w:widowControl/>
                    <w:suppressLineNumbers w:val="0"/>
                    <w:jc w:val="center"/>
                    <w:textAlignment w:val="center"/>
                    <w:rPr>
                      <w:rFonts w:hint="default" w:ascii="Times New Roman" w:hAnsi="Times New Roman" w:cs="Times New Roman"/>
                      <w:i w:val="0"/>
                      <w:iCs w:val="0"/>
                      <w:color w:val="auto"/>
                      <w:sz w:val="21"/>
                      <w:szCs w:val="21"/>
                      <w:u w:val="none"/>
                      <w:vertAlign w:val="baseline"/>
                      <w:lang w:val="en-US" w:eastAsia="zh-CN"/>
                    </w:rPr>
                  </w:pPr>
                </w:p>
              </w:tc>
              <w:tc>
                <w:tcPr>
                  <w:tcW w:w="1880" w:type="dxa"/>
                  <w:shd w:val="clear" w:color="auto" w:fill="auto"/>
                  <w:vAlign w:val="center"/>
                </w:tcPr>
                <w:p w14:paraId="6528E91F">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vertAlign w:val="baseline"/>
                      <w:lang w:val="en-US" w:eastAsia="zh-CN" w:bidi="ar"/>
                    </w:rPr>
                  </w:pPr>
                  <w:r>
                    <w:rPr>
                      <w:rFonts w:hint="default" w:ascii="Times New Roman" w:hAnsi="Times New Roman" w:cs="Times New Roman"/>
                      <w:i w:val="0"/>
                      <w:iCs w:val="0"/>
                      <w:color w:val="auto"/>
                      <w:kern w:val="0"/>
                      <w:sz w:val="21"/>
                      <w:szCs w:val="21"/>
                      <w:u w:val="none"/>
                      <w:vertAlign w:val="baseline"/>
                      <w:lang w:val="en-US" w:eastAsia="zh-CN" w:bidi="ar"/>
                    </w:rPr>
                    <w:t>TN</w:t>
                  </w:r>
                </w:p>
              </w:tc>
              <w:tc>
                <w:tcPr>
                  <w:tcW w:w="2326" w:type="dxa"/>
                  <w:shd w:val="clear" w:color="auto" w:fill="auto"/>
                  <w:vAlign w:val="center"/>
                </w:tcPr>
                <w:p w14:paraId="2F0C91A9">
                  <w:pPr>
                    <w:keepNext w:val="0"/>
                    <w:keepLines w:val="0"/>
                    <w:widowControl/>
                    <w:suppressLineNumbers w:val="0"/>
                    <w:jc w:val="center"/>
                    <w:textAlignment w:val="center"/>
                    <w:rPr>
                      <w:rFonts w:hint="default" w:ascii="Times New Roman" w:hAnsi="Times New Roman"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1884" w:type="dxa"/>
                  <w:shd w:val="clear" w:color="auto" w:fill="auto"/>
                  <w:vAlign w:val="center"/>
                </w:tcPr>
                <w:p w14:paraId="64A8741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0.4133</w:t>
                  </w:r>
                </w:p>
              </w:tc>
            </w:tr>
            <w:tr w14:paraId="2CF7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54" w:type="pct"/>
                  <w:vMerge w:val="continue"/>
                  <w:shd w:val="clear" w:color="auto" w:fill="auto"/>
                  <w:vAlign w:val="center"/>
                </w:tcPr>
                <w:p w14:paraId="1FA874AE">
                  <w:pPr>
                    <w:jc w:val="center"/>
                    <w:rPr>
                      <w:rFonts w:hint="default" w:ascii="Times New Roman" w:hAnsi="Times New Roman" w:cs="Times New Roman"/>
                      <w:b w:val="0"/>
                      <w:bCs w:val="0"/>
                      <w:i w:val="0"/>
                      <w:iCs w:val="0"/>
                      <w:color w:val="auto"/>
                      <w:sz w:val="21"/>
                      <w:szCs w:val="21"/>
                      <w:u w:val="none"/>
                      <w:lang w:val="en-US" w:eastAsia="zh-CN"/>
                    </w:rPr>
                  </w:pPr>
                </w:p>
              </w:tc>
              <w:tc>
                <w:tcPr>
                  <w:tcW w:w="954" w:type="pct"/>
                  <w:vMerge w:val="continue"/>
                  <w:shd w:val="clear" w:color="auto" w:fill="auto"/>
                  <w:vAlign w:val="center"/>
                </w:tcPr>
                <w:p w14:paraId="78B3B90D">
                  <w:pPr>
                    <w:keepNext w:val="0"/>
                    <w:keepLines w:val="0"/>
                    <w:widowControl/>
                    <w:suppressLineNumbers w:val="0"/>
                    <w:jc w:val="center"/>
                    <w:textAlignment w:val="center"/>
                    <w:rPr>
                      <w:rFonts w:hint="default" w:ascii="Times New Roman" w:hAnsi="Times New Roman" w:cs="Times New Roman"/>
                      <w:i w:val="0"/>
                      <w:iCs w:val="0"/>
                      <w:color w:val="auto"/>
                      <w:sz w:val="21"/>
                      <w:szCs w:val="21"/>
                      <w:u w:val="none"/>
                      <w:vertAlign w:val="baseline"/>
                      <w:lang w:val="en-US" w:eastAsia="zh-CN"/>
                    </w:rPr>
                  </w:pPr>
                </w:p>
              </w:tc>
              <w:tc>
                <w:tcPr>
                  <w:tcW w:w="1880" w:type="dxa"/>
                  <w:shd w:val="clear" w:color="auto" w:fill="auto"/>
                  <w:vAlign w:val="center"/>
                </w:tcPr>
                <w:p w14:paraId="55663E2E">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vertAlign w:val="baseline"/>
                      <w:lang w:val="en-US" w:eastAsia="zh-CN" w:bidi="ar"/>
                    </w:rPr>
                  </w:pPr>
                  <w:r>
                    <w:rPr>
                      <w:rFonts w:hint="default" w:ascii="Times New Roman" w:hAnsi="Times New Roman" w:cs="Times New Roman"/>
                      <w:i w:val="0"/>
                      <w:iCs w:val="0"/>
                      <w:color w:val="auto"/>
                      <w:kern w:val="0"/>
                      <w:sz w:val="21"/>
                      <w:szCs w:val="21"/>
                      <w:u w:val="none"/>
                      <w:vertAlign w:val="baseline"/>
                      <w:lang w:val="en-US" w:eastAsia="zh-CN" w:bidi="ar"/>
                    </w:rPr>
                    <w:t>TP</w:t>
                  </w:r>
                </w:p>
              </w:tc>
              <w:tc>
                <w:tcPr>
                  <w:tcW w:w="2326" w:type="dxa"/>
                  <w:shd w:val="clear" w:color="auto" w:fill="auto"/>
                  <w:vAlign w:val="center"/>
                </w:tcPr>
                <w:p w14:paraId="4373D2A7">
                  <w:pPr>
                    <w:keepNext w:val="0"/>
                    <w:keepLines w:val="0"/>
                    <w:widowControl/>
                    <w:suppressLineNumbers w:val="0"/>
                    <w:jc w:val="center"/>
                    <w:textAlignment w:val="center"/>
                    <w:rPr>
                      <w:rFonts w:hint="default" w:ascii="Times New Roman" w:hAnsi="Times New Roman"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884" w:type="dxa"/>
                  <w:shd w:val="clear" w:color="auto" w:fill="auto"/>
                  <w:vAlign w:val="center"/>
                </w:tcPr>
                <w:p w14:paraId="0465A08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0.0344</w:t>
                  </w:r>
                </w:p>
              </w:tc>
            </w:tr>
            <w:tr w14:paraId="35BD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54" w:type="pct"/>
                  <w:vMerge w:val="continue"/>
                  <w:shd w:val="clear" w:color="auto" w:fill="auto"/>
                  <w:vAlign w:val="center"/>
                </w:tcPr>
                <w:p w14:paraId="2A215E79">
                  <w:pPr>
                    <w:jc w:val="center"/>
                    <w:rPr>
                      <w:rFonts w:hint="default" w:ascii="Times New Roman" w:hAnsi="Times New Roman" w:eastAsia="宋体" w:cs="Times New Roman"/>
                      <w:i w:val="0"/>
                      <w:iCs w:val="0"/>
                      <w:color w:val="auto"/>
                      <w:sz w:val="21"/>
                      <w:szCs w:val="21"/>
                      <w:u w:val="none"/>
                    </w:rPr>
                  </w:pPr>
                </w:p>
              </w:tc>
              <w:tc>
                <w:tcPr>
                  <w:tcW w:w="954" w:type="pct"/>
                  <w:vMerge w:val="continue"/>
                  <w:shd w:val="clear" w:color="auto" w:fill="auto"/>
                  <w:vAlign w:val="center"/>
                </w:tcPr>
                <w:p w14:paraId="5F3E3185">
                  <w:pPr>
                    <w:jc w:val="center"/>
                    <w:rPr>
                      <w:rFonts w:hint="default" w:ascii="Times New Roman" w:hAnsi="Times New Roman" w:eastAsia="宋体" w:cs="Times New Roman"/>
                      <w:i w:val="0"/>
                      <w:iCs w:val="0"/>
                      <w:color w:val="auto"/>
                      <w:sz w:val="21"/>
                      <w:szCs w:val="21"/>
                      <w:u w:val="none"/>
                    </w:rPr>
                  </w:pPr>
                </w:p>
              </w:tc>
              <w:tc>
                <w:tcPr>
                  <w:tcW w:w="1880" w:type="dxa"/>
                  <w:shd w:val="clear" w:color="auto" w:fill="auto"/>
                  <w:vAlign w:val="center"/>
                </w:tcPr>
                <w:p w14:paraId="5CBE4FF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b w:val="0"/>
                      <w:bCs w:val="0"/>
                      <w:i w:val="0"/>
                      <w:iCs w:val="0"/>
                      <w:color w:val="auto"/>
                      <w:kern w:val="0"/>
                      <w:sz w:val="21"/>
                      <w:szCs w:val="21"/>
                      <w:u w:val="none"/>
                      <w:lang w:val="en-US" w:eastAsia="zh-CN" w:bidi="ar"/>
                    </w:rPr>
                    <w:t>全盐量</w:t>
                  </w:r>
                </w:p>
              </w:tc>
              <w:tc>
                <w:tcPr>
                  <w:tcW w:w="2326" w:type="dxa"/>
                  <w:shd w:val="clear" w:color="auto" w:fill="auto"/>
                  <w:vAlign w:val="center"/>
                </w:tcPr>
                <w:p w14:paraId="1C95DC5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884" w:type="dxa"/>
                  <w:shd w:val="clear" w:color="auto" w:fill="auto"/>
                  <w:vAlign w:val="center"/>
                </w:tcPr>
                <w:p w14:paraId="51A88B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0.0825</w:t>
                  </w:r>
                </w:p>
              </w:tc>
            </w:tr>
          </w:tbl>
          <w:p w14:paraId="589A72C0">
            <w:pPr>
              <w:jc w:val="center"/>
              <w:rPr>
                <w:rFonts w:hint="eastAsia" w:ascii="Times New Roman" w:hAnsi="Times New Roman" w:eastAsia="宋体"/>
                <w:b/>
                <w:bCs/>
                <w:color w:val="auto"/>
                <w:sz w:val="24"/>
              </w:rPr>
            </w:pPr>
            <w:r>
              <w:rPr>
                <w:rFonts w:ascii="Times New Roman" w:hAnsi="Times New Roman" w:eastAsia="宋体"/>
                <w:b/>
                <w:bCs/>
                <w:color w:val="auto"/>
                <w:sz w:val="24"/>
              </w:rPr>
              <w:t>表</w:t>
            </w:r>
            <w:r>
              <w:rPr>
                <w:rFonts w:hint="eastAsia"/>
                <w:b/>
                <w:bCs/>
                <w:color w:val="auto"/>
                <w:sz w:val="24"/>
                <w:lang w:val="en-US" w:eastAsia="zh-CN"/>
              </w:rPr>
              <w:t>4-11</w:t>
            </w:r>
            <w:r>
              <w:rPr>
                <w:rFonts w:ascii="Times New Roman" w:hAnsi="Times New Roman" w:eastAsia="宋体"/>
                <w:b/>
                <w:bCs/>
                <w:color w:val="auto"/>
                <w:sz w:val="24"/>
              </w:rPr>
              <w:t xml:space="preserve"> </w:t>
            </w:r>
            <w:r>
              <w:rPr>
                <w:rFonts w:hint="eastAsia" w:ascii="Times New Roman" w:hAnsi="Times New Roman" w:eastAsia="宋体"/>
                <w:b/>
                <w:bCs/>
                <w:color w:val="auto"/>
                <w:sz w:val="24"/>
              </w:rPr>
              <w:t>项目废水排放情况汇总表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10"/>
              <w:gridCol w:w="1160"/>
              <w:gridCol w:w="819"/>
              <w:gridCol w:w="1034"/>
              <w:gridCol w:w="1013"/>
              <w:gridCol w:w="940"/>
              <w:gridCol w:w="983"/>
              <w:gridCol w:w="970"/>
              <w:gridCol w:w="941"/>
            </w:tblGrid>
            <w:tr w14:paraId="688D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380" w:type="pct"/>
                  <w:shd w:val="clear" w:color="auto" w:fill="auto"/>
                  <w:vAlign w:val="center"/>
                </w:tcPr>
                <w:p w14:paraId="5EB458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废水</w:t>
                  </w:r>
                </w:p>
              </w:tc>
              <w:tc>
                <w:tcPr>
                  <w:tcW w:w="639" w:type="pct"/>
                  <w:shd w:val="clear" w:color="auto" w:fill="auto"/>
                  <w:vAlign w:val="center"/>
                </w:tcPr>
                <w:p w14:paraId="48646F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废水量</w:t>
                  </w:r>
                </w:p>
                <w:p w14:paraId="6E4EDE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t/a</w:t>
                  </w:r>
                </w:p>
              </w:tc>
              <w:tc>
                <w:tcPr>
                  <w:tcW w:w="483" w:type="pct"/>
                  <w:shd w:val="clear" w:color="auto" w:fill="auto"/>
                  <w:vAlign w:val="center"/>
                </w:tcPr>
                <w:p w14:paraId="56D30E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污染物</w:t>
                  </w:r>
                </w:p>
              </w:tc>
              <w:tc>
                <w:tcPr>
                  <w:tcW w:w="641" w:type="pct"/>
                  <w:shd w:val="clear" w:color="auto" w:fill="auto"/>
                  <w:vAlign w:val="center"/>
                </w:tcPr>
                <w:p w14:paraId="09627C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产生浓度</w:t>
                  </w:r>
                </w:p>
                <w:p w14:paraId="5548E4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mg/L</w:t>
                  </w:r>
                </w:p>
              </w:tc>
              <w:tc>
                <w:tcPr>
                  <w:tcW w:w="628" w:type="pct"/>
                  <w:shd w:val="clear" w:color="auto" w:fill="auto"/>
                  <w:vAlign w:val="center"/>
                </w:tcPr>
                <w:p w14:paraId="1BDEA6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产生量</w:t>
                  </w:r>
                </w:p>
                <w:p w14:paraId="4BB9C2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t/a</w:t>
                  </w:r>
                </w:p>
              </w:tc>
              <w:tc>
                <w:tcPr>
                  <w:tcW w:w="490" w:type="pct"/>
                  <w:shd w:val="clear" w:color="auto" w:fill="auto"/>
                  <w:vAlign w:val="center"/>
                </w:tcPr>
                <w:p w14:paraId="56490D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处理措施</w:t>
                  </w:r>
                </w:p>
              </w:tc>
              <w:tc>
                <w:tcPr>
                  <w:tcW w:w="609" w:type="pct"/>
                  <w:shd w:val="clear" w:color="auto" w:fill="auto"/>
                  <w:vAlign w:val="center"/>
                </w:tcPr>
                <w:p w14:paraId="6375E2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排放浓度mg/L</w:t>
                  </w:r>
                </w:p>
              </w:tc>
              <w:tc>
                <w:tcPr>
                  <w:tcW w:w="601" w:type="pct"/>
                  <w:shd w:val="clear" w:color="auto" w:fill="auto"/>
                  <w:vAlign w:val="center"/>
                </w:tcPr>
                <w:p w14:paraId="37CB4E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排放量t/a</w:t>
                  </w:r>
                </w:p>
              </w:tc>
              <w:tc>
                <w:tcPr>
                  <w:tcW w:w="526" w:type="pct"/>
                  <w:shd w:val="clear" w:color="auto" w:fill="auto"/>
                  <w:vAlign w:val="center"/>
                </w:tcPr>
                <w:p w14:paraId="6B2343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排放口</w:t>
                  </w:r>
                </w:p>
              </w:tc>
            </w:tr>
            <w:tr w14:paraId="17AB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380" w:type="pct"/>
                  <w:vMerge w:val="restart"/>
                  <w:shd w:val="clear" w:color="auto" w:fill="auto"/>
                  <w:vAlign w:val="center"/>
                </w:tcPr>
                <w:p w14:paraId="1E3F28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生活污水</w:t>
                  </w:r>
                </w:p>
              </w:tc>
              <w:tc>
                <w:tcPr>
                  <w:tcW w:w="639" w:type="pct"/>
                  <w:vMerge w:val="restart"/>
                  <w:shd w:val="clear" w:color="auto" w:fill="auto"/>
                  <w:vAlign w:val="center"/>
                </w:tcPr>
                <w:p w14:paraId="1D2E5A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1"/>
                      <w:szCs w:val="21"/>
                      <w:u w:val="none"/>
                      <w:lang w:val="en-US"/>
                    </w:rPr>
                  </w:pPr>
                  <w:r>
                    <w:rPr>
                      <w:rFonts w:hint="eastAsia" w:cs="Times New Roman"/>
                      <w:kern w:val="0"/>
                      <w:sz w:val="21"/>
                      <w:szCs w:val="21"/>
                      <w:lang w:val="en-US" w:eastAsia="zh-CN" w:bidi="ar-SA"/>
                    </w:rPr>
                    <w:t>360</w:t>
                  </w:r>
                </w:p>
              </w:tc>
              <w:tc>
                <w:tcPr>
                  <w:tcW w:w="483" w:type="pct"/>
                  <w:shd w:val="clear" w:color="auto" w:fill="auto"/>
                  <w:vAlign w:val="center"/>
                </w:tcPr>
                <w:p w14:paraId="01D959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pH</w:t>
                  </w:r>
                </w:p>
              </w:tc>
              <w:tc>
                <w:tcPr>
                  <w:tcW w:w="1269" w:type="pct"/>
                  <w:gridSpan w:val="2"/>
                  <w:shd w:val="clear" w:color="auto" w:fill="auto"/>
                  <w:vAlign w:val="center"/>
                </w:tcPr>
                <w:p w14:paraId="2CDF3F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6-9</w:t>
                  </w:r>
                  <w:r>
                    <w:rPr>
                      <w:rStyle w:val="73"/>
                      <w:rFonts w:hint="default" w:ascii="Times New Roman" w:hAnsi="Times New Roman" w:eastAsia="宋体" w:cs="Times New Roman"/>
                      <w:b w:val="0"/>
                      <w:bCs w:val="0"/>
                      <w:sz w:val="21"/>
                      <w:szCs w:val="21"/>
                      <w:lang w:val="en-US" w:eastAsia="zh-CN" w:bidi="ar"/>
                    </w:rPr>
                    <w:t>（无量纲）</w:t>
                  </w:r>
                </w:p>
              </w:tc>
              <w:tc>
                <w:tcPr>
                  <w:tcW w:w="490" w:type="pct"/>
                  <w:vMerge w:val="restart"/>
                  <w:shd w:val="clear" w:color="auto" w:fill="auto"/>
                  <w:vAlign w:val="center"/>
                </w:tcPr>
                <w:p w14:paraId="06351F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化粪池</w:t>
                  </w:r>
                </w:p>
              </w:tc>
              <w:tc>
                <w:tcPr>
                  <w:tcW w:w="1210" w:type="pct"/>
                  <w:gridSpan w:val="2"/>
                  <w:shd w:val="clear" w:color="auto" w:fill="auto"/>
                  <w:vAlign w:val="center"/>
                </w:tcPr>
                <w:p w14:paraId="63C729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6-9</w:t>
                  </w:r>
                  <w:r>
                    <w:rPr>
                      <w:rStyle w:val="73"/>
                      <w:rFonts w:hint="default" w:ascii="Times New Roman" w:hAnsi="Times New Roman" w:eastAsia="宋体" w:cs="Times New Roman"/>
                      <w:b w:val="0"/>
                      <w:bCs w:val="0"/>
                      <w:sz w:val="21"/>
                      <w:szCs w:val="21"/>
                      <w:lang w:val="en-US" w:eastAsia="zh-CN" w:bidi="ar"/>
                    </w:rPr>
                    <w:t>（无量纲）</w:t>
                  </w:r>
                </w:p>
              </w:tc>
              <w:tc>
                <w:tcPr>
                  <w:tcW w:w="526" w:type="pct"/>
                  <w:vMerge w:val="restart"/>
                  <w:shd w:val="clear" w:color="auto" w:fill="auto"/>
                  <w:vAlign w:val="center"/>
                </w:tcPr>
                <w:p w14:paraId="271F37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1"/>
                      <w:szCs w:val="21"/>
                      <w:u w:val="none"/>
                    </w:rPr>
                  </w:pPr>
                  <w:r>
                    <w:rPr>
                      <w:rFonts w:hint="eastAsia" w:cs="Times New Roman"/>
                      <w:b w:val="0"/>
                      <w:bCs w:val="0"/>
                      <w:i w:val="0"/>
                      <w:iCs w:val="0"/>
                      <w:color w:val="000000"/>
                      <w:kern w:val="0"/>
                      <w:sz w:val="21"/>
                      <w:szCs w:val="21"/>
                      <w:u w:val="none"/>
                      <w:vertAlign w:val="baseline"/>
                      <w:lang w:val="en-US" w:eastAsia="zh-CN" w:bidi="ar"/>
                    </w:rPr>
                    <w:t>/</w:t>
                  </w:r>
                </w:p>
              </w:tc>
            </w:tr>
            <w:tr w14:paraId="44B7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380" w:type="pct"/>
                  <w:vMerge w:val="continue"/>
                  <w:shd w:val="clear" w:color="auto" w:fill="auto"/>
                  <w:vAlign w:val="center"/>
                </w:tcPr>
                <w:p w14:paraId="417AE433">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639" w:type="pct"/>
                  <w:vMerge w:val="continue"/>
                  <w:shd w:val="clear" w:color="auto" w:fill="auto"/>
                  <w:vAlign w:val="center"/>
                </w:tcPr>
                <w:p w14:paraId="053101DA">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483" w:type="pct"/>
                  <w:shd w:val="clear" w:color="auto" w:fill="auto"/>
                  <w:vAlign w:val="center"/>
                </w:tcPr>
                <w:p w14:paraId="0442F3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vertAlign w:val="baseline"/>
                      <w:lang w:val="en-US" w:eastAsia="zh-CN" w:bidi="ar"/>
                    </w:rPr>
                    <w:t>COD</w:t>
                  </w:r>
                </w:p>
              </w:tc>
              <w:tc>
                <w:tcPr>
                  <w:tcW w:w="1085" w:type="dxa"/>
                  <w:shd w:val="clear" w:color="auto" w:fill="auto"/>
                  <w:noWrap/>
                  <w:vAlign w:val="center"/>
                </w:tcPr>
                <w:p w14:paraId="0B1477C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w:t>
                  </w:r>
                </w:p>
              </w:tc>
              <w:tc>
                <w:tcPr>
                  <w:tcW w:w="1063" w:type="dxa"/>
                  <w:shd w:val="clear" w:color="auto" w:fill="auto"/>
                  <w:noWrap/>
                  <w:vAlign w:val="center"/>
                </w:tcPr>
                <w:p w14:paraId="60BE882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0.1080</w:t>
                  </w:r>
                </w:p>
              </w:tc>
              <w:tc>
                <w:tcPr>
                  <w:tcW w:w="490" w:type="pct"/>
                  <w:vMerge w:val="continue"/>
                  <w:shd w:val="clear" w:color="auto" w:fill="auto"/>
                  <w:vAlign w:val="center"/>
                </w:tcPr>
                <w:p w14:paraId="6D44858A">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1031" w:type="dxa"/>
                  <w:shd w:val="clear" w:color="auto" w:fill="auto"/>
                  <w:noWrap/>
                  <w:vAlign w:val="center"/>
                </w:tcPr>
                <w:p w14:paraId="019979B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250</w:t>
                  </w:r>
                </w:p>
              </w:tc>
              <w:tc>
                <w:tcPr>
                  <w:tcW w:w="1017" w:type="dxa"/>
                  <w:shd w:val="clear" w:color="auto" w:fill="auto"/>
                  <w:noWrap/>
                  <w:vAlign w:val="center"/>
                </w:tcPr>
                <w:p w14:paraId="24950C1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0.0900</w:t>
                  </w:r>
                </w:p>
              </w:tc>
              <w:tc>
                <w:tcPr>
                  <w:tcW w:w="526" w:type="pct"/>
                  <w:vMerge w:val="continue"/>
                  <w:shd w:val="clear" w:color="auto" w:fill="auto"/>
                  <w:vAlign w:val="center"/>
                </w:tcPr>
                <w:p w14:paraId="42D78692">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r>
            <w:tr w14:paraId="21D9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jc w:val="center"/>
              </w:trPr>
              <w:tc>
                <w:tcPr>
                  <w:tcW w:w="380" w:type="pct"/>
                  <w:vMerge w:val="continue"/>
                  <w:shd w:val="clear" w:color="auto" w:fill="auto"/>
                  <w:vAlign w:val="center"/>
                </w:tcPr>
                <w:p w14:paraId="121BB89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639" w:type="pct"/>
                  <w:vMerge w:val="continue"/>
                  <w:shd w:val="clear" w:color="auto" w:fill="auto"/>
                  <w:vAlign w:val="center"/>
                </w:tcPr>
                <w:p w14:paraId="44CCF923">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483" w:type="pct"/>
                  <w:shd w:val="clear" w:color="auto" w:fill="auto"/>
                  <w:vAlign w:val="center"/>
                </w:tcPr>
                <w:p w14:paraId="34ED56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vertAlign w:val="baseline"/>
                      <w:lang w:val="en-US" w:eastAsia="zh-CN" w:bidi="ar"/>
                    </w:rPr>
                    <w:t>BOD</w:t>
                  </w:r>
                  <w:r>
                    <w:rPr>
                      <w:rFonts w:hint="default" w:ascii="Times New Roman" w:hAnsi="Times New Roman" w:eastAsia="宋体" w:cs="Times New Roman"/>
                      <w:i w:val="0"/>
                      <w:iCs w:val="0"/>
                      <w:color w:val="000000"/>
                      <w:kern w:val="0"/>
                      <w:sz w:val="21"/>
                      <w:szCs w:val="21"/>
                      <w:u w:val="none"/>
                      <w:vertAlign w:val="subscript"/>
                      <w:lang w:val="en-US" w:eastAsia="zh-CN" w:bidi="ar"/>
                    </w:rPr>
                    <w:t>5</w:t>
                  </w:r>
                </w:p>
              </w:tc>
              <w:tc>
                <w:tcPr>
                  <w:tcW w:w="1085" w:type="dxa"/>
                  <w:shd w:val="clear" w:color="auto" w:fill="auto"/>
                  <w:noWrap/>
                  <w:vAlign w:val="center"/>
                </w:tcPr>
                <w:p w14:paraId="5155264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1063" w:type="dxa"/>
                  <w:shd w:val="clear" w:color="auto" w:fill="auto"/>
                  <w:noWrap/>
                  <w:vAlign w:val="center"/>
                </w:tcPr>
                <w:p w14:paraId="1A4AD81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0.0720</w:t>
                  </w:r>
                </w:p>
              </w:tc>
              <w:tc>
                <w:tcPr>
                  <w:tcW w:w="490" w:type="pct"/>
                  <w:vMerge w:val="continue"/>
                  <w:shd w:val="clear" w:color="auto" w:fill="auto"/>
                  <w:vAlign w:val="center"/>
                </w:tcPr>
                <w:p w14:paraId="691FAB7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1031" w:type="dxa"/>
                  <w:shd w:val="clear" w:color="auto" w:fill="auto"/>
                  <w:noWrap/>
                  <w:vAlign w:val="center"/>
                </w:tcPr>
                <w:p w14:paraId="1B98202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180</w:t>
                  </w:r>
                </w:p>
              </w:tc>
              <w:tc>
                <w:tcPr>
                  <w:tcW w:w="1017" w:type="dxa"/>
                  <w:shd w:val="clear" w:color="auto" w:fill="auto"/>
                  <w:noWrap/>
                  <w:vAlign w:val="center"/>
                </w:tcPr>
                <w:p w14:paraId="16EE7E4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0.0648</w:t>
                  </w:r>
                </w:p>
              </w:tc>
              <w:tc>
                <w:tcPr>
                  <w:tcW w:w="526" w:type="pct"/>
                  <w:vMerge w:val="continue"/>
                  <w:shd w:val="clear" w:color="auto" w:fill="auto"/>
                  <w:vAlign w:val="center"/>
                </w:tcPr>
                <w:p w14:paraId="1B5A5CF0">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r>
            <w:tr w14:paraId="359B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jc w:val="center"/>
              </w:trPr>
              <w:tc>
                <w:tcPr>
                  <w:tcW w:w="380" w:type="pct"/>
                  <w:vMerge w:val="continue"/>
                  <w:shd w:val="clear" w:color="auto" w:fill="auto"/>
                  <w:vAlign w:val="center"/>
                </w:tcPr>
                <w:p w14:paraId="292BEBA3">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639" w:type="pct"/>
                  <w:vMerge w:val="continue"/>
                  <w:shd w:val="clear" w:color="auto" w:fill="auto"/>
                  <w:vAlign w:val="center"/>
                </w:tcPr>
                <w:p w14:paraId="3CF5D327">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483" w:type="pct"/>
                  <w:shd w:val="clear" w:color="auto" w:fill="auto"/>
                  <w:vAlign w:val="center"/>
                </w:tcPr>
                <w:p w14:paraId="496110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vertAlign w:val="baseline"/>
                      <w:lang w:val="en-US" w:eastAsia="zh-CN" w:bidi="ar"/>
                    </w:rPr>
                    <w:t>SS</w:t>
                  </w:r>
                </w:p>
              </w:tc>
              <w:tc>
                <w:tcPr>
                  <w:tcW w:w="1085" w:type="dxa"/>
                  <w:shd w:val="clear" w:color="auto" w:fill="auto"/>
                  <w:noWrap/>
                  <w:vAlign w:val="center"/>
                </w:tcPr>
                <w:p w14:paraId="6565385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1063" w:type="dxa"/>
                  <w:shd w:val="clear" w:color="auto" w:fill="auto"/>
                  <w:noWrap/>
                  <w:vAlign w:val="center"/>
                </w:tcPr>
                <w:p w14:paraId="2542065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0.0720</w:t>
                  </w:r>
                </w:p>
              </w:tc>
              <w:tc>
                <w:tcPr>
                  <w:tcW w:w="490" w:type="pct"/>
                  <w:vMerge w:val="continue"/>
                  <w:shd w:val="clear" w:color="auto" w:fill="auto"/>
                  <w:vAlign w:val="center"/>
                </w:tcPr>
                <w:p w14:paraId="11AFB7C0">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1031" w:type="dxa"/>
                  <w:shd w:val="clear" w:color="auto" w:fill="auto"/>
                  <w:noWrap/>
                  <w:vAlign w:val="center"/>
                </w:tcPr>
                <w:p w14:paraId="396051B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w:t>
                  </w:r>
                </w:p>
              </w:tc>
              <w:tc>
                <w:tcPr>
                  <w:tcW w:w="1017" w:type="dxa"/>
                  <w:shd w:val="clear" w:color="auto" w:fill="auto"/>
                  <w:noWrap/>
                  <w:vAlign w:val="center"/>
                </w:tcPr>
                <w:p w14:paraId="6CC90B1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0.0540</w:t>
                  </w:r>
                </w:p>
              </w:tc>
              <w:tc>
                <w:tcPr>
                  <w:tcW w:w="526" w:type="pct"/>
                  <w:vMerge w:val="continue"/>
                  <w:shd w:val="clear" w:color="auto" w:fill="auto"/>
                  <w:vAlign w:val="center"/>
                </w:tcPr>
                <w:p w14:paraId="1B3FD9C5">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r>
            <w:tr w14:paraId="08CF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380" w:type="pct"/>
                  <w:vMerge w:val="continue"/>
                  <w:shd w:val="clear" w:color="auto" w:fill="auto"/>
                  <w:vAlign w:val="center"/>
                </w:tcPr>
                <w:p w14:paraId="0D00697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639" w:type="pct"/>
                  <w:vMerge w:val="continue"/>
                  <w:shd w:val="clear" w:color="auto" w:fill="auto"/>
                  <w:vAlign w:val="center"/>
                </w:tcPr>
                <w:p w14:paraId="3FB68A4D">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483" w:type="pct"/>
                  <w:shd w:val="clear" w:color="auto" w:fill="auto"/>
                  <w:vAlign w:val="center"/>
                </w:tcPr>
                <w:p w14:paraId="38323C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vertAlign w:val="baseline"/>
                      <w:lang w:val="en-US" w:eastAsia="zh-CN" w:bidi="ar"/>
                    </w:rPr>
                    <w:t>NH</w:t>
                  </w:r>
                  <w:r>
                    <w:rPr>
                      <w:rFonts w:hint="default" w:ascii="Times New Roman" w:hAnsi="Times New Roman" w:eastAsia="宋体" w:cs="Times New Roman"/>
                      <w:i w:val="0"/>
                      <w:iCs w:val="0"/>
                      <w:color w:val="000000"/>
                      <w:kern w:val="0"/>
                      <w:sz w:val="21"/>
                      <w:szCs w:val="21"/>
                      <w:u w:val="none"/>
                      <w:vertAlign w:val="subscript"/>
                      <w:lang w:val="en-US" w:eastAsia="zh-CN" w:bidi="ar"/>
                    </w:rPr>
                    <w:t>3</w:t>
                  </w:r>
                  <w:r>
                    <w:rPr>
                      <w:rFonts w:hint="default" w:ascii="Times New Roman" w:hAnsi="Times New Roman" w:eastAsia="宋体" w:cs="Times New Roman"/>
                      <w:i w:val="0"/>
                      <w:iCs w:val="0"/>
                      <w:color w:val="000000"/>
                      <w:kern w:val="0"/>
                      <w:sz w:val="21"/>
                      <w:szCs w:val="21"/>
                      <w:u w:val="none"/>
                      <w:vertAlign w:val="baseline"/>
                      <w:lang w:val="en-US" w:eastAsia="zh-CN" w:bidi="ar"/>
                    </w:rPr>
                    <w:t>-N</w:t>
                  </w:r>
                </w:p>
              </w:tc>
              <w:tc>
                <w:tcPr>
                  <w:tcW w:w="1085" w:type="dxa"/>
                  <w:shd w:val="clear" w:color="auto" w:fill="auto"/>
                  <w:noWrap/>
                  <w:vAlign w:val="center"/>
                </w:tcPr>
                <w:p w14:paraId="264A56F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063" w:type="dxa"/>
                  <w:shd w:val="clear" w:color="auto" w:fill="auto"/>
                  <w:noWrap/>
                  <w:vAlign w:val="center"/>
                </w:tcPr>
                <w:p w14:paraId="745F7D8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0.0090</w:t>
                  </w:r>
                </w:p>
              </w:tc>
              <w:tc>
                <w:tcPr>
                  <w:tcW w:w="490" w:type="pct"/>
                  <w:vMerge w:val="continue"/>
                  <w:shd w:val="clear" w:color="auto" w:fill="auto"/>
                  <w:vAlign w:val="center"/>
                </w:tcPr>
                <w:p w14:paraId="60C0C14D">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1031" w:type="dxa"/>
                  <w:shd w:val="clear" w:color="auto" w:fill="auto"/>
                  <w:noWrap/>
                  <w:vAlign w:val="center"/>
                </w:tcPr>
                <w:p w14:paraId="77AF0D9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017" w:type="dxa"/>
                  <w:shd w:val="clear" w:color="auto" w:fill="auto"/>
                  <w:noWrap/>
                  <w:vAlign w:val="center"/>
                </w:tcPr>
                <w:p w14:paraId="32F2F2A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0.0090</w:t>
                  </w:r>
                </w:p>
              </w:tc>
              <w:tc>
                <w:tcPr>
                  <w:tcW w:w="526" w:type="pct"/>
                  <w:vMerge w:val="continue"/>
                  <w:shd w:val="clear" w:color="auto" w:fill="auto"/>
                  <w:vAlign w:val="center"/>
                </w:tcPr>
                <w:p w14:paraId="7C9BC8F2">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r>
            <w:tr w14:paraId="70A2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380" w:type="pct"/>
                  <w:vMerge w:val="restart"/>
                  <w:shd w:val="clear" w:color="auto" w:fill="auto"/>
                  <w:vAlign w:val="center"/>
                </w:tcPr>
                <w:p w14:paraId="5A2059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1"/>
                      <w:szCs w:val="21"/>
                      <w:u w:val="none"/>
                      <w:lang w:val="en-US"/>
                    </w:rPr>
                  </w:pPr>
                  <w:r>
                    <w:rPr>
                      <w:rFonts w:hint="eastAsia" w:cs="Times New Roman"/>
                      <w:b w:val="0"/>
                      <w:bCs w:val="0"/>
                      <w:i w:val="0"/>
                      <w:iCs w:val="0"/>
                      <w:color w:val="000000"/>
                      <w:kern w:val="0"/>
                      <w:sz w:val="21"/>
                      <w:szCs w:val="21"/>
                      <w:u w:val="none"/>
                      <w:lang w:val="en-US" w:eastAsia="zh-CN" w:bidi="ar"/>
                    </w:rPr>
                    <w:t>清洗废水、生物除臭塔废水</w:t>
                  </w:r>
                </w:p>
              </w:tc>
              <w:tc>
                <w:tcPr>
                  <w:tcW w:w="639" w:type="pct"/>
                  <w:vMerge w:val="restart"/>
                  <w:shd w:val="clear" w:color="auto" w:fill="auto"/>
                  <w:vAlign w:val="center"/>
                </w:tcPr>
                <w:p w14:paraId="04832F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1"/>
                      <w:szCs w:val="21"/>
                      <w:u w:val="none"/>
                      <w:lang w:val="en-US"/>
                    </w:rPr>
                  </w:pPr>
                  <w:r>
                    <w:rPr>
                      <w:rFonts w:hint="eastAsia" w:cs="Times New Roman"/>
                      <w:i w:val="0"/>
                      <w:iCs w:val="0"/>
                      <w:color w:val="000000"/>
                      <w:sz w:val="21"/>
                      <w:szCs w:val="21"/>
                      <w:u w:val="none"/>
                      <w:vertAlign w:val="baseline"/>
                      <w:lang w:val="en-US" w:eastAsia="zh-CN"/>
                    </w:rPr>
                    <w:t>6915</w:t>
                  </w:r>
                </w:p>
              </w:tc>
              <w:tc>
                <w:tcPr>
                  <w:tcW w:w="483" w:type="pct"/>
                  <w:shd w:val="clear" w:color="auto" w:fill="auto"/>
                  <w:vAlign w:val="center"/>
                </w:tcPr>
                <w:p w14:paraId="3F0AD1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pH</w:t>
                  </w:r>
                </w:p>
              </w:tc>
              <w:tc>
                <w:tcPr>
                  <w:tcW w:w="1269" w:type="pct"/>
                  <w:gridSpan w:val="2"/>
                  <w:shd w:val="clear" w:color="auto" w:fill="auto"/>
                  <w:vAlign w:val="center"/>
                </w:tcPr>
                <w:p w14:paraId="7F2B71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6-9</w:t>
                  </w:r>
                  <w:r>
                    <w:rPr>
                      <w:rStyle w:val="73"/>
                      <w:rFonts w:hint="default" w:ascii="Times New Roman" w:hAnsi="Times New Roman" w:eastAsia="宋体" w:cs="Times New Roman"/>
                      <w:b w:val="0"/>
                      <w:bCs w:val="0"/>
                      <w:sz w:val="21"/>
                      <w:szCs w:val="21"/>
                      <w:lang w:val="en-US" w:eastAsia="zh-CN" w:bidi="ar"/>
                    </w:rPr>
                    <w:t>（无量纲）</w:t>
                  </w:r>
                </w:p>
              </w:tc>
              <w:tc>
                <w:tcPr>
                  <w:tcW w:w="490" w:type="pct"/>
                  <w:vMerge w:val="restart"/>
                  <w:shd w:val="clear" w:color="auto" w:fill="auto"/>
                  <w:vAlign w:val="center"/>
                </w:tcPr>
                <w:p w14:paraId="266929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厂区污水处理站：“格栅-调节池+气浮+A/O+沉淀池”工艺，处理能力</w:t>
                  </w:r>
                  <w:r>
                    <w:rPr>
                      <w:rFonts w:hint="eastAsia" w:cs="Times New Roman"/>
                      <w:b w:val="0"/>
                      <w:bCs w:val="0"/>
                      <w:i w:val="0"/>
                      <w:iCs w:val="0"/>
                      <w:color w:val="000000"/>
                      <w:kern w:val="0"/>
                      <w:sz w:val="21"/>
                      <w:szCs w:val="21"/>
                      <w:u w:val="none"/>
                      <w:lang w:val="en-US" w:eastAsia="zh-CN" w:bidi="ar"/>
                    </w:rPr>
                    <w:t>25</w:t>
                  </w:r>
                  <w:r>
                    <w:rPr>
                      <w:rFonts w:hint="default" w:ascii="Times New Roman" w:hAnsi="Times New Roman" w:eastAsia="宋体" w:cs="Times New Roman"/>
                      <w:b w:val="0"/>
                      <w:bCs w:val="0"/>
                      <w:i w:val="0"/>
                      <w:iCs w:val="0"/>
                      <w:color w:val="000000"/>
                      <w:kern w:val="0"/>
                      <w:sz w:val="21"/>
                      <w:szCs w:val="21"/>
                      <w:u w:val="none"/>
                      <w:lang w:val="en-US" w:eastAsia="zh-CN" w:bidi="ar"/>
                    </w:rPr>
                    <w:t>m</w:t>
                  </w:r>
                  <w:r>
                    <w:rPr>
                      <w:rFonts w:hint="default" w:ascii="Times New Roman" w:hAnsi="Times New Roman" w:eastAsia="宋体" w:cs="Times New Roman"/>
                      <w:b w:val="0"/>
                      <w:bCs w:val="0"/>
                      <w:i w:val="0"/>
                      <w:iCs w:val="0"/>
                      <w:color w:val="000000"/>
                      <w:kern w:val="0"/>
                      <w:sz w:val="21"/>
                      <w:szCs w:val="21"/>
                      <w:u w:val="none"/>
                      <w:vertAlign w:val="superscript"/>
                      <w:lang w:val="en-US" w:eastAsia="zh-CN" w:bidi="ar"/>
                    </w:rPr>
                    <w:t>3</w:t>
                  </w:r>
                  <w:r>
                    <w:rPr>
                      <w:rFonts w:hint="default" w:ascii="Times New Roman" w:hAnsi="Times New Roman" w:eastAsia="宋体" w:cs="Times New Roman"/>
                      <w:b w:val="0"/>
                      <w:bCs w:val="0"/>
                      <w:i w:val="0"/>
                      <w:iCs w:val="0"/>
                      <w:color w:val="000000"/>
                      <w:kern w:val="0"/>
                      <w:sz w:val="21"/>
                      <w:szCs w:val="21"/>
                      <w:u w:val="none"/>
                      <w:lang w:val="en-US" w:eastAsia="zh-CN" w:bidi="ar"/>
                    </w:rPr>
                    <w:t>/d</w:t>
                  </w:r>
                </w:p>
              </w:tc>
              <w:tc>
                <w:tcPr>
                  <w:tcW w:w="1210" w:type="pct"/>
                  <w:gridSpan w:val="2"/>
                  <w:shd w:val="clear" w:color="auto" w:fill="auto"/>
                  <w:vAlign w:val="center"/>
                </w:tcPr>
                <w:p w14:paraId="63D9FE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6-9</w:t>
                  </w:r>
                  <w:r>
                    <w:rPr>
                      <w:rStyle w:val="73"/>
                      <w:rFonts w:hint="default" w:ascii="Times New Roman" w:hAnsi="Times New Roman" w:eastAsia="宋体" w:cs="Times New Roman"/>
                      <w:b w:val="0"/>
                      <w:bCs w:val="0"/>
                      <w:sz w:val="21"/>
                      <w:szCs w:val="21"/>
                      <w:vertAlign w:val="baseline"/>
                      <w:lang w:val="en-US" w:eastAsia="zh-CN" w:bidi="ar"/>
                    </w:rPr>
                    <w:t>（无量纲）</w:t>
                  </w:r>
                </w:p>
              </w:tc>
              <w:tc>
                <w:tcPr>
                  <w:tcW w:w="526" w:type="pct"/>
                  <w:vMerge w:val="restart"/>
                  <w:shd w:val="clear" w:color="auto" w:fill="auto"/>
                  <w:vAlign w:val="center"/>
                </w:tcPr>
                <w:p w14:paraId="08712D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eastAsia" w:cs="Times New Roman"/>
                      <w:b w:val="0"/>
                      <w:bCs w:val="0"/>
                      <w:i w:val="0"/>
                      <w:iCs w:val="0"/>
                      <w:color w:val="000000"/>
                      <w:kern w:val="0"/>
                      <w:sz w:val="21"/>
                      <w:szCs w:val="21"/>
                      <w:u w:val="none"/>
                      <w:vertAlign w:val="baseline"/>
                      <w:lang w:val="en-US" w:eastAsia="zh-CN" w:bidi="ar"/>
                    </w:rPr>
                    <w:t>/</w:t>
                  </w:r>
                </w:p>
              </w:tc>
            </w:tr>
            <w:tr w14:paraId="514B3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380" w:type="pct"/>
                  <w:vMerge w:val="continue"/>
                  <w:shd w:val="clear" w:color="auto" w:fill="auto"/>
                  <w:vAlign w:val="center"/>
                </w:tcPr>
                <w:p w14:paraId="2ADCDDD6">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639" w:type="pct"/>
                  <w:vMerge w:val="continue"/>
                  <w:shd w:val="clear" w:color="auto" w:fill="auto"/>
                  <w:vAlign w:val="center"/>
                </w:tcPr>
                <w:p w14:paraId="5CF09DA6">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483" w:type="pct"/>
                  <w:shd w:val="clear" w:color="auto" w:fill="auto"/>
                  <w:vAlign w:val="center"/>
                </w:tcPr>
                <w:p w14:paraId="3ABE6F87">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vertAlign w:val="baseline"/>
                      <w:lang w:val="en-US" w:eastAsia="zh-CN" w:bidi="ar"/>
                    </w:rPr>
                    <w:t>COD</w:t>
                  </w:r>
                </w:p>
              </w:tc>
              <w:tc>
                <w:tcPr>
                  <w:tcW w:w="1085" w:type="dxa"/>
                  <w:shd w:val="clear" w:color="auto" w:fill="auto"/>
                  <w:vAlign w:val="center"/>
                </w:tcPr>
                <w:p w14:paraId="043D1FA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w:t>
                  </w:r>
                </w:p>
              </w:tc>
              <w:tc>
                <w:tcPr>
                  <w:tcW w:w="1063" w:type="dxa"/>
                  <w:shd w:val="clear" w:color="auto" w:fill="auto"/>
                  <w:vAlign w:val="center"/>
                </w:tcPr>
                <w:p w14:paraId="636BE88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2.9010</w:t>
                  </w:r>
                </w:p>
              </w:tc>
              <w:tc>
                <w:tcPr>
                  <w:tcW w:w="490" w:type="pct"/>
                  <w:vMerge w:val="continue"/>
                  <w:shd w:val="clear" w:color="auto" w:fill="auto"/>
                  <w:vAlign w:val="center"/>
                </w:tcPr>
                <w:p w14:paraId="7549D202">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1031" w:type="dxa"/>
                  <w:shd w:val="clear" w:color="auto" w:fill="auto"/>
                  <w:noWrap/>
                  <w:vAlign w:val="center"/>
                </w:tcPr>
                <w:p w14:paraId="42FA81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105</w:t>
                  </w:r>
                </w:p>
              </w:tc>
              <w:tc>
                <w:tcPr>
                  <w:tcW w:w="1017" w:type="dxa"/>
                  <w:shd w:val="clear" w:color="auto" w:fill="auto"/>
                  <w:vAlign w:val="center"/>
                </w:tcPr>
                <w:p w14:paraId="592A78D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0.7253</w:t>
                  </w:r>
                </w:p>
              </w:tc>
              <w:tc>
                <w:tcPr>
                  <w:tcW w:w="526" w:type="pct"/>
                  <w:vMerge w:val="continue"/>
                  <w:shd w:val="clear" w:color="auto" w:fill="auto"/>
                  <w:vAlign w:val="center"/>
                </w:tcPr>
                <w:p w14:paraId="707858A0">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vertAlign w:val="baseline"/>
                    </w:rPr>
                  </w:pPr>
                </w:p>
              </w:tc>
            </w:tr>
            <w:tr w14:paraId="0D77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380" w:type="pct"/>
                  <w:vMerge w:val="continue"/>
                  <w:shd w:val="clear" w:color="auto" w:fill="auto"/>
                  <w:vAlign w:val="center"/>
                </w:tcPr>
                <w:p w14:paraId="3BE57F80">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639" w:type="pct"/>
                  <w:vMerge w:val="continue"/>
                  <w:shd w:val="clear" w:color="auto" w:fill="auto"/>
                  <w:vAlign w:val="center"/>
                </w:tcPr>
                <w:p w14:paraId="4FADF512">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483" w:type="pct"/>
                  <w:shd w:val="clear" w:color="auto" w:fill="auto"/>
                  <w:vAlign w:val="center"/>
                </w:tcPr>
                <w:p w14:paraId="0514C8F3">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vertAlign w:val="baseline"/>
                      <w:lang w:val="en-US" w:eastAsia="zh-CN" w:bidi="ar"/>
                    </w:rPr>
                    <w:t>BOD</w:t>
                  </w:r>
                  <w:r>
                    <w:rPr>
                      <w:rFonts w:hint="default" w:ascii="Times New Roman" w:hAnsi="Times New Roman" w:eastAsia="宋体" w:cs="Times New Roman"/>
                      <w:i w:val="0"/>
                      <w:iCs w:val="0"/>
                      <w:color w:val="000000"/>
                      <w:kern w:val="0"/>
                      <w:sz w:val="21"/>
                      <w:szCs w:val="21"/>
                      <w:u w:val="none"/>
                      <w:vertAlign w:val="subscript"/>
                      <w:lang w:val="en-US" w:eastAsia="zh-CN" w:bidi="ar"/>
                    </w:rPr>
                    <w:t>5</w:t>
                  </w:r>
                </w:p>
              </w:tc>
              <w:tc>
                <w:tcPr>
                  <w:tcW w:w="1085" w:type="dxa"/>
                  <w:shd w:val="clear" w:color="auto" w:fill="auto"/>
                  <w:vAlign w:val="center"/>
                </w:tcPr>
                <w:p w14:paraId="76747B2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171</w:t>
                  </w:r>
                </w:p>
              </w:tc>
              <w:tc>
                <w:tcPr>
                  <w:tcW w:w="1063" w:type="dxa"/>
                  <w:shd w:val="clear" w:color="auto" w:fill="auto"/>
                  <w:vAlign w:val="center"/>
                </w:tcPr>
                <w:p w14:paraId="35325C5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1.1805</w:t>
                  </w:r>
                </w:p>
              </w:tc>
              <w:tc>
                <w:tcPr>
                  <w:tcW w:w="490" w:type="pct"/>
                  <w:vMerge w:val="continue"/>
                  <w:shd w:val="clear" w:color="auto" w:fill="auto"/>
                  <w:vAlign w:val="center"/>
                </w:tcPr>
                <w:p w14:paraId="1C97194F">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1031" w:type="dxa"/>
                  <w:shd w:val="clear" w:color="auto" w:fill="auto"/>
                  <w:noWrap/>
                  <w:vAlign w:val="center"/>
                </w:tcPr>
                <w:p w14:paraId="7CDB3F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68</w:t>
                  </w:r>
                </w:p>
              </w:tc>
              <w:tc>
                <w:tcPr>
                  <w:tcW w:w="1017" w:type="dxa"/>
                  <w:shd w:val="clear" w:color="auto" w:fill="auto"/>
                  <w:vAlign w:val="center"/>
                </w:tcPr>
                <w:p w14:paraId="174776D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0.4722</w:t>
                  </w:r>
                </w:p>
              </w:tc>
              <w:tc>
                <w:tcPr>
                  <w:tcW w:w="526" w:type="pct"/>
                  <w:vMerge w:val="continue"/>
                  <w:shd w:val="clear" w:color="auto" w:fill="auto"/>
                  <w:vAlign w:val="center"/>
                </w:tcPr>
                <w:p w14:paraId="68209483">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vertAlign w:val="baseline"/>
                    </w:rPr>
                  </w:pPr>
                </w:p>
              </w:tc>
            </w:tr>
            <w:tr w14:paraId="0F7F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380" w:type="pct"/>
                  <w:vMerge w:val="continue"/>
                  <w:shd w:val="clear" w:color="auto" w:fill="auto"/>
                  <w:vAlign w:val="center"/>
                </w:tcPr>
                <w:p w14:paraId="703FA889">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639" w:type="pct"/>
                  <w:vMerge w:val="continue"/>
                  <w:shd w:val="clear" w:color="auto" w:fill="auto"/>
                  <w:vAlign w:val="center"/>
                </w:tcPr>
                <w:p w14:paraId="1DA18E4F">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483" w:type="pct"/>
                  <w:shd w:val="clear" w:color="auto" w:fill="auto"/>
                  <w:vAlign w:val="center"/>
                </w:tcPr>
                <w:p w14:paraId="7F5D2792">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vertAlign w:val="baseline"/>
                      <w:lang w:val="en-US" w:eastAsia="zh-CN" w:bidi="ar"/>
                    </w:rPr>
                    <w:t>SS</w:t>
                  </w:r>
                </w:p>
              </w:tc>
              <w:tc>
                <w:tcPr>
                  <w:tcW w:w="1085" w:type="dxa"/>
                  <w:shd w:val="clear" w:color="auto" w:fill="auto"/>
                  <w:vAlign w:val="center"/>
                </w:tcPr>
                <w:p w14:paraId="66A029A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w:t>
                  </w:r>
                </w:p>
              </w:tc>
              <w:tc>
                <w:tcPr>
                  <w:tcW w:w="1063" w:type="dxa"/>
                  <w:shd w:val="clear" w:color="auto" w:fill="auto"/>
                  <w:vAlign w:val="center"/>
                </w:tcPr>
                <w:p w14:paraId="01CCB68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1.4423</w:t>
                  </w:r>
                </w:p>
              </w:tc>
              <w:tc>
                <w:tcPr>
                  <w:tcW w:w="490" w:type="pct"/>
                  <w:vMerge w:val="continue"/>
                  <w:shd w:val="clear" w:color="auto" w:fill="auto"/>
                  <w:vAlign w:val="center"/>
                </w:tcPr>
                <w:p w14:paraId="197F2FAF">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1031" w:type="dxa"/>
                  <w:shd w:val="clear" w:color="auto" w:fill="auto"/>
                  <w:noWrap/>
                  <w:vAlign w:val="center"/>
                </w:tcPr>
                <w:p w14:paraId="0BFA94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1017" w:type="dxa"/>
                  <w:shd w:val="clear" w:color="auto" w:fill="auto"/>
                  <w:vAlign w:val="center"/>
                </w:tcPr>
                <w:p w14:paraId="3045F3E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0.3461</w:t>
                  </w:r>
                </w:p>
              </w:tc>
              <w:tc>
                <w:tcPr>
                  <w:tcW w:w="526" w:type="pct"/>
                  <w:vMerge w:val="continue"/>
                  <w:shd w:val="clear" w:color="auto" w:fill="auto"/>
                  <w:vAlign w:val="center"/>
                </w:tcPr>
                <w:p w14:paraId="186026DC">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vertAlign w:val="baseline"/>
                    </w:rPr>
                  </w:pPr>
                </w:p>
              </w:tc>
            </w:tr>
            <w:tr w14:paraId="7C5D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380" w:type="pct"/>
                  <w:vMerge w:val="continue"/>
                  <w:shd w:val="clear" w:color="auto" w:fill="auto"/>
                  <w:vAlign w:val="center"/>
                </w:tcPr>
                <w:p w14:paraId="6AA7ECF0">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639" w:type="pct"/>
                  <w:vMerge w:val="continue"/>
                  <w:shd w:val="clear" w:color="auto" w:fill="auto"/>
                  <w:vAlign w:val="center"/>
                </w:tcPr>
                <w:p w14:paraId="382494AC">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483" w:type="pct"/>
                  <w:shd w:val="clear" w:color="auto" w:fill="auto"/>
                  <w:vAlign w:val="center"/>
                </w:tcPr>
                <w:p w14:paraId="572BC02C">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vertAlign w:val="baseline"/>
                      <w:lang w:val="en-US" w:eastAsia="zh-CN" w:bidi="ar"/>
                    </w:rPr>
                    <w:t>NH</w:t>
                  </w:r>
                  <w:r>
                    <w:rPr>
                      <w:rFonts w:hint="default" w:ascii="Times New Roman" w:hAnsi="Times New Roman" w:eastAsia="宋体" w:cs="Times New Roman"/>
                      <w:i w:val="0"/>
                      <w:iCs w:val="0"/>
                      <w:color w:val="000000"/>
                      <w:kern w:val="0"/>
                      <w:sz w:val="21"/>
                      <w:szCs w:val="21"/>
                      <w:u w:val="none"/>
                      <w:vertAlign w:val="subscript"/>
                      <w:lang w:val="en-US" w:eastAsia="zh-CN" w:bidi="ar"/>
                    </w:rPr>
                    <w:t>3</w:t>
                  </w:r>
                  <w:r>
                    <w:rPr>
                      <w:rFonts w:hint="default" w:ascii="Times New Roman" w:hAnsi="Times New Roman" w:eastAsia="宋体" w:cs="Times New Roman"/>
                      <w:i w:val="0"/>
                      <w:iCs w:val="0"/>
                      <w:color w:val="000000"/>
                      <w:kern w:val="0"/>
                      <w:sz w:val="21"/>
                      <w:szCs w:val="21"/>
                      <w:u w:val="none"/>
                      <w:vertAlign w:val="baseline"/>
                      <w:lang w:val="en-US" w:eastAsia="zh-CN" w:bidi="ar"/>
                    </w:rPr>
                    <w:t>-N</w:t>
                  </w:r>
                </w:p>
              </w:tc>
              <w:tc>
                <w:tcPr>
                  <w:tcW w:w="1085" w:type="dxa"/>
                  <w:shd w:val="clear" w:color="auto" w:fill="auto"/>
                  <w:vAlign w:val="center"/>
                </w:tcPr>
                <w:p w14:paraId="1775A34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063" w:type="dxa"/>
                  <w:shd w:val="clear" w:color="auto" w:fill="auto"/>
                  <w:vAlign w:val="center"/>
                </w:tcPr>
                <w:p w14:paraId="0E259F0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0.2429</w:t>
                  </w:r>
                </w:p>
              </w:tc>
              <w:tc>
                <w:tcPr>
                  <w:tcW w:w="490" w:type="pct"/>
                  <w:vMerge w:val="continue"/>
                  <w:shd w:val="clear" w:color="auto" w:fill="auto"/>
                  <w:vAlign w:val="center"/>
                </w:tcPr>
                <w:p w14:paraId="080A398F">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1031" w:type="dxa"/>
                  <w:shd w:val="clear" w:color="auto" w:fill="auto"/>
                  <w:noWrap/>
                  <w:vAlign w:val="center"/>
                </w:tcPr>
                <w:p w14:paraId="56B259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017" w:type="dxa"/>
                  <w:shd w:val="clear" w:color="auto" w:fill="auto"/>
                  <w:vAlign w:val="center"/>
                </w:tcPr>
                <w:p w14:paraId="2C9DCDE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0.1214</w:t>
                  </w:r>
                </w:p>
              </w:tc>
              <w:tc>
                <w:tcPr>
                  <w:tcW w:w="526" w:type="pct"/>
                  <w:vMerge w:val="continue"/>
                  <w:shd w:val="clear" w:color="auto" w:fill="auto"/>
                  <w:vAlign w:val="center"/>
                </w:tcPr>
                <w:p w14:paraId="189FDD5B">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vertAlign w:val="baseline"/>
                    </w:rPr>
                  </w:pPr>
                </w:p>
              </w:tc>
            </w:tr>
            <w:tr w14:paraId="630D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380" w:type="pct"/>
                  <w:vMerge w:val="continue"/>
                  <w:shd w:val="clear" w:color="auto" w:fill="auto"/>
                  <w:vAlign w:val="center"/>
                </w:tcPr>
                <w:p w14:paraId="40E707EB">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639" w:type="pct"/>
                  <w:vMerge w:val="continue"/>
                  <w:shd w:val="clear" w:color="auto" w:fill="auto"/>
                  <w:vAlign w:val="center"/>
                </w:tcPr>
                <w:p w14:paraId="011ECB1B">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483" w:type="pct"/>
                  <w:shd w:val="clear" w:color="auto" w:fill="auto"/>
                  <w:vAlign w:val="center"/>
                </w:tcPr>
                <w:p w14:paraId="4BFBF6DD">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eastAsia" w:cs="Times New Roman"/>
                      <w:i w:val="0"/>
                      <w:iCs w:val="0"/>
                      <w:color w:val="000000"/>
                      <w:kern w:val="0"/>
                      <w:sz w:val="21"/>
                      <w:szCs w:val="21"/>
                      <w:u w:val="none"/>
                      <w:vertAlign w:val="baseline"/>
                      <w:lang w:val="en-US" w:eastAsia="zh-CN" w:bidi="ar"/>
                    </w:rPr>
                    <w:t>TN</w:t>
                  </w:r>
                </w:p>
              </w:tc>
              <w:tc>
                <w:tcPr>
                  <w:tcW w:w="1085" w:type="dxa"/>
                  <w:shd w:val="clear" w:color="auto" w:fill="auto"/>
                  <w:vAlign w:val="center"/>
                </w:tcPr>
                <w:p w14:paraId="71D8923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1063" w:type="dxa"/>
                  <w:shd w:val="clear" w:color="auto" w:fill="auto"/>
                  <w:vAlign w:val="center"/>
                </w:tcPr>
                <w:p w14:paraId="4B87BE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0.4133</w:t>
                  </w:r>
                </w:p>
              </w:tc>
              <w:tc>
                <w:tcPr>
                  <w:tcW w:w="490" w:type="pct"/>
                  <w:vMerge w:val="continue"/>
                  <w:shd w:val="clear" w:color="auto" w:fill="auto"/>
                  <w:vAlign w:val="center"/>
                </w:tcPr>
                <w:p w14:paraId="2C63C102">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1031" w:type="dxa"/>
                  <w:shd w:val="clear" w:color="auto" w:fill="auto"/>
                  <w:noWrap/>
                  <w:vAlign w:val="center"/>
                </w:tcPr>
                <w:p w14:paraId="4A3685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1017" w:type="dxa"/>
                  <w:shd w:val="clear" w:color="auto" w:fill="auto"/>
                  <w:vAlign w:val="center"/>
                </w:tcPr>
                <w:p w14:paraId="3062D30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0.1653</w:t>
                  </w:r>
                </w:p>
              </w:tc>
              <w:tc>
                <w:tcPr>
                  <w:tcW w:w="526" w:type="pct"/>
                  <w:vMerge w:val="continue"/>
                  <w:shd w:val="clear" w:color="auto" w:fill="auto"/>
                  <w:vAlign w:val="center"/>
                </w:tcPr>
                <w:p w14:paraId="62D37FCA">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vertAlign w:val="baseline"/>
                    </w:rPr>
                  </w:pPr>
                </w:p>
              </w:tc>
            </w:tr>
            <w:tr w14:paraId="2A88A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380" w:type="pct"/>
                  <w:vMerge w:val="continue"/>
                  <w:shd w:val="clear" w:color="auto" w:fill="auto"/>
                  <w:vAlign w:val="center"/>
                </w:tcPr>
                <w:p w14:paraId="5DE2F072">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639" w:type="pct"/>
                  <w:vMerge w:val="continue"/>
                  <w:shd w:val="clear" w:color="auto" w:fill="auto"/>
                  <w:vAlign w:val="center"/>
                </w:tcPr>
                <w:p w14:paraId="496828FB">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483" w:type="pct"/>
                  <w:shd w:val="clear" w:color="auto" w:fill="auto"/>
                  <w:vAlign w:val="center"/>
                </w:tcPr>
                <w:p w14:paraId="517DC160">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cs="Times New Roman"/>
                      <w:i w:val="0"/>
                      <w:iCs w:val="0"/>
                      <w:color w:val="000000"/>
                      <w:kern w:val="0"/>
                      <w:sz w:val="21"/>
                      <w:szCs w:val="21"/>
                      <w:u w:val="none"/>
                      <w:vertAlign w:val="baseline"/>
                      <w:lang w:val="en-US" w:eastAsia="zh-CN" w:bidi="ar"/>
                    </w:rPr>
                  </w:pPr>
                  <w:r>
                    <w:rPr>
                      <w:rFonts w:hint="eastAsia" w:cs="Times New Roman"/>
                      <w:i w:val="0"/>
                      <w:iCs w:val="0"/>
                      <w:color w:val="000000"/>
                      <w:kern w:val="0"/>
                      <w:sz w:val="21"/>
                      <w:szCs w:val="21"/>
                      <w:u w:val="none"/>
                      <w:vertAlign w:val="baseline"/>
                      <w:lang w:val="en-US" w:eastAsia="zh-CN" w:bidi="ar"/>
                    </w:rPr>
                    <w:t>TP</w:t>
                  </w:r>
                </w:p>
              </w:tc>
              <w:tc>
                <w:tcPr>
                  <w:tcW w:w="1085" w:type="dxa"/>
                  <w:shd w:val="clear" w:color="auto" w:fill="auto"/>
                  <w:vAlign w:val="center"/>
                </w:tcPr>
                <w:p w14:paraId="596679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063" w:type="dxa"/>
                  <w:shd w:val="clear" w:color="auto" w:fill="auto"/>
                  <w:vAlign w:val="center"/>
                </w:tcPr>
                <w:p w14:paraId="00A54A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0.0344</w:t>
                  </w:r>
                </w:p>
              </w:tc>
              <w:tc>
                <w:tcPr>
                  <w:tcW w:w="490" w:type="pct"/>
                  <w:vMerge w:val="continue"/>
                  <w:shd w:val="clear" w:color="auto" w:fill="auto"/>
                  <w:vAlign w:val="center"/>
                </w:tcPr>
                <w:p w14:paraId="48C0D09D">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1031" w:type="dxa"/>
                  <w:shd w:val="clear" w:color="auto" w:fill="auto"/>
                  <w:noWrap/>
                  <w:vAlign w:val="center"/>
                </w:tcPr>
                <w:p w14:paraId="01E992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017" w:type="dxa"/>
                  <w:shd w:val="clear" w:color="auto" w:fill="auto"/>
                  <w:vAlign w:val="center"/>
                </w:tcPr>
                <w:p w14:paraId="3F836AF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0.0193</w:t>
                  </w:r>
                </w:p>
              </w:tc>
              <w:tc>
                <w:tcPr>
                  <w:tcW w:w="526" w:type="pct"/>
                  <w:vMerge w:val="continue"/>
                  <w:shd w:val="clear" w:color="auto" w:fill="auto"/>
                  <w:vAlign w:val="center"/>
                </w:tcPr>
                <w:p w14:paraId="71C7832B">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vertAlign w:val="baseline"/>
                    </w:rPr>
                  </w:pPr>
                </w:p>
              </w:tc>
            </w:tr>
            <w:tr w14:paraId="4284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380" w:type="pct"/>
                  <w:vMerge w:val="continue"/>
                  <w:shd w:val="clear" w:color="auto" w:fill="auto"/>
                  <w:vAlign w:val="center"/>
                </w:tcPr>
                <w:p w14:paraId="7C326AEA">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639" w:type="pct"/>
                  <w:vMerge w:val="continue"/>
                  <w:shd w:val="clear" w:color="auto" w:fill="auto"/>
                  <w:vAlign w:val="center"/>
                </w:tcPr>
                <w:p w14:paraId="3E62F049">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483" w:type="pct"/>
                  <w:shd w:val="clear" w:color="auto" w:fill="auto"/>
                  <w:vAlign w:val="center"/>
                </w:tcPr>
                <w:p w14:paraId="27DEA3D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全盐量</w:t>
                  </w:r>
                </w:p>
              </w:tc>
              <w:tc>
                <w:tcPr>
                  <w:tcW w:w="1085" w:type="dxa"/>
                  <w:shd w:val="clear" w:color="auto" w:fill="auto"/>
                  <w:vAlign w:val="center"/>
                </w:tcPr>
                <w:p w14:paraId="4E7AA7E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063" w:type="dxa"/>
                  <w:shd w:val="clear" w:color="auto" w:fill="auto"/>
                  <w:vAlign w:val="center"/>
                </w:tcPr>
                <w:p w14:paraId="2D0D9B3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0.0825</w:t>
                  </w:r>
                </w:p>
              </w:tc>
              <w:tc>
                <w:tcPr>
                  <w:tcW w:w="490" w:type="pct"/>
                  <w:vMerge w:val="continue"/>
                  <w:shd w:val="clear" w:color="auto" w:fill="auto"/>
                  <w:vAlign w:val="center"/>
                </w:tcPr>
                <w:p w14:paraId="602B17B9">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1031" w:type="dxa"/>
                  <w:shd w:val="clear" w:color="auto" w:fill="auto"/>
                  <w:noWrap/>
                  <w:vAlign w:val="center"/>
                </w:tcPr>
                <w:p w14:paraId="75B8054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017" w:type="dxa"/>
                  <w:shd w:val="clear" w:color="auto" w:fill="auto"/>
                  <w:vAlign w:val="center"/>
                </w:tcPr>
                <w:p w14:paraId="75AF8F1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0.0784</w:t>
                  </w:r>
                </w:p>
              </w:tc>
              <w:tc>
                <w:tcPr>
                  <w:tcW w:w="526" w:type="pct"/>
                  <w:vMerge w:val="continue"/>
                  <w:shd w:val="clear" w:color="auto" w:fill="auto"/>
                  <w:vAlign w:val="center"/>
                </w:tcPr>
                <w:p w14:paraId="41C2638A">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vertAlign w:val="baseline"/>
                    </w:rPr>
                  </w:pPr>
                </w:p>
              </w:tc>
            </w:tr>
            <w:tr w14:paraId="0084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380" w:type="pct"/>
                  <w:vMerge w:val="restart"/>
                  <w:shd w:val="clear" w:color="auto" w:fill="auto"/>
                  <w:vAlign w:val="center"/>
                </w:tcPr>
                <w:p w14:paraId="104D4BB1">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lang w:val="en-US" w:eastAsia="zh-CN"/>
                    </w:rPr>
                  </w:pPr>
                  <w:r>
                    <w:rPr>
                      <w:rFonts w:hint="eastAsia" w:cs="Times New Roman"/>
                      <w:b w:val="0"/>
                      <w:bCs w:val="0"/>
                      <w:i w:val="0"/>
                      <w:iCs w:val="0"/>
                      <w:color w:val="000000"/>
                      <w:sz w:val="21"/>
                      <w:szCs w:val="21"/>
                      <w:u w:val="none"/>
                      <w:lang w:val="en-US" w:eastAsia="zh-CN"/>
                    </w:rPr>
                    <w:t>纯水制备浓水</w:t>
                  </w:r>
                </w:p>
              </w:tc>
              <w:tc>
                <w:tcPr>
                  <w:tcW w:w="1082" w:type="dxa"/>
                  <w:vMerge w:val="restart"/>
                  <w:shd w:val="clear" w:color="auto" w:fill="auto"/>
                  <w:vAlign w:val="center"/>
                </w:tcPr>
                <w:p w14:paraId="4A344A5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5333.33</w:t>
                  </w:r>
                </w:p>
              </w:tc>
              <w:tc>
                <w:tcPr>
                  <w:tcW w:w="483" w:type="pct"/>
                  <w:shd w:val="clear" w:color="auto" w:fill="auto"/>
                  <w:vAlign w:val="center"/>
                </w:tcPr>
                <w:p w14:paraId="0989BC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vertAlign w:val="baseline"/>
                      <w:lang w:val="en-US" w:eastAsia="zh-CN" w:bidi="ar"/>
                    </w:rPr>
                    <w:t>COD</w:t>
                  </w:r>
                </w:p>
              </w:tc>
              <w:tc>
                <w:tcPr>
                  <w:tcW w:w="1085" w:type="dxa"/>
                  <w:shd w:val="clear" w:color="auto" w:fill="auto"/>
                  <w:vAlign w:val="center"/>
                </w:tcPr>
                <w:p w14:paraId="0099D6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63" w:type="dxa"/>
                  <w:shd w:val="clear" w:color="auto" w:fill="auto"/>
                  <w:vAlign w:val="center"/>
                </w:tcPr>
                <w:p w14:paraId="103DFC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0.1600</w:t>
                  </w:r>
                </w:p>
              </w:tc>
              <w:tc>
                <w:tcPr>
                  <w:tcW w:w="490" w:type="pct"/>
                  <w:vMerge w:val="restart"/>
                  <w:shd w:val="clear" w:color="auto" w:fill="auto"/>
                  <w:vAlign w:val="center"/>
                </w:tcPr>
                <w:p w14:paraId="66D27749">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Times New Roman"/>
                      <w:b w:val="0"/>
                      <w:bCs w:val="0"/>
                      <w:i w:val="0"/>
                      <w:iCs w:val="0"/>
                      <w:color w:val="000000"/>
                      <w:sz w:val="21"/>
                      <w:szCs w:val="21"/>
                      <w:u w:val="none"/>
                      <w:lang w:val="en-US" w:eastAsia="zh-CN"/>
                    </w:rPr>
                  </w:pPr>
                  <w:r>
                    <w:rPr>
                      <w:rFonts w:hint="eastAsia" w:cs="Times New Roman"/>
                      <w:b w:val="0"/>
                      <w:bCs w:val="0"/>
                      <w:i w:val="0"/>
                      <w:iCs w:val="0"/>
                      <w:color w:val="000000"/>
                      <w:sz w:val="21"/>
                      <w:szCs w:val="21"/>
                      <w:u w:val="none"/>
                      <w:lang w:val="en-US" w:eastAsia="zh-CN"/>
                    </w:rPr>
                    <w:t>/</w:t>
                  </w:r>
                </w:p>
              </w:tc>
              <w:tc>
                <w:tcPr>
                  <w:tcW w:w="1031" w:type="dxa"/>
                  <w:shd w:val="clear" w:color="auto" w:fill="auto"/>
                  <w:noWrap/>
                  <w:vAlign w:val="center"/>
                </w:tcPr>
                <w:p w14:paraId="565EDB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17" w:type="dxa"/>
                  <w:shd w:val="clear" w:color="auto" w:fill="auto"/>
                  <w:vAlign w:val="center"/>
                </w:tcPr>
                <w:p w14:paraId="17101F9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0.1600</w:t>
                  </w:r>
                </w:p>
              </w:tc>
              <w:tc>
                <w:tcPr>
                  <w:tcW w:w="526" w:type="pct"/>
                  <w:vMerge w:val="restart"/>
                  <w:shd w:val="clear" w:color="auto" w:fill="auto"/>
                  <w:vAlign w:val="center"/>
                </w:tcPr>
                <w:p w14:paraId="7350EE83">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Times New Roman"/>
                      <w:b w:val="0"/>
                      <w:bCs w:val="0"/>
                      <w:i w:val="0"/>
                      <w:iCs w:val="0"/>
                      <w:color w:val="000000"/>
                      <w:sz w:val="21"/>
                      <w:szCs w:val="21"/>
                      <w:u w:val="none"/>
                      <w:lang w:val="en-US" w:eastAsia="zh-CN"/>
                    </w:rPr>
                  </w:pPr>
                  <w:r>
                    <w:rPr>
                      <w:rFonts w:hint="eastAsia" w:cs="Times New Roman"/>
                      <w:b w:val="0"/>
                      <w:bCs w:val="0"/>
                      <w:i w:val="0"/>
                      <w:iCs w:val="0"/>
                      <w:color w:val="000000"/>
                      <w:sz w:val="21"/>
                      <w:szCs w:val="21"/>
                      <w:u w:val="none"/>
                      <w:lang w:val="en-US" w:eastAsia="zh-CN"/>
                    </w:rPr>
                    <w:t>/</w:t>
                  </w:r>
                </w:p>
              </w:tc>
            </w:tr>
            <w:tr w14:paraId="4444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380" w:type="pct"/>
                  <w:vMerge w:val="continue"/>
                  <w:shd w:val="clear" w:color="auto" w:fill="auto"/>
                  <w:vAlign w:val="center"/>
                </w:tcPr>
                <w:p w14:paraId="121572B9">
                  <w:pPr>
                    <w:keepNext w:val="0"/>
                    <w:keepLines w:val="0"/>
                    <w:pageBreakBefore w:val="0"/>
                    <w:kinsoku/>
                    <w:wordWrap/>
                    <w:overflowPunct/>
                    <w:topLinePunct w:val="0"/>
                    <w:autoSpaceDE/>
                    <w:autoSpaceDN/>
                    <w:bidi w:val="0"/>
                    <w:adjustRightInd/>
                    <w:snapToGrid/>
                    <w:jc w:val="center"/>
                    <w:rPr>
                      <w:sz w:val="21"/>
                      <w:szCs w:val="21"/>
                    </w:rPr>
                  </w:pPr>
                </w:p>
              </w:tc>
              <w:tc>
                <w:tcPr>
                  <w:tcW w:w="639" w:type="pct"/>
                  <w:vMerge w:val="continue"/>
                  <w:shd w:val="clear" w:color="auto" w:fill="auto"/>
                  <w:vAlign w:val="center"/>
                </w:tcPr>
                <w:p w14:paraId="48D2F370">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483" w:type="pct"/>
                  <w:shd w:val="clear" w:color="auto" w:fill="auto"/>
                  <w:vAlign w:val="center"/>
                </w:tcPr>
                <w:p w14:paraId="3290C6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全盐量</w:t>
                  </w:r>
                </w:p>
              </w:tc>
              <w:tc>
                <w:tcPr>
                  <w:tcW w:w="1085" w:type="dxa"/>
                  <w:shd w:val="clear" w:color="auto" w:fill="auto"/>
                  <w:vAlign w:val="center"/>
                </w:tcPr>
                <w:p w14:paraId="2C0A3D4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700</w:t>
                  </w:r>
                </w:p>
              </w:tc>
              <w:tc>
                <w:tcPr>
                  <w:tcW w:w="1063" w:type="dxa"/>
                  <w:shd w:val="clear" w:color="auto" w:fill="auto"/>
                  <w:vAlign w:val="center"/>
                </w:tcPr>
                <w:p w14:paraId="1D34059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3.7333</w:t>
                  </w:r>
                </w:p>
              </w:tc>
              <w:tc>
                <w:tcPr>
                  <w:tcW w:w="490" w:type="pct"/>
                  <w:vMerge w:val="continue"/>
                  <w:shd w:val="clear" w:color="auto" w:fill="auto"/>
                  <w:vAlign w:val="center"/>
                </w:tcPr>
                <w:p w14:paraId="406CEB3B">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1031" w:type="dxa"/>
                  <w:shd w:val="clear" w:color="auto" w:fill="auto"/>
                  <w:noWrap/>
                  <w:vAlign w:val="center"/>
                </w:tcPr>
                <w:p w14:paraId="482980E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700</w:t>
                  </w:r>
                </w:p>
              </w:tc>
              <w:tc>
                <w:tcPr>
                  <w:tcW w:w="1017" w:type="dxa"/>
                  <w:shd w:val="clear" w:color="auto" w:fill="auto"/>
                  <w:vAlign w:val="center"/>
                </w:tcPr>
                <w:p w14:paraId="04B94DE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3.7333</w:t>
                  </w:r>
                </w:p>
              </w:tc>
              <w:tc>
                <w:tcPr>
                  <w:tcW w:w="526" w:type="pct"/>
                  <w:vMerge w:val="continue"/>
                  <w:shd w:val="clear" w:color="auto" w:fill="auto"/>
                  <w:vAlign w:val="center"/>
                </w:tcPr>
                <w:p w14:paraId="5079CC6D">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r>
            <w:tr w14:paraId="2CF7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 w:hRule="atLeast"/>
                <w:jc w:val="center"/>
              </w:trPr>
              <w:tc>
                <w:tcPr>
                  <w:tcW w:w="380" w:type="pct"/>
                  <w:vMerge w:val="restart"/>
                  <w:shd w:val="clear" w:color="auto" w:fill="auto"/>
                  <w:vAlign w:val="center"/>
                </w:tcPr>
                <w:p w14:paraId="083C2D8D">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lang w:val="en-US" w:eastAsia="zh-CN"/>
                    </w:rPr>
                  </w:pPr>
                  <w:r>
                    <w:rPr>
                      <w:rFonts w:hint="eastAsia" w:cs="Times New Roman"/>
                      <w:b w:val="0"/>
                      <w:bCs w:val="0"/>
                      <w:i w:val="0"/>
                      <w:iCs w:val="0"/>
                      <w:color w:val="000000"/>
                      <w:sz w:val="21"/>
                      <w:szCs w:val="21"/>
                      <w:u w:val="none"/>
                      <w:lang w:val="en-US" w:eastAsia="zh-CN"/>
                    </w:rPr>
                    <w:t>综合废水</w:t>
                  </w:r>
                </w:p>
              </w:tc>
              <w:tc>
                <w:tcPr>
                  <w:tcW w:w="1082" w:type="dxa"/>
                  <w:vMerge w:val="restart"/>
                  <w:shd w:val="clear" w:color="auto" w:fill="auto"/>
                  <w:vAlign w:val="center"/>
                </w:tcPr>
                <w:p w14:paraId="12C387B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12608.33</w:t>
                  </w:r>
                </w:p>
              </w:tc>
              <w:tc>
                <w:tcPr>
                  <w:tcW w:w="483" w:type="pct"/>
                  <w:shd w:val="clear" w:color="auto" w:fill="auto"/>
                  <w:vAlign w:val="center"/>
                </w:tcPr>
                <w:p w14:paraId="76A418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b w:val="0"/>
                      <w:bCs w:val="0"/>
                      <w:i w:val="0"/>
                      <w:iCs w:val="0"/>
                      <w:color w:val="000000"/>
                      <w:kern w:val="0"/>
                      <w:sz w:val="21"/>
                      <w:szCs w:val="21"/>
                      <w:u w:val="none"/>
                      <w:lang w:val="en-US" w:eastAsia="zh-CN" w:bidi="ar"/>
                    </w:rPr>
                    <w:t>pH</w:t>
                  </w:r>
                </w:p>
              </w:tc>
              <w:tc>
                <w:tcPr>
                  <w:tcW w:w="1269" w:type="pct"/>
                  <w:gridSpan w:val="2"/>
                  <w:shd w:val="clear" w:color="auto" w:fill="auto"/>
                  <w:vAlign w:val="center"/>
                </w:tcPr>
                <w:p w14:paraId="2B32D6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6-9</w:t>
                  </w:r>
                  <w:r>
                    <w:rPr>
                      <w:rStyle w:val="73"/>
                      <w:rFonts w:hint="default" w:ascii="Times New Roman" w:hAnsi="Times New Roman" w:eastAsia="宋体" w:cs="Times New Roman"/>
                      <w:b w:val="0"/>
                      <w:bCs w:val="0"/>
                      <w:sz w:val="21"/>
                      <w:szCs w:val="21"/>
                      <w:lang w:val="en-US" w:eastAsia="zh-CN" w:bidi="ar"/>
                    </w:rPr>
                    <w:t>（无量纲）</w:t>
                  </w:r>
                </w:p>
              </w:tc>
              <w:tc>
                <w:tcPr>
                  <w:tcW w:w="490" w:type="pct"/>
                  <w:vMerge w:val="restart"/>
                  <w:shd w:val="clear" w:color="auto" w:fill="auto"/>
                  <w:vAlign w:val="center"/>
                </w:tcPr>
                <w:p w14:paraId="18540DEE">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Times New Roman"/>
                      <w:b w:val="0"/>
                      <w:bCs w:val="0"/>
                      <w:i w:val="0"/>
                      <w:iCs w:val="0"/>
                      <w:color w:val="000000"/>
                      <w:sz w:val="21"/>
                      <w:szCs w:val="21"/>
                      <w:u w:val="none"/>
                      <w:lang w:val="en-US" w:eastAsia="zh-CN"/>
                    </w:rPr>
                  </w:pPr>
                  <w:r>
                    <w:rPr>
                      <w:rFonts w:hint="eastAsia" w:cs="Times New Roman"/>
                      <w:b w:val="0"/>
                      <w:bCs w:val="0"/>
                      <w:i w:val="0"/>
                      <w:iCs w:val="0"/>
                      <w:color w:val="000000"/>
                      <w:sz w:val="21"/>
                      <w:szCs w:val="21"/>
                      <w:u w:val="none"/>
                      <w:lang w:val="en-US" w:eastAsia="zh-CN"/>
                    </w:rPr>
                    <w:t>/</w:t>
                  </w:r>
                </w:p>
              </w:tc>
              <w:tc>
                <w:tcPr>
                  <w:tcW w:w="1210" w:type="pct"/>
                  <w:gridSpan w:val="2"/>
                  <w:shd w:val="clear" w:color="auto" w:fill="auto"/>
                  <w:noWrap/>
                  <w:vAlign w:val="center"/>
                </w:tcPr>
                <w:p w14:paraId="5A8817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6-9</w:t>
                  </w:r>
                  <w:r>
                    <w:rPr>
                      <w:rStyle w:val="73"/>
                      <w:rFonts w:hint="default" w:ascii="Times New Roman" w:hAnsi="Times New Roman" w:eastAsia="宋体" w:cs="Times New Roman"/>
                      <w:b w:val="0"/>
                      <w:bCs w:val="0"/>
                      <w:sz w:val="21"/>
                      <w:szCs w:val="21"/>
                      <w:vertAlign w:val="baseline"/>
                      <w:lang w:val="en-US" w:eastAsia="zh-CN" w:bidi="ar"/>
                    </w:rPr>
                    <w:t>（无量纲）</w:t>
                  </w:r>
                </w:p>
              </w:tc>
              <w:tc>
                <w:tcPr>
                  <w:tcW w:w="526" w:type="pct"/>
                  <w:vMerge w:val="restart"/>
                  <w:shd w:val="clear" w:color="auto" w:fill="auto"/>
                  <w:vAlign w:val="center"/>
                </w:tcPr>
                <w:p w14:paraId="2E0A6507">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DW00</w:t>
                  </w:r>
                  <w:r>
                    <w:rPr>
                      <w:rStyle w:val="74"/>
                      <w:rFonts w:hint="default" w:ascii="Times New Roman" w:hAnsi="Times New Roman" w:eastAsia="宋体" w:cs="Times New Roman"/>
                      <w:b w:val="0"/>
                      <w:bCs w:val="0"/>
                      <w:sz w:val="21"/>
                      <w:szCs w:val="21"/>
                      <w:vertAlign w:val="baseline"/>
                      <w:lang w:val="en-US" w:eastAsia="zh-CN" w:bidi="ar"/>
                    </w:rPr>
                    <w:t>1</w:t>
                  </w:r>
                </w:p>
              </w:tc>
            </w:tr>
            <w:tr w14:paraId="4923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 w:hRule="atLeast"/>
                <w:jc w:val="center"/>
              </w:trPr>
              <w:tc>
                <w:tcPr>
                  <w:tcW w:w="380" w:type="pct"/>
                  <w:vMerge w:val="continue"/>
                  <w:shd w:val="clear" w:color="auto" w:fill="auto"/>
                  <w:vAlign w:val="center"/>
                </w:tcPr>
                <w:p w14:paraId="257F36A6">
                  <w:pPr>
                    <w:keepNext w:val="0"/>
                    <w:keepLines w:val="0"/>
                    <w:pageBreakBefore w:val="0"/>
                    <w:kinsoku/>
                    <w:wordWrap/>
                    <w:overflowPunct/>
                    <w:topLinePunct w:val="0"/>
                    <w:autoSpaceDE/>
                    <w:autoSpaceDN/>
                    <w:bidi w:val="0"/>
                    <w:adjustRightInd/>
                    <w:snapToGrid/>
                    <w:jc w:val="center"/>
                    <w:rPr>
                      <w:sz w:val="21"/>
                      <w:szCs w:val="21"/>
                    </w:rPr>
                  </w:pPr>
                </w:p>
              </w:tc>
              <w:tc>
                <w:tcPr>
                  <w:tcW w:w="639" w:type="pct"/>
                  <w:vMerge w:val="continue"/>
                  <w:shd w:val="clear" w:color="auto" w:fill="auto"/>
                  <w:vAlign w:val="center"/>
                </w:tcPr>
                <w:p w14:paraId="78ECC1B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483" w:type="pct"/>
                  <w:shd w:val="clear" w:color="auto" w:fill="auto"/>
                  <w:vAlign w:val="center"/>
                </w:tcPr>
                <w:p w14:paraId="66123B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vertAlign w:val="baseline"/>
                      <w:lang w:val="en-US" w:eastAsia="zh-CN" w:bidi="ar"/>
                    </w:rPr>
                    <w:t>COD</w:t>
                  </w:r>
                </w:p>
              </w:tc>
              <w:tc>
                <w:tcPr>
                  <w:tcW w:w="641" w:type="pct"/>
                  <w:shd w:val="clear" w:color="auto" w:fill="auto"/>
                  <w:vAlign w:val="center"/>
                </w:tcPr>
                <w:p w14:paraId="76B73401">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r>
                    <w:rPr>
                      <w:rFonts w:hint="eastAsia" w:cs="Times New Roman"/>
                      <w:b w:val="0"/>
                      <w:bCs w:val="0"/>
                      <w:i w:val="0"/>
                      <w:iCs w:val="0"/>
                      <w:color w:val="000000"/>
                      <w:kern w:val="0"/>
                      <w:sz w:val="21"/>
                      <w:szCs w:val="21"/>
                      <w:u w:val="none"/>
                      <w:lang w:val="en-US" w:eastAsia="zh-CN" w:bidi="ar"/>
                    </w:rPr>
                    <w:t>/</w:t>
                  </w:r>
                </w:p>
              </w:tc>
              <w:tc>
                <w:tcPr>
                  <w:tcW w:w="628" w:type="pct"/>
                  <w:shd w:val="clear" w:color="auto" w:fill="auto"/>
                  <w:vAlign w:val="center"/>
                </w:tcPr>
                <w:p w14:paraId="4FECD2F8">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r>
                    <w:rPr>
                      <w:rFonts w:hint="eastAsia" w:cs="Times New Roman"/>
                      <w:b w:val="0"/>
                      <w:bCs w:val="0"/>
                      <w:i w:val="0"/>
                      <w:iCs w:val="0"/>
                      <w:color w:val="000000"/>
                      <w:kern w:val="0"/>
                      <w:sz w:val="21"/>
                      <w:szCs w:val="21"/>
                      <w:u w:val="none"/>
                      <w:lang w:val="en-US" w:eastAsia="zh-CN" w:bidi="ar"/>
                    </w:rPr>
                    <w:t>/</w:t>
                  </w:r>
                </w:p>
              </w:tc>
              <w:tc>
                <w:tcPr>
                  <w:tcW w:w="490" w:type="pct"/>
                  <w:vMerge w:val="continue"/>
                  <w:shd w:val="clear" w:color="auto" w:fill="auto"/>
                  <w:vAlign w:val="center"/>
                </w:tcPr>
                <w:p w14:paraId="19463DFE">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1031" w:type="dxa"/>
                  <w:shd w:val="clear" w:color="auto" w:fill="auto"/>
                  <w:noWrap/>
                  <w:vAlign w:val="center"/>
                </w:tcPr>
                <w:p w14:paraId="4920F7E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77</w:t>
                  </w:r>
                </w:p>
              </w:tc>
              <w:tc>
                <w:tcPr>
                  <w:tcW w:w="1017" w:type="dxa"/>
                  <w:shd w:val="clear" w:color="auto" w:fill="auto"/>
                  <w:vAlign w:val="center"/>
                </w:tcPr>
                <w:p w14:paraId="5C65C18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0.9752</w:t>
                  </w:r>
                </w:p>
              </w:tc>
              <w:tc>
                <w:tcPr>
                  <w:tcW w:w="526" w:type="pct"/>
                  <w:vMerge w:val="continue"/>
                  <w:shd w:val="clear" w:color="auto" w:fill="auto"/>
                  <w:vAlign w:val="center"/>
                </w:tcPr>
                <w:p w14:paraId="29A985FD">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r>
            <w:tr w14:paraId="25AD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 w:hRule="atLeast"/>
                <w:jc w:val="center"/>
              </w:trPr>
              <w:tc>
                <w:tcPr>
                  <w:tcW w:w="380" w:type="pct"/>
                  <w:vMerge w:val="continue"/>
                  <w:shd w:val="clear" w:color="auto" w:fill="auto"/>
                  <w:vAlign w:val="center"/>
                </w:tcPr>
                <w:p w14:paraId="1D171099">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639" w:type="pct"/>
                  <w:vMerge w:val="continue"/>
                  <w:shd w:val="clear" w:color="auto" w:fill="auto"/>
                  <w:vAlign w:val="center"/>
                </w:tcPr>
                <w:p w14:paraId="76EA4CE2">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483" w:type="pct"/>
                  <w:shd w:val="clear" w:color="auto" w:fill="auto"/>
                  <w:vAlign w:val="center"/>
                </w:tcPr>
                <w:p w14:paraId="5EEF7C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vertAlign w:val="baseline"/>
                      <w:lang w:val="en-US" w:eastAsia="zh-CN" w:bidi="ar"/>
                    </w:rPr>
                    <w:t>BOD</w:t>
                  </w:r>
                  <w:r>
                    <w:rPr>
                      <w:rFonts w:hint="default" w:ascii="Times New Roman" w:hAnsi="Times New Roman" w:eastAsia="宋体" w:cs="Times New Roman"/>
                      <w:i w:val="0"/>
                      <w:iCs w:val="0"/>
                      <w:color w:val="000000"/>
                      <w:kern w:val="0"/>
                      <w:sz w:val="21"/>
                      <w:szCs w:val="21"/>
                      <w:u w:val="none"/>
                      <w:vertAlign w:val="subscript"/>
                      <w:lang w:val="en-US" w:eastAsia="zh-CN" w:bidi="ar"/>
                    </w:rPr>
                    <w:t>5</w:t>
                  </w:r>
                </w:p>
              </w:tc>
              <w:tc>
                <w:tcPr>
                  <w:tcW w:w="641" w:type="pct"/>
                  <w:shd w:val="clear" w:color="auto" w:fill="auto"/>
                  <w:vAlign w:val="center"/>
                </w:tcPr>
                <w:p w14:paraId="209BF1D0">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r>
                    <w:rPr>
                      <w:rFonts w:hint="eastAsia" w:cs="Times New Roman"/>
                      <w:b w:val="0"/>
                      <w:bCs w:val="0"/>
                      <w:i w:val="0"/>
                      <w:iCs w:val="0"/>
                      <w:color w:val="000000"/>
                      <w:kern w:val="0"/>
                      <w:sz w:val="21"/>
                      <w:szCs w:val="21"/>
                      <w:u w:val="none"/>
                      <w:lang w:val="en-US" w:eastAsia="zh-CN" w:bidi="ar"/>
                    </w:rPr>
                    <w:t>/</w:t>
                  </w:r>
                </w:p>
              </w:tc>
              <w:tc>
                <w:tcPr>
                  <w:tcW w:w="628" w:type="pct"/>
                  <w:shd w:val="clear" w:color="auto" w:fill="auto"/>
                  <w:vAlign w:val="center"/>
                </w:tcPr>
                <w:p w14:paraId="5D7F647C">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r>
                    <w:rPr>
                      <w:rFonts w:hint="eastAsia" w:cs="Times New Roman"/>
                      <w:b w:val="0"/>
                      <w:bCs w:val="0"/>
                      <w:i w:val="0"/>
                      <w:iCs w:val="0"/>
                      <w:color w:val="000000"/>
                      <w:kern w:val="0"/>
                      <w:sz w:val="21"/>
                      <w:szCs w:val="21"/>
                      <w:u w:val="none"/>
                      <w:lang w:val="en-US" w:eastAsia="zh-CN" w:bidi="ar"/>
                    </w:rPr>
                    <w:t>/</w:t>
                  </w:r>
                </w:p>
              </w:tc>
              <w:tc>
                <w:tcPr>
                  <w:tcW w:w="490" w:type="pct"/>
                  <w:vMerge w:val="continue"/>
                  <w:shd w:val="clear" w:color="auto" w:fill="auto"/>
                  <w:vAlign w:val="center"/>
                </w:tcPr>
                <w:p w14:paraId="1DE4434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1031" w:type="dxa"/>
                  <w:shd w:val="clear" w:color="auto" w:fill="auto"/>
                  <w:noWrap/>
                  <w:vAlign w:val="center"/>
                </w:tcPr>
                <w:p w14:paraId="7A7304A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1017" w:type="dxa"/>
                  <w:shd w:val="clear" w:color="auto" w:fill="auto"/>
                  <w:vAlign w:val="center"/>
                </w:tcPr>
                <w:p w14:paraId="6E75E48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0.5370</w:t>
                  </w:r>
                </w:p>
              </w:tc>
              <w:tc>
                <w:tcPr>
                  <w:tcW w:w="526" w:type="pct"/>
                  <w:vMerge w:val="continue"/>
                  <w:shd w:val="clear" w:color="auto" w:fill="auto"/>
                  <w:vAlign w:val="center"/>
                </w:tcPr>
                <w:p w14:paraId="19D50148">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r>
            <w:tr w14:paraId="18E8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 w:hRule="atLeast"/>
                <w:jc w:val="center"/>
              </w:trPr>
              <w:tc>
                <w:tcPr>
                  <w:tcW w:w="380" w:type="pct"/>
                  <w:vMerge w:val="continue"/>
                  <w:shd w:val="clear" w:color="auto" w:fill="auto"/>
                  <w:vAlign w:val="center"/>
                </w:tcPr>
                <w:p w14:paraId="7F8BB5C0">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639" w:type="pct"/>
                  <w:vMerge w:val="continue"/>
                  <w:shd w:val="clear" w:color="auto" w:fill="auto"/>
                  <w:vAlign w:val="center"/>
                </w:tcPr>
                <w:p w14:paraId="120EEEC5">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483" w:type="pct"/>
                  <w:shd w:val="clear" w:color="auto" w:fill="auto"/>
                  <w:vAlign w:val="center"/>
                </w:tcPr>
                <w:p w14:paraId="1CA8A6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vertAlign w:val="baseline"/>
                      <w:lang w:val="en-US" w:eastAsia="zh-CN" w:bidi="ar"/>
                    </w:rPr>
                    <w:t>SS</w:t>
                  </w:r>
                </w:p>
              </w:tc>
              <w:tc>
                <w:tcPr>
                  <w:tcW w:w="641" w:type="pct"/>
                  <w:shd w:val="clear" w:color="auto" w:fill="auto"/>
                  <w:vAlign w:val="center"/>
                </w:tcPr>
                <w:p w14:paraId="6F8283FD">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r>
                    <w:rPr>
                      <w:rFonts w:hint="eastAsia" w:cs="Times New Roman"/>
                      <w:b w:val="0"/>
                      <w:bCs w:val="0"/>
                      <w:i w:val="0"/>
                      <w:iCs w:val="0"/>
                      <w:color w:val="000000"/>
                      <w:kern w:val="0"/>
                      <w:sz w:val="21"/>
                      <w:szCs w:val="21"/>
                      <w:u w:val="none"/>
                      <w:lang w:val="en-US" w:eastAsia="zh-CN" w:bidi="ar"/>
                    </w:rPr>
                    <w:t>/</w:t>
                  </w:r>
                </w:p>
              </w:tc>
              <w:tc>
                <w:tcPr>
                  <w:tcW w:w="628" w:type="pct"/>
                  <w:shd w:val="clear" w:color="auto" w:fill="auto"/>
                  <w:vAlign w:val="center"/>
                </w:tcPr>
                <w:p w14:paraId="5500418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r>
                    <w:rPr>
                      <w:rFonts w:hint="eastAsia" w:cs="Times New Roman"/>
                      <w:b w:val="0"/>
                      <w:bCs w:val="0"/>
                      <w:i w:val="0"/>
                      <w:iCs w:val="0"/>
                      <w:color w:val="000000"/>
                      <w:kern w:val="0"/>
                      <w:sz w:val="21"/>
                      <w:szCs w:val="21"/>
                      <w:u w:val="none"/>
                      <w:lang w:val="en-US" w:eastAsia="zh-CN" w:bidi="ar"/>
                    </w:rPr>
                    <w:t>/</w:t>
                  </w:r>
                </w:p>
              </w:tc>
              <w:tc>
                <w:tcPr>
                  <w:tcW w:w="490" w:type="pct"/>
                  <w:vMerge w:val="continue"/>
                  <w:shd w:val="clear" w:color="auto" w:fill="auto"/>
                  <w:vAlign w:val="center"/>
                </w:tcPr>
                <w:p w14:paraId="443C8CC1">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1031" w:type="dxa"/>
                  <w:shd w:val="clear" w:color="auto" w:fill="auto"/>
                  <w:noWrap/>
                  <w:vAlign w:val="center"/>
                </w:tcPr>
                <w:p w14:paraId="144FF9F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1017" w:type="dxa"/>
                  <w:shd w:val="clear" w:color="auto" w:fill="auto"/>
                  <w:vAlign w:val="center"/>
                </w:tcPr>
                <w:p w14:paraId="10C423B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0.4001</w:t>
                  </w:r>
                </w:p>
              </w:tc>
              <w:tc>
                <w:tcPr>
                  <w:tcW w:w="526" w:type="pct"/>
                  <w:vMerge w:val="continue"/>
                  <w:shd w:val="clear" w:color="auto" w:fill="auto"/>
                  <w:vAlign w:val="center"/>
                </w:tcPr>
                <w:p w14:paraId="7C525B65">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r>
            <w:tr w14:paraId="43FB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 w:hRule="atLeast"/>
                <w:jc w:val="center"/>
              </w:trPr>
              <w:tc>
                <w:tcPr>
                  <w:tcW w:w="380" w:type="pct"/>
                  <w:vMerge w:val="continue"/>
                  <w:shd w:val="clear" w:color="auto" w:fill="auto"/>
                  <w:vAlign w:val="center"/>
                </w:tcPr>
                <w:p w14:paraId="15EC2C0B">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639" w:type="pct"/>
                  <w:vMerge w:val="continue"/>
                  <w:shd w:val="clear" w:color="auto" w:fill="auto"/>
                  <w:vAlign w:val="center"/>
                </w:tcPr>
                <w:p w14:paraId="20120F83">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483" w:type="pct"/>
                  <w:shd w:val="clear" w:color="auto" w:fill="auto"/>
                  <w:vAlign w:val="center"/>
                </w:tcPr>
                <w:p w14:paraId="245B82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vertAlign w:val="baseline"/>
                      <w:lang w:val="en-US" w:eastAsia="zh-CN" w:bidi="ar"/>
                    </w:rPr>
                    <w:t>NH</w:t>
                  </w:r>
                  <w:r>
                    <w:rPr>
                      <w:rFonts w:hint="default" w:ascii="Times New Roman" w:hAnsi="Times New Roman" w:eastAsia="宋体" w:cs="Times New Roman"/>
                      <w:i w:val="0"/>
                      <w:iCs w:val="0"/>
                      <w:color w:val="000000"/>
                      <w:kern w:val="0"/>
                      <w:sz w:val="21"/>
                      <w:szCs w:val="21"/>
                      <w:u w:val="none"/>
                      <w:vertAlign w:val="subscript"/>
                      <w:lang w:val="en-US" w:eastAsia="zh-CN" w:bidi="ar"/>
                    </w:rPr>
                    <w:t>3</w:t>
                  </w:r>
                  <w:r>
                    <w:rPr>
                      <w:rFonts w:hint="default" w:ascii="Times New Roman" w:hAnsi="Times New Roman" w:eastAsia="宋体" w:cs="Times New Roman"/>
                      <w:i w:val="0"/>
                      <w:iCs w:val="0"/>
                      <w:color w:val="000000"/>
                      <w:kern w:val="0"/>
                      <w:sz w:val="21"/>
                      <w:szCs w:val="21"/>
                      <w:u w:val="none"/>
                      <w:vertAlign w:val="baseline"/>
                      <w:lang w:val="en-US" w:eastAsia="zh-CN" w:bidi="ar"/>
                    </w:rPr>
                    <w:t>-N</w:t>
                  </w:r>
                </w:p>
              </w:tc>
              <w:tc>
                <w:tcPr>
                  <w:tcW w:w="641" w:type="pct"/>
                  <w:shd w:val="clear" w:color="auto" w:fill="auto"/>
                  <w:vAlign w:val="center"/>
                </w:tcPr>
                <w:p w14:paraId="648A19C3">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r>
                    <w:rPr>
                      <w:rFonts w:hint="eastAsia" w:cs="Times New Roman"/>
                      <w:b w:val="0"/>
                      <w:bCs w:val="0"/>
                      <w:i w:val="0"/>
                      <w:iCs w:val="0"/>
                      <w:color w:val="000000"/>
                      <w:kern w:val="0"/>
                      <w:sz w:val="21"/>
                      <w:szCs w:val="21"/>
                      <w:u w:val="none"/>
                      <w:lang w:val="en-US" w:eastAsia="zh-CN" w:bidi="ar"/>
                    </w:rPr>
                    <w:t>/</w:t>
                  </w:r>
                </w:p>
              </w:tc>
              <w:tc>
                <w:tcPr>
                  <w:tcW w:w="628" w:type="pct"/>
                  <w:shd w:val="clear" w:color="auto" w:fill="auto"/>
                  <w:vAlign w:val="center"/>
                </w:tcPr>
                <w:p w14:paraId="4EC48377">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r>
                    <w:rPr>
                      <w:rFonts w:hint="eastAsia" w:cs="Times New Roman"/>
                      <w:b w:val="0"/>
                      <w:bCs w:val="0"/>
                      <w:i w:val="0"/>
                      <w:iCs w:val="0"/>
                      <w:color w:val="000000"/>
                      <w:kern w:val="0"/>
                      <w:sz w:val="21"/>
                      <w:szCs w:val="21"/>
                      <w:u w:val="none"/>
                      <w:lang w:val="en-US" w:eastAsia="zh-CN" w:bidi="ar"/>
                    </w:rPr>
                    <w:t>/</w:t>
                  </w:r>
                </w:p>
              </w:tc>
              <w:tc>
                <w:tcPr>
                  <w:tcW w:w="490" w:type="pct"/>
                  <w:vMerge w:val="continue"/>
                  <w:shd w:val="clear" w:color="auto" w:fill="auto"/>
                  <w:vAlign w:val="center"/>
                </w:tcPr>
                <w:p w14:paraId="5B1969A8">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1031" w:type="dxa"/>
                  <w:shd w:val="clear" w:color="auto" w:fill="auto"/>
                  <w:noWrap/>
                  <w:vAlign w:val="center"/>
                </w:tcPr>
                <w:p w14:paraId="20EC546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017" w:type="dxa"/>
                  <w:shd w:val="clear" w:color="auto" w:fill="auto"/>
                  <w:vAlign w:val="center"/>
                </w:tcPr>
                <w:p w14:paraId="3C49331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0.1304</w:t>
                  </w:r>
                </w:p>
              </w:tc>
              <w:tc>
                <w:tcPr>
                  <w:tcW w:w="526" w:type="pct"/>
                  <w:vMerge w:val="continue"/>
                  <w:shd w:val="clear" w:color="auto" w:fill="auto"/>
                  <w:vAlign w:val="center"/>
                </w:tcPr>
                <w:p w14:paraId="4B79270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r>
            <w:tr w14:paraId="3671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 w:hRule="atLeast"/>
                <w:jc w:val="center"/>
              </w:trPr>
              <w:tc>
                <w:tcPr>
                  <w:tcW w:w="380" w:type="pct"/>
                  <w:vMerge w:val="continue"/>
                  <w:shd w:val="clear" w:color="auto" w:fill="auto"/>
                  <w:vAlign w:val="center"/>
                </w:tcPr>
                <w:p w14:paraId="5FB5405E">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639" w:type="pct"/>
                  <w:vMerge w:val="continue"/>
                  <w:shd w:val="clear" w:color="auto" w:fill="auto"/>
                  <w:vAlign w:val="center"/>
                </w:tcPr>
                <w:p w14:paraId="2B086227">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483" w:type="pct"/>
                  <w:shd w:val="clear" w:color="auto" w:fill="auto"/>
                  <w:vAlign w:val="center"/>
                </w:tcPr>
                <w:p w14:paraId="17F062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eastAsia" w:cs="Times New Roman"/>
                      <w:i w:val="0"/>
                      <w:iCs w:val="0"/>
                      <w:color w:val="000000"/>
                      <w:kern w:val="0"/>
                      <w:sz w:val="21"/>
                      <w:szCs w:val="21"/>
                      <w:u w:val="none"/>
                      <w:vertAlign w:val="baseline"/>
                      <w:lang w:val="en-US" w:eastAsia="zh-CN" w:bidi="ar"/>
                    </w:rPr>
                    <w:t>TN</w:t>
                  </w:r>
                </w:p>
              </w:tc>
              <w:tc>
                <w:tcPr>
                  <w:tcW w:w="641" w:type="pct"/>
                  <w:shd w:val="clear" w:color="auto" w:fill="auto"/>
                  <w:vAlign w:val="center"/>
                </w:tcPr>
                <w:p w14:paraId="04194BA6">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r>
                    <w:rPr>
                      <w:rFonts w:hint="eastAsia" w:cs="Times New Roman"/>
                      <w:b w:val="0"/>
                      <w:bCs w:val="0"/>
                      <w:i w:val="0"/>
                      <w:iCs w:val="0"/>
                      <w:color w:val="000000"/>
                      <w:kern w:val="0"/>
                      <w:sz w:val="21"/>
                      <w:szCs w:val="21"/>
                      <w:u w:val="none"/>
                      <w:lang w:val="en-US" w:eastAsia="zh-CN" w:bidi="ar"/>
                    </w:rPr>
                    <w:t>/</w:t>
                  </w:r>
                </w:p>
              </w:tc>
              <w:tc>
                <w:tcPr>
                  <w:tcW w:w="628" w:type="pct"/>
                  <w:shd w:val="clear" w:color="auto" w:fill="auto"/>
                  <w:vAlign w:val="center"/>
                </w:tcPr>
                <w:p w14:paraId="60A1EEDA">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r>
                    <w:rPr>
                      <w:rFonts w:hint="eastAsia" w:cs="Times New Roman"/>
                      <w:b w:val="0"/>
                      <w:bCs w:val="0"/>
                      <w:i w:val="0"/>
                      <w:iCs w:val="0"/>
                      <w:color w:val="000000"/>
                      <w:kern w:val="0"/>
                      <w:sz w:val="21"/>
                      <w:szCs w:val="21"/>
                      <w:u w:val="none"/>
                      <w:lang w:val="en-US" w:eastAsia="zh-CN" w:bidi="ar"/>
                    </w:rPr>
                    <w:t>/</w:t>
                  </w:r>
                </w:p>
              </w:tc>
              <w:tc>
                <w:tcPr>
                  <w:tcW w:w="490" w:type="pct"/>
                  <w:vMerge w:val="continue"/>
                  <w:shd w:val="clear" w:color="auto" w:fill="auto"/>
                  <w:vAlign w:val="center"/>
                </w:tcPr>
                <w:p w14:paraId="6794E883">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1031" w:type="dxa"/>
                  <w:shd w:val="clear" w:color="auto" w:fill="auto"/>
                  <w:noWrap/>
                  <w:vAlign w:val="center"/>
                </w:tcPr>
                <w:p w14:paraId="0438920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017" w:type="dxa"/>
                  <w:shd w:val="clear" w:color="auto" w:fill="auto"/>
                  <w:vAlign w:val="center"/>
                </w:tcPr>
                <w:p w14:paraId="2FBC4D4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0.1653</w:t>
                  </w:r>
                </w:p>
              </w:tc>
              <w:tc>
                <w:tcPr>
                  <w:tcW w:w="526" w:type="pct"/>
                  <w:vMerge w:val="continue"/>
                  <w:shd w:val="clear" w:color="auto" w:fill="auto"/>
                  <w:vAlign w:val="center"/>
                </w:tcPr>
                <w:p w14:paraId="5D87F771">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r>
            <w:tr w14:paraId="4F220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 w:hRule="atLeast"/>
                <w:jc w:val="center"/>
              </w:trPr>
              <w:tc>
                <w:tcPr>
                  <w:tcW w:w="380" w:type="pct"/>
                  <w:vMerge w:val="continue"/>
                  <w:shd w:val="clear" w:color="auto" w:fill="auto"/>
                  <w:vAlign w:val="center"/>
                </w:tcPr>
                <w:p w14:paraId="73DB9470">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639" w:type="pct"/>
                  <w:vMerge w:val="continue"/>
                  <w:shd w:val="clear" w:color="auto" w:fill="auto"/>
                  <w:vAlign w:val="center"/>
                </w:tcPr>
                <w:p w14:paraId="382A554E">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0" w:type="auto"/>
                  <w:shd w:val="clear" w:color="auto" w:fill="auto"/>
                  <w:vAlign w:val="center"/>
                </w:tcPr>
                <w:p w14:paraId="1B62E3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eastAsia" w:cs="Times New Roman"/>
                      <w:i w:val="0"/>
                      <w:iCs w:val="0"/>
                      <w:color w:val="000000"/>
                      <w:kern w:val="0"/>
                      <w:sz w:val="21"/>
                      <w:szCs w:val="21"/>
                      <w:u w:val="none"/>
                      <w:vertAlign w:val="baseline"/>
                      <w:lang w:val="en-US" w:eastAsia="zh-CN" w:bidi="ar"/>
                    </w:rPr>
                    <w:t>TP</w:t>
                  </w:r>
                </w:p>
              </w:tc>
              <w:tc>
                <w:tcPr>
                  <w:tcW w:w="641" w:type="pct"/>
                  <w:shd w:val="clear" w:color="auto" w:fill="auto"/>
                  <w:vAlign w:val="center"/>
                </w:tcPr>
                <w:p w14:paraId="1A6DABDE">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r>
                    <w:rPr>
                      <w:rFonts w:hint="eastAsia" w:cs="Times New Roman"/>
                      <w:b w:val="0"/>
                      <w:bCs w:val="0"/>
                      <w:i w:val="0"/>
                      <w:iCs w:val="0"/>
                      <w:color w:val="000000"/>
                      <w:kern w:val="0"/>
                      <w:sz w:val="21"/>
                      <w:szCs w:val="21"/>
                      <w:u w:val="none"/>
                      <w:lang w:val="en-US" w:eastAsia="zh-CN" w:bidi="ar"/>
                    </w:rPr>
                    <w:t>/</w:t>
                  </w:r>
                </w:p>
              </w:tc>
              <w:tc>
                <w:tcPr>
                  <w:tcW w:w="628" w:type="pct"/>
                  <w:shd w:val="clear" w:color="auto" w:fill="auto"/>
                  <w:vAlign w:val="center"/>
                </w:tcPr>
                <w:p w14:paraId="649F6E8D">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r>
                    <w:rPr>
                      <w:rFonts w:hint="eastAsia" w:cs="Times New Roman"/>
                      <w:b w:val="0"/>
                      <w:bCs w:val="0"/>
                      <w:i w:val="0"/>
                      <w:iCs w:val="0"/>
                      <w:color w:val="000000"/>
                      <w:kern w:val="0"/>
                      <w:sz w:val="21"/>
                      <w:szCs w:val="21"/>
                      <w:u w:val="none"/>
                      <w:lang w:val="en-US" w:eastAsia="zh-CN" w:bidi="ar"/>
                    </w:rPr>
                    <w:t>/</w:t>
                  </w:r>
                </w:p>
              </w:tc>
              <w:tc>
                <w:tcPr>
                  <w:tcW w:w="490" w:type="pct"/>
                  <w:vMerge w:val="continue"/>
                  <w:shd w:val="clear" w:color="auto" w:fill="auto"/>
                  <w:vAlign w:val="center"/>
                </w:tcPr>
                <w:p w14:paraId="60E8BAC1">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1031" w:type="dxa"/>
                  <w:shd w:val="clear" w:color="auto" w:fill="auto"/>
                  <w:vAlign w:val="center"/>
                </w:tcPr>
                <w:p w14:paraId="33C3AB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17" w:type="dxa"/>
                  <w:shd w:val="clear" w:color="auto" w:fill="auto"/>
                  <w:vAlign w:val="center"/>
                </w:tcPr>
                <w:p w14:paraId="2EC7FA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0.0193</w:t>
                  </w:r>
                </w:p>
              </w:tc>
              <w:tc>
                <w:tcPr>
                  <w:tcW w:w="526" w:type="pct"/>
                  <w:vMerge w:val="continue"/>
                  <w:shd w:val="clear" w:color="auto" w:fill="auto"/>
                  <w:vAlign w:val="center"/>
                </w:tcPr>
                <w:p w14:paraId="71A72E5A">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r>
            <w:tr w14:paraId="1952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 w:hRule="atLeast"/>
                <w:jc w:val="center"/>
              </w:trPr>
              <w:tc>
                <w:tcPr>
                  <w:tcW w:w="380" w:type="pct"/>
                  <w:vMerge w:val="continue"/>
                  <w:shd w:val="clear" w:color="auto" w:fill="auto"/>
                  <w:vAlign w:val="center"/>
                </w:tcPr>
                <w:p w14:paraId="5BF5B5FE">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639" w:type="pct"/>
                  <w:vMerge w:val="continue"/>
                  <w:shd w:val="clear" w:color="auto" w:fill="auto"/>
                  <w:vAlign w:val="center"/>
                </w:tcPr>
                <w:p w14:paraId="3D7E479A">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0" w:type="auto"/>
                  <w:shd w:val="clear" w:color="auto" w:fill="auto"/>
                  <w:vAlign w:val="center"/>
                </w:tcPr>
                <w:p w14:paraId="03A073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cs="Times New Roman"/>
                      <w:i w:val="0"/>
                      <w:iCs w:val="0"/>
                      <w:color w:val="000000"/>
                      <w:kern w:val="0"/>
                      <w:sz w:val="21"/>
                      <w:szCs w:val="21"/>
                      <w:u w:val="none"/>
                      <w:vertAlign w:val="baseli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全盐量</w:t>
                  </w:r>
                </w:p>
              </w:tc>
              <w:tc>
                <w:tcPr>
                  <w:tcW w:w="641" w:type="pct"/>
                  <w:shd w:val="clear" w:color="auto" w:fill="auto"/>
                  <w:vAlign w:val="center"/>
                </w:tcPr>
                <w:p w14:paraId="6588E363">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r>
                    <w:rPr>
                      <w:rFonts w:hint="eastAsia" w:cs="Times New Roman"/>
                      <w:b w:val="0"/>
                      <w:bCs w:val="0"/>
                      <w:i w:val="0"/>
                      <w:iCs w:val="0"/>
                      <w:color w:val="000000"/>
                      <w:kern w:val="0"/>
                      <w:sz w:val="21"/>
                      <w:szCs w:val="21"/>
                      <w:u w:val="none"/>
                      <w:lang w:val="en-US" w:eastAsia="zh-CN" w:bidi="ar"/>
                    </w:rPr>
                    <w:t>/</w:t>
                  </w:r>
                </w:p>
              </w:tc>
              <w:tc>
                <w:tcPr>
                  <w:tcW w:w="628" w:type="pct"/>
                  <w:shd w:val="clear" w:color="auto" w:fill="auto"/>
                  <w:vAlign w:val="center"/>
                </w:tcPr>
                <w:p w14:paraId="34B86EBD">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r>
                    <w:rPr>
                      <w:rFonts w:hint="eastAsia" w:cs="Times New Roman"/>
                      <w:b w:val="0"/>
                      <w:bCs w:val="0"/>
                      <w:i w:val="0"/>
                      <w:iCs w:val="0"/>
                      <w:color w:val="000000"/>
                      <w:kern w:val="0"/>
                      <w:sz w:val="21"/>
                      <w:szCs w:val="21"/>
                      <w:u w:val="none"/>
                      <w:lang w:val="en-US" w:eastAsia="zh-CN" w:bidi="ar"/>
                    </w:rPr>
                    <w:t>/</w:t>
                  </w:r>
                </w:p>
              </w:tc>
              <w:tc>
                <w:tcPr>
                  <w:tcW w:w="490" w:type="pct"/>
                  <w:vMerge w:val="continue"/>
                  <w:shd w:val="clear" w:color="auto" w:fill="auto"/>
                  <w:vAlign w:val="center"/>
                </w:tcPr>
                <w:p w14:paraId="3DCDF79F">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c>
                <w:tcPr>
                  <w:tcW w:w="1031" w:type="dxa"/>
                  <w:shd w:val="clear" w:color="auto" w:fill="auto"/>
                  <w:vAlign w:val="center"/>
                </w:tcPr>
                <w:p w14:paraId="4A3ECD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302</w:t>
                  </w:r>
                </w:p>
              </w:tc>
              <w:tc>
                <w:tcPr>
                  <w:tcW w:w="1017" w:type="dxa"/>
                  <w:shd w:val="clear" w:color="auto" w:fill="auto"/>
                  <w:vAlign w:val="center"/>
                </w:tcPr>
                <w:p w14:paraId="644BDB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3.8117</w:t>
                  </w:r>
                </w:p>
              </w:tc>
              <w:tc>
                <w:tcPr>
                  <w:tcW w:w="526" w:type="pct"/>
                  <w:vMerge w:val="continue"/>
                  <w:shd w:val="clear" w:color="auto" w:fill="auto"/>
                  <w:vAlign w:val="center"/>
                </w:tcPr>
                <w:p w14:paraId="405A8BCD">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sz w:val="21"/>
                      <w:szCs w:val="21"/>
                      <w:u w:val="none"/>
                    </w:rPr>
                  </w:pPr>
                </w:p>
              </w:tc>
            </w:tr>
          </w:tbl>
          <w:p w14:paraId="49F0E2B1">
            <w:pPr>
              <w:keepNext w:val="0"/>
              <w:keepLines w:val="0"/>
              <w:pageBreakBefore w:val="0"/>
              <w:widowControl w:val="0"/>
              <w:tabs>
                <w:tab w:val="left" w:pos="720"/>
              </w:tabs>
              <w:kinsoku/>
              <w:wordWrap/>
              <w:overflowPunct/>
              <w:topLinePunct w:val="0"/>
              <w:autoSpaceDE/>
              <w:autoSpaceDN/>
              <w:bidi w:val="0"/>
              <w:adjustRightInd/>
              <w:snapToGrid/>
              <w:spacing w:before="157" w:beforeLines="50" w:line="360" w:lineRule="auto"/>
              <w:ind w:firstLine="482" w:firstLineChars="200"/>
              <w:jc w:val="both"/>
              <w:textAlignment w:val="auto"/>
              <w:rPr>
                <w:rFonts w:hint="default" w:ascii="Times New Roman" w:hAnsi="Times New Roman" w:cs="Times New Roman"/>
                <w:b/>
                <w:bCs w:val="0"/>
                <w:sz w:val="24"/>
              </w:rPr>
            </w:pPr>
            <w:r>
              <w:rPr>
                <w:rFonts w:hint="eastAsia" w:cs="Times New Roman"/>
                <w:b/>
                <w:bCs w:val="0"/>
                <w:sz w:val="24"/>
                <w:lang w:val="en-US" w:eastAsia="zh-CN"/>
              </w:rPr>
              <w:t>2、</w:t>
            </w:r>
            <w:r>
              <w:rPr>
                <w:rFonts w:hint="default" w:ascii="Times New Roman" w:hAnsi="Times New Roman" w:cs="Times New Roman"/>
                <w:b/>
                <w:bCs w:val="0"/>
                <w:sz w:val="24"/>
              </w:rPr>
              <w:t>厂区一体化污水处理设施处理工艺如下所示：</w:t>
            </w:r>
          </w:p>
          <w:p w14:paraId="0003011D">
            <w:pPr>
              <w:keepNext w:val="0"/>
              <w:keepLines w:val="0"/>
              <w:pageBreakBefore w:val="0"/>
              <w:widowControl w:val="0"/>
              <w:tabs>
                <w:tab w:val="left" w:pos="72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rPr>
            </w:pPr>
            <w:r>
              <w:rPr>
                <w:rFonts w:hint="default" w:ascii="Times New Roman" w:hAnsi="Times New Roman" w:cs="Times New Roman"/>
              </w:rPr>
              <w:object>
                <v:shape id="_x0000_i1028" o:spt="75" type="#_x0000_t75" style="height:309.2pt;width:285.55pt;" o:ole="t" filled="f" o:preferrelative="t" stroked="f" coordsize="21600,21600">
                  <v:path/>
                  <v:fill on="f" focussize="0,0"/>
                  <v:stroke on="f"/>
                  <v:imagedata r:id="rId16" cropleft="13559f" croptop="11511f" cropright="6282f" cropbottom="8581f" o:title=""/>
                  <o:lock v:ext="edit" aspectratio="f"/>
                  <w10:wrap type="none"/>
                  <w10:anchorlock/>
                </v:shape>
                <o:OLEObject Type="Embed" ProgID="Visio.Drawing.15" ShapeID="_x0000_i1028" DrawAspect="Content" ObjectID="_1468075728" r:id="rId15">
                  <o:LockedField>false</o:LockedField>
                </o:OLEObject>
              </w:object>
            </w:r>
          </w:p>
          <w:p w14:paraId="728BD691">
            <w:pPr>
              <w:keepNext w:val="0"/>
              <w:keepLines w:val="0"/>
              <w:pageBreakBefore w:val="0"/>
              <w:widowControl w:val="0"/>
              <w:tabs>
                <w:tab w:val="left" w:pos="720"/>
              </w:tabs>
              <w:kinsoku/>
              <w:wordWrap/>
              <w:overflowPunct/>
              <w:topLinePunct w:val="0"/>
              <w:autoSpaceDE/>
              <w:autoSpaceDN/>
              <w:bidi w:val="0"/>
              <w:adjustRightInd/>
              <w:snapToGrid/>
              <w:spacing w:line="240" w:lineRule="auto"/>
              <w:ind w:firstLine="0" w:firstLineChars="0"/>
              <w:jc w:val="center"/>
              <w:textAlignment w:val="auto"/>
              <w:rPr>
                <w:rFonts w:hint="eastAsia"/>
                <w:b/>
                <w:bCs/>
                <w:color w:val="000000"/>
                <w:sz w:val="24"/>
                <w:szCs w:val="24"/>
                <w:lang w:val="en-US" w:eastAsia="zh-CN"/>
              </w:rPr>
            </w:pPr>
            <w:r>
              <w:rPr>
                <w:rFonts w:hint="default" w:ascii="Times New Roman" w:hAnsi="Times New Roman" w:eastAsia="宋体" w:cs="Times New Roman"/>
                <w:b/>
                <w:bCs/>
                <w:sz w:val="24"/>
                <w:szCs w:val="24"/>
                <w:lang w:val="en-US" w:eastAsia="zh-CN"/>
              </w:rPr>
              <w:t>图</w:t>
            </w:r>
            <w:r>
              <w:rPr>
                <w:rFonts w:hint="eastAsia" w:cs="Times New Roman"/>
                <w:b/>
                <w:bCs/>
                <w:sz w:val="24"/>
                <w:szCs w:val="24"/>
                <w:lang w:val="en-US" w:eastAsia="zh-CN"/>
              </w:rPr>
              <w:t>4-3厂区污水处理站处理工艺流程</w:t>
            </w:r>
            <w:r>
              <w:rPr>
                <w:rFonts w:hint="default" w:ascii="Times New Roman" w:hAnsi="Times New Roman" w:eastAsia="宋体" w:cs="Times New Roman"/>
                <w:b/>
                <w:bCs/>
                <w:sz w:val="24"/>
                <w:szCs w:val="24"/>
                <w:lang w:val="en-US" w:eastAsia="zh-CN"/>
              </w:rPr>
              <w:t>图</w:t>
            </w:r>
          </w:p>
          <w:p w14:paraId="5064B26D">
            <w:pPr>
              <w:spacing w:line="360" w:lineRule="auto"/>
              <w:ind w:firstLine="482"/>
              <w:rPr>
                <w:rFonts w:hint="default" w:ascii="Times New Roman" w:hAnsi="Times New Roman" w:eastAsia="Times New Roman" w:cs="Times New Roman"/>
                <w:sz w:val="24"/>
                <w:lang w:val="zh-CN"/>
              </w:rPr>
            </w:pPr>
            <w:r>
              <w:rPr>
                <w:rFonts w:hint="default" w:ascii="Times New Roman" w:hAnsi="Times New Roman" w:eastAsia="Times New Roman" w:cs="Times New Roman"/>
                <w:sz w:val="24"/>
                <w:lang w:val="zh-CN"/>
              </w:rPr>
              <w:t>工艺说明：</w:t>
            </w:r>
          </w:p>
          <w:p w14:paraId="65764402">
            <w:pPr>
              <w:spacing w:line="360" w:lineRule="auto"/>
              <w:ind w:firstLine="482"/>
              <w:rPr>
                <w:rFonts w:hint="eastAsia"/>
              </w:rPr>
            </w:pPr>
            <w:r>
              <w:rPr>
                <w:rFonts w:hint="default" w:ascii="Times New Roman" w:hAnsi="Times New Roman" w:eastAsia="Times New Roman" w:cs="Times New Roman"/>
                <w:sz w:val="24"/>
                <w:lang w:val="zh-CN"/>
              </w:rPr>
              <w:t>生产废水经管网收集至隔油池调节后进入pH调节</w:t>
            </w:r>
            <w:r>
              <w:rPr>
                <w:rFonts w:hint="eastAsia" w:eastAsia="宋体" w:cs="Times New Roman"/>
                <w:sz w:val="24"/>
                <w:lang w:val="en-US" w:eastAsia="zh-CN"/>
              </w:rPr>
              <w:t>池</w:t>
            </w:r>
            <w:r>
              <w:rPr>
                <w:rFonts w:hint="default" w:ascii="Times New Roman" w:hAnsi="Times New Roman" w:eastAsia="Times New Roman" w:cs="Times New Roman"/>
                <w:sz w:val="24"/>
                <w:lang w:val="zh-CN"/>
              </w:rPr>
              <w:t>进行中和反应，调节池底设穿孔曝气管系统，搅拌均匀水质并阻止悬浮物沉淀。接着污水流至初沉池，以去除水中悬浮物，随后污水经提升泵提升至</w:t>
            </w:r>
            <w:r>
              <w:rPr>
                <w:rFonts w:hint="eastAsia" w:ascii="Times New Roman" w:hAnsi="Times New Roman" w:eastAsia="宋体" w:cs="Times New Roman"/>
                <w:sz w:val="24"/>
                <w:lang w:val="en-US" w:eastAsia="zh-CN"/>
              </w:rPr>
              <w:t>A/O生化系统</w:t>
            </w:r>
            <w:r>
              <w:rPr>
                <w:rFonts w:hint="default" w:ascii="Times New Roman" w:hAnsi="Times New Roman" w:eastAsia="Times New Roman" w:cs="Times New Roman"/>
                <w:sz w:val="24"/>
                <w:lang w:val="zh-CN"/>
              </w:rPr>
              <w:t>，利用生物凝聚、吸附和氧化作用，以分解去除污水中的有机污染物。然后使污泥与水分离，大部分污泥再回流到</w:t>
            </w:r>
            <w:r>
              <w:rPr>
                <w:rFonts w:hint="eastAsia" w:ascii="Times New Roman" w:hAnsi="Times New Roman" w:eastAsia="宋体" w:cs="Times New Roman"/>
                <w:sz w:val="24"/>
                <w:lang w:val="en-US" w:eastAsia="zh-CN"/>
              </w:rPr>
              <w:t>A/O生化系统</w:t>
            </w:r>
            <w:r>
              <w:rPr>
                <w:rFonts w:hint="default" w:ascii="Times New Roman" w:hAnsi="Times New Roman" w:eastAsia="Times New Roman" w:cs="Times New Roman"/>
                <w:sz w:val="24"/>
                <w:lang w:val="zh-CN"/>
              </w:rPr>
              <w:t>，多余部分则排出，经生化处理的废水进入二沉池，进一步去除废水中的悬浮颗粒物。</w:t>
            </w:r>
          </w:p>
          <w:p w14:paraId="2913F94E">
            <w:pPr>
              <w:spacing w:line="360" w:lineRule="auto"/>
              <w:ind w:firstLine="482"/>
              <w:rPr>
                <w:rFonts w:hint="default" w:ascii="Times New Roman" w:hAnsi="Times New Roman" w:eastAsia="Times New Roman" w:cs="Times New Roman"/>
                <w:sz w:val="24"/>
                <w:lang w:val="zh-CN"/>
              </w:rPr>
            </w:pPr>
            <w:r>
              <w:rPr>
                <w:rFonts w:hint="default" w:ascii="Times New Roman" w:hAnsi="Times New Roman" w:eastAsia="Times New Roman" w:cs="Times New Roman"/>
                <w:sz w:val="24"/>
                <w:lang w:val="zh-CN"/>
              </w:rPr>
              <w:t>（1）废水处理可</w:t>
            </w:r>
            <w:r>
              <w:rPr>
                <w:rFonts w:hint="eastAsia" w:eastAsia="宋体" w:cs="Times New Roman"/>
                <w:sz w:val="24"/>
                <w:lang w:val="en-US" w:eastAsia="zh-CN"/>
              </w:rPr>
              <w:t>行</w:t>
            </w:r>
            <w:r>
              <w:rPr>
                <w:rFonts w:hint="default" w:ascii="Times New Roman" w:hAnsi="Times New Roman" w:eastAsia="Times New Roman" w:cs="Times New Roman"/>
                <w:sz w:val="24"/>
                <w:lang w:val="zh-CN"/>
              </w:rPr>
              <w:t>性分析</w:t>
            </w:r>
          </w:p>
          <w:p w14:paraId="6DF448AE">
            <w:pPr>
              <w:spacing w:line="360" w:lineRule="auto"/>
              <w:ind w:firstLine="482"/>
              <w:rPr>
                <w:rFonts w:hint="default" w:ascii="Times New Roman" w:hAnsi="Times New Roman" w:eastAsia="Times New Roman" w:cs="Times New Roman"/>
                <w:sz w:val="24"/>
                <w:lang w:val="zh-CN"/>
              </w:rPr>
            </w:pPr>
            <w:r>
              <w:rPr>
                <w:rFonts w:hint="default" w:ascii="Times New Roman" w:hAnsi="Times New Roman" w:cs="Times New Roman"/>
                <w:sz w:val="24"/>
              </w:rPr>
              <w:t>①</w:t>
            </w:r>
            <w:r>
              <w:rPr>
                <w:rFonts w:hint="default" w:ascii="Times New Roman" w:hAnsi="Times New Roman" w:eastAsia="Times New Roman" w:cs="Times New Roman"/>
                <w:sz w:val="24"/>
                <w:lang w:val="zh-CN"/>
              </w:rPr>
              <w:t>废水收集进入调节池调节后可对废水进行均质均化处理。</w:t>
            </w:r>
          </w:p>
          <w:p w14:paraId="48ED26F9">
            <w:pPr>
              <w:spacing w:line="360" w:lineRule="auto"/>
              <w:ind w:firstLine="482"/>
              <w:rPr>
                <w:rFonts w:hint="default" w:ascii="Times New Roman" w:hAnsi="Times New Roman" w:eastAsia="宋体" w:cs="Times New Roman"/>
                <w:sz w:val="24"/>
              </w:rPr>
            </w:pPr>
            <w:r>
              <w:rPr>
                <w:rFonts w:hint="default" w:ascii="Times New Roman" w:hAnsi="Times New Roman" w:eastAsia="宋体" w:cs="Times New Roman"/>
                <w:sz w:val="24"/>
              </w:rPr>
              <w:t>②</w:t>
            </w:r>
            <w:r>
              <w:rPr>
                <w:rFonts w:hint="eastAsia" w:ascii="Times New Roman" w:hAnsi="Times New Roman" w:eastAsia="Times New Roman" w:cs="Times New Roman"/>
                <w:sz w:val="24"/>
                <w:lang w:val="en-US" w:eastAsia="zh-CN"/>
              </w:rPr>
              <w:t>项目</w:t>
            </w:r>
            <w:r>
              <w:rPr>
                <w:rFonts w:hint="eastAsia" w:ascii="Times New Roman" w:hAnsi="Times New Roman" w:eastAsia="Times New Roman" w:cs="Times New Roman"/>
                <w:sz w:val="24"/>
                <w:lang w:val="zh-CN"/>
              </w:rPr>
              <w:t>生产废水（清洗废水、生物除臭塔废水）</w:t>
            </w:r>
            <w:r>
              <w:rPr>
                <w:rFonts w:hint="eastAsia" w:ascii="Times New Roman" w:hAnsi="Times New Roman" w:eastAsia="Times New Roman" w:cs="Times New Roman"/>
                <w:sz w:val="24"/>
                <w:lang w:val="en-US" w:eastAsia="zh-CN"/>
              </w:rPr>
              <w:t>进入污水处理站处理，综合废水全盐量浓度为48mg/L，</w:t>
            </w:r>
            <w:r>
              <w:rPr>
                <w:rFonts w:hint="eastAsia" w:eastAsia="Times New Roman" w:cs="Times New Roman"/>
                <w:sz w:val="24"/>
                <w:lang w:val="en-US" w:eastAsia="zh-CN"/>
              </w:rPr>
              <w:t>根据查询资料可知，一般</w:t>
            </w:r>
            <w:r>
              <w:rPr>
                <w:rFonts w:hint="eastAsia" w:ascii="Times New Roman" w:hAnsi="Times New Roman" w:eastAsia="Times New Roman" w:cs="Times New Roman"/>
                <w:sz w:val="24"/>
                <w:lang w:val="en-US" w:eastAsia="zh-CN"/>
              </w:rPr>
              <w:t>含盐量低于2%</w:t>
            </w:r>
            <w:r>
              <w:rPr>
                <w:rFonts w:hint="eastAsia" w:eastAsia="Times New Roman" w:cs="Times New Roman"/>
                <w:sz w:val="24"/>
                <w:lang w:val="en-US" w:eastAsia="zh-CN"/>
              </w:rPr>
              <w:t>（</w:t>
            </w:r>
            <w:r>
              <w:rPr>
                <w:rFonts w:hint="eastAsia" w:ascii="Times New Roman" w:hAnsi="Times New Roman" w:eastAsia="Times New Roman" w:cs="Times New Roman"/>
                <w:sz w:val="24"/>
                <w:lang w:val="en-US" w:eastAsia="zh-CN"/>
              </w:rPr>
              <w:t>相当于20000 mg/L</w:t>
            </w:r>
            <w:r>
              <w:rPr>
                <w:rFonts w:hint="eastAsia" w:eastAsia="Times New Roman" w:cs="Times New Roman"/>
                <w:sz w:val="24"/>
                <w:lang w:val="en-US" w:eastAsia="zh-CN"/>
              </w:rPr>
              <w:t>）</w:t>
            </w:r>
            <w:r>
              <w:rPr>
                <w:rFonts w:hint="eastAsia" w:ascii="Times New Roman" w:hAnsi="Times New Roman" w:eastAsia="Times New Roman" w:cs="Times New Roman"/>
                <w:sz w:val="24"/>
                <w:lang w:val="en-US" w:eastAsia="zh-CN"/>
              </w:rPr>
              <w:t>不会影响生化系统的处理效果</w:t>
            </w:r>
            <w:r>
              <w:rPr>
                <w:rFonts w:hint="eastAsia" w:eastAsia="Times New Roman" w:cs="Times New Roman"/>
                <w:sz w:val="24"/>
                <w:lang w:val="en-US" w:eastAsia="zh-CN"/>
              </w:rPr>
              <w:t>，因此项目生产废水全盐量浓度</w:t>
            </w:r>
            <w:r>
              <w:rPr>
                <w:rFonts w:hint="eastAsia" w:ascii="Times New Roman" w:hAnsi="Times New Roman" w:eastAsia="Times New Roman" w:cs="Times New Roman"/>
                <w:sz w:val="24"/>
                <w:lang w:val="en-US" w:eastAsia="zh-CN"/>
              </w:rPr>
              <w:t>对生化系统影响较小。</w:t>
            </w:r>
          </w:p>
          <w:p w14:paraId="74B43AD5">
            <w:pPr>
              <w:spacing w:line="360" w:lineRule="auto"/>
              <w:ind w:firstLine="482"/>
              <w:rPr>
                <w:rFonts w:hint="default" w:ascii="Times New Roman" w:hAnsi="Times New Roman" w:eastAsia="Times New Roman" w:cs="Times New Roman"/>
                <w:sz w:val="24"/>
                <w:lang w:val="zh-CN"/>
              </w:rPr>
            </w:pPr>
            <w:r>
              <w:rPr>
                <w:rFonts w:hint="default" w:ascii="Times New Roman" w:hAnsi="Times New Roman" w:eastAsia="宋体" w:cs="Times New Roman"/>
                <w:sz w:val="24"/>
                <w:lang w:val="zh-CN" w:eastAsia="zh-CN"/>
              </w:rPr>
              <w:t>③</w:t>
            </w:r>
            <w:r>
              <w:rPr>
                <w:rFonts w:hint="eastAsia" w:ascii="Times New Roman" w:hAnsi="Times New Roman" w:eastAsia="宋体" w:cs="Times New Roman"/>
                <w:sz w:val="24"/>
                <w:lang w:val="en-US" w:eastAsia="zh-CN"/>
              </w:rPr>
              <w:t>根据</w:t>
            </w:r>
            <w:r>
              <w:rPr>
                <w:rFonts w:hint="eastAsia" w:cs="Times New Roman"/>
                <w:sz w:val="24"/>
                <w:lang w:val="en-US" w:eastAsia="zh-CN"/>
              </w:rPr>
              <w:t>表4-13废水处理效率分析，</w:t>
            </w:r>
            <w:r>
              <w:rPr>
                <w:rFonts w:hint="default" w:ascii="Times New Roman" w:hAnsi="Times New Roman" w:eastAsia="Times New Roman" w:cs="Times New Roman"/>
                <w:sz w:val="24"/>
                <w:lang w:val="zh-CN"/>
              </w:rPr>
              <w:t>经处理后的工艺废水水质</w:t>
            </w:r>
            <w:r>
              <w:rPr>
                <w:rFonts w:hint="eastAsia" w:ascii="Times New Roman" w:hAnsi="Times New Roman" w:eastAsia="宋体" w:cs="Times New Roman"/>
                <w:sz w:val="24"/>
                <w:lang w:val="en-US" w:eastAsia="zh-CN"/>
              </w:rPr>
              <w:t>能够</w:t>
            </w:r>
            <w:r>
              <w:rPr>
                <w:rFonts w:hint="default" w:ascii="Times New Roman" w:hAnsi="Times New Roman" w:cs="Times New Roman"/>
                <w:color w:val="000000"/>
                <w:sz w:val="24"/>
                <w:lang w:bidi="ar"/>
              </w:rPr>
              <w:t>满足《污水综合排放标准》(GB8978-1996)中的三级排放标准</w:t>
            </w:r>
            <w:r>
              <w:rPr>
                <w:rFonts w:hint="eastAsia" w:ascii="Times New Roman" w:hAnsi="Times New Roman" w:cs="Times New Roman"/>
                <w:color w:val="000000"/>
                <w:sz w:val="24"/>
                <w:lang w:val="en-US" w:eastAsia="zh-CN" w:bidi="ar"/>
              </w:rPr>
              <w:t>要求</w:t>
            </w:r>
            <w:r>
              <w:rPr>
                <w:rFonts w:hint="default" w:ascii="Times New Roman" w:hAnsi="Times New Roman" w:cs="Times New Roman"/>
                <w:color w:val="000000"/>
                <w:sz w:val="24"/>
                <w:lang w:bidi="ar"/>
              </w:rPr>
              <w:t>，并满足污水处理厂接管要求后进入污水处理厂处理，处理达标后排入</w:t>
            </w:r>
            <w:r>
              <w:rPr>
                <w:rFonts w:hint="eastAsia" w:ascii="Times New Roman" w:hAnsi="Times New Roman" w:cs="Times New Roman"/>
                <w:color w:val="000000"/>
                <w:sz w:val="24"/>
                <w:lang w:val="en-US" w:eastAsia="zh-CN" w:bidi="ar"/>
              </w:rPr>
              <w:t>石梁河。</w:t>
            </w:r>
          </w:p>
          <w:p w14:paraId="285D38FC">
            <w:pPr>
              <w:spacing w:line="360" w:lineRule="auto"/>
              <w:ind w:firstLine="482"/>
              <w:rPr>
                <w:rFonts w:hint="default" w:ascii="Times New Roman" w:hAnsi="Times New Roman" w:eastAsia="Times New Roman" w:cs="Times New Roman"/>
                <w:sz w:val="24"/>
                <w:lang w:val="zh-CN"/>
              </w:rPr>
            </w:pPr>
            <w:r>
              <w:rPr>
                <w:rFonts w:hint="eastAsia" w:ascii="宋体" w:hAnsi="宋体" w:eastAsia="宋体" w:cs="宋体"/>
                <w:sz w:val="24"/>
                <w:lang w:val="zh-CN" w:eastAsia="zh-CN"/>
              </w:rPr>
              <w:t>④</w:t>
            </w:r>
            <w:r>
              <w:rPr>
                <w:rFonts w:hint="default" w:ascii="Times New Roman" w:hAnsi="Times New Roman" w:eastAsia="宋体" w:cs="Times New Roman"/>
                <w:sz w:val="24"/>
                <w:lang w:val="zh-CN" w:eastAsia="zh-CN"/>
              </w:rPr>
              <w:t>本项目</w:t>
            </w:r>
            <w:r>
              <w:rPr>
                <w:rFonts w:hint="eastAsia" w:ascii="Times New Roman" w:hAnsi="Times New Roman" w:eastAsia="宋体" w:cs="Times New Roman"/>
                <w:sz w:val="24"/>
                <w:lang w:val="en-US" w:eastAsia="zh-CN"/>
              </w:rPr>
              <w:t>进</w:t>
            </w:r>
            <w:r>
              <w:rPr>
                <w:rFonts w:hint="eastAsia" w:eastAsia="宋体" w:cs="Times New Roman"/>
                <w:sz w:val="24"/>
                <w:lang w:val="en-US" w:eastAsia="zh-CN"/>
              </w:rPr>
              <w:t>入污水处理站</w:t>
            </w:r>
            <w:r>
              <w:rPr>
                <w:rFonts w:hint="default" w:ascii="Times New Roman" w:hAnsi="Times New Roman" w:eastAsia="Times New Roman" w:cs="Times New Roman"/>
                <w:sz w:val="24"/>
                <w:lang w:val="zh-CN"/>
              </w:rPr>
              <w:t>废水主要是生产废水，项目生产过程中产生的生产废水量约</w:t>
            </w:r>
            <w:r>
              <w:rPr>
                <w:rFonts w:hint="eastAsia" w:cs="Times New Roman"/>
                <w:sz w:val="24"/>
                <w:lang w:val="en-US" w:eastAsia="zh-CN"/>
              </w:rPr>
              <w:t>23.05</w:t>
            </w:r>
            <w:r>
              <w:rPr>
                <w:rFonts w:hint="default" w:ascii="Times New Roman" w:hAnsi="Times New Roman" w:eastAsia="Times New Roman" w:cs="Times New Roman"/>
                <w:sz w:val="24"/>
                <w:lang w:val="zh-CN"/>
              </w:rPr>
              <w:t>t/d，根据项目建成后生产废水产生量，设计自建污水站日废水处理能力25m</w:t>
            </w:r>
            <w:r>
              <w:rPr>
                <w:rFonts w:hint="default" w:ascii="Times New Roman" w:hAnsi="Times New Roman" w:eastAsia="Times New Roman" w:cs="Times New Roman"/>
                <w:sz w:val="24"/>
                <w:vertAlign w:val="superscript"/>
                <w:lang w:val="zh-CN"/>
              </w:rPr>
              <w:t>3</w:t>
            </w:r>
            <w:r>
              <w:rPr>
                <w:rFonts w:hint="default" w:ascii="Times New Roman" w:hAnsi="Times New Roman" w:eastAsia="Times New Roman" w:cs="Times New Roman"/>
                <w:sz w:val="24"/>
                <w:lang w:val="zh-CN"/>
              </w:rPr>
              <w:t>/d，采用“格栅-调节池+气浮+A/O+沉淀池”</w:t>
            </w:r>
            <w:r>
              <w:rPr>
                <w:rFonts w:hint="eastAsia" w:ascii="Times New Roman" w:hAnsi="Times New Roman" w:eastAsia="宋体" w:cs="Times New Roman"/>
                <w:sz w:val="24"/>
                <w:lang w:val="en-US" w:eastAsia="zh-CN"/>
              </w:rPr>
              <w:t>处理</w:t>
            </w:r>
            <w:r>
              <w:rPr>
                <w:rFonts w:hint="default" w:ascii="Times New Roman" w:hAnsi="Times New Roman" w:eastAsia="Times New Roman" w:cs="Times New Roman"/>
                <w:sz w:val="24"/>
                <w:lang w:val="zh-CN"/>
              </w:rPr>
              <w:t>工艺，生产废水经厂区污水处理站处理后进入污水管网，经</w:t>
            </w:r>
            <w:r>
              <w:rPr>
                <w:rFonts w:hint="eastAsia" w:ascii="Times New Roman" w:hAnsi="Times New Roman" w:cs="Times New Roman"/>
                <w:b w:val="0"/>
                <w:bCs/>
                <w:color w:val="000000"/>
                <w:kern w:val="0"/>
                <w:sz w:val="24"/>
                <w:szCs w:val="24"/>
                <w:lang w:val="en-US" w:eastAsia="zh-CN" w:bidi="ar"/>
              </w:rPr>
              <w:t>泗县工业污水处理厂</w:t>
            </w:r>
            <w:r>
              <w:rPr>
                <w:rFonts w:hint="default" w:ascii="Times New Roman" w:hAnsi="Times New Roman" w:eastAsia="Times New Roman" w:cs="Times New Roman"/>
                <w:sz w:val="24"/>
                <w:lang w:val="zh-CN"/>
              </w:rPr>
              <w:t>处理后排入</w:t>
            </w:r>
            <w:r>
              <w:rPr>
                <w:rFonts w:hint="eastAsia" w:cs="Times New Roman"/>
                <w:sz w:val="24"/>
                <w:lang w:val="en-US" w:eastAsia="zh-CN"/>
              </w:rPr>
              <w:t>石梁河</w:t>
            </w:r>
            <w:r>
              <w:rPr>
                <w:rFonts w:hint="default" w:ascii="Times New Roman" w:hAnsi="Times New Roman" w:eastAsia="Times New Roman" w:cs="Times New Roman"/>
                <w:sz w:val="24"/>
                <w:lang w:val="zh-CN"/>
              </w:rPr>
              <w:t>。</w:t>
            </w:r>
          </w:p>
          <w:p w14:paraId="4DB737A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Times New Roman"/>
                <w:b/>
                <w:bCs/>
                <w:color w:val="auto"/>
                <w:sz w:val="24"/>
                <w:lang w:val="en-US" w:eastAsia="zh-CN"/>
              </w:rPr>
            </w:pPr>
            <w:r>
              <w:rPr>
                <w:rFonts w:hint="eastAsia" w:cs="Times New Roman"/>
                <w:b/>
                <w:bCs/>
                <w:color w:val="auto"/>
                <w:sz w:val="24"/>
                <w:lang w:val="en-US" w:eastAsia="zh-CN"/>
              </w:rPr>
              <w:t xml:space="preserve">表4-12本项目废水处理方案与《排污许可证申请与核发技术规范 </w:t>
            </w:r>
          </w:p>
          <w:p w14:paraId="6CA74F1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Times New Roman"/>
                <w:b/>
                <w:bCs/>
                <w:color w:val="auto"/>
                <w:sz w:val="24"/>
                <w:lang w:val="en-US" w:eastAsia="zh-CN"/>
              </w:rPr>
            </w:pPr>
            <w:r>
              <w:rPr>
                <w:rFonts w:hint="eastAsia" w:cs="Times New Roman"/>
                <w:b/>
                <w:bCs/>
                <w:color w:val="auto"/>
                <w:sz w:val="24"/>
                <w:lang w:val="en-US" w:eastAsia="zh-CN"/>
              </w:rPr>
              <w:t>食品制造工业一方便食品、食品及饲料添加剂制造工业》</w:t>
            </w:r>
          </w:p>
          <w:p w14:paraId="1F75935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cs="Times New Roman"/>
                <w:b/>
                <w:bCs/>
                <w:color w:val="auto"/>
                <w:sz w:val="24"/>
                <w:lang w:val="en-US" w:eastAsia="zh-CN"/>
              </w:rPr>
            </w:pPr>
            <w:r>
              <w:rPr>
                <w:rFonts w:hint="eastAsia" w:cs="Times New Roman"/>
                <w:b/>
                <w:bCs/>
                <w:color w:val="auto"/>
                <w:sz w:val="24"/>
                <w:lang w:val="en-US" w:eastAsia="zh-CN"/>
              </w:rPr>
              <w:t>（HJ1030.3-2019）中废水治理可行技术对照一览表</w:t>
            </w:r>
          </w:p>
          <w:tbl>
            <w:tblPr>
              <w:tblStyle w:val="6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63"/>
              <w:gridCol w:w="759"/>
              <w:gridCol w:w="1152"/>
              <w:gridCol w:w="1610"/>
              <w:gridCol w:w="3182"/>
              <w:gridCol w:w="1301"/>
            </w:tblGrid>
            <w:tr w14:paraId="7663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273" w:type="pct"/>
                  <w:vAlign w:val="center"/>
                </w:tcPr>
                <w:p w14:paraId="35FA3A15">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rPr>
                    <w:t>废</w:t>
                  </w:r>
                  <w:r>
                    <w:rPr>
                      <w:rFonts w:hint="eastAsia" w:ascii="Times New Roman" w:hAnsi="Times New Roman" w:eastAsia="宋体" w:cs="Times New Roman"/>
                      <w:b/>
                      <w:bCs/>
                      <w:sz w:val="21"/>
                      <w:szCs w:val="21"/>
                      <w:lang w:val="en-US" w:eastAsia="zh-CN"/>
                    </w:rPr>
                    <w:t>水类别</w:t>
                  </w:r>
                </w:p>
              </w:tc>
              <w:tc>
                <w:tcPr>
                  <w:tcW w:w="448" w:type="pct"/>
                  <w:vAlign w:val="center"/>
                </w:tcPr>
                <w:p w14:paraId="1BB0BE79">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农药类别</w:t>
                  </w:r>
                </w:p>
              </w:tc>
              <w:tc>
                <w:tcPr>
                  <w:tcW w:w="680" w:type="pct"/>
                  <w:vAlign w:val="center"/>
                </w:tcPr>
                <w:p w14:paraId="2E8D41A1">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废水名称</w:t>
                  </w:r>
                </w:p>
              </w:tc>
              <w:tc>
                <w:tcPr>
                  <w:tcW w:w="950" w:type="pct"/>
                  <w:vAlign w:val="center"/>
                </w:tcPr>
                <w:p w14:paraId="50991CF2">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污染控制项目</w:t>
                  </w:r>
                </w:p>
              </w:tc>
              <w:tc>
                <w:tcPr>
                  <w:tcW w:w="1878" w:type="pct"/>
                  <w:vAlign w:val="center"/>
                </w:tcPr>
                <w:p w14:paraId="6EB9A3D9">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可行技术</w:t>
                  </w:r>
                </w:p>
              </w:tc>
              <w:tc>
                <w:tcPr>
                  <w:tcW w:w="768" w:type="pct"/>
                  <w:vAlign w:val="center"/>
                </w:tcPr>
                <w:p w14:paraId="47D2DEA8">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本项目</w:t>
                  </w:r>
                </w:p>
              </w:tc>
            </w:tr>
            <w:tr w14:paraId="724A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273" w:type="pct"/>
                  <w:vAlign w:val="center"/>
                </w:tcPr>
                <w:p w14:paraId="4E84FC6C">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厂内综合污水处理站的综合污水（生产废水、生活污水等）</w:t>
                  </w:r>
                </w:p>
              </w:tc>
              <w:tc>
                <w:tcPr>
                  <w:tcW w:w="448" w:type="pct"/>
                  <w:vAlign w:val="center"/>
                </w:tcPr>
                <w:p w14:paraId="197104CC">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所有类别</w:t>
                  </w:r>
                </w:p>
              </w:tc>
              <w:tc>
                <w:tcPr>
                  <w:tcW w:w="680" w:type="pct"/>
                  <w:vAlign w:val="center"/>
                </w:tcPr>
                <w:p w14:paraId="5E764E98">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洗水、设备及</w:t>
                  </w:r>
                  <w:r>
                    <w:rPr>
                      <w:rFonts w:hint="eastAsia" w:cs="Times New Roman"/>
                      <w:sz w:val="21"/>
                      <w:szCs w:val="21"/>
                      <w:lang w:eastAsia="zh-CN"/>
                    </w:rPr>
                    <w:t>地面清洁废水</w:t>
                  </w:r>
                </w:p>
              </w:tc>
              <w:tc>
                <w:tcPr>
                  <w:tcW w:w="950" w:type="pct"/>
                  <w:vAlign w:val="center"/>
                </w:tcPr>
                <w:p w14:paraId="269A037A">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pH值、化学需氧量(CODc</w:t>
                  </w:r>
                  <w:r>
                    <w:rPr>
                      <w:rFonts w:hint="eastAsia" w:ascii="Times New Roman" w:hAnsi="Times New Roman" w:eastAsia="宋体" w:cs="Times New Roman"/>
                      <w:sz w:val="21"/>
                      <w:szCs w:val="21"/>
                      <w:lang w:val="en-US" w:eastAsia="zh-CN"/>
                    </w:rPr>
                    <w:t>r</w:t>
                  </w:r>
                  <w:r>
                    <w:rPr>
                      <w:rFonts w:hint="default" w:ascii="Times New Roman" w:hAnsi="Times New Roman" w:eastAsia="宋体" w:cs="Times New Roman"/>
                      <w:sz w:val="21"/>
                      <w:szCs w:val="21"/>
                    </w:rPr>
                    <w:t>)、氨氮、悬浮物、五日生化需氧量(BOD</w:t>
                  </w:r>
                  <w:r>
                    <w:rPr>
                      <w:rFonts w:hint="eastAsia" w:ascii="Times New Roman" w:hAnsi="Times New Roman" w:eastAsia="宋体" w:cs="Times New Roman"/>
                      <w:sz w:val="21"/>
                      <w:szCs w:val="21"/>
                      <w:vertAlign w:val="subscript"/>
                      <w:lang w:val="en-US" w:eastAsia="zh-CN"/>
                    </w:rPr>
                    <w:t>5</w:t>
                  </w:r>
                  <w:r>
                    <w:rPr>
                      <w:rFonts w:hint="default" w:ascii="Times New Roman" w:hAnsi="Times New Roman" w:eastAsia="宋体" w:cs="Times New Roman"/>
                      <w:sz w:val="21"/>
                      <w:szCs w:val="21"/>
                    </w:rPr>
                    <w:t>)、磷酸盐</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总磷</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、挥发酚、苯胺类、硝基苯、石油类、总铜、甲苯</w:t>
                  </w:r>
                </w:p>
              </w:tc>
              <w:tc>
                <w:tcPr>
                  <w:tcW w:w="1878" w:type="pct"/>
                  <w:vAlign w:val="center"/>
                </w:tcPr>
                <w:p w14:paraId="6185C7E7">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1)预处理:粗(细)格栅:竖流或辐流式沉淀、混凝沉淀:气浮</w:t>
                  </w:r>
                </w:p>
                <w:p w14:paraId="62D18DC6">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2)生化处理:升流式厌氧污泥床(UASB):IC反应器或水解酸化技术:厌氧滤池(AF):活性污泥法:氧化沟及其各类改型工艺:生物接触氧化法:序批式活性污泥法(SBR);缺氧/好氧活性污泥法(A/O法):厌氧-缺氧-好氧活性污泥法(A2/O法)</w:t>
                  </w:r>
                </w:p>
              </w:tc>
              <w:tc>
                <w:tcPr>
                  <w:tcW w:w="768" w:type="pct"/>
                  <w:vAlign w:val="center"/>
                </w:tcPr>
                <w:p w14:paraId="1D36D348">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21"/>
                      <w:szCs w:val="21"/>
                      <w:lang w:val="en-US"/>
                    </w:rPr>
                  </w:pPr>
                  <w:r>
                    <w:rPr>
                      <w:rFonts w:hint="eastAsia" w:ascii="Times New Roman" w:hAnsi="Times New Roman" w:eastAsia="宋体" w:cs="Times New Roman"/>
                      <w:sz w:val="21"/>
                      <w:szCs w:val="21"/>
                      <w:lang w:val="en-US" w:eastAsia="zh-CN"/>
                    </w:rPr>
                    <w:t>本项目生活污水经化粪池处理，清洗废水和生物除臭装置废水进入厂区污水处理站（</w:t>
                  </w:r>
                  <w:r>
                    <w:rPr>
                      <w:rFonts w:hint="default" w:ascii="Times New Roman" w:hAnsi="Times New Roman" w:eastAsia="宋体" w:cs="Times New Roman"/>
                      <w:sz w:val="21"/>
                      <w:szCs w:val="21"/>
                      <w:lang w:val="zh-CN" w:eastAsia="zh-CN"/>
                    </w:rPr>
                    <w:t>采用“格栅-调节池+气浮+A/O+沉淀池”</w:t>
                  </w:r>
                  <w:r>
                    <w:rPr>
                      <w:rFonts w:hint="eastAsia" w:ascii="Times New Roman" w:hAnsi="Times New Roman" w:eastAsia="宋体" w:cs="Times New Roman"/>
                      <w:sz w:val="21"/>
                      <w:szCs w:val="21"/>
                      <w:lang w:val="en-US" w:eastAsia="zh-CN"/>
                    </w:rPr>
                    <w:t>处理</w:t>
                  </w:r>
                  <w:r>
                    <w:rPr>
                      <w:rFonts w:hint="default" w:ascii="Times New Roman" w:hAnsi="Times New Roman" w:eastAsia="宋体" w:cs="Times New Roman"/>
                      <w:sz w:val="21"/>
                      <w:szCs w:val="21"/>
                      <w:lang w:val="zh-CN" w:eastAsia="zh-CN"/>
                    </w:rPr>
                    <w:t>工艺</w:t>
                  </w:r>
                  <w:r>
                    <w:rPr>
                      <w:rFonts w:hint="eastAsia" w:ascii="Times New Roman" w:hAnsi="Times New Roman" w:eastAsia="宋体" w:cs="Times New Roman"/>
                      <w:sz w:val="21"/>
                      <w:szCs w:val="21"/>
                      <w:lang w:val="en-US" w:eastAsia="zh-CN"/>
                    </w:rPr>
                    <w:t>）处理</w:t>
                  </w:r>
                </w:p>
              </w:tc>
            </w:tr>
          </w:tbl>
          <w:p w14:paraId="2FE5BE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sz w:val="24"/>
                <w:szCs w:val="24"/>
                <w:lang w:val="zh-CN" w:bidi="ar"/>
              </w:rPr>
            </w:pPr>
            <w:r>
              <w:rPr>
                <w:rFonts w:hint="default" w:ascii="Times New Roman" w:hAnsi="Times New Roman" w:eastAsia="宋体" w:cs="Times New Roman"/>
                <w:sz w:val="24"/>
                <w:szCs w:val="24"/>
                <w:lang w:val="zh-CN" w:bidi="ar"/>
              </w:rPr>
              <w:t>对照《排污许可证申请与核发技术规范 食品制造工业一方便食品、食品及饲料添加剂制造工业》（HJ1030.3-2019）中“表</w:t>
            </w:r>
            <w:r>
              <w:rPr>
                <w:rFonts w:hint="eastAsia" w:ascii="Times New Roman" w:hAnsi="Times New Roman" w:eastAsia="宋体" w:cs="Times New Roman"/>
                <w:sz w:val="24"/>
                <w:szCs w:val="24"/>
                <w:lang w:val="en-US" w:eastAsia="zh-CN" w:bidi="ar"/>
              </w:rPr>
              <w:t>A.2</w:t>
            </w:r>
            <w:r>
              <w:rPr>
                <w:rFonts w:hint="default" w:ascii="Times New Roman" w:hAnsi="Times New Roman" w:eastAsia="宋体" w:cs="Times New Roman"/>
                <w:sz w:val="24"/>
                <w:szCs w:val="24"/>
                <w:lang w:val="zh-CN" w:bidi="ar"/>
              </w:rPr>
              <w:t>食品及饲料添加剂制造工业排污单位废水污染防治可行技术参考表”，</w:t>
            </w:r>
            <w:r>
              <w:rPr>
                <w:rFonts w:hint="eastAsia" w:cs="Times New Roman"/>
                <w:sz w:val="24"/>
                <w:szCs w:val="24"/>
                <w:lang w:val="en-US" w:eastAsia="zh-CN" w:bidi="ar"/>
              </w:rPr>
              <w:t>本项目废水处理工艺为可行技术，综上所述，</w:t>
            </w:r>
            <w:r>
              <w:rPr>
                <w:rFonts w:hint="default" w:ascii="Times New Roman" w:hAnsi="Times New Roman" w:eastAsia="宋体" w:cs="Times New Roman"/>
                <w:sz w:val="24"/>
                <w:szCs w:val="24"/>
                <w:lang w:val="zh-CN" w:bidi="ar"/>
              </w:rPr>
              <w:t>本项目废水处理措施</w:t>
            </w:r>
            <w:r>
              <w:rPr>
                <w:rFonts w:hint="eastAsia" w:ascii="Times New Roman" w:hAnsi="Times New Roman" w:eastAsia="宋体" w:cs="Times New Roman"/>
                <w:sz w:val="24"/>
                <w:szCs w:val="24"/>
                <w:lang w:val="en-US" w:eastAsia="zh-CN" w:bidi="ar"/>
              </w:rPr>
              <w:t>是</w:t>
            </w:r>
            <w:r>
              <w:rPr>
                <w:rFonts w:hint="default" w:ascii="Times New Roman" w:hAnsi="Times New Roman" w:eastAsia="宋体" w:cs="Times New Roman"/>
                <w:sz w:val="24"/>
                <w:szCs w:val="24"/>
                <w:lang w:val="zh-CN" w:bidi="ar"/>
              </w:rPr>
              <w:t>可行</w:t>
            </w:r>
            <w:r>
              <w:rPr>
                <w:rFonts w:hint="eastAsia" w:ascii="Times New Roman" w:hAnsi="Times New Roman" w:eastAsia="宋体" w:cs="Times New Roman"/>
                <w:sz w:val="24"/>
                <w:szCs w:val="24"/>
                <w:lang w:val="zh-CN" w:bidi="ar"/>
              </w:rPr>
              <w:t>的。</w:t>
            </w:r>
          </w:p>
          <w:p w14:paraId="46B906F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Times New Roman"/>
                <w:b/>
                <w:bCs/>
                <w:sz w:val="24"/>
                <w:lang w:val="en-US" w:eastAsia="zh-CN"/>
              </w:rPr>
            </w:pPr>
            <w:r>
              <w:rPr>
                <w:rFonts w:hint="eastAsia" w:cs="Times New Roman"/>
                <w:b/>
                <w:bCs/>
                <w:sz w:val="24"/>
                <w:lang w:val="en-US" w:eastAsia="zh-CN"/>
              </w:rPr>
              <w:t>表4-13 厂区污水处理站废水处理效率一览表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70"/>
              <w:gridCol w:w="1162"/>
              <w:gridCol w:w="638"/>
              <w:gridCol w:w="824"/>
              <w:gridCol w:w="832"/>
              <w:gridCol w:w="824"/>
              <w:gridCol w:w="820"/>
              <w:gridCol w:w="700"/>
              <w:gridCol w:w="698"/>
              <w:gridCol w:w="699"/>
            </w:tblGrid>
            <w:tr w14:paraId="15B5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jc w:val="center"/>
              </w:trPr>
              <w:tc>
                <w:tcPr>
                  <w:tcW w:w="1649" w:type="pct"/>
                  <w:gridSpan w:val="2"/>
                  <w:shd w:val="clear" w:color="auto" w:fill="auto"/>
                  <w:vAlign w:val="center"/>
                </w:tcPr>
                <w:p w14:paraId="12741705">
                  <w:pPr>
                    <w:keepNext w:val="0"/>
                    <w:keepLines w:val="0"/>
                    <w:widowControl/>
                    <w:suppressLineNumbers w:val="0"/>
                    <w:jc w:val="center"/>
                    <w:textAlignment w:val="center"/>
                    <w:rPr>
                      <w:rFonts w:hint="eastAsia" w:ascii="Times New Roman" w:hAnsi="Times New Roman" w:eastAsia="宋体" w:cs="Times New Roman"/>
                      <w:b/>
                      <w:bCs/>
                      <w:i w:val="0"/>
                      <w:iCs w:val="0"/>
                      <w:color w:val="000000"/>
                      <w:kern w:val="0"/>
                      <w:sz w:val="21"/>
                      <w:szCs w:val="21"/>
                      <w:u w:val="none"/>
                      <w:lang w:val="en-US" w:eastAsia="zh-CN" w:bidi="ar"/>
                    </w:rPr>
                  </w:pPr>
                  <w:r>
                    <w:rPr>
                      <w:rFonts w:hint="eastAsia" w:ascii="Times New Roman" w:hAnsi="Times New Roman" w:eastAsia="宋体" w:cs="Times New Roman"/>
                      <w:b/>
                      <w:bCs/>
                      <w:i w:val="0"/>
                      <w:iCs w:val="0"/>
                      <w:color w:val="000000"/>
                      <w:kern w:val="0"/>
                      <w:sz w:val="21"/>
                      <w:szCs w:val="21"/>
                      <w:u w:val="none"/>
                      <w:lang w:val="en-US" w:eastAsia="zh-CN" w:bidi="ar"/>
                    </w:rPr>
                    <w:t>处理单元</w:t>
                  </w:r>
                </w:p>
              </w:tc>
              <w:tc>
                <w:tcPr>
                  <w:tcW w:w="611" w:type="pct"/>
                  <w:shd w:val="clear" w:color="auto" w:fill="auto"/>
                  <w:vAlign w:val="center"/>
                </w:tcPr>
                <w:p w14:paraId="4D36ADEF">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pH</w:t>
                  </w:r>
                  <w:r>
                    <w:rPr>
                      <w:rFonts w:hint="eastAsia" w:ascii="Times New Roman" w:hAnsi="Times New Roman" w:eastAsia="宋体" w:cs="Times New Roman"/>
                      <w:b/>
                      <w:bCs/>
                      <w:i w:val="0"/>
                      <w:iCs w:val="0"/>
                      <w:color w:val="000000"/>
                      <w:kern w:val="0"/>
                      <w:sz w:val="21"/>
                      <w:szCs w:val="21"/>
                      <w:u w:val="none"/>
                      <w:lang w:val="en-US" w:eastAsia="zh-CN" w:bidi="ar"/>
                    </w:rPr>
                    <w:t>（无量纲）</w:t>
                  </w:r>
                </w:p>
              </w:tc>
              <w:tc>
                <w:tcPr>
                  <w:tcW w:w="418" w:type="pct"/>
                  <w:shd w:val="clear" w:color="auto" w:fill="auto"/>
                  <w:vAlign w:val="center"/>
                </w:tcPr>
                <w:p w14:paraId="189D1150">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COD</w:t>
                  </w:r>
                </w:p>
              </w:tc>
              <w:tc>
                <w:tcPr>
                  <w:tcW w:w="422" w:type="pct"/>
                  <w:shd w:val="clear" w:color="auto" w:fill="auto"/>
                  <w:vAlign w:val="center"/>
                </w:tcPr>
                <w:p w14:paraId="46434433">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BOD</w:t>
                  </w:r>
                  <w:r>
                    <w:rPr>
                      <w:rFonts w:hint="default" w:ascii="Times New Roman" w:hAnsi="Times New Roman" w:eastAsia="宋体" w:cs="Times New Roman"/>
                      <w:b/>
                      <w:bCs/>
                      <w:i w:val="0"/>
                      <w:iCs w:val="0"/>
                      <w:color w:val="000000"/>
                      <w:kern w:val="0"/>
                      <w:sz w:val="21"/>
                      <w:szCs w:val="21"/>
                      <w:u w:val="none"/>
                      <w:vertAlign w:val="subscript"/>
                      <w:lang w:val="en-US" w:eastAsia="zh-CN" w:bidi="ar"/>
                    </w:rPr>
                    <w:t>5</w:t>
                  </w:r>
                </w:p>
              </w:tc>
              <w:tc>
                <w:tcPr>
                  <w:tcW w:w="418" w:type="pct"/>
                  <w:shd w:val="clear" w:color="auto" w:fill="auto"/>
                  <w:vAlign w:val="center"/>
                </w:tcPr>
                <w:p w14:paraId="5B8D2173">
                  <w:pPr>
                    <w:keepNext w:val="0"/>
                    <w:keepLines w:val="0"/>
                    <w:widowControl/>
                    <w:suppressLineNumbers w:val="0"/>
                    <w:jc w:val="center"/>
                    <w:textAlignment w:val="center"/>
                    <w:rPr>
                      <w:rFonts w:hint="eastAsia"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SS</w:t>
                  </w:r>
                </w:p>
              </w:tc>
              <w:tc>
                <w:tcPr>
                  <w:tcW w:w="416" w:type="pct"/>
                  <w:shd w:val="clear" w:color="auto" w:fill="auto"/>
                  <w:vAlign w:val="center"/>
                </w:tcPr>
                <w:p w14:paraId="1961ED73">
                  <w:pPr>
                    <w:keepNext w:val="0"/>
                    <w:keepLines w:val="0"/>
                    <w:widowControl/>
                    <w:suppressLineNumbers w:val="0"/>
                    <w:jc w:val="center"/>
                    <w:textAlignment w:val="center"/>
                    <w:rPr>
                      <w:rFonts w:hint="eastAsia" w:ascii="Times New Roman" w:hAnsi="Times New Roman" w:eastAsia="宋体" w:cs="Times New Roman"/>
                      <w:b/>
                      <w:bCs/>
                      <w:i w:val="0"/>
                      <w:iCs w:val="0"/>
                      <w:color w:val="000000"/>
                      <w:kern w:val="0"/>
                      <w:sz w:val="21"/>
                      <w:szCs w:val="21"/>
                      <w:u w:val="none"/>
                      <w:lang w:val="en-US" w:eastAsia="zh-CN" w:bidi="ar"/>
                    </w:rPr>
                  </w:pPr>
                  <w:r>
                    <w:rPr>
                      <w:rFonts w:hint="eastAsia" w:ascii="Times New Roman" w:hAnsi="Times New Roman" w:eastAsia="宋体" w:cs="Times New Roman"/>
                      <w:b/>
                      <w:bCs/>
                      <w:i w:val="0"/>
                      <w:iCs w:val="0"/>
                      <w:color w:val="000000"/>
                      <w:kern w:val="0"/>
                      <w:sz w:val="21"/>
                      <w:szCs w:val="21"/>
                      <w:u w:val="none"/>
                      <w:lang w:val="en-US" w:eastAsia="zh-CN" w:bidi="ar"/>
                    </w:rPr>
                    <w:t>氨氮</w:t>
                  </w:r>
                </w:p>
              </w:tc>
              <w:tc>
                <w:tcPr>
                  <w:tcW w:w="355" w:type="pct"/>
                  <w:shd w:val="clear" w:color="auto" w:fill="auto"/>
                  <w:vAlign w:val="center"/>
                </w:tcPr>
                <w:p w14:paraId="4317B452">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Times New Roman" w:hAnsi="Times New Roman" w:eastAsia="宋体" w:cs="Times New Roman"/>
                      <w:b/>
                      <w:bCs/>
                      <w:i w:val="0"/>
                      <w:iCs w:val="0"/>
                      <w:color w:val="000000"/>
                      <w:kern w:val="0"/>
                      <w:sz w:val="21"/>
                      <w:szCs w:val="21"/>
                      <w:u w:val="none"/>
                      <w:lang w:val="en-US" w:eastAsia="zh-CN" w:bidi="ar"/>
                    </w:rPr>
                  </w:pPr>
                  <w:r>
                    <w:rPr>
                      <w:rFonts w:hint="eastAsia" w:cs="Times New Roman"/>
                      <w:b/>
                      <w:bCs/>
                      <w:i w:val="0"/>
                      <w:iCs w:val="0"/>
                      <w:color w:val="000000"/>
                      <w:kern w:val="0"/>
                      <w:sz w:val="21"/>
                      <w:szCs w:val="21"/>
                      <w:u w:val="none"/>
                      <w:vertAlign w:val="baseline"/>
                      <w:lang w:val="en-US" w:eastAsia="zh-CN" w:bidi="ar"/>
                    </w:rPr>
                    <w:t>TN</w:t>
                  </w:r>
                </w:p>
              </w:tc>
              <w:tc>
                <w:tcPr>
                  <w:tcW w:w="354" w:type="pct"/>
                  <w:shd w:val="clear" w:color="auto" w:fill="auto"/>
                  <w:vAlign w:val="center"/>
                </w:tcPr>
                <w:p w14:paraId="02C616E6">
                  <w:pPr>
                    <w:keepNext w:val="0"/>
                    <w:keepLines w:val="0"/>
                    <w:widowControl/>
                    <w:suppressLineNumbers w:val="0"/>
                    <w:jc w:val="center"/>
                    <w:textAlignment w:val="center"/>
                    <w:rPr>
                      <w:rFonts w:hint="eastAsia" w:ascii="Times New Roman" w:hAnsi="Times New Roman" w:eastAsia="宋体" w:cs="Times New Roman"/>
                      <w:b/>
                      <w:bCs/>
                      <w:i w:val="0"/>
                      <w:iCs w:val="0"/>
                      <w:color w:val="000000"/>
                      <w:kern w:val="0"/>
                      <w:sz w:val="21"/>
                      <w:szCs w:val="21"/>
                      <w:u w:val="none"/>
                      <w:lang w:val="en-US" w:eastAsia="zh-CN" w:bidi="ar"/>
                    </w:rPr>
                  </w:pPr>
                  <w:r>
                    <w:rPr>
                      <w:rFonts w:hint="eastAsia" w:cs="Times New Roman"/>
                      <w:b/>
                      <w:bCs/>
                      <w:i w:val="0"/>
                      <w:iCs w:val="0"/>
                      <w:color w:val="000000"/>
                      <w:kern w:val="0"/>
                      <w:sz w:val="21"/>
                      <w:szCs w:val="21"/>
                      <w:u w:val="none"/>
                      <w:vertAlign w:val="baseline"/>
                      <w:lang w:val="en-US" w:eastAsia="zh-CN" w:bidi="ar"/>
                    </w:rPr>
                    <w:t>TP</w:t>
                  </w:r>
                </w:p>
              </w:tc>
              <w:tc>
                <w:tcPr>
                  <w:tcW w:w="354" w:type="pct"/>
                  <w:shd w:val="clear" w:color="auto" w:fill="auto"/>
                  <w:vAlign w:val="center"/>
                </w:tcPr>
                <w:p w14:paraId="309BFCFE">
                  <w:pPr>
                    <w:keepNext w:val="0"/>
                    <w:keepLines w:val="0"/>
                    <w:widowControl/>
                    <w:suppressLineNumbers w:val="0"/>
                    <w:jc w:val="center"/>
                    <w:textAlignment w:val="center"/>
                    <w:rPr>
                      <w:rFonts w:hint="default" w:cs="Times New Roman"/>
                      <w:b/>
                      <w:bCs/>
                      <w:i w:val="0"/>
                      <w:iCs w:val="0"/>
                      <w:color w:val="000000"/>
                      <w:kern w:val="0"/>
                      <w:sz w:val="21"/>
                      <w:szCs w:val="21"/>
                      <w:u w:val="none"/>
                      <w:vertAlign w:val="baseline"/>
                      <w:lang w:val="en-US" w:eastAsia="zh-CN" w:bidi="ar"/>
                    </w:rPr>
                  </w:pPr>
                  <w:r>
                    <w:rPr>
                      <w:rFonts w:hint="eastAsia" w:cs="Times New Roman"/>
                      <w:b/>
                      <w:bCs/>
                      <w:i w:val="0"/>
                      <w:iCs w:val="0"/>
                      <w:color w:val="000000"/>
                      <w:kern w:val="0"/>
                      <w:sz w:val="21"/>
                      <w:szCs w:val="21"/>
                      <w:u w:val="none"/>
                      <w:vertAlign w:val="baseline"/>
                      <w:lang w:val="en-US" w:eastAsia="zh-CN" w:bidi="ar"/>
                    </w:rPr>
                    <w:t>全盐量</w:t>
                  </w:r>
                </w:p>
              </w:tc>
            </w:tr>
            <w:tr w14:paraId="6A2B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916" w:type="pct"/>
                  <w:vMerge w:val="restart"/>
                  <w:shd w:val="clear" w:color="auto" w:fill="auto"/>
                  <w:vAlign w:val="center"/>
                </w:tcPr>
                <w:p w14:paraId="2ED45BAD">
                  <w:pPr>
                    <w:keepNext w:val="0"/>
                    <w:keepLines w:val="0"/>
                    <w:widowControl/>
                    <w:suppressLineNumbers w:val="0"/>
                    <w:jc w:val="center"/>
                    <w:textAlignment w:val="center"/>
                    <w:rPr>
                      <w:rFonts w:hint="eastAsia"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调节池</w:t>
                  </w:r>
                </w:p>
              </w:tc>
              <w:tc>
                <w:tcPr>
                  <w:tcW w:w="732" w:type="pct"/>
                  <w:shd w:val="clear" w:color="auto" w:fill="auto"/>
                  <w:vAlign w:val="center"/>
                </w:tcPr>
                <w:p w14:paraId="6C73C81B">
                  <w:pPr>
                    <w:keepNext w:val="0"/>
                    <w:keepLines w:val="0"/>
                    <w:widowControl/>
                    <w:suppressLineNumbers w:val="0"/>
                    <w:jc w:val="center"/>
                    <w:textAlignment w:val="center"/>
                    <w:rPr>
                      <w:rFonts w:hint="eastAsia"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进水（</w:t>
                  </w:r>
                  <w:r>
                    <w:rPr>
                      <w:rFonts w:hint="default" w:ascii="Times New Roman" w:hAnsi="Times New Roman" w:eastAsia="宋体" w:cs="Times New Roman"/>
                      <w:b w:val="0"/>
                      <w:bCs w:val="0"/>
                      <w:i w:val="0"/>
                      <w:iCs w:val="0"/>
                      <w:color w:val="000000"/>
                      <w:kern w:val="0"/>
                      <w:sz w:val="21"/>
                      <w:szCs w:val="21"/>
                      <w:u w:val="none"/>
                      <w:lang w:val="en-US" w:eastAsia="zh-CN" w:bidi="ar"/>
                    </w:rPr>
                    <w:t>mg/L</w:t>
                  </w:r>
                  <w:r>
                    <w:rPr>
                      <w:rFonts w:hint="eastAsia" w:ascii="Times New Roman" w:hAnsi="Times New Roman" w:eastAsia="宋体" w:cs="Times New Roman"/>
                      <w:b w:val="0"/>
                      <w:bCs w:val="0"/>
                      <w:i w:val="0"/>
                      <w:iCs w:val="0"/>
                      <w:color w:val="000000"/>
                      <w:kern w:val="0"/>
                      <w:sz w:val="21"/>
                      <w:szCs w:val="21"/>
                      <w:u w:val="none"/>
                      <w:lang w:val="en-US" w:eastAsia="zh-CN" w:bidi="ar"/>
                    </w:rPr>
                    <w:t>）</w:t>
                  </w:r>
                </w:p>
              </w:tc>
              <w:tc>
                <w:tcPr>
                  <w:tcW w:w="611" w:type="pct"/>
                  <w:shd w:val="clear" w:color="auto" w:fill="auto"/>
                  <w:noWrap/>
                  <w:vAlign w:val="center"/>
                </w:tcPr>
                <w:p w14:paraId="060430A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6-9</w:t>
                  </w:r>
                </w:p>
              </w:tc>
              <w:tc>
                <w:tcPr>
                  <w:tcW w:w="824" w:type="dxa"/>
                  <w:shd w:val="clear" w:color="auto" w:fill="auto"/>
                  <w:noWrap/>
                  <w:vAlign w:val="center"/>
                </w:tcPr>
                <w:p w14:paraId="43D4BAE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420</w:t>
                  </w:r>
                </w:p>
              </w:tc>
              <w:tc>
                <w:tcPr>
                  <w:tcW w:w="832" w:type="dxa"/>
                  <w:shd w:val="clear" w:color="auto" w:fill="auto"/>
                  <w:noWrap/>
                  <w:vAlign w:val="center"/>
                </w:tcPr>
                <w:p w14:paraId="0824C0C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171</w:t>
                  </w:r>
                </w:p>
              </w:tc>
              <w:tc>
                <w:tcPr>
                  <w:tcW w:w="824" w:type="dxa"/>
                  <w:shd w:val="clear" w:color="auto" w:fill="auto"/>
                  <w:noWrap/>
                  <w:vAlign w:val="center"/>
                </w:tcPr>
                <w:p w14:paraId="50175E4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209</w:t>
                  </w:r>
                </w:p>
              </w:tc>
              <w:tc>
                <w:tcPr>
                  <w:tcW w:w="820" w:type="dxa"/>
                  <w:shd w:val="clear" w:color="auto" w:fill="auto"/>
                  <w:noWrap/>
                  <w:vAlign w:val="center"/>
                </w:tcPr>
                <w:p w14:paraId="6195283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700" w:type="dxa"/>
                  <w:shd w:val="clear" w:color="auto" w:fill="auto"/>
                  <w:noWrap/>
                  <w:vAlign w:val="center"/>
                </w:tcPr>
                <w:p w14:paraId="6182910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698" w:type="dxa"/>
                  <w:shd w:val="clear" w:color="auto" w:fill="auto"/>
                  <w:noWrap/>
                  <w:vAlign w:val="center"/>
                </w:tcPr>
                <w:p w14:paraId="22FA08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698" w:type="dxa"/>
                  <w:shd w:val="clear" w:color="auto" w:fill="auto"/>
                  <w:noWrap/>
                  <w:vAlign w:val="center"/>
                </w:tcPr>
                <w:p w14:paraId="6A71D2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w:t>
                  </w:r>
                </w:p>
              </w:tc>
            </w:tr>
            <w:tr w14:paraId="39C6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916" w:type="pct"/>
                  <w:vMerge w:val="continue"/>
                  <w:shd w:val="clear" w:color="auto" w:fill="auto"/>
                  <w:vAlign w:val="center"/>
                </w:tcPr>
                <w:p w14:paraId="6ED51A14">
                  <w:pPr>
                    <w:keepNext w:val="0"/>
                    <w:keepLines w:val="0"/>
                    <w:widowControl/>
                    <w:suppressLineNumbers w:val="0"/>
                    <w:jc w:val="center"/>
                    <w:textAlignment w:val="center"/>
                    <w:rPr>
                      <w:rFonts w:hint="eastAsia" w:ascii="Times New Roman" w:hAnsi="Times New Roman" w:eastAsia="宋体" w:cs="Times New Roman"/>
                      <w:b w:val="0"/>
                      <w:bCs w:val="0"/>
                      <w:i w:val="0"/>
                      <w:iCs w:val="0"/>
                      <w:color w:val="000000"/>
                      <w:kern w:val="0"/>
                      <w:sz w:val="21"/>
                      <w:szCs w:val="21"/>
                      <w:u w:val="none"/>
                      <w:lang w:val="en-US" w:eastAsia="zh-CN" w:bidi="ar"/>
                    </w:rPr>
                  </w:pPr>
                </w:p>
              </w:tc>
              <w:tc>
                <w:tcPr>
                  <w:tcW w:w="732" w:type="pct"/>
                  <w:shd w:val="clear" w:color="auto" w:fill="auto"/>
                  <w:vAlign w:val="center"/>
                </w:tcPr>
                <w:p w14:paraId="4ABEF039">
                  <w:pPr>
                    <w:keepNext w:val="0"/>
                    <w:keepLines w:val="0"/>
                    <w:widowControl/>
                    <w:suppressLineNumbers w:val="0"/>
                    <w:jc w:val="center"/>
                    <w:textAlignment w:val="center"/>
                    <w:rPr>
                      <w:rFonts w:hint="eastAsia"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出水（</w:t>
                  </w:r>
                  <w:r>
                    <w:rPr>
                      <w:rFonts w:hint="default" w:ascii="Times New Roman" w:hAnsi="Times New Roman" w:eastAsia="宋体" w:cs="Times New Roman"/>
                      <w:b w:val="0"/>
                      <w:bCs w:val="0"/>
                      <w:i w:val="0"/>
                      <w:iCs w:val="0"/>
                      <w:color w:val="000000"/>
                      <w:kern w:val="0"/>
                      <w:sz w:val="21"/>
                      <w:szCs w:val="21"/>
                      <w:u w:val="none"/>
                      <w:lang w:val="en-US" w:eastAsia="zh-CN" w:bidi="ar"/>
                    </w:rPr>
                    <w:t>mg/L</w:t>
                  </w:r>
                  <w:r>
                    <w:rPr>
                      <w:rFonts w:hint="eastAsia" w:ascii="Times New Roman" w:hAnsi="Times New Roman" w:eastAsia="宋体" w:cs="Times New Roman"/>
                      <w:b w:val="0"/>
                      <w:bCs w:val="0"/>
                      <w:i w:val="0"/>
                      <w:iCs w:val="0"/>
                      <w:color w:val="000000"/>
                      <w:kern w:val="0"/>
                      <w:sz w:val="21"/>
                      <w:szCs w:val="21"/>
                      <w:u w:val="none"/>
                      <w:lang w:val="en-US" w:eastAsia="zh-CN" w:bidi="ar"/>
                    </w:rPr>
                    <w:t>）</w:t>
                  </w:r>
                </w:p>
              </w:tc>
              <w:tc>
                <w:tcPr>
                  <w:tcW w:w="611" w:type="pct"/>
                  <w:shd w:val="clear" w:color="auto" w:fill="auto"/>
                  <w:noWrap/>
                  <w:vAlign w:val="center"/>
                </w:tcPr>
                <w:p w14:paraId="1BF2195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6-9</w:t>
                  </w:r>
                </w:p>
              </w:tc>
              <w:tc>
                <w:tcPr>
                  <w:tcW w:w="824" w:type="dxa"/>
                  <w:shd w:val="clear" w:color="auto" w:fill="auto"/>
                  <w:noWrap/>
                  <w:vAlign w:val="center"/>
                </w:tcPr>
                <w:p w14:paraId="0986D95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420</w:t>
                  </w:r>
                </w:p>
              </w:tc>
              <w:tc>
                <w:tcPr>
                  <w:tcW w:w="832" w:type="dxa"/>
                  <w:shd w:val="clear" w:color="auto" w:fill="auto"/>
                  <w:noWrap/>
                  <w:vAlign w:val="center"/>
                </w:tcPr>
                <w:p w14:paraId="37AA6B8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171</w:t>
                  </w:r>
                </w:p>
              </w:tc>
              <w:tc>
                <w:tcPr>
                  <w:tcW w:w="824" w:type="dxa"/>
                  <w:shd w:val="clear" w:color="auto" w:fill="auto"/>
                  <w:noWrap/>
                  <w:vAlign w:val="center"/>
                </w:tcPr>
                <w:p w14:paraId="665A6CB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209</w:t>
                  </w:r>
                </w:p>
              </w:tc>
              <w:tc>
                <w:tcPr>
                  <w:tcW w:w="820" w:type="dxa"/>
                  <w:shd w:val="clear" w:color="auto" w:fill="auto"/>
                  <w:noWrap/>
                  <w:vAlign w:val="center"/>
                </w:tcPr>
                <w:p w14:paraId="233F53B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700" w:type="dxa"/>
                  <w:shd w:val="clear" w:color="auto" w:fill="auto"/>
                  <w:noWrap/>
                  <w:vAlign w:val="center"/>
                </w:tcPr>
                <w:p w14:paraId="3453A2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698" w:type="dxa"/>
                  <w:shd w:val="clear" w:color="auto" w:fill="auto"/>
                  <w:noWrap/>
                  <w:vAlign w:val="center"/>
                </w:tcPr>
                <w:p w14:paraId="18249D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698" w:type="dxa"/>
                  <w:shd w:val="clear" w:color="auto" w:fill="auto"/>
                  <w:noWrap/>
                  <w:vAlign w:val="center"/>
                </w:tcPr>
                <w:p w14:paraId="1B1E9D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w:t>
                  </w:r>
                </w:p>
              </w:tc>
            </w:tr>
            <w:tr w14:paraId="36D0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916" w:type="pct"/>
                  <w:vMerge w:val="continue"/>
                  <w:shd w:val="clear" w:color="auto" w:fill="auto"/>
                  <w:vAlign w:val="center"/>
                </w:tcPr>
                <w:p w14:paraId="69C72C99">
                  <w:pPr>
                    <w:keepNext w:val="0"/>
                    <w:keepLines w:val="0"/>
                    <w:widowControl/>
                    <w:suppressLineNumbers w:val="0"/>
                    <w:jc w:val="center"/>
                    <w:textAlignment w:val="center"/>
                    <w:rPr>
                      <w:rFonts w:hint="eastAsia" w:ascii="Times New Roman" w:hAnsi="Times New Roman" w:eastAsia="宋体" w:cs="Times New Roman"/>
                      <w:b w:val="0"/>
                      <w:bCs w:val="0"/>
                      <w:i w:val="0"/>
                      <w:iCs w:val="0"/>
                      <w:color w:val="000000"/>
                      <w:kern w:val="0"/>
                      <w:sz w:val="21"/>
                      <w:szCs w:val="21"/>
                      <w:u w:val="none"/>
                      <w:lang w:val="en-US" w:eastAsia="zh-CN" w:bidi="ar"/>
                    </w:rPr>
                  </w:pPr>
                </w:p>
              </w:tc>
              <w:tc>
                <w:tcPr>
                  <w:tcW w:w="732" w:type="pct"/>
                  <w:shd w:val="clear" w:color="auto" w:fill="auto"/>
                  <w:vAlign w:val="center"/>
                </w:tcPr>
                <w:p w14:paraId="5D3635CC">
                  <w:pPr>
                    <w:keepNext w:val="0"/>
                    <w:keepLines w:val="0"/>
                    <w:widowControl/>
                    <w:suppressLineNumbers w:val="0"/>
                    <w:jc w:val="center"/>
                    <w:textAlignment w:val="center"/>
                    <w:rPr>
                      <w:rFonts w:hint="eastAsia"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去除率（</w:t>
                  </w:r>
                  <w:r>
                    <w:rPr>
                      <w:rFonts w:hint="default" w:ascii="Times New Roman" w:hAnsi="Times New Roman" w:eastAsia="宋体" w:cs="Times New Roman"/>
                      <w:b w:val="0"/>
                      <w:bCs w:val="0"/>
                      <w:i w:val="0"/>
                      <w:iCs w:val="0"/>
                      <w:color w:val="000000"/>
                      <w:kern w:val="0"/>
                      <w:sz w:val="21"/>
                      <w:szCs w:val="21"/>
                      <w:u w:val="none"/>
                      <w:lang w:val="en-US" w:eastAsia="zh-CN" w:bidi="ar"/>
                    </w:rPr>
                    <w:t>%</w:t>
                  </w:r>
                  <w:r>
                    <w:rPr>
                      <w:rFonts w:hint="eastAsia" w:ascii="Times New Roman" w:hAnsi="Times New Roman" w:eastAsia="宋体" w:cs="Times New Roman"/>
                      <w:b w:val="0"/>
                      <w:bCs w:val="0"/>
                      <w:i w:val="0"/>
                      <w:iCs w:val="0"/>
                      <w:color w:val="000000"/>
                      <w:kern w:val="0"/>
                      <w:sz w:val="21"/>
                      <w:szCs w:val="21"/>
                      <w:u w:val="none"/>
                      <w:lang w:val="en-US" w:eastAsia="zh-CN" w:bidi="ar"/>
                    </w:rPr>
                    <w:t>）</w:t>
                  </w:r>
                </w:p>
              </w:tc>
              <w:tc>
                <w:tcPr>
                  <w:tcW w:w="611" w:type="pct"/>
                  <w:shd w:val="clear" w:color="auto" w:fill="auto"/>
                  <w:noWrap/>
                  <w:vAlign w:val="center"/>
                </w:tcPr>
                <w:p w14:paraId="160978A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824" w:type="dxa"/>
                  <w:shd w:val="clear" w:color="auto" w:fill="auto"/>
                  <w:noWrap/>
                  <w:vAlign w:val="center"/>
                </w:tcPr>
                <w:p w14:paraId="02F457D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32" w:type="dxa"/>
                  <w:shd w:val="clear" w:color="auto" w:fill="auto"/>
                  <w:noWrap/>
                  <w:vAlign w:val="center"/>
                </w:tcPr>
                <w:p w14:paraId="03F0966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24" w:type="dxa"/>
                  <w:shd w:val="clear" w:color="auto" w:fill="auto"/>
                  <w:noWrap/>
                  <w:vAlign w:val="center"/>
                </w:tcPr>
                <w:p w14:paraId="1B7EE2B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20" w:type="dxa"/>
                  <w:shd w:val="clear" w:color="auto" w:fill="auto"/>
                  <w:noWrap/>
                  <w:vAlign w:val="center"/>
                </w:tcPr>
                <w:p w14:paraId="6C939D6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00" w:type="dxa"/>
                  <w:shd w:val="clear" w:color="auto" w:fill="auto"/>
                  <w:noWrap/>
                  <w:vAlign w:val="center"/>
                </w:tcPr>
                <w:p w14:paraId="661607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698" w:type="dxa"/>
                  <w:shd w:val="clear" w:color="auto" w:fill="auto"/>
                  <w:noWrap/>
                  <w:vAlign w:val="center"/>
                </w:tcPr>
                <w:p w14:paraId="1A1E23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698" w:type="dxa"/>
                  <w:shd w:val="clear" w:color="auto" w:fill="auto"/>
                  <w:noWrap/>
                  <w:vAlign w:val="center"/>
                </w:tcPr>
                <w:p w14:paraId="1BEF717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14:paraId="0DB7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916" w:type="pct"/>
                  <w:vMerge w:val="restart"/>
                  <w:shd w:val="clear" w:color="auto" w:fill="auto"/>
                  <w:vAlign w:val="center"/>
                </w:tcPr>
                <w:p w14:paraId="28B4F78B">
                  <w:pPr>
                    <w:keepNext w:val="0"/>
                    <w:keepLines w:val="0"/>
                    <w:widowControl/>
                    <w:suppressLineNumbers w:val="0"/>
                    <w:jc w:val="center"/>
                    <w:textAlignment w:val="center"/>
                    <w:rPr>
                      <w:rFonts w:hint="eastAsia" w:ascii="Times New Roman" w:hAnsi="Times New Roman" w:eastAsia="宋体" w:cs="Times New Roman"/>
                      <w:b w:val="0"/>
                      <w:bCs w:val="0"/>
                      <w:i w:val="0"/>
                      <w:iCs w:val="0"/>
                      <w:color w:val="000000"/>
                      <w:kern w:val="0"/>
                      <w:sz w:val="21"/>
                      <w:szCs w:val="21"/>
                      <w:u w:val="none"/>
                      <w:lang w:val="en-US" w:eastAsia="zh-CN" w:bidi="ar"/>
                    </w:rPr>
                  </w:pPr>
                  <w:r>
                    <w:rPr>
                      <w:rFonts w:hint="eastAsia" w:eastAsia="宋体" w:cs="Times New Roman"/>
                      <w:b w:val="0"/>
                      <w:bCs w:val="0"/>
                      <w:i w:val="0"/>
                      <w:iCs w:val="0"/>
                      <w:color w:val="000000"/>
                      <w:kern w:val="0"/>
                      <w:sz w:val="21"/>
                      <w:szCs w:val="21"/>
                      <w:u w:val="none"/>
                      <w:lang w:val="en-US" w:eastAsia="zh-CN" w:bidi="ar"/>
                    </w:rPr>
                    <w:t>气浮</w:t>
                  </w:r>
                  <w:r>
                    <w:rPr>
                      <w:rFonts w:hint="eastAsia" w:ascii="Times New Roman" w:hAnsi="Times New Roman" w:eastAsia="宋体" w:cs="Times New Roman"/>
                      <w:b w:val="0"/>
                      <w:bCs w:val="0"/>
                      <w:i w:val="0"/>
                      <w:iCs w:val="0"/>
                      <w:color w:val="000000"/>
                      <w:kern w:val="0"/>
                      <w:sz w:val="21"/>
                      <w:szCs w:val="21"/>
                      <w:u w:val="none"/>
                      <w:lang w:val="en-US" w:eastAsia="zh-CN" w:bidi="ar"/>
                    </w:rPr>
                    <w:t>池</w:t>
                  </w:r>
                </w:p>
              </w:tc>
              <w:tc>
                <w:tcPr>
                  <w:tcW w:w="732" w:type="pct"/>
                  <w:shd w:val="clear" w:color="auto" w:fill="auto"/>
                  <w:vAlign w:val="center"/>
                </w:tcPr>
                <w:p w14:paraId="2C3AFC01">
                  <w:pPr>
                    <w:keepNext w:val="0"/>
                    <w:keepLines w:val="0"/>
                    <w:widowControl/>
                    <w:suppressLineNumbers w:val="0"/>
                    <w:jc w:val="center"/>
                    <w:textAlignment w:val="center"/>
                    <w:rPr>
                      <w:rFonts w:hint="eastAsia"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进水（</w:t>
                  </w:r>
                  <w:r>
                    <w:rPr>
                      <w:rFonts w:hint="default" w:ascii="Times New Roman" w:hAnsi="Times New Roman" w:eastAsia="宋体" w:cs="Times New Roman"/>
                      <w:b w:val="0"/>
                      <w:bCs w:val="0"/>
                      <w:i w:val="0"/>
                      <w:iCs w:val="0"/>
                      <w:color w:val="000000"/>
                      <w:kern w:val="0"/>
                      <w:sz w:val="21"/>
                      <w:szCs w:val="21"/>
                      <w:u w:val="none"/>
                      <w:lang w:val="en-US" w:eastAsia="zh-CN" w:bidi="ar"/>
                    </w:rPr>
                    <w:t>mg/L</w:t>
                  </w:r>
                  <w:r>
                    <w:rPr>
                      <w:rFonts w:hint="eastAsia" w:ascii="Times New Roman" w:hAnsi="Times New Roman" w:eastAsia="宋体" w:cs="Times New Roman"/>
                      <w:b w:val="0"/>
                      <w:bCs w:val="0"/>
                      <w:i w:val="0"/>
                      <w:iCs w:val="0"/>
                      <w:color w:val="000000"/>
                      <w:kern w:val="0"/>
                      <w:sz w:val="21"/>
                      <w:szCs w:val="21"/>
                      <w:u w:val="none"/>
                      <w:lang w:val="en-US" w:eastAsia="zh-CN" w:bidi="ar"/>
                    </w:rPr>
                    <w:t>）</w:t>
                  </w:r>
                </w:p>
              </w:tc>
              <w:tc>
                <w:tcPr>
                  <w:tcW w:w="611" w:type="pct"/>
                  <w:shd w:val="clear" w:color="auto" w:fill="auto"/>
                  <w:noWrap/>
                  <w:vAlign w:val="center"/>
                </w:tcPr>
                <w:p w14:paraId="4A73868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6-9</w:t>
                  </w:r>
                </w:p>
              </w:tc>
              <w:tc>
                <w:tcPr>
                  <w:tcW w:w="824" w:type="dxa"/>
                  <w:shd w:val="clear" w:color="auto" w:fill="auto"/>
                  <w:noWrap/>
                  <w:vAlign w:val="center"/>
                </w:tcPr>
                <w:p w14:paraId="3A95BEA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420</w:t>
                  </w:r>
                </w:p>
              </w:tc>
              <w:tc>
                <w:tcPr>
                  <w:tcW w:w="832" w:type="dxa"/>
                  <w:shd w:val="clear" w:color="auto" w:fill="auto"/>
                  <w:noWrap/>
                  <w:vAlign w:val="center"/>
                </w:tcPr>
                <w:p w14:paraId="0148B3D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171</w:t>
                  </w:r>
                </w:p>
              </w:tc>
              <w:tc>
                <w:tcPr>
                  <w:tcW w:w="824" w:type="dxa"/>
                  <w:shd w:val="clear" w:color="auto" w:fill="auto"/>
                  <w:noWrap/>
                  <w:vAlign w:val="center"/>
                </w:tcPr>
                <w:p w14:paraId="2812874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209</w:t>
                  </w:r>
                </w:p>
              </w:tc>
              <w:tc>
                <w:tcPr>
                  <w:tcW w:w="820" w:type="dxa"/>
                  <w:shd w:val="clear" w:color="auto" w:fill="auto"/>
                  <w:noWrap/>
                  <w:vAlign w:val="center"/>
                </w:tcPr>
                <w:p w14:paraId="34A8633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700" w:type="dxa"/>
                  <w:shd w:val="clear" w:color="auto" w:fill="auto"/>
                  <w:noWrap/>
                  <w:vAlign w:val="center"/>
                </w:tcPr>
                <w:p w14:paraId="725598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698" w:type="dxa"/>
                  <w:shd w:val="clear" w:color="auto" w:fill="auto"/>
                  <w:noWrap/>
                  <w:vAlign w:val="center"/>
                </w:tcPr>
                <w:p w14:paraId="0C1655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698" w:type="dxa"/>
                  <w:shd w:val="clear" w:color="auto" w:fill="auto"/>
                  <w:noWrap/>
                  <w:vAlign w:val="center"/>
                </w:tcPr>
                <w:p w14:paraId="3356D67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w:t>
                  </w:r>
                </w:p>
              </w:tc>
            </w:tr>
            <w:tr w14:paraId="612C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916" w:type="pct"/>
                  <w:vMerge w:val="continue"/>
                  <w:shd w:val="clear" w:color="auto" w:fill="auto"/>
                  <w:vAlign w:val="center"/>
                </w:tcPr>
                <w:p w14:paraId="5C94D2DC">
                  <w:pPr>
                    <w:keepNext w:val="0"/>
                    <w:keepLines w:val="0"/>
                    <w:widowControl/>
                    <w:suppressLineNumbers w:val="0"/>
                    <w:jc w:val="center"/>
                    <w:textAlignment w:val="center"/>
                    <w:rPr>
                      <w:rFonts w:hint="eastAsia" w:ascii="Times New Roman" w:hAnsi="Times New Roman" w:eastAsia="宋体" w:cs="Times New Roman"/>
                      <w:b w:val="0"/>
                      <w:bCs w:val="0"/>
                      <w:i w:val="0"/>
                      <w:iCs w:val="0"/>
                      <w:color w:val="000000"/>
                      <w:kern w:val="0"/>
                      <w:sz w:val="21"/>
                      <w:szCs w:val="21"/>
                      <w:u w:val="none"/>
                      <w:lang w:val="en-US" w:eastAsia="zh-CN" w:bidi="ar"/>
                    </w:rPr>
                  </w:pPr>
                </w:p>
              </w:tc>
              <w:tc>
                <w:tcPr>
                  <w:tcW w:w="732" w:type="pct"/>
                  <w:shd w:val="clear" w:color="auto" w:fill="auto"/>
                  <w:vAlign w:val="center"/>
                </w:tcPr>
                <w:p w14:paraId="026D2A93">
                  <w:pPr>
                    <w:keepNext w:val="0"/>
                    <w:keepLines w:val="0"/>
                    <w:widowControl/>
                    <w:suppressLineNumbers w:val="0"/>
                    <w:jc w:val="center"/>
                    <w:textAlignment w:val="center"/>
                    <w:rPr>
                      <w:rFonts w:hint="eastAsia"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出水（</w:t>
                  </w:r>
                  <w:r>
                    <w:rPr>
                      <w:rFonts w:hint="default" w:ascii="Times New Roman" w:hAnsi="Times New Roman" w:eastAsia="宋体" w:cs="Times New Roman"/>
                      <w:b w:val="0"/>
                      <w:bCs w:val="0"/>
                      <w:i w:val="0"/>
                      <w:iCs w:val="0"/>
                      <w:color w:val="000000"/>
                      <w:kern w:val="0"/>
                      <w:sz w:val="21"/>
                      <w:szCs w:val="21"/>
                      <w:u w:val="none"/>
                      <w:lang w:val="en-US" w:eastAsia="zh-CN" w:bidi="ar"/>
                    </w:rPr>
                    <w:t>mg/L</w:t>
                  </w:r>
                  <w:r>
                    <w:rPr>
                      <w:rFonts w:hint="eastAsia" w:ascii="Times New Roman" w:hAnsi="Times New Roman" w:eastAsia="宋体" w:cs="Times New Roman"/>
                      <w:b w:val="0"/>
                      <w:bCs w:val="0"/>
                      <w:i w:val="0"/>
                      <w:iCs w:val="0"/>
                      <w:color w:val="000000"/>
                      <w:kern w:val="0"/>
                      <w:sz w:val="21"/>
                      <w:szCs w:val="21"/>
                      <w:u w:val="none"/>
                      <w:lang w:val="en-US" w:eastAsia="zh-CN" w:bidi="ar"/>
                    </w:rPr>
                    <w:t>）</w:t>
                  </w:r>
                </w:p>
              </w:tc>
              <w:tc>
                <w:tcPr>
                  <w:tcW w:w="611" w:type="pct"/>
                  <w:shd w:val="clear" w:color="auto" w:fill="auto"/>
                  <w:noWrap/>
                  <w:vAlign w:val="center"/>
                </w:tcPr>
                <w:p w14:paraId="122FD20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6-9</w:t>
                  </w:r>
                </w:p>
              </w:tc>
              <w:tc>
                <w:tcPr>
                  <w:tcW w:w="824" w:type="dxa"/>
                  <w:shd w:val="clear" w:color="auto" w:fill="auto"/>
                  <w:noWrap/>
                  <w:vAlign w:val="center"/>
                </w:tcPr>
                <w:p w14:paraId="522C6EE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420</w:t>
                  </w:r>
                </w:p>
              </w:tc>
              <w:tc>
                <w:tcPr>
                  <w:tcW w:w="832" w:type="dxa"/>
                  <w:shd w:val="clear" w:color="auto" w:fill="auto"/>
                  <w:noWrap/>
                  <w:vAlign w:val="center"/>
                </w:tcPr>
                <w:p w14:paraId="7E1C6AB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171</w:t>
                  </w:r>
                </w:p>
              </w:tc>
              <w:tc>
                <w:tcPr>
                  <w:tcW w:w="824" w:type="dxa"/>
                  <w:shd w:val="clear" w:color="auto" w:fill="auto"/>
                  <w:noWrap/>
                  <w:vAlign w:val="center"/>
                </w:tcPr>
                <w:p w14:paraId="677F11A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125</w:t>
                  </w:r>
                </w:p>
              </w:tc>
              <w:tc>
                <w:tcPr>
                  <w:tcW w:w="820" w:type="dxa"/>
                  <w:shd w:val="clear" w:color="auto" w:fill="auto"/>
                  <w:noWrap/>
                  <w:vAlign w:val="center"/>
                </w:tcPr>
                <w:p w14:paraId="720A18D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700" w:type="dxa"/>
                  <w:shd w:val="clear" w:color="auto" w:fill="auto"/>
                  <w:noWrap/>
                  <w:vAlign w:val="center"/>
                </w:tcPr>
                <w:p w14:paraId="623EFC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698" w:type="dxa"/>
                  <w:shd w:val="clear" w:color="auto" w:fill="auto"/>
                  <w:noWrap/>
                  <w:vAlign w:val="center"/>
                </w:tcPr>
                <w:p w14:paraId="0BDF91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698" w:type="dxa"/>
                  <w:shd w:val="clear" w:color="auto" w:fill="auto"/>
                  <w:noWrap/>
                  <w:vAlign w:val="center"/>
                </w:tcPr>
                <w:p w14:paraId="3E830C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w:t>
                  </w:r>
                </w:p>
              </w:tc>
            </w:tr>
            <w:tr w14:paraId="0706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916" w:type="pct"/>
                  <w:vMerge w:val="continue"/>
                  <w:shd w:val="clear" w:color="auto" w:fill="auto"/>
                  <w:vAlign w:val="center"/>
                </w:tcPr>
                <w:p w14:paraId="6B2CE4F6">
                  <w:pPr>
                    <w:keepNext w:val="0"/>
                    <w:keepLines w:val="0"/>
                    <w:widowControl/>
                    <w:suppressLineNumbers w:val="0"/>
                    <w:jc w:val="center"/>
                    <w:textAlignment w:val="center"/>
                    <w:rPr>
                      <w:rFonts w:hint="eastAsia" w:ascii="Times New Roman" w:hAnsi="Times New Roman" w:eastAsia="宋体" w:cs="Times New Roman"/>
                      <w:b w:val="0"/>
                      <w:bCs w:val="0"/>
                      <w:i w:val="0"/>
                      <w:iCs w:val="0"/>
                      <w:color w:val="000000"/>
                      <w:kern w:val="0"/>
                      <w:sz w:val="21"/>
                      <w:szCs w:val="21"/>
                      <w:u w:val="none"/>
                      <w:lang w:val="en-US" w:eastAsia="zh-CN" w:bidi="ar"/>
                    </w:rPr>
                  </w:pPr>
                </w:p>
              </w:tc>
              <w:tc>
                <w:tcPr>
                  <w:tcW w:w="732" w:type="pct"/>
                  <w:shd w:val="clear" w:color="auto" w:fill="auto"/>
                  <w:vAlign w:val="center"/>
                </w:tcPr>
                <w:p w14:paraId="604995F9">
                  <w:pPr>
                    <w:keepNext w:val="0"/>
                    <w:keepLines w:val="0"/>
                    <w:widowControl/>
                    <w:suppressLineNumbers w:val="0"/>
                    <w:jc w:val="center"/>
                    <w:textAlignment w:val="center"/>
                    <w:rPr>
                      <w:rFonts w:hint="eastAsia"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去除率（</w:t>
                  </w:r>
                  <w:r>
                    <w:rPr>
                      <w:rFonts w:hint="default" w:ascii="Times New Roman" w:hAnsi="Times New Roman" w:eastAsia="宋体" w:cs="Times New Roman"/>
                      <w:b w:val="0"/>
                      <w:bCs w:val="0"/>
                      <w:i w:val="0"/>
                      <w:iCs w:val="0"/>
                      <w:color w:val="000000"/>
                      <w:kern w:val="0"/>
                      <w:sz w:val="21"/>
                      <w:szCs w:val="21"/>
                      <w:u w:val="none"/>
                      <w:lang w:val="en-US" w:eastAsia="zh-CN" w:bidi="ar"/>
                    </w:rPr>
                    <w:t>%</w:t>
                  </w:r>
                  <w:r>
                    <w:rPr>
                      <w:rFonts w:hint="eastAsia" w:ascii="Times New Roman" w:hAnsi="Times New Roman" w:eastAsia="宋体" w:cs="Times New Roman"/>
                      <w:b w:val="0"/>
                      <w:bCs w:val="0"/>
                      <w:i w:val="0"/>
                      <w:iCs w:val="0"/>
                      <w:color w:val="000000"/>
                      <w:kern w:val="0"/>
                      <w:sz w:val="21"/>
                      <w:szCs w:val="21"/>
                      <w:u w:val="none"/>
                      <w:lang w:val="en-US" w:eastAsia="zh-CN" w:bidi="ar"/>
                    </w:rPr>
                    <w:t>）</w:t>
                  </w:r>
                </w:p>
              </w:tc>
              <w:tc>
                <w:tcPr>
                  <w:tcW w:w="611" w:type="pct"/>
                  <w:shd w:val="clear" w:color="auto" w:fill="auto"/>
                  <w:noWrap/>
                  <w:vAlign w:val="center"/>
                </w:tcPr>
                <w:p w14:paraId="47430EB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824" w:type="dxa"/>
                  <w:shd w:val="clear" w:color="auto" w:fill="auto"/>
                  <w:noWrap/>
                  <w:vAlign w:val="center"/>
                </w:tcPr>
                <w:p w14:paraId="2A8FB20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32" w:type="dxa"/>
                  <w:shd w:val="clear" w:color="auto" w:fill="auto"/>
                  <w:noWrap/>
                  <w:vAlign w:val="center"/>
                </w:tcPr>
                <w:p w14:paraId="43FEDF6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24" w:type="dxa"/>
                  <w:shd w:val="clear" w:color="auto" w:fill="auto"/>
                  <w:noWrap/>
                  <w:vAlign w:val="center"/>
                </w:tcPr>
                <w:p w14:paraId="399A842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820" w:type="dxa"/>
                  <w:shd w:val="clear" w:color="auto" w:fill="auto"/>
                  <w:noWrap/>
                  <w:vAlign w:val="center"/>
                </w:tcPr>
                <w:p w14:paraId="6A7E382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00" w:type="dxa"/>
                  <w:shd w:val="clear" w:color="auto" w:fill="auto"/>
                  <w:noWrap/>
                  <w:vAlign w:val="center"/>
                </w:tcPr>
                <w:p w14:paraId="13E2B7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698" w:type="dxa"/>
                  <w:shd w:val="clear" w:color="auto" w:fill="auto"/>
                  <w:noWrap/>
                  <w:vAlign w:val="center"/>
                </w:tcPr>
                <w:p w14:paraId="1814F6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698" w:type="dxa"/>
                  <w:shd w:val="clear" w:color="auto" w:fill="auto"/>
                  <w:noWrap/>
                  <w:vAlign w:val="center"/>
                </w:tcPr>
                <w:p w14:paraId="36E64C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r>
            <w:tr w14:paraId="1B027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916" w:type="pct"/>
                  <w:vMerge w:val="restart"/>
                  <w:shd w:val="clear" w:color="auto" w:fill="auto"/>
                  <w:vAlign w:val="center"/>
                </w:tcPr>
                <w:p w14:paraId="73DD373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A/O</w:t>
                  </w:r>
                  <w:r>
                    <w:rPr>
                      <w:rFonts w:hint="eastAsia" w:ascii="Times New Roman" w:hAnsi="Times New Roman" w:eastAsia="宋体" w:cs="Times New Roman"/>
                      <w:b w:val="0"/>
                      <w:bCs w:val="0"/>
                      <w:i w:val="0"/>
                      <w:iCs w:val="0"/>
                      <w:color w:val="000000"/>
                      <w:kern w:val="0"/>
                      <w:sz w:val="21"/>
                      <w:szCs w:val="21"/>
                      <w:u w:val="none"/>
                      <w:lang w:val="en-US" w:eastAsia="zh-CN" w:bidi="ar"/>
                    </w:rPr>
                    <w:t>生化系统</w:t>
                  </w:r>
                </w:p>
              </w:tc>
              <w:tc>
                <w:tcPr>
                  <w:tcW w:w="732" w:type="pct"/>
                  <w:shd w:val="clear" w:color="auto" w:fill="auto"/>
                  <w:vAlign w:val="center"/>
                </w:tcPr>
                <w:p w14:paraId="38F0AE00">
                  <w:pPr>
                    <w:keepNext w:val="0"/>
                    <w:keepLines w:val="0"/>
                    <w:widowControl/>
                    <w:suppressLineNumbers w:val="0"/>
                    <w:jc w:val="center"/>
                    <w:textAlignment w:val="center"/>
                    <w:rPr>
                      <w:rFonts w:hint="eastAsia"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进水（</w:t>
                  </w:r>
                  <w:r>
                    <w:rPr>
                      <w:rFonts w:hint="default" w:ascii="Times New Roman" w:hAnsi="Times New Roman" w:eastAsia="宋体" w:cs="Times New Roman"/>
                      <w:b w:val="0"/>
                      <w:bCs w:val="0"/>
                      <w:i w:val="0"/>
                      <w:iCs w:val="0"/>
                      <w:color w:val="000000"/>
                      <w:kern w:val="0"/>
                      <w:sz w:val="21"/>
                      <w:szCs w:val="21"/>
                      <w:u w:val="none"/>
                      <w:lang w:val="en-US" w:eastAsia="zh-CN" w:bidi="ar"/>
                    </w:rPr>
                    <w:t>mg/L</w:t>
                  </w:r>
                  <w:r>
                    <w:rPr>
                      <w:rFonts w:hint="eastAsia" w:ascii="Times New Roman" w:hAnsi="Times New Roman" w:eastAsia="宋体" w:cs="Times New Roman"/>
                      <w:b w:val="0"/>
                      <w:bCs w:val="0"/>
                      <w:i w:val="0"/>
                      <w:iCs w:val="0"/>
                      <w:color w:val="000000"/>
                      <w:kern w:val="0"/>
                      <w:sz w:val="21"/>
                      <w:szCs w:val="21"/>
                      <w:u w:val="none"/>
                      <w:lang w:val="en-US" w:eastAsia="zh-CN" w:bidi="ar"/>
                    </w:rPr>
                    <w:t>）</w:t>
                  </w:r>
                </w:p>
              </w:tc>
              <w:tc>
                <w:tcPr>
                  <w:tcW w:w="611" w:type="pct"/>
                  <w:shd w:val="clear" w:color="auto" w:fill="auto"/>
                  <w:noWrap/>
                  <w:vAlign w:val="center"/>
                </w:tcPr>
                <w:p w14:paraId="6041628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6-9</w:t>
                  </w:r>
                </w:p>
              </w:tc>
              <w:tc>
                <w:tcPr>
                  <w:tcW w:w="824" w:type="dxa"/>
                  <w:shd w:val="clear" w:color="auto" w:fill="auto"/>
                  <w:noWrap/>
                  <w:vAlign w:val="center"/>
                </w:tcPr>
                <w:p w14:paraId="0BE5B13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420</w:t>
                  </w:r>
                </w:p>
              </w:tc>
              <w:tc>
                <w:tcPr>
                  <w:tcW w:w="832" w:type="dxa"/>
                  <w:shd w:val="clear" w:color="auto" w:fill="auto"/>
                  <w:noWrap/>
                  <w:vAlign w:val="center"/>
                </w:tcPr>
                <w:p w14:paraId="54EB33C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171</w:t>
                  </w:r>
                </w:p>
              </w:tc>
              <w:tc>
                <w:tcPr>
                  <w:tcW w:w="824" w:type="dxa"/>
                  <w:shd w:val="clear" w:color="auto" w:fill="auto"/>
                  <w:noWrap/>
                  <w:vAlign w:val="center"/>
                </w:tcPr>
                <w:p w14:paraId="5E9CB0F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125</w:t>
                  </w:r>
                </w:p>
              </w:tc>
              <w:tc>
                <w:tcPr>
                  <w:tcW w:w="820" w:type="dxa"/>
                  <w:shd w:val="clear" w:color="auto" w:fill="auto"/>
                  <w:noWrap/>
                  <w:vAlign w:val="center"/>
                </w:tcPr>
                <w:p w14:paraId="5442475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700" w:type="dxa"/>
                  <w:shd w:val="clear" w:color="auto" w:fill="auto"/>
                  <w:noWrap/>
                  <w:vAlign w:val="center"/>
                </w:tcPr>
                <w:p w14:paraId="3A6805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698" w:type="dxa"/>
                  <w:shd w:val="clear" w:color="auto" w:fill="auto"/>
                  <w:noWrap/>
                  <w:vAlign w:val="center"/>
                </w:tcPr>
                <w:p w14:paraId="2D7835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698" w:type="dxa"/>
                  <w:shd w:val="clear" w:color="auto" w:fill="auto"/>
                  <w:noWrap/>
                  <w:vAlign w:val="center"/>
                </w:tcPr>
                <w:p w14:paraId="58AFF98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w:t>
                  </w:r>
                </w:p>
              </w:tc>
            </w:tr>
            <w:tr w14:paraId="5F8C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916" w:type="pct"/>
                  <w:vMerge w:val="continue"/>
                  <w:shd w:val="clear" w:color="auto" w:fill="auto"/>
                  <w:vAlign w:val="center"/>
                </w:tcPr>
                <w:p w14:paraId="590FDEE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732" w:type="pct"/>
                  <w:shd w:val="clear" w:color="auto" w:fill="auto"/>
                  <w:vAlign w:val="center"/>
                </w:tcPr>
                <w:p w14:paraId="405C371C">
                  <w:pPr>
                    <w:keepNext w:val="0"/>
                    <w:keepLines w:val="0"/>
                    <w:widowControl/>
                    <w:suppressLineNumbers w:val="0"/>
                    <w:jc w:val="center"/>
                    <w:textAlignment w:val="center"/>
                    <w:rPr>
                      <w:rFonts w:hint="eastAsia"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出水（</w:t>
                  </w:r>
                  <w:r>
                    <w:rPr>
                      <w:rFonts w:hint="default" w:ascii="Times New Roman" w:hAnsi="Times New Roman" w:eastAsia="宋体" w:cs="Times New Roman"/>
                      <w:b w:val="0"/>
                      <w:bCs w:val="0"/>
                      <w:i w:val="0"/>
                      <w:iCs w:val="0"/>
                      <w:color w:val="000000"/>
                      <w:kern w:val="0"/>
                      <w:sz w:val="21"/>
                      <w:szCs w:val="21"/>
                      <w:u w:val="none"/>
                      <w:lang w:val="en-US" w:eastAsia="zh-CN" w:bidi="ar"/>
                    </w:rPr>
                    <w:t>mg/L</w:t>
                  </w:r>
                  <w:r>
                    <w:rPr>
                      <w:rFonts w:hint="eastAsia" w:ascii="Times New Roman" w:hAnsi="Times New Roman" w:eastAsia="宋体" w:cs="Times New Roman"/>
                      <w:b w:val="0"/>
                      <w:bCs w:val="0"/>
                      <w:i w:val="0"/>
                      <w:iCs w:val="0"/>
                      <w:color w:val="000000"/>
                      <w:kern w:val="0"/>
                      <w:sz w:val="21"/>
                      <w:szCs w:val="21"/>
                      <w:u w:val="none"/>
                      <w:lang w:val="en-US" w:eastAsia="zh-CN" w:bidi="ar"/>
                    </w:rPr>
                    <w:t>）</w:t>
                  </w:r>
                </w:p>
              </w:tc>
              <w:tc>
                <w:tcPr>
                  <w:tcW w:w="611" w:type="pct"/>
                  <w:shd w:val="clear" w:color="auto" w:fill="auto"/>
                  <w:noWrap/>
                  <w:vAlign w:val="center"/>
                </w:tcPr>
                <w:p w14:paraId="51F1AAE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6-9</w:t>
                  </w:r>
                </w:p>
              </w:tc>
              <w:tc>
                <w:tcPr>
                  <w:tcW w:w="824" w:type="dxa"/>
                  <w:shd w:val="clear" w:color="auto" w:fill="auto"/>
                  <w:noWrap/>
                  <w:vAlign w:val="center"/>
                </w:tcPr>
                <w:p w14:paraId="1E54C05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105</w:t>
                  </w:r>
                </w:p>
              </w:tc>
              <w:tc>
                <w:tcPr>
                  <w:tcW w:w="832" w:type="dxa"/>
                  <w:shd w:val="clear" w:color="auto" w:fill="auto"/>
                  <w:noWrap/>
                  <w:vAlign w:val="center"/>
                </w:tcPr>
                <w:p w14:paraId="7D027AB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68</w:t>
                  </w:r>
                </w:p>
              </w:tc>
              <w:tc>
                <w:tcPr>
                  <w:tcW w:w="824" w:type="dxa"/>
                  <w:shd w:val="clear" w:color="auto" w:fill="auto"/>
                  <w:noWrap/>
                  <w:vAlign w:val="center"/>
                </w:tcPr>
                <w:p w14:paraId="57D0411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820" w:type="dxa"/>
                  <w:shd w:val="clear" w:color="auto" w:fill="auto"/>
                  <w:noWrap/>
                  <w:vAlign w:val="center"/>
                </w:tcPr>
                <w:p w14:paraId="37A9B82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700" w:type="dxa"/>
                  <w:shd w:val="clear" w:color="auto" w:fill="auto"/>
                  <w:noWrap/>
                  <w:vAlign w:val="center"/>
                </w:tcPr>
                <w:p w14:paraId="707C97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698" w:type="dxa"/>
                  <w:shd w:val="clear" w:color="auto" w:fill="auto"/>
                  <w:noWrap/>
                  <w:vAlign w:val="center"/>
                </w:tcPr>
                <w:p w14:paraId="28FC88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698" w:type="dxa"/>
                  <w:shd w:val="clear" w:color="auto" w:fill="auto"/>
                  <w:noWrap/>
                  <w:vAlign w:val="center"/>
                </w:tcPr>
                <w:p w14:paraId="2EA332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w:t>
                  </w:r>
                </w:p>
              </w:tc>
            </w:tr>
            <w:tr w14:paraId="1616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916" w:type="pct"/>
                  <w:vMerge w:val="continue"/>
                  <w:shd w:val="clear" w:color="auto" w:fill="auto"/>
                  <w:vAlign w:val="center"/>
                </w:tcPr>
                <w:p w14:paraId="687BCB6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732" w:type="pct"/>
                  <w:shd w:val="clear" w:color="auto" w:fill="auto"/>
                  <w:vAlign w:val="center"/>
                </w:tcPr>
                <w:p w14:paraId="530262A6">
                  <w:pPr>
                    <w:keepNext w:val="0"/>
                    <w:keepLines w:val="0"/>
                    <w:widowControl/>
                    <w:suppressLineNumbers w:val="0"/>
                    <w:jc w:val="center"/>
                    <w:textAlignment w:val="center"/>
                    <w:rPr>
                      <w:rFonts w:hint="eastAsia"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去除率（</w:t>
                  </w:r>
                  <w:r>
                    <w:rPr>
                      <w:rFonts w:hint="default" w:ascii="Times New Roman" w:hAnsi="Times New Roman" w:eastAsia="宋体" w:cs="Times New Roman"/>
                      <w:b w:val="0"/>
                      <w:bCs w:val="0"/>
                      <w:i w:val="0"/>
                      <w:iCs w:val="0"/>
                      <w:color w:val="000000"/>
                      <w:kern w:val="0"/>
                      <w:sz w:val="21"/>
                      <w:szCs w:val="21"/>
                      <w:u w:val="none"/>
                      <w:lang w:val="en-US" w:eastAsia="zh-CN" w:bidi="ar"/>
                    </w:rPr>
                    <w:t>%</w:t>
                  </w:r>
                  <w:r>
                    <w:rPr>
                      <w:rFonts w:hint="eastAsia" w:ascii="Times New Roman" w:hAnsi="Times New Roman" w:eastAsia="宋体" w:cs="Times New Roman"/>
                      <w:b w:val="0"/>
                      <w:bCs w:val="0"/>
                      <w:i w:val="0"/>
                      <w:iCs w:val="0"/>
                      <w:color w:val="000000"/>
                      <w:kern w:val="0"/>
                      <w:sz w:val="21"/>
                      <w:szCs w:val="21"/>
                      <w:u w:val="none"/>
                      <w:lang w:val="en-US" w:eastAsia="zh-CN" w:bidi="ar"/>
                    </w:rPr>
                    <w:t>）</w:t>
                  </w:r>
                </w:p>
              </w:tc>
              <w:tc>
                <w:tcPr>
                  <w:tcW w:w="611" w:type="pct"/>
                  <w:shd w:val="clear" w:color="auto" w:fill="auto"/>
                  <w:noWrap/>
                  <w:vAlign w:val="center"/>
                </w:tcPr>
                <w:p w14:paraId="4161C83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824" w:type="dxa"/>
                  <w:shd w:val="clear" w:color="auto" w:fill="auto"/>
                  <w:noWrap/>
                  <w:vAlign w:val="center"/>
                </w:tcPr>
                <w:p w14:paraId="711C45D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832" w:type="dxa"/>
                  <w:shd w:val="clear" w:color="auto" w:fill="auto"/>
                  <w:noWrap/>
                  <w:vAlign w:val="center"/>
                </w:tcPr>
                <w:p w14:paraId="3436256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824" w:type="dxa"/>
                  <w:shd w:val="clear" w:color="auto" w:fill="auto"/>
                  <w:noWrap/>
                  <w:vAlign w:val="center"/>
                </w:tcPr>
                <w:p w14:paraId="6471A77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820" w:type="dxa"/>
                  <w:shd w:val="clear" w:color="auto" w:fill="auto"/>
                  <w:noWrap/>
                  <w:vAlign w:val="center"/>
                </w:tcPr>
                <w:p w14:paraId="632BA2F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700" w:type="dxa"/>
                  <w:shd w:val="clear" w:color="auto" w:fill="auto"/>
                  <w:noWrap/>
                  <w:vAlign w:val="center"/>
                </w:tcPr>
                <w:p w14:paraId="72A3DD9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698" w:type="dxa"/>
                  <w:shd w:val="clear" w:color="auto" w:fill="auto"/>
                  <w:noWrap/>
                  <w:vAlign w:val="center"/>
                </w:tcPr>
                <w:p w14:paraId="0A286C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698" w:type="dxa"/>
                  <w:shd w:val="clear" w:color="auto" w:fill="auto"/>
                  <w:noWrap/>
                  <w:vAlign w:val="center"/>
                </w:tcPr>
                <w:p w14:paraId="6F13804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14:paraId="04AE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916" w:type="pct"/>
                  <w:vMerge w:val="restart"/>
                  <w:shd w:val="clear" w:color="auto" w:fill="auto"/>
                  <w:vAlign w:val="center"/>
                </w:tcPr>
                <w:p w14:paraId="42575D0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eastAsia="宋体" w:cs="Times New Roman"/>
                      <w:b w:val="0"/>
                      <w:bCs w:val="0"/>
                      <w:i w:val="0"/>
                      <w:iCs w:val="0"/>
                      <w:color w:val="000000"/>
                      <w:kern w:val="0"/>
                      <w:sz w:val="21"/>
                      <w:szCs w:val="21"/>
                      <w:u w:val="none"/>
                      <w:lang w:val="en-US" w:eastAsia="zh-CN" w:bidi="ar"/>
                    </w:rPr>
                    <w:t>沉淀池</w:t>
                  </w:r>
                </w:p>
              </w:tc>
              <w:tc>
                <w:tcPr>
                  <w:tcW w:w="732" w:type="pct"/>
                  <w:shd w:val="clear" w:color="auto" w:fill="auto"/>
                  <w:vAlign w:val="center"/>
                </w:tcPr>
                <w:p w14:paraId="13F6822A">
                  <w:pPr>
                    <w:keepNext w:val="0"/>
                    <w:keepLines w:val="0"/>
                    <w:widowControl/>
                    <w:suppressLineNumbers w:val="0"/>
                    <w:jc w:val="center"/>
                    <w:textAlignment w:val="center"/>
                    <w:rPr>
                      <w:rFonts w:hint="eastAsia"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进水（</w:t>
                  </w:r>
                  <w:r>
                    <w:rPr>
                      <w:rFonts w:hint="default" w:ascii="Times New Roman" w:hAnsi="Times New Roman" w:eastAsia="宋体" w:cs="Times New Roman"/>
                      <w:b w:val="0"/>
                      <w:bCs w:val="0"/>
                      <w:i w:val="0"/>
                      <w:iCs w:val="0"/>
                      <w:color w:val="000000"/>
                      <w:kern w:val="0"/>
                      <w:sz w:val="21"/>
                      <w:szCs w:val="21"/>
                      <w:u w:val="none"/>
                      <w:lang w:val="en-US" w:eastAsia="zh-CN" w:bidi="ar"/>
                    </w:rPr>
                    <w:t>mg/L</w:t>
                  </w:r>
                  <w:r>
                    <w:rPr>
                      <w:rFonts w:hint="eastAsia" w:ascii="Times New Roman" w:hAnsi="Times New Roman" w:eastAsia="宋体" w:cs="Times New Roman"/>
                      <w:b w:val="0"/>
                      <w:bCs w:val="0"/>
                      <w:i w:val="0"/>
                      <w:iCs w:val="0"/>
                      <w:color w:val="000000"/>
                      <w:kern w:val="0"/>
                      <w:sz w:val="21"/>
                      <w:szCs w:val="21"/>
                      <w:u w:val="none"/>
                      <w:lang w:val="en-US" w:eastAsia="zh-CN" w:bidi="ar"/>
                    </w:rPr>
                    <w:t>）</w:t>
                  </w:r>
                </w:p>
              </w:tc>
              <w:tc>
                <w:tcPr>
                  <w:tcW w:w="611" w:type="pct"/>
                  <w:shd w:val="clear" w:color="auto" w:fill="auto"/>
                  <w:noWrap/>
                  <w:vAlign w:val="center"/>
                </w:tcPr>
                <w:p w14:paraId="5D44B6B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6-9</w:t>
                  </w:r>
                </w:p>
              </w:tc>
              <w:tc>
                <w:tcPr>
                  <w:tcW w:w="824" w:type="dxa"/>
                  <w:shd w:val="clear" w:color="auto" w:fill="auto"/>
                  <w:noWrap/>
                  <w:vAlign w:val="center"/>
                </w:tcPr>
                <w:p w14:paraId="2389C31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105</w:t>
                  </w:r>
                </w:p>
              </w:tc>
              <w:tc>
                <w:tcPr>
                  <w:tcW w:w="832" w:type="dxa"/>
                  <w:shd w:val="clear" w:color="auto" w:fill="auto"/>
                  <w:noWrap/>
                  <w:vAlign w:val="center"/>
                </w:tcPr>
                <w:p w14:paraId="5DD2EEC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68</w:t>
                  </w:r>
                </w:p>
              </w:tc>
              <w:tc>
                <w:tcPr>
                  <w:tcW w:w="824" w:type="dxa"/>
                  <w:shd w:val="clear" w:color="auto" w:fill="auto"/>
                  <w:noWrap/>
                  <w:vAlign w:val="center"/>
                </w:tcPr>
                <w:p w14:paraId="548C9D1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820" w:type="dxa"/>
                  <w:shd w:val="clear" w:color="auto" w:fill="auto"/>
                  <w:noWrap/>
                  <w:vAlign w:val="center"/>
                </w:tcPr>
                <w:p w14:paraId="312A4EF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700" w:type="dxa"/>
                  <w:shd w:val="clear" w:color="auto" w:fill="auto"/>
                  <w:noWrap/>
                  <w:vAlign w:val="center"/>
                </w:tcPr>
                <w:p w14:paraId="33CC15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698" w:type="dxa"/>
                  <w:shd w:val="clear" w:color="auto" w:fill="auto"/>
                  <w:noWrap/>
                  <w:vAlign w:val="center"/>
                </w:tcPr>
                <w:p w14:paraId="5A1DA9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698" w:type="dxa"/>
                  <w:shd w:val="clear" w:color="auto" w:fill="auto"/>
                  <w:noWrap/>
                  <w:vAlign w:val="center"/>
                </w:tcPr>
                <w:p w14:paraId="62FEAB2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w:t>
                  </w:r>
                </w:p>
              </w:tc>
            </w:tr>
            <w:tr w14:paraId="7DEE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916" w:type="pct"/>
                  <w:vMerge w:val="continue"/>
                  <w:shd w:val="clear" w:color="auto" w:fill="auto"/>
                  <w:vAlign w:val="center"/>
                </w:tcPr>
                <w:p w14:paraId="5334FFBC">
                  <w:pPr>
                    <w:keepNext w:val="0"/>
                    <w:keepLines w:val="0"/>
                    <w:widowControl/>
                    <w:suppressLineNumbers w:val="0"/>
                    <w:jc w:val="center"/>
                    <w:textAlignment w:val="center"/>
                    <w:rPr>
                      <w:rFonts w:hint="eastAsia" w:ascii="Times New Roman" w:hAnsi="Times New Roman" w:eastAsia="宋体" w:cs="Times New Roman"/>
                      <w:b w:val="0"/>
                      <w:bCs w:val="0"/>
                      <w:i w:val="0"/>
                      <w:iCs w:val="0"/>
                      <w:color w:val="000000"/>
                      <w:kern w:val="0"/>
                      <w:sz w:val="21"/>
                      <w:szCs w:val="21"/>
                      <w:u w:val="none"/>
                      <w:lang w:val="en-US" w:eastAsia="zh-CN" w:bidi="ar"/>
                    </w:rPr>
                  </w:pPr>
                </w:p>
              </w:tc>
              <w:tc>
                <w:tcPr>
                  <w:tcW w:w="732" w:type="pct"/>
                  <w:shd w:val="clear" w:color="auto" w:fill="auto"/>
                  <w:vAlign w:val="center"/>
                </w:tcPr>
                <w:p w14:paraId="4A6A6AD5">
                  <w:pPr>
                    <w:keepNext w:val="0"/>
                    <w:keepLines w:val="0"/>
                    <w:widowControl/>
                    <w:suppressLineNumbers w:val="0"/>
                    <w:jc w:val="center"/>
                    <w:textAlignment w:val="center"/>
                    <w:rPr>
                      <w:rFonts w:hint="eastAsia"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出水（</w:t>
                  </w:r>
                  <w:r>
                    <w:rPr>
                      <w:rFonts w:hint="default" w:ascii="Times New Roman" w:hAnsi="Times New Roman" w:eastAsia="宋体" w:cs="Times New Roman"/>
                      <w:b w:val="0"/>
                      <w:bCs w:val="0"/>
                      <w:i w:val="0"/>
                      <w:iCs w:val="0"/>
                      <w:color w:val="000000"/>
                      <w:kern w:val="0"/>
                      <w:sz w:val="21"/>
                      <w:szCs w:val="21"/>
                      <w:u w:val="none"/>
                      <w:lang w:val="en-US" w:eastAsia="zh-CN" w:bidi="ar"/>
                    </w:rPr>
                    <w:t>mg/L</w:t>
                  </w:r>
                  <w:r>
                    <w:rPr>
                      <w:rFonts w:hint="eastAsia" w:ascii="Times New Roman" w:hAnsi="Times New Roman" w:eastAsia="宋体" w:cs="Times New Roman"/>
                      <w:b w:val="0"/>
                      <w:bCs w:val="0"/>
                      <w:i w:val="0"/>
                      <w:iCs w:val="0"/>
                      <w:color w:val="000000"/>
                      <w:kern w:val="0"/>
                      <w:sz w:val="21"/>
                      <w:szCs w:val="21"/>
                      <w:u w:val="none"/>
                      <w:lang w:val="en-US" w:eastAsia="zh-CN" w:bidi="ar"/>
                    </w:rPr>
                    <w:t>）</w:t>
                  </w:r>
                </w:p>
              </w:tc>
              <w:tc>
                <w:tcPr>
                  <w:tcW w:w="611" w:type="pct"/>
                  <w:shd w:val="clear" w:color="auto" w:fill="auto"/>
                  <w:noWrap/>
                  <w:vAlign w:val="center"/>
                </w:tcPr>
                <w:p w14:paraId="5C6EF90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6-9</w:t>
                  </w:r>
                </w:p>
              </w:tc>
              <w:tc>
                <w:tcPr>
                  <w:tcW w:w="824" w:type="dxa"/>
                  <w:shd w:val="clear" w:color="auto" w:fill="auto"/>
                  <w:noWrap/>
                  <w:vAlign w:val="center"/>
                </w:tcPr>
                <w:p w14:paraId="513DBFB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105</w:t>
                  </w:r>
                </w:p>
              </w:tc>
              <w:tc>
                <w:tcPr>
                  <w:tcW w:w="832" w:type="dxa"/>
                  <w:shd w:val="clear" w:color="auto" w:fill="auto"/>
                  <w:noWrap/>
                  <w:vAlign w:val="center"/>
                </w:tcPr>
                <w:p w14:paraId="3E6D450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68</w:t>
                  </w:r>
                </w:p>
              </w:tc>
              <w:tc>
                <w:tcPr>
                  <w:tcW w:w="824" w:type="dxa"/>
                  <w:shd w:val="clear" w:color="auto" w:fill="auto"/>
                  <w:noWrap/>
                  <w:vAlign w:val="center"/>
                </w:tcPr>
                <w:p w14:paraId="5F09F4C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820" w:type="dxa"/>
                  <w:shd w:val="clear" w:color="auto" w:fill="auto"/>
                  <w:noWrap/>
                  <w:vAlign w:val="center"/>
                </w:tcPr>
                <w:p w14:paraId="639D3A6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700" w:type="dxa"/>
                  <w:shd w:val="clear" w:color="auto" w:fill="auto"/>
                  <w:noWrap/>
                  <w:vAlign w:val="center"/>
                </w:tcPr>
                <w:p w14:paraId="5151E2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698" w:type="dxa"/>
                  <w:shd w:val="clear" w:color="auto" w:fill="auto"/>
                  <w:noWrap/>
                  <w:vAlign w:val="center"/>
                </w:tcPr>
                <w:p w14:paraId="3F9F81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698" w:type="dxa"/>
                  <w:shd w:val="clear" w:color="auto" w:fill="auto"/>
                  <w:noWrap/>
                  <w:vAlign w:val="center"/>
                </w:tcPr>
                <w:p w14:paraId="0FE763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w:t>
                  </w:r>
                </w:p>
              </w:tc>
            </w:tr>
            <w:tr w14:paraId="426A7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916" w:type="pct"/>
                  <w:vMerge w:val="continue"/>
                  <w:shd w:val="clear" w:color="auto" w:fill="auto"/>
                  <w:vAlign w:val="center"/>
                </w:tcPr>
                <w:p w14:paraId="03682EC0">
                  <w:pPr>
                    <w:keepNext w:val="0"/>
                    <w:keepLines w:val="0"/>
                    <w:widowControl/>
                    <w:suppressLineNumbers w:val="0"/>
                    <w:jc w:val="center"/>
                    <w:textAlignment w:val="center"/>
                    <w:rPr>
                      <w:rFonts w:hint="eastAsia" w:ascii="Times New Roman" w:hAnsi="Times New Roman" w:eastAsia="宋体" w:cs="Times New Roman"/>
                      <w:b w:val="0"/>
                      <w:bCs w:val="0"/>
                      <w:i w:val="0"/>
                      <w:iCs w:val="0"/>
                      <w:color w:val="000000"/>
                      <w:kern w:val="0"/>
                      <w:sz w:val="21"/>
                      <w:szCs w:val="21"/>
                      <w:u w:val="none"/>
                      <w:lang w:val="en-US" w:eastAsia="zh-CN" w:bidi="ar"/>
                    </w:rPr>
                  </w:pPr>
                </w:p>
              </w:tc>
              <w:tc>
                <w:tcPr>
                  <w:tcW w:w="732" w:type="pct"/>
                  <w:shd w:val="clear" w:color="auto" w:fill="auto"/>
                  <w:vAlign w:val="center"/>
                </w:tcPr>
                <w:p w14:paraId="79F9667B">
                  <w:pPr>
                    <w:keepNext w:val="0"/>
                    <w:keepLines w:val="0"/>
                    <w:widowControl/>
                    <w:suppressLineNumbers w:val="0"/>
                    <w:jc w:val="center"/>
                    <w:textAlignment w:val="center"/>
                    <w:rPr>
                      <w:rFonts w:hint="eastAsia"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去除率（</w:t>
                  </w:r>
                  <w:r>
                    <w:rPr>
                      <w:rFonts w:hint="default" w:ascii="Times New Roman" w:hAnsi="Times New Roman" w:eastAsia="宋体" w:cs="Times New Roman"/>
                      <w:b w:val="0"/>
                      <w:bCs w:val="0"/>
                      <w:i w:val="0"/>
                      <w:iCs w:val="0"/>
                      <w:color w:val="000000"/>
                      <w:kern w:val="0"/>
                      <w:sz w:val="21"/>
                      <w:szCs w:val="21"/>
                      <w:u w:val="none"/>
                      <w:lang w:val="en-US" w:eastAsia="zh-CN" w:bidi="ar"/>
                    </w:rPr>
                    <w:t>%</w:t>
                  </w:r>
                  <w:r>
                    <w:rPr>
                      <w:rFonts w:hint="eastAsia" w:ascii="Times New Roman" w:hAnsi="Times New Roman" w:eastAsia="宋体" w:cs="Times New Roman"/>
                      <w:b w:val="0"/>
                      <w:bCs w:val="0"/>
                      <w:i w:val="0"/>
                      <w:iCs w:val="0"/>
                      <w:color w:val="000000"/>
                      <w:kern w:val="0"/>
                      <w:sz w:val="21"/>
                      <w:szCs w:val="21"/>
                      <w:u w:val="none"/>
                      <w:lang w:val="en-US" w:eastAsia="zh-CN" w:bidi="ar"/>
                    </w:rPr>
                    <w:t>）</w:t>
                  </w:r>
                </w:p>
              </w:tc>
              <w:tc>
                <w:tcPr>
                  <w:tcW w:w="611" w:type="pct"/>
                  <w:shd w:val="clear" w:color="auto" w:fill="auto"/>
                  <w:noWrap/>
                  <w:vAlign w:val="center"/>
                </w:tcPr>
                <w:p w14:paraId="2C35733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824" w:type="dxa"/>
                  <w:shd w:val="clear" w:color="auto" w:fill="auto"/>
                  <w:noWrap/>
                  <w:vAlign w:val="center"/>
                </w:tcPr>
                <w:p w14:paraId="4EA5F13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32" w:type="dxa"/>
                  <w:shd w:val="clear" w:color="auto" w:fill="auto"/>
                  <w:noWrap/>
                  <w:vAlign w:val="center"/>
                </w:tcPr>
                <w:p w14:paraId="4DEC891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24" w:type="dxa"/>
                  <w:shd w:val="clear" w:color="auto" w:fill="auto"/>
                  <w:noWrap/>
                  <w:vAlign w:val="center"/>
                </w:tcPr>
                <w:p w14:paraId="1E690AD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820" w:type="dxa"/>
                  <w:shd w:val="clear" w:color="auto" w:fill="auto"/>
                  <w:noWrap/>
                  <w:vAlign w:val="center"/>
                </w:tcPr>
                <w:p w14:paraId="1B45BF5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00" w:type="dxa"/>
                  <w:shd w:val="clear" w:color="auto" w:fill="auto"/>
                  <w:noWrap/>
                  <w:vAlign w:val="center"/>
                </w:tcPr>
                <w:p w14:paraId="496432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698" w:type="dxa"/>
                  <w:shd w:val="clear" w:color="auto" w:fill="auto"/>
                  <w:noWrap/>
                  <w:vAlign w:val="center"/>
                </w:tcPr>
                <w:p w14:paraId="2DE37E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698" w:type="dxa"/>
                  <w:shd w:val="clear" w:color="auto" w:fill="auto"/>
                  <w:noWrap/>
                  <w:vAlign w:val="center"/>
                </w:tcPr>
                <w:p w14:paraId="1E749A0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14:paraId="1413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916" w:type="pct"/>
                  <w:shd w:val="clear" w:color="auto" w:fill="auto"/>
                  <w:vAlign w:val="center"/>
                </w:tcPr>
                <w:p w14:paraId="1E8A3693">
                  <w:pPr>
                    <w:keepNext w:val="0"/>
                    <w:keepLines w:val="0"/>
                    <w:widowControl/>
                    <w:suppressLineNumbers w:val="0"/>
                    <w:jc w:val="center"/>
                    <w:textAlignment w:val="center"/>
                    <w:rPr>
                      <w:rFonts w:hint="eastAsia"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出水</w:t>
                  </w:r>
                </w:p>
              </w:tc>
              <w:tc>
                <w:tcPr>
                  <w:tcW w:w="732" w:type="pct"/>
                  <w:shd w:val="clear" w:color="auto" w:fill="auto"/>
                  <w:vAlign w:val="center"/>
                </w:tcPr>
                <w:p w14:paraId="39247E8E">
                  <w:pPr>
                    <w:keepNext w:val="0"/>
                    <w:keepLines w:val="0"/>
                    <w:widowControl/>
                    <w:suppressLineNumbers w:val="0"/>
                    <w:jc w:val="center"/>
                    <w:textAlignment w:val="center"/>
                    <w:rPr>
                      <w:rFonts w:hint="eastAsia"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出水（mg/L）</w:t>
                  </w:r>
                </w:p>
              </w:tc>
              <w:tc>
                <w:tcPr>
                  <w:tcW w:w="611" w:type="pct"/>
                  <w:shd w:val="clear" w:color="auto" w:fill="auto"/>
                  <w:noWrap/>
                  <w:vAlign w:val="center"/>
                </w:tcPr>
                <w:p w14:paraId="2C8D275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824" w:type="dxa"/>
                  <w:shd w:val="clear" w:color="auto" w:fill="auto"/>
                  <w:noWrap/>
                  <w:vAlign w:val="center"/>
                </w:tcPr>
                <w:p w14:paraId="19B0A87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105</w:t>
                  </w:r>
                </w:p>
              </w:tc>
              <w:tc>
                <w:tcPr>
                  <w:tcW w:w="832" w:type="dxa"/>
                  <w:shd w:val="clear" w:color="auto" w:fill="auto"/>
                  <w:noWrap/>
                  <w:vAlign w:val="center"/>
                </w:tcPr>
                <w:p w14:paraId="77EFEFC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68</w:t>
                  </w:r>
                </w:p>
              </w:tc>
              <w:tc>
                <w:tcPr>
                  <w:tcW w:w="824" w:type="dxa"/>
                  <w:shd w:val="clear" w:color="auto" w:fill="auto"/>
                  <w:noWrap/>
                  <w:vAlign w:val="center"/>
                </w:tcPr>
                <w:p w14:paraId="2EBBDEE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820" w:type="dxa"/>
                  <w:shd w:val="clear" w:color="auto" w:fill="auto"/>
                  <w:noWrap/>
                  <w:vAlign w:val="center"/>
                </w:tcPr>
                <w:p w14:paraId="2902619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700" w:type="dxa"/>
                  <w:shd w:val="clear" w:color="auto" w:fill="auto"/>
                  <w:noWrap/>
                  <w:vAlign w:val="center"/>
                </w:tcPr>
                <w:p w14:paraId="2BFEEF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698" w:type="dxa"/>
                  <w:shd w:val="clear" w:color="auto" w:fill="auto"/>
                  <w:noWrap/>
                  <w:vAlign w:val="center"/>
                </w:tcPr>
                <w:p w14:paraId="383AD2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698" w:type="dxa"/>
                  <w:shd w:val="clear" w:color="auto" w:fill="auto"/>
                  <w:noWrap/>
                  <w:vAlign w:val="center"/>
                </w:tcPr>
                <w:p w14:paraId="4FF36D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w:t>
                  </w:r>
                </w:p>
              </w:tc>
            </w:tr>
          </w:tbl>
          <w:p w14:paraId="6F76690C">
            <w:pPr>
              <w:spacing w:line="360" w:lineRule="auto"/>
              <w:ind w:firstLine="482"/>
              <w:rPr>
                <w:rFonts w:hint="default" w:ascii="Times New Roman" w:hAnsi="Times New Roman" w:eastAsia="Times New Roman" w:cs="Times New Roman"/>
                <w:sz w:val="24"/>
                <w:lang w:val="zh-CN"/>
              </w:rPr>
            </w:pPr>
            <w:r>
              <w:rPr>
                <w:rFonts w:hint="default" w:ascii="Times New Roman" w:hAnsi="Times New Roman" w:eastAsia="Times New Roman" w:cs="Times New Roman"/>
                <w:sz w:val="24"/>
                <w:lang w:val="zh-CN"/>
              </w:rPr>
              <w:t>综上所述，废水经废水处理设施处理后能稳定达标排放。</w:t>
            </w:r>
          </w:p>
          <w:p w14:paraId="21E1EB89">
            <w:pPr>
              <w:spacing w:line="360" w:lineRule="auto"/>
              <w:ind w:firstLine="482"/>
              <w:rPr>
                <w:rFonts w:hint="eastAsia" w:ascii="Times New Roman" w:hAnsi="Times New Roman" w:eastAsia="Times New Roman" w:cs="Times New Roman"/>
                <w:sz w:val="24"/>
                <w:lang w:val="zh-CN"/>
              </w:rPr>
            </w:pPr>
            <w:r>
              <w:rPr>
                <w:rFonts w:hint="eastAsia" w:ascii="Times New Roman" w:hAnsi="Times New Roman" w:eastAsia="宋体" w:cs="Times New Roman"/>
                <w:sz w:val="24"/>
                <w:lang w:val="en-US" w:eastAsia="zh-CN"/>
              </w:rPr>
              <w:t>（2）</w:t>
            </w:r>
            <w:r>
              <w:rPr>
                <w:rFonts w:hint="eastAsia" w:ascii="Times New Roman" w:hAnsi="Times New Roman" w:eastAsia="Times New Roman" w:cs="Times New Roman"/>
                <w:sz w:val="24"/>
                <w:lang w:val="zh-CN"/>
              </w:rPr>
              <w:t>废水接管可行性分析</w:t>
            </w:r>
          </w:p>
          <w:p w14:paraId="30E76067">
            <w:pPr>
              <w:widowControl/>
              <w:spacing w:line="360" w:lineRule="auto"/>
              <w:ind w:firstLine="480" w:firstLineChars="200"/>
              <w:jc w:val="left"/>
              <w:rPr>
                <w:sz w:val="24"/>
                <w:szCs w:val="24"/>
              </w:rPr>
            </w:pPr>
            <w:r>
              <w:rPr>
                <w:rFonts w:hint="eastAsia" w:ascii="Times New Roman" w:hAnsi="Times New Roman" w:eastAsia="宋体" w:cs="Times New Roman"/>
                <w:b w:val="0"/>
                <w:bCs/>
                <w:color w:val="000000"/>
                <w:kern w:val="0"/>
                <w:sz w:val="24"/>
                <w:szCs w:val="24"/>
                <w:lang w:val="en-US" w:eastAsia="zh-CN" w:bidi="ar"/>
              </w:rPr>
              <w:t>①</w:t>
            </w:r>
            <w:r>
              <w:rPr>
                <w:rFonts w:hint="eastAsia"/>
                <w:sz w:val="24"/>
                <w:szCs w:val="24"/>
                <w:lang w:bidi="ar"/>
              </w:rPr>
              <w:t>污水处理厂简介：</w:t>
            </w:r>
            <w:r>
              <w:rPr>
                <w:rFonts w:hint="eastAsia"/>
                <w:sz w:val="24"/>
                <w:szCs w:val="24"/>
              </w:rPr>
              <w:t>泗县工业污水处理厂位于石梁河东岸、南柳路南侧，一期处理能力为2万t/d，采用“预处理+水解酸化+ AO生化工艺+深度处理+二氧化氯消毒”工艺，处理后尾水满足《城镇污水处理厂污染物排放标准》（GB18918-2002）中一级A标准后，排入石梁河。泗县工业污水处理厂一期工程于2019年底正常运行。</w:t>
            </w:r>
          </w:p>
          <w:p w14:paraId="0D27A14A">
            <w:pPr>
              <w:widowControl/>
              <w:spacing w:line="360" w:lineRule="auto"/>
              <w:ind w:firstLine="480" w:firstLineChars="200"/>
              <w:jc w:val="left"/>
              <w:rPr>
                <w:sz w:val="24"/>
                <w:szCs w:val="24"/>
              </w:rPr>
            </w:pPr>
            <w:r>
              <w:rPr>
                <w:rFonts w:hint="eastAsia"/>
                <w:sz w:val="24"/>
                <w:szCs w:val="24"/>
              </w:rPr>
              <w:t>污水处理厂服务范围包括东至G343、南到新汴河、西至赤山路、北至古汴河。</w:t>
            </w:r>
          </w:p>
          <w:p w14:paraId="49E2CB0C">
            <w:pPr>
              <w:widowControl/>
              <w:spacing w:line="360" w:lineRule="auto"/>
              <w:ind w:firstLine="480" w:firstLineChars="200"/>
              <w:rPr>
                <w:color w:val="000000"/>
                <w:kern w:val="0"/>
                <w:sz w:val="24"/>
                <w:szCs w:val="24"/>
                <w:lang w:bidi="ar"/>
              </w:rPr>
            </w:pPr>
            <w:r>
              <w:rPr>
                <w:rFonts w:hint="default" w:ascii="Times New Roman" w:hAnsi="Times New Roman" w:eastAsia="宋体" w:cs="Times New Roman"/>
                <w:b w:val="0"/>
                <w:bCs/>
                <w:color w:val="000000"/>
                <w:kern w:val="0"/>
                <w:sz w:val="24"/>
                <w:szCs w:val="24"/>
                <w:lang w:val="en-US" w:eastAsia="zh-CN" w:bidi="ar"/>
              </w:rPr>
              <w:t>②</w:t>
            </w:r>
            <w:r>
              <w:rPr>
                <w:sz w:val="24"/>
                <w:szCs w:val="24"/>
              </w:rPr>
              <w:t>水质水量：</w:t>
            </w:r>
            <w:r>
              <w:rPr>
                <w:color w:val="000000"/>
                <w:kern w:val="0"/>
                <w:sz w:val="24"/>
                <w:szCs w:val="24"/>
                <w:lang w:bidi="ar"/>
              </w:rPr>
              <w:t>本项目废水主要为生活污水</w:t>
            </w:r>
            <w:r>
              <w:rPr>
                <w:rFonts w:hint="eastAsia"/>
                <w:color w:val="000000"/>
                <w:kern w:val="0"/>
                <w:sz w:val="24"/>
                <w:szCs w:val="24"/>
                <w:lang w:val="en-US" w:eastAsia="zh-CN" w:bidi="ar"/>
              </w:rPr>
              <w:t>和生产废水</w:t>
            </w:r>
            <w:r>
              <w:rPr>
                <w:color w:val="000000"/>
                <w:kern w:val="0"/>
                <w:sz w:val="24"/>
                <w:szCs w:val="24"/>
                <w:lang w:bidi="ar"/>
              </w:rPr>
              <w:t>，主要污染物为COD、BOD</w:t>
            </w:r>
            <w:r>
              <w:rPr>
                <w:color w:val="000000"/>
                <w:kern w:val="0"/>
                <w:sz w:val="24"/>
                <w:szCs w:val="24"/>
                <w:vertAlign w:val="subscript"/>
                <w:lang w:bidi="ar"/>
              </w:rPr>
              <w:t>5</w:t>
            </w:r>
            <w:r>
              <w:rPr>
                <w:color w:val="000000"/>
                <w:kern w:val="0"/>
                <w:sz w:val="24"/>
                <w:szCs w:val="24"/>
                <w:lang w:bidi="ar"/>
              </w:rPr>
              <w:t>、NH</w:t>
            </w:r>
            <w:r>
              <w:rPr>
                <w:color w:val="000000"/>
                <w:kern w:val="0"/>
                <w:sz w:val="24"/>
                <w:szCs w:val="24"/>
                <w:vertAlign w:val="subscript"/>
                <w:lang w:bidi="ar"/>
              </w:rPr>
              <w:t>3</w:t>
            </w:r>
            <w:r>
              <w:rPr>
                <w:color w:val="000000"/>
                <w:kern w:val="0"/>
                <w:sz w:val="24"/>
                <w:szCs w:val="24"/>
                <w:lang w:bidi="ar"/>
              </w:rPr>
              <w:t>-N、SS等，水质较简单，不含重金属等有毒有害物质。根据工程分析，本项目</w:t>
            </w:r>
            <w:r>
              <w:rPr>
                <w:rFonts w:hint="eastAsia" w:ascii="Times New Roman" w:hAnsi="Times New Roman" w:eastAsia="宋体" w:cs="Times New Roman"/>
                <w:bCs/>
                <w:sz w:val="24"/>
                <w:szCs w:val="24"/>
                <w:lang w:val="en-US" w:eastAsia="zh-CN"/>
              </w:rPr>
              <w:t>生活污水</w:t>
            </w:r>
            <w:r>
              <w:rPr>
                <w:rFonts w:hint="eastAsia" w:cs="Times New Roman"/>
                <w:bCs/>
                <w:sz w:val="24"/>
                <w:szCs w:val="24"/>
                <w:lang w:val="en-US" w:eastAsia="zh-CN"/>
              </w:rPr>
              <w:t>经</w:t>
            </w:r>
            <w:r>
              <w:rPr>
                <w:rFonts w:hint="eastAsia" w:ascii="Times New Roman" w:hAnsi="Times New Roman" w:eastAsia="宋体" w:cs="Times New Roman"/>
                <w:bCs/>
                <w:sz w:val="24"/>
                <w:szCs w:val="24"/>
                <w:lang w:val="en-US" w:eastAsia="zh-CN"/>
              </w:rPr>
              <w:t>化粪池处理</w:t>
            </w:r>
            <w:r>
              <w:rPr>
                <w:rFonts w:hint="eastAsia" w:cs="Times New Roman"/>
                <w:bCs/>
                <w:sz w:val="24"/>
                <w:szCs w:val="24"/>
                <w:lang w:val="en-US" w:eastAsia="zh-CN"/>
              </w:rPr>
              <w:t>，清洗废水和生物除臭装置废水经</w:t>
            </w:r>
            <w:r>
              <w:rPr>
                <w:rFonts w:hint="eastAsia" w:ascii="Times New Roman" w:hAnsi="Times New Roman" w:eastAsia="宋体" w:cs="Times New Roman"/>
                <w:bCs/>
                <w:sz w:val="24"/>
                <w:szCs w:val="24"/>
                <w:lang w:val="en-US" w:eastAsia="zh-CN"/>
              </w:rPr>
              <w:t>厂区污水处理站处理后</w:t>
            </w:r>
            <w:r>
              <w:rPr>
                <w:rFonts w:hint="eastAsia" w:cs="Times New Roman"/>
                <w:bCs/>
                <w:sz w:val="24"/>
                <w:szCs w:val="24"/>
                <w:lang w:val="en-US" w:eastAsia="zh-CN"/>
              </w:rPr>
              <w:t>与纯水制备浓水</w:t>
            </w:r>
            <w:r>
              <w:rPr>
                <w:rFonts w:hint="eastAsia" w:ascii="Times New Roman" w:hAnsi="Times New Roman" w:eastAsia="宋体" w:cs="Times New Roman"/>
                <w:bCs/>
                <w:sz w:val="24"/>
                <w:szCs w:val="24"/>
                <w:lang w:val="en-US" w:eastAsia="zh-CN"/>
              </w:rPr>
              <w:t>，</w:t>
            </w:r>
            <w:r>
              <w:rPr>
                <w:rFonts w:hint="eastAsia" w:cs="Times New Roman"/>
                <w:bCs/>
                <w:sz w:val="24"/>
                <w:szCs w:val="24"/>
                <w:lang w:val="en-US" w:eastAsia="zh-CN"/>
              </w:rPr>
              <w:t>一起</w:t>
            </w:r>
            <w:r>
              <w:rPr>
                <w:rFonts w:hint="eastAsia" w:ascii="Times New Roman" w:hAnsi="Times New Roman" w:eastAsia="宋体" w:cs="Times New Roman"/>
                <w:color w:val="auto"/>
                <w:sz w:val="24"/>
                <w:lang w:val="en-US" w:eastAsia="zh-CN"/>
              </w:rPr>
              <w:t>通</w:t>
            </w:r>
            <w:r>
              <w:rPr>
                <w:rFonts w:hint="eastAsia" w:ascii="Times New Roman" w:hAnsi="Times New Roman" w:eastAsia="宋体" w:cs="Times New Roman"/>
                <w:b w:val="0"/>
                <w:bCs w:val="0"/>
                <w:sz w:val="24"/>
                <w:lang w:val="en-US" w:eastAsia="zh-CN"/>
              </w:rPr>
              <w:t>过厂区污水总排放口</w:t>
            </w:r>
            <w:r>
              <w:rPr>
                <w:rFonts w:hint="eastAsia" w:cs="Times New Roman"/>
                <w:b w:val="0"/>
                <w:bCs w:val="0"/>
                <w:sz w:val="24"/>
                <w:lang w:val="en-US" w:eastAsia="zh-CN"/>
              </w:rPr>
              <w:t>（DW001）</w:t>
            </w:r>
            <w:r>
              <w:rPr>
                <w:rFonts w:hint="eastAsia" w:ascii="Times New Roman" w:hAnsi="Times New Roman" w:eastAsia="宋体" w:cs="Times New Roman"/>
                <w:b w:val="0"/>
                <w:bCs w:val="0"/>
                <w:sz w:val="24"/>
                <w:lang w:val="en-US" w:eastAsia="zh-CN"/>
              </w:rPr>
              <w:t>排放至市政污水管网，最终排放至</w:t>
            </w:r>
            <w:r>
              <w:rPr>
                <w:rFonts w:hint="default" w:ascii="Times New Roman" w:hAnsi="Times New Roman" w:eastAsia="宋体" w:cs="Times New Roman"/>
                <w:color w:val="auto"/>
                <w:sz w:val="24"/>
                <w:lang w:val="en-US" w:eastAsia="zh-CN"/>
              </w:rPr>
              <w:t>泗县</w:t>
            </w:r>
            <w:r>
              <w:rPr>
                <w:rFonts w:hint="eastAsia" w:ascii="Times New Roman" w:hAnsi="Times New Roman" w:eastAsia="宋体" w:cs="Times New Roman"/>
                <w:color w:val="auto"/>
                <w:sz w:val="24"/>
                <w:lang w:val="en-US" w:eastAsia="zh-CN"/>
              </w:rPr>
              <w:t>工业</w:t>
            </w:r>
            <w:r>
              <w:rPr>
                <w:rFonts w:hint="default" w:ascii="Times New Roman" w:hAnsi="Times New Roman" w:eastAsia="宋体" w:cs="Times New Roman"/>
                <w:color w:val="auto"/>
                <w:sz w:val="24"/>
                <w:lang w:val="en-US" w:eastAsia="zh-CN"/>
              </w:rPr>
              <w:t>污水处理厂进一步处理</w:t>
            </w:r>
            <w:r>
              <w:rPr>
                <w:rFonts w:hint="eastAsia" w:ascii="Times New Roman" w:hAnsi="Times New Roman" w:eastAsia="宋体" w:cs="Times New Roman"/>
                <w:color w:val="auto"/>
                <w:sz w:val="24"/>
                <w:lang w:val="en-US" w:eastAsia="zh-CN"/>
              </w:rPr>
              <w:t>，</w:t>
            </w:r>
            <w:r>
              <w:rPr>
                <w:color w:val="000000"/>
                <w:kern w:val="0"/>
                <w:sz w:val="24"/>
                <w:szCs w:val="24"/>
                <w:lang w:bidi="ar"/>
              </w:rPr>
              <w:t>水质能达到《污水综合排放标准》（GB8978-1996）表4中的三级标准及泗县工业污水处理厂接管要求。本项目日产生废水量约为</w:t>
            </w:r>
            <w:r>
              <w:rPr>
                <w:rFonts w:hint="eastAsia"/>
                <w:color w:val="000000"/>
                <w:kern w:val="0"/>
                <w:sz w:val="24"/>
                <w:szCs w:val="24"/>
                <w:lang w:val="en-US" w:eastAsia="zh-CN" w:bidi="ar"/>
              </w:rPr>
              <w:t>42.02</w:t>
            </w:r>
            <w:r>
              <w:rPr>
                <w:color w:val="000000"/>
                <w:kern w:val="0"/>
                <w:sz w:val="24"/>
                <w:szCs w:val="24"/>
                <w:lang w:bidi="ar"/>
              </w:rPr>
              <w:t>t，污水处理厂一期工程设计规模为2×10</w:t>
            </w:r>
            <w:r>
              <w:rPr>
                <w:color w:val="000000"/>
                <w:kern w:val="0"/>
                <w:sz w:val="24"/>
                <w:szCs w:val="24"/>
                <w:vertAlign w:val="superscript"/>
                <w:lang w:bidi="ar"/>
              </w:rPr>
              <w:t>4</w:t>
            </w:r>
            <w:r>
              <w:rPr>
                <w:color w:val="000000"/>
                <w:kern w:val="0"/>
                <w:sz w:val="24"/>
                <w:szCs w:val="24"/>
                <w:lang w:bidi="ar"/>
              </w:rPr>
              <w:t>m</w:t>
            </w:r>
            <w:r>
              <w:rPr>
                <w:color w:val="000000"/>
                <w:kern w:val="0"/>
                <w:sz w:val="24"/>
                <w:szCs w:val="24"/>
                <w:vertAlign w:val="superscript"/>
                <w:lang w:bidi="ar"/>
              </w:rPr>
              <w:t>3</w:t>
            </w:r>
            <w:r>
              <w:rPr>
                <w:color w:val="000000"/>
                <w:kern w:val="0"/>
                <w:sz w:val="24"/>
                <w:szCs w:val="24"/>
                <w:lang w:bidi="ar"/>
              </w:rPr>
              <w:t>/d，目前污水处理厂收水量远远小于设计规模，项目</w:t>
            </w:r>
            <w:r>
              <w:rPr>
                <w:rFonts w:hint="eastAsia"/>
                <w:color w:val="000000"/>
                <w:kern w:val="0"/>
                <w:sz w:val="24"/>
                <w:szCs w:val="24"/>
                <w:lang w:val="en-US" w:eastAsia="zh-CN" w:bidi="ar"/>
              </w:rPr>
              <w:t>废</w:t>
            </w:r>
            <w:r>
              <w:rPr>
                <w:color w:val="000000"/>
                <w:kern w:val="0"/>
                <w:sz w:val="24"/>
                <w:szCs w:val="24"/>
                <w:lang w:bidi="ar"/>
              </w:rPr>
              <w:t>水水质较简单，污染物含量浓度较低，且废水中各污染因子浓度均满足泗县工业污水处理厂接管要求，因此本项目废水进入污水处理厂处理对污水处理厂不造成冲击。</w:t>
            </w:r>
          </w:p>
          <w:p w14:paraId="525842E8">
            <w:pPr>
              <w:spacing w:line="360" w:lineRule="auto"/>
              <w:ind w:firstLine="480" w:firstLineChars="200"/>
              <w:rPr>
                <w:color w:val="000000"/>
                <w:kern w:val="0"/>
                <w:sz w:val="24"/>
                <w:szCs w:val="24"/>
                <w:lang w:bidi="ar"/>
              </w:rPr>
            </w:pPr>
            <w:r>
              <w:rPr>
                <w:rFonts w:hint="eastAsia" w:ascii="Times New Roman" w:hAnsi="Times New Roman" w:eastAsia="宋体" w:cs="Times New Roman"/>
                <w:b w:val="0"/>
                <w:bCs/>
                <w:color w:val="000000"/>
                <w:kern w:val="0"/>
                <w:sz w:val="24"/>
                <w:szCs w:val="24"/>
                <w:lang w:val="en-US" w:eastAsia="zh-CN" w:bidi="ar"/>
              </w:rPr>
              <w:t>③</w:t>
            </w:r>
            <w:r>
              <w:rPr>
                <w:sz w:val="24"/>
                <w:szCs w:val="24"/>
              </w:rPr>
              <w:t>服务范围：</w:t>
            </w:r>
            <w:r>
              <w:rPr>
                <w:color w:val="000000"/>
                <w:kern w:val="0"/>
                <w:sz w:val="24"/>
                <w:szCs w:val="24"/>
                <w:lang w:bidi="ar"/>
              </w:rPr>
              <w:t>本项目位于</w:t>
            </w:r>
            <w:r>
              <w:rPr>
                <w:rFonts w:hint="eastAsia"/>
                <w:color w:val="000000"/>
                <w:kern w:val="0"/>
                <w:sz w:val="24"/>
                <w:szCs w:val="24"/>
                <w:lang w:bidi="ar"/>
              </w:rPr>
              <w:t>泗县虹城街道长三角绿色食品产业园</w:t>
            </w:r>
            <w:r>
              <w:rPr>
                <w:color w:val="000000"/>
                <w:kern w:val="0"/>
                <w:sz w:val="24"/>
                <w:szCs w:val="24"/>
                <w:lang w:bidi="ar"/>
              </w:rPr>
              <w:t>，本项目所在位置污水管网已经建成，废水</w:t>
            </w:r>
            <w:r>
              <w:rPr>
                <w:rFonts w:hint="eastAsia"/>
                <w:color w:val="000000"/>
                <w:kern w:val="0"/>
                <w:sz w:val="24"/>
                <w:szCs w:val="24"/>
                <w:lang w:val="en-US" w:eastAsia="zh-CN" w:bidi="ar"/>
              </w:rPr>
              <w:t>可</w:t>
            </w:r>
            <w:r>
              <w:rPr>
                <w:color w:val="000000"/>
                <w:kern w:val="0"/>
                <w:sz w:val="24"/>
                <w:szCs w:val="24"/>
                <w:lang w:bidi="ar"/>
              </w:rPr>
              <w:t>通过</w:t>
            </w:r>
            <w:r>
              <w:rPr>
                <w:rFonts w:hint="eastAsia"/>
                <w:color w:val="000000"/>
                <w:kern w:val="0"/>
                <w:sz w:val="24"/>
                <w:szCs w:val="24"/>
                <w:lang w:val="en-US" w:eastAsia="zh-CN" w:bidi="ar"/>
              </w:rPr>
              <w:t>市政</w:t>
            </w:r>
            <w:r>
              <w:rPr>
                <w:color w:val="000000"/>
                <w:kern w:val="0"/>
                <w:sz w:val="24"/>
                <w:szCs w:val="24"/>
                <w:lang w:bidi="ar"/>
              </w:rPr>
              <w:t>污水管网进入泗县工业污水处理厂。</w:t>
            </w:r>
          </w:p>
          <w:p w14:paraId="6378FB07">
            <w:pPr>
              <w:adjustRightInd w:val="0"/>
              <w:snapToGrid w:val="0"/>
              <w:spacing w:line="360" w:lineRule="auto"/>
              <w:ind w:firstLine="480" w:firstLineChars="200"/>
              <w:rPr>
                <w:sz w:val="24"/>
                <w:szCs w:val="24"/>
              </w:rPr>
            </w:pPr>
            <w:r>
              <w:rPr>
                <w:sz w:val="24"/>
                <w:szCs w:val="24"/>
              </w:rPr>
              <w:t>综上分析，本项目废水进入</w:t>
            </w:r>
            <w:r>
              <w:rPr>
                <w:color w:val="000000"/>
                <w:kern w:val="0"/>
                <w:sz w:val="24"/>
                <w:szCs w:val="24"/>
                <w:lang w:bidi="ar"/>
              </w:rPr>
              <w:t>泗县工业污水处理厂</w:t>
            </w:r>
            <w:r>
              <w:rPr>
                <w:sz w:val="24"/>
                <w:szCs w:val="24"/>
              </w:rPr>
              <w:t>处理是可行的。</w:t>
            </w:r>
          </w:p>
          <w:p w14:paraId="2309CBA9">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b/>
                <w:kern w:val="0"/>
                <w:sz w:val="24"/>
                <w:szCs w:val="24"/>
                <w:lang w:val="en-US" w:eastAsia="zh-CN" w:bidi="ar"/>
              </w:rPr>
            </w:pPr>
            <w:r>
              <w:rPr>
                <w:rFonts w:hint="eastAsia" w:ascii="Times New Roman" w:hAnsi="Times New Roman" w:eastAsia="宋体" w:cs="Times New Roman"/>
                <w:b/>
                <w:kern w:val="0"/>
                <w:sz w:val="24"/>
                <w:szCs w:val="24"/>
                <w:lang w:val="en-US" w:eastAsia="zh-CN" w:bidi="ar"/>
              </w:rPr>
              <w:t>表4-14 排放口基本情况一览表</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2249"/>
              <w:gridCol w:w="2116"/>
              <w:gridCol w:w="2646"/>
            </w:tblGrid>
            <w:tr w14:paraId="1731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982" w:type="pct"/>
                  <w:vMerge w:val="restart"/>
                  <w:vAlign w:val="center"/>
                </w:tcPr>
                <w:p w14:paraId="0765BB98">
                  <w:pPr>
                    <w:jc w:val="center"/>
                    <w:rPr>
                      <w:b/>
                      <w:bCs/>
                      <w:sz w:val="21"/>
                      <w:szCs w:val="21"/>
                    </w:rPr>
                  </w:pPr>
                  <w:r>
                    <w:rPr>
                      <w:b/>
                      <w:bCs/>
                      <w:sz w:val="21"/>
                      <w:szCs w:val="21"/>
                    </w:rPr>
                    <w:t>排放口编号</w:t>
                  </w:r>
                </w:p>
              </w:tc>
              <w:tc>
                <w:tcPr>
                  <w:tcW w:w="2333" w:type="pct"/>
                  <w:gridSpan w:val="2"/>
                  <w:vAlign w:val="center"/>
                </w:tcPr>
                <w:p w14:paraId="7B2D03F8">
                  <w:pPr>
                    <w:jc w:val="center"/>
                    <w:rPr>
                      <w:b/>
                      <w:bCs/>
                      <w:sz w:val="21"/>
                      <w:szCs w:val="21"/>
                    </w:rPr>
                  </w:pPr>
                  <w:r>
                    <w:rPr>
                      <w:b/>
                      <w:bCs/>
                      <w:sz w:val="21"/>
                      <w:szCs w:val="21"/>
                    </w:rPr>
                    <w:t>坐标</w:t>
                  </w:r>
                </w:p>
              </w:tc>
              <w:tc>
                <w:tcPr>
                  <w:tcW w:w="1684" w:type="pct"/>
                  <w:vMerge w:val="restart"/>
                  <w:vAlign w:val="center"/>
                </w:tcPr>
                <w:p w14:paraId="2E886028">
                  <w:pPr>
                    <w:jc w:val="center"/>
                    <w:rPr>
                      <w:b/>
                      <w:bCs/>
                      <w:sz w:val="21"/>
                      <w:szCs w:val="21"/>
                    </w:rPr>
                  </w:pPr>
                  <w:r>
                    <w:rPr>
                      <w:b/>
                      <w:bCs/>
                      <w:sz w:val="21"/>
                      <w:szCs w:val="21"/>
                    </w:rPr>
                    <w:t>排放标准</w:t>
                  </w:r>
                </w:p>
              </w:tc>
            </w:tr>
            <w:tr w14:paraId="2D82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2" w:type="pct"/>
                  <w:vMerge w:val="continue"/>
                  <w:vAlign w:val="center"/>
                </w:tcPr>
                <w:p w14:paraId="48BFC13D">
                  <w:pPr>
                    <w:jc w:val="center"/>
                    <w:rPr>
                      <w:b/>
                      <w:bCs/>
                      <w:sz w:val="21"/>
                      <w:szCs w:val="21"/>
                    </w:rPr>
                  </w:pPr>
                </w:p>
              </w:tc>
              <w:tc>
                <w:tcPr>
                  <w:tcW w:w="1168" w:type="pct"/>
                  <w:vAlign w:val="center"/>
                </w:tcPr>
                <w:p w14:paraId="147A4423">
                  <w:pPr>
                    <w:jc w:val="center"/>
                    <w:rPr>
                      <w:b/>
                      <w:bCs/>
                      <w:sz w:val="21"/>
                      <w:szCs w:val="21"/>
                    </w:rPr>
                  </w:pPr>
                  <w:r>
                    <w:rPr>
                      <w:b/>
                      <w:bCs/>
                      <w:sz w:val="21"/>
                      <w:szCs w:val="21"/>
                    </w:rPr>
                    <w:t>经度</w:t>
                  </w:r>
                </w:p>
              </w:tc>
              <w:tc>
                <w:tcPr>
                  <w:tcW w:w="1164" w:type="pct"/>
                  <w:vAlign w:val="center"/>
                </w:tcPr>
                <w:p w14:paraId="513D54FF">
                  <w:pPr>
                    <w:jc w:val="center"/>
                    <w:rPr>
                      <w:b/>
                      <w:bCs/>
                      <w:sz w:val="21"/>
                      <w:szCs w:val="21"/>
                    </w:rPr>
                  </w:pPr>
                  <w:r>
                    <w:rPr>
                      <w:b/>
                      <w:bCs/>
                      <w:sz w:val="21"/>
                      <w:szCs w:val="21"/>
                    </w:rPr>
                    <w:t>纬度</w:t>
                  </w:r>
                </w:p>
              </w:tc>
              <w:tc>
                <w:tcPr>
                  <w:tcW w:w="1684" w:type="pct"/>
                  <w:vMerge w:val="continue"/>
                  <w:vAlign w:val="center"/>
                </w:tcPr>
                <w:p w14:paraId="3B3532BF">
                  <w:pPr>
                    <w:jc w:val="center"/>
                    <w:rPr>
                      <w:b/>
                      <w:bCs/>
                      <w:sz w:val="21"/>
                      <w:szCs w:val="21"/>
                    </w:rPr>
                  </w:pPr>
                </w:p>
              </w:tc>
            </w:tr>
            <w:tr w14:paraId="11E4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pct"/>
                  <w:vAlign w:val="center"/>
                </w:tcPr>
                <w:p w14:paraId="2B6A610F">
                  <w:pPr>
                    <w:jc w:val="center"/>
                    <w:rPr>
                      <w:sz w:val="21"/>
                      <w:szCs w:val="21"/>
                    </w:rPr>
                  </w:pPr>
                  <w:r>
                    <w:rPr>
                      <w:sz w:val="21"/>
                      <w:szCs w:val="21"/>
                    </w:rPr>
                    <w:t>DW001</w:t>
                  </w:r>
                </w:p>
              </w:tc>
              <w:tc>
                <w:tcPr>
                  <w:tcW w:w="1168" w:type="pct"/>
                  <w:vAlign w:val="center"/>
                </w:tcPr>
                <w:p w14:paraId="71606BF2">
                  <w:pPr>
                    <w:jc w:val="center"/>
                    <w:rPr>
                      <w:sz w:val="21"/>
                      <w:szCs w:val="21"/>
                    </w:rPr>
                  </w:pPr>
                  <w:r>
                    <w:rPr>
                      <w:rFonts w:hint="eastAsia"/>
                      <w:sz w:val="21"/>
                      <w:szCs w:val="21"/>
                    </w:rPr>
                    <w:t>117°50′42.147″</w:t>
                  </w:r>
                </w:p>
              </w:tc>
              <w:tc>
                <w:tcPr>
                  <w:tcW w:w="1164" w:type="pct"/>
                  <w:vAlign w:val="center"/>
                </w:tcPr>
                <w:p w14:paraId="22A6C436">
                  <w:pPr>
                    <w:jc w:val="center"/>
                    <w:rPr>
                      <w:sz w:val="21"/>
                      <w:szCs w:val="21"/>
                    </w:rPr>
                  </w:pPr>
                  <w:r>
                    <w:rPr>
                      <w:rFonts w:hint="eastAsia"/>
                      <w:sz w:val="21"/>
                      <w:szCs w:val="21"/>
                    </w:rPr>
                    <w:t>33°31′46.752″</w:t>
                  </w:r>
                </w:p>
              </w:tc>
              <w:tc>
                <w:tcPr>
                  <w:tcW w:w="1684" w:type="pct"/>
                  <w:vAlign w:val="center"/>
                </w:tcPr>
                <w:p w14:paraId="2BCF6CDD">
                  <w:pPr>
                    <w:jc w:val="center"/>
                    <w:rPr>
                      <w:sz w:val="21"/>
                      <w:szCs w:val="21"/>
                    </w:rPr>
                  </w:pPr>
                  <w:r>
                    <w:rPr>
                      <w:sz w:val="21"/>
                      <w:szCs w:val="21"/>
                    </w:rPr>
                    <w:t>《污水综合排放标准》（GB8978-1996）中的三级标准并满足泗县工业污水处理厂的接管要求</w:t>
                  </w:r>
                </w:p>
              </w:tc>
            </w:tr>
          </w:tbl>
          <w:p w14:paraId="48603F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rFonts w:hint="default" w:ascii="Times New Roman" w:hAnsi="Times New Roman" w:eastAsia="宋体"/>
                <w:b/>
                <w:bCs/>
                <w:sz w:val="24"/>
                <w:lang w:val="en-US" w:eastAsia="zh-CN"/>
              </w:rPr>
            </w:pPr>
            <w:r>
              <w:rPr>
                <w:rFonts w:hint="eastAsia"/>
                <w:b/>
                <w:bCs/>
                <w:sz w:val="24"/>
                <w:lang w:val="en-US" w:eastAsia="zh-CN"/>
              </w:rPr>
              <w:t>4、废水监测计划</w:t>
            </w:r>
          </w:p>
          <w:p w14:paraId="0589D4D9">
            <w:pPr>
              <w:spacing w:line="360" w:lineRule="auto"/>
              <w:ind w:firstLine="480" w:firstLineChars="200"/>
              <w:rPr>
                <w:b/>
                <w:bCs/>
                <w:color w:val="000000"/>
                <w:kern w:val="0"/>
                <w:sz w:val="24"/>
                <w:lang w:bidi="ar"/>
              </w:rPr>
            </w:pPr>
            <w:r>
              <w:rPr>
                <w:rFonts w:hint="eastAsia" w:ascii="Times New Roman" w:hAnsi="Times New Roman" w:eastAsia="宋体" w:cs="Times New Roman"/>
                <w:color w:val="000000" w:themeColor="text1"/>
                <w:sz w:val="24"/>
                <w14:textFill>
                  <w14:solidFill>
                    <w14:schemeClr w14:val="tx1"/>
                  </w14:solidFill>
                </w14:textFill>
              </w:rPr>
              <w:t>本项目产品为</w:t>
            </w:r>
            <w:r>
              <w:rPr>
                <w:rFonts w:hint="eastAsia" w:cs="Times New Roman"/>
                <w:color w:val="000000" w:themeColor="text1"/>
                <w:sz w:val="24"/>
                <w:lang w:val="en-US" w:eastAsia="zh-CN"/>
                <w14:textFill>
                  <w14:solidFill>
                    <w14:schemeClr w14:val="tx1"/>
                  </w14:solidFill>
                </w14:textFill>
              </w:rPr>
              <w:t>饲料添加剂</w:t>
            </w:r>
            <w:r>
              <w:rPr>
                <w:rFonts w:hint="eastAsia" w:ascii="Times New Roman" w:hAnsi="Times New Roman"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根据</w:t>
            </w:r>
            <w:r>
              <w:rPr>
                <w:rFonts w:hint="eastAsia" w:ascii="Times New Roman" w:hAnsi="Times New Roman" w:eastAsia="宋体" w:cs="Times New Roman"/>
                <w:color w:val="000000" w:themeColor="text1"/>
                <w:sz w:val="24"/>
                <w14:textFill>
                  <w14:solidFill>
                    <w14:schemeClr w14:val="tx1"/>
                  </w14:solidFill>
                </w14:textFill>
              </w:rPr>
              <w:t>《固定污染源排污许可分类管理名录》（2019年版）</w:t>
            </w:r>
            <w:r>
              <w:rPr>
                <w:rFonts w:hint="eastAsia" w:ascii="Times New Roman" w:hAnsi="Times New Roman" w:eastAsia="宋体" w:cs="Times New Roman"/>
                <w:color w:val="000000" w:themeColor="text1"/>
                <w:sz w:val="24"/>
                <w:lang w:val="en-US" w:eastAsia="zh-CN"/>
                <w14:textFill>
                  <w14:solidFill>
                    <w14:schemeClr w14:val="tx1"/>
                  </w14:solidFill>
                </w14:textFill>
              </w:rPr>
              <w:t>“九、食品制造业14，方便食品制造143，其他食品制造149”中</w:t>
            </w:r>
            <w:r>
              <w:rPr>
                <w:rFonts w:hint="eastAsia" w:ascii="Times New Roman" w:hAnsi="Times New Roman" w:eastAsia="宋体" w:cs="Times New Roman"/>
                <w:color w:val="000000" w:themeColor="text1"/>
                <w:sz w:val="24"/>
                <w:lang w:eastAsia="zh-CN"/>
                <w14:textFill>
                  <w14:solidFill>
                    <w14:schemeClr w14:val="tx1"/>
                  </w14:solidFill>
                </w14:textFill>
              </w:rPr>
              <w:t>“食品及饲料添加剂制造1495*，以上均不含手工制作、单纯混合或者分装的”</w:t>
            </w:r>
            <w:r>
              <w:rPr>
                <w:rFonts w:hint="eastAsia" w:ascii="Times New Roman" w:hAnsi="Times New Roman" w:eastAsia="宋体" w:cs="Times New Roman"/>
                <w:color w:val="000000" w:themeColor="text1"/>
                <w:sz w:val="24"/>
                <w:lang w:val="en-US" w:eastAsia="zh-CN"/>
                <w14:textFill>
                  <w14:solidFill>
                    <w14:schemeClr w14:val="tx1"/>
                  </w14:solidFill>
                </w14:textFill>
              </w:rPr>
              <w:t>可知，项目属于简化管理</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本项目监测计划</w:t>
            </w:r>
            <w:r>
              <w:rPr>
                <w:rFonts w:hint="eastAsia" w:ascii="Times New Roman" w:hAnsi="Times New Roman" w:eastAsia="宋体" w:cs="Times New Roman"/>
                <w:color w:val="000000" w:themeColor="text1"/>
                <w:sz w:val="24"/>
                <w:lang w:val="en-US" w:eastAsia="zh-CN"/>
                <w14:textFill>
                  <w14:solidFill>
                    <w14:schemeClr w14:val="tx1"/>
                  </w14:solidFill>
                </w14:textFill>
              </w:rPr>
              <w:t>按照</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排污许可证申请与核发技术规范</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食品制造工业一方便食品、食品及饲料添加剂制造工业</w:t>
            </w:r>
            <w:r>
              <w:rPr>
                <w:color w:val="000000" w:themeColor="text1"/>
                <w:sz w:val="24"/>
                <w14:textFill>
                  <w14:solidFill>
                    <w14:schemeClr w14:val="tx1"/>
                  </w14:solidFill>
                </w14:textFill>
              </w:rPr>
              <w:t>》（HJ</w:t>
            </w:r>
            <w:r>
              <w:rPr>
                <w:rFonts w:hint="eastAsia"/>
                <w:color w:val="000000" w:themeColor="text1"/>
                <w:sz w:val="24"/>
                <w:lang w:val="en-US" w:eastAsia="zh-CN"/>
                <w14:textFill>
                  <w14:solidFill>
                    <w14:schemeClr w14:val="tx1"/>
                  </w14:solidFill>
                </w14:textFill>
              </w:rPr>
              <w:t>1030.3</w:t>
            </w:r>
            <w:r>
              <w:rPr>
                <w:color w:val="000000" w:themeColor="text1"/>
                <w:sz w:val="24"/>
                <w14:textFill>
                  <w14:solidFill>
                    <w14:schemeClr w14:val="tx1"/>
                  </w14:solidFill>
                </w14:textFill>
              </w:rPr>
              <w:t>-201</w:t>
            </w:r>
            <w:r>
              <w:rPr>
                <w:rFonts w:hint="eastAsia"/>
                <w:color w:val="000000" w:themeColor="text1"/>
                <w:sz w:val="24"/>
                <w:lang w:val="en-US" w:eastAsia="zh-CN"/>
                <w14:textFill>
                  <w14:solidFill>
                    <w14:schemeClr w14:val="tx1"/>
                  </w14:solidFill>
                </w14:textFill>
              </w:rPr>
              <w:t>9</w:t>
            </w:r>
            <w:r>
              <w:rPr>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中相关要求，</w:t>
            </w:r>
            <w:r>
              <w:rPr>
                <w:rFonts w:hint="eastAsia" w:ascii="Times New Roman" w:hAnsi="Times New Roman" w:eastAsia="宋体" w:cs="Times New Roman"/>
                <w:color w:val="000000" w:themeColor="text1"/>
                <w:sz w:val="24"/>
                <w:lang w:val="en-US" w:eastAsia="zh-CN"/>
                <w14:textFill>
                  <w14:solidFill>
                    <w14:schemeClr w14:val="tx1"/>
                  </w14:solidFill>
                </w14:textFill>
              </w:rPr>
              <w:t>制定监测方案</w:t>
            </w:r>
            <w:r>
              <w:rPr>
                <w:rFonts w:hint="eastAsia" w:ascii="Times New Roman" w:hAnsi="Times New Roman" w:eastAsia="宋体" w:cs="Times New Roman"/>
                <w:color w:val="000000" w:themeColor="text1"/>
                <w:sz w:val="24"/>
                <w:lang w:eastAsia="zh-CN"/>
                <w14:textFill>
                  <w14:solidFill>
                    <w14:schemeClr w14:val="tx1"/>
                  </w14:solidFill>
                </w14:textFill>
              </w:rPr>
              <w:t>，</w:t>
            </w:r>
            <w:r>
              <w:rPr>
                <w:color w:val="000000"/>
                <w:kern w:val="0"/>
                <w:sz w:val="24"/>
                <w:lang w:bidi="ar"/>
              </w:rPr>
              <w:t>具体如下所示。</w:t>
            </w:r>
          </w:p>
          <w:p w14:paraId="4C8BA563">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b/>
                <w:kern w:val="0"/>
                <w:sz w:val="24"/>
                <w:szCs w:val="24"/>
              </w:rPr>
            </w:pPr>
            <w:r>
              <w:rPr>
                <w:rFonts w:hint="default" w:ascii="Times New Roman" w:hAnsi="Times New Roman" w:eastAsia="宋体" w:cs="Times New Roman"/>
                <w:b/>
                <w:kern w:val="0"/>
                <w:sz w:val="24"/>
                <w:szCs w:val="24"/>
                <w:lang w:val="en-US" w:eastAsia="zh-CN" w:bidi="ar"/>
              </w:rPr>
              <w:t>表4-</w:t>
            </w:r>
            <w:r>
              <w:rPr>
                <w:rFonts w:hint="eastAsia" w:ascii="Times New Roman" w:hAnsi="Times New Roman" w:eastAsia="宋体" w:cs="Times New Roman"/>
                <w:b/>
                <w:kern w:val="0"/>
                <w:sz w:val="24"/>
                <w:szCs w:val="24"/>
                <w:lang w:val="en-US" w:eastAsia="zh-CN" w:bidi="ar"/>
              </w:rPr>
              <w:t>1</w:t>
            </w:r>
            <w:r>
              <w:rPr>
                <w:rFonts w:hint="eastAsia" w:cs="Times New Roman"/>
                <w:b/>
                <w:kern w:val="0"/>
                <w:sz w:val="24"/>
                <w:szCs w:val="24"/>
                <w:lang w:val="en-US" w:eastAsia="zh-CN" w:bidi="ar"/>
              </w:rPr>
              <w:t>5</w:t>
            </w:r>
            <w:r>
              <w:rPr>
                <w:rFonts w:hint="default" w:ascii="Times New Roman" w:hAnsi="Times New Roman" w:eastAsia="宋体" w:cs="Times New Roman"/>
                <w:b/>
                <w:kern w:val="0"/>
                <w:sz w:val="24"/>
                <w:szCs w:val="24"/>
                <w:lang w:val="en-US" w:eastAsia="zh-CN" w:bidi="ar"/>
              </w:rPr>
              <w:t>项目污染源监测计划</w:t>
            </w:r>
          </w:p>
          <w:tbl>
            <w:tblPr>
              <w:tblStyle w:val="23"/>
              <w:tblW w:w="49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1371"/>
              <w:gridCol w:w="1362"/>
              <w:gridCol w:w="2390"/>
              <w:gridCol w:w="1327"/>
              <w:gridCol w:w="1173"/>
            </w:tblGrid>
            <w:tr w14:paraId="750E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6" w:type="pct"/>
                  <w:noWrap w:val="0"/>
                  <w:vAlign w:val="center"/>
                </w:tcPr>
                <w:p w14:paraId="2662555C">
                  <w:pPr>
                    <w:pStyle w:val="46"/>
                    <w:spacing w:line="240" w:lineRule="auto"/>
                    <w:rPr>
                      <w:b/>
                      <w:bCs/>
                      <w:color w:val="000000"/>
                      <w:sz w:val="21"/>
                    </w:rPr>
                  </w:pPr>
                  <w:r>
                    <w:rPr>
                      <w:rFonts w:hint="eastAsia"/>
                      <w:b/>
                      <w:bCs/>
                      <w:color w:val="000000"/>
                      <w:sz w:val="21"/>
                    </w:rPr>
                    <w:t>监测类别</w:t>
                  </w:r>
                </w:p>
              </w:tc>
              <w:tc>
                <w:tcPr>
                  <w:tcW w:w="811" w:type="pct"/>
                  <w:noWrap w:val="0"/>
                  <w:vAlign w:val="center"/>
                </w:tcPr>
                <w:p w14:paraId="7597FC0B">
                  <w:pPr>
                    <w:pStyle w:val="46"/>
                    <w:spacing w:line="240" w:lineRule="auto"/>
                    <w:rPr>
                      <w:b/>
                      <w:bCs/>
                      <w:color w:val="000000"/>
                      <w:sz w:val="21"/>
                    </w:rPr>
                  </w:pPr>
                  <w:r>
                    <w:rPr>
                      <w:b/>
                      <w:bCs/>
                      <w:color w:val="000000"/>
                      <w:sz w:val="21"/>
                    </w:rPr>
                    <w:t>监测点位置</w:t>
                  </w:r>
                </w:p>
              </w:tc>
              <w:tc>
                <w:tcPr>
                  <w:tcW w:w="806" w:type="pct"/>
                  <w:noWrap w:val="0"/>
                  <w:vAlign w:val="center"/>
                </w:tcPr>
                <w:p w14:paraId="6ADE3354">
                  <w:pPr>
                    <w:pStyle w:val="46"/>
                    <w:spacing w:line="240" w:lineRule="auto"/>
                    <w:rPr>
                      <w:b/>
                      <w:bCs/>
                      <w:color w:val="000000"/>
                      <w:sz w:val="21"/>
                    </w:rPr>
                  </w:pPr>
                  <w:r>
                    <w:rPr>
                      <w:b/>
                      <w:bCs/>
                      <w:color w:val="000000"/>
                      <w:sz w:val="21"/>
                    </w:rPr>
                    <w:t>监测内容</w:t>
                  </w:r>
                </w:p>
              </w:tc>
              <w:tc>
                <w:tcPr>
                  <w:tcW w:w="1414" w:type="pct"/>
                  <w:noWrap w:val="0"/>
                  <w:vAlign w:val="center"/>
                </w:tcPr>
                <w:p w14:paraId="4C8A3C4E">
                  <w:pPr>
                    <w:pStyle w:val="46"/>
                    <w:spacing w:line="240" w:lineRule="auto"/>
                    <w:rPr>
                      <w:b/>
                      <w:bCs/>
                      <w:color w:val="000000"/>
                      <w:sz w:val="21"/>
                    </w:rPr>
                  </w:pPr>
                  <w:r>
                    <w:rPr>
                      <w:b/>
                      <w:bCs/>
                      <w:color w:val="000000"/>
                      <w:sz w:val="21"/>
                    </w:rPr>
                    <w:t>监测指标</w:t>
                  </w:r>
                </w:p>
              </w:tc>
              <w:tc>
                <w:tcPr>
                  <w:tcW w:w="785" w:type="pct"/>
                  <w:noWrap w:val="0"/>
                  <w:vAlign w:val="center"/>
                </w:tcPr>
                <w:p w14:paraId="7077B314">
                  <w:pPr>
                    <w:pStyle w:val="46"/>
                    <w:spacing w:line="240" w:lineRule="auto"/>
                    <w:rPr>
                      <w:b/>
                      <w:bCs/>
                      <w:color w:val="000000"/>
                      <w:sz w:val="21"/>
                    </w:rPr>
                  </w:pPr>
                  <w:r>
                    <w:rPr>
                      <w:b/>
                      <w:bCs/>
                      <w:color w:val="000000"/>
                      <w:sz w:val="21"/>
                    </w:rPr>
                    <w:t>监测方式</w:t>
                  </w:r>
                </w:p>
              </w:tc>
              <w:tc>
                <w:tcPr>
                  <w:tcW w:w="694" w:type="pct"/>
                  <w:noWrap w:val="0"/>
                  <w:vAlign w:val="center"/>
                </w:tcPr>
                <w:p w14:paraId="252D97C6">
                  <w:pPr>
                    <w:pStyle w:val="46"/>
                    <w:spacing w:line="240" w:lineRule="auto"/>
                    <w:rPr>
                      <w:b/>
                      <w:bCs/>
                      <w:color w:val="000000"/>
                      <w:sz w:val="21"/>
                    </w:rPr>
                  </w:pPr>
                  <w:r>
                    <w:rPr>
                      <w:b/>
                      <w:bCs/>
                      <w:color w:val="000000"/>
                      <w:sz w:val="21"/>
                    </w:rPr>
                    <w:t>监测频次</w:t>
                  </w:r>
                </w:p>
              </w:tc>
            </w:tr>
            <w:tr w14:paraId="75AB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486" w:type="pct"/>
                  <w:noWrap w:val="0"/>
                  <w:vAlign w:val="center"/>
                </w:tcPr>
                <w:p w14:paraId="3FB487ED">
                  <w:pPr>
                    <w:jc w:val="center"/>
                    <w:rPr>
                      <w:rFonts w:hint="eastAsia" w:eastAsia="宋体"/>
                      <w:color w:val="000000"/>
                      <w:szCs w:val="21"/>
                      <w:lang w:val="en-US" w:eastAsia="zh-CN"/>
                    </w:rPr>
                  </w:pPr>
                  <w:r>
                    <w:rPr>
                      <w:rFonts w:hint="eastAsia"/>
                      <w:color w:val="000000"/>
                      <w:szCs w:val="21"/>
                      <w:lang w:val="en-US" w:eastAsia="zh-CN"/>
                    </w:rPr>
                    <w:t>废水</w:t>
                  </w:r>
                </w:p>
              </w:tc>
              <w:tc>
                <w:tcPr>
                  <w:tcW w:w="811" w:type="pct"/>
                  <w:noWrap w:val="0"/>
                  <w:vAlign w:val="center"/>
                </w:tcPr>
                <w:p w14:paraId="7073D1B5">
                  <w:pPr>
                    <w:pStyle w:val="46"/>
                    <w:spacing w:line="240" w:lineRule="auto"/>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DW001</w:t>
                  </w:r>
                </w:p>
              </w:tc>
              <w:tc>
                <w:tcPr>
                  <w:tcW w:w="806" w:type="pct"/>
                  <w:noWrap w:val="0"/>
                  <w:vAlign w:val="center"/>
                </w:tcPr>
                <w:p w14:paraId="52997A8B">
                  <w:pPr>
                    <w:pStyle w:val="46"/>
                    <w:spacing w:line="240" w:lineRule="auto"/>
                    <w:rPr>
                      <w:rFonts w:hint="default"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流量、水温</w:t>
                  </w:r>
                </w:p>
              </w:tc>
              <w:tc>
                <w:tcPr>
                  <w:tcW w:w="1414" w:type="pct"/>
                  <w:noWrap w:val="0"/>
                  <w:vAlign w:val="center"/>
                </w:tcPr>
                <w:p w14:paraId="702AFF0B">
                  <w:pPr>
                    <w:jc w:val="center"/>
                    <w:rPr>
                      <w:rFonts w:hint="default" w:eastAsia="宋体"/>
                      <w:lang w:val="en-US" w:eastAsia="zh-CN"/>
                    </w:rPr>
                  </w:pPr>
                  <w:r>
                    <w:rPr>
                      <w:rFonts w:hint="default" w:ascii="Times New Roman" w:hAnsi="Times New Roman" w:cs="Times New Roman"/>
                      <w:sz w:val="21"/>
                      <w:szCs w:val="21"/>
                      <w:lang w:val="en-US" w:eastAsia="zh-CN"/>
                    </w:rPr>
                    <w:t>pH、COD</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BOD</w:t>
                  </w:r>
                  <w:r>
                    <w:rPr>
                      <w:rFonts w:hint="default" w:ascii="Times New Roman" w:hAnsi="Times New Roman" w:cs="Times New Roman"/>
                      <w:sz w:val="21"/>
                      <w:szCs w:val="21"/>
                      <w:vertAlign w:val="subscript"/>
                      <w:lang w:val="en-US" w:eastAsia="zh-CN"/>
                    </w:rPr>
                    <w:t>5</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SS</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NH</w:t>
                  </w:r>
                  <w:r>
                    <w:rPr>
                      <w:rFonts w:hint="default" w:ascii="Times New Roman" w:hAnsi="Times New Roman" w:cs="Times New Roman"/>
                      <w:sz w:val="21"/>
                      <w:szCs w:val="21"/>
                      <w:vertAlign w:val="subscript"/>
                      <w:lang w:val="en-US" w:eastAsia="zh-CN"/>
                    </w:rPr>
                    <w:t>3</w:t>
                  </w:r>
                  <w:r>
                    <w:rPr>
                      <w:rFonts w:hint="default" w:ascii="Times New Roman" w:hAnsi="Times New Roman" w:cs="Times New Roman"/>
                      <w:sz w:val="21"/>
                      <w:szCs w:val="21"/>
                      <w:lang w:val="en-US" w:eastAsia="zh-CN"/>
                    </w:rPr>
                    <w:t>-N</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TN</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TP</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全盐量</w:t>
                  </w:r>
                </w:p>
              </w:tc>
              <w:tc>
                <w:tcPr>
                  <w:tcW w:w="785" w:type="pct"/>
                  <w:noWrap w:val="0"/>
                  <w:vAlign w:val="center"/>
                </w:tcPr>
                <w:p w14:paraId="201DA418">
                  <w:pPr>
                    <w:jc w:val="center"/>
                    <w:rPr>
                      <w:color w:val="000000"/>
                      <w:kern w:val="2"/>
                      <w:sz w:val="21"/>
                      <w:szCs w:val="21"/>
                      <w:lang w:val="en-US" w:eastAsia="zh-CN" w:bidi="ar-SA"/>
                    </w:rPr>
                  </w:pPr>
                  <w:r>
                    <w:rPr>
                      <w:rFonts w:hint="eastAsia"/>
                      <w:color w:val="000000"/>
                      <w:szCs w:val="21"/>
                      <w:lang w:val="en-US" w:eastAsia="zh-CN"/>
                    </w:rPr>
                    <w:t>手工监测</w:t>
                  </w:r>
                </w:p>
              </w:tc>
              <w:tc>
                <w:tcPr>
                  <w:tcW w:w="694" w:type="pct"/>
                  <w:noWrap w:val="0"/>
                  <w:vAlign w:val="center"/>
                </w:tcPr>
                <w:p w14:paraId="458316F4">
                  <w:pPr>
                    <w:jc w:val="center"/>
                    <w:rPr>
                      <w:color w:val="000000"/>
                      <w:kern w:val="2"/>
                      <w:sz w:val="21"/>
                      <w:szCs w:val="21"/>
                      <w:lang w:val="en-US" w:eastAsia="zh-CN" w:bidi="ar-SA"/>
                    </w:rPr>
                  </w:pPr>
                  <w:r>
                    <w:rPr>
                      <w:color w:val="000000"/>
                      <w:szCs w:val="21"/>
                    </w:rPr>
                    <w:t>1次/</w:t>
                  </w:r>
                  <w:r>
                    <w:rPr>
                      <w:rFonts w:hint="eastAsia"/>
                      <w:color w:val="000000"/>
                      <w:szCs w:val="21"/>
                      <w:lang w:val="en-US" w:eastAsia="zh-CN"/>
                    </w:rPr>
                    <w:t>半</w:t>
                  </w:r>
                  <w:r>
                    <w:rPr>
                      <w:color w:val="000000"/>
                      <w:szCs w:val="21"/>
                    </w:rPr>
                    <w:t>年</w:t>
                  </w:r>
                </w:p>
              </w:tc>
            </w:tr>
          </w:tbl>
          <w:p w14:paraId="65FCD9F7">
            <w:pPr>
              <w:spacing w:line="360" w:lineRule="auto"/>
              <w:ind w:firstLine="482" w:firstLineChars="20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三、噪声污染</w:t>
            </w:r>
          </w:p>
          <w:p w14:paraId="4CF2F912">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1、噪声源强</w:t>
            </w:r>
          </w:p>
          <w:p w14:paraId="6129AF57">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本项目营运期主要噪声源详见下表</w:t>
            </w:r>
            <w:r>
              <w:rPr>
                <w:color w:val="000000" w:themeColor="text1"/>
                <w:sz w:val="24"/>
                <w:szCs w:val="24"/>
                <w14:textFill>
                  <w14:solidFill>
                    <w14:schemeClr w14:val="tx1"/>
                  </w14:solidFill>
                </w14:textFill>
              </w:rPr>
              <w:t>。</w:t>
            </w:r>
          </w:p>
          <w:p w14:paraId="2D0736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表4-</w:t>
            </w:r>
            <w:r>
              <w:rPr>
                <w:rFonts w:hint="eastAsia"/>
                <w:b/>
                <w:color w:val="000000" w:themeColor="text1"/>
                <w:sz w:val="24"/>
                <w:lang w:val="en-US" w:eastAsia="zh-CN"/>
                <w14:textFill>
                  <w14:solidFill>
                    <w14:schemeClr w14:val="tx1"/>
                  </w14:solidFill>
                </w14:textFill>
              </w:rPr>
              <w:t>16</w:t>
            </w:r>
            <w:r>
              <w:rPr>
                <w:rFonts w:hint="eastAsia"/>
                <w:b/>
                <w:color w:val="000000" w:themeColor="text1"/>
                <w:sz w:val="24"/>
                <w14:textFill>
                  <w14:solidFill>
                    <w14:schemeClr w14:val="tx1"/>
                  </w14:solidFill>
                </w14:textFill>
              </w:rPr>
              <w:t xml:space="preserve"> 工业企业噪声源强调查清单</w:t>
            </w:r>
            <w:r>
              <w:rPr>
                <w:rFonts w:hint="eastAsia"/>
                <w:b/>
                <w:color w:val="000000" w:themeColor="text1"/>
                <w:sz w:val="24"/>
                <w:lang w:eastAsia="zh-CN"/>
                <w14:textFill>
                  <w14:solidFill>
                    <w14:schemeClr w14:val="tx1"/>
                  </w14:solidFill>
                </w14:textFill>
              </w:rPr>
              <w:t>（</w:t>
            </w:r>
            <w:r>
              <w:rPr>
                <w:rFonts w:hint="eastAsia"/>
                <w:b/>
                <w:color w:val="000000" w:themeColor="text1"/>
                <w:sz w:val="24"/>
                <w:lang w:val="en-US" w:eastAsia="zh-CN"/>
                <w14:textFill>
                  <w14:solidFill>
                    <w14:schemeClr w14:val="tx1"/>
                  </w14:solidFill>
                </w14:textFill>
              </w:rPr>
              <w:t>室内声源</w:t>
            </w:r>
            <w:r>
              <w:rPr>
                <w:rFonts w:hint="eastAsia"/>
                <w:b/>
                <w:color w:val="000000" w:themeColor="text1"/>
                <w:sz w:val="24"/>
                <w:lang w:eastAsia="zh-CN"/>
                <w14:textFill>
                  <w14:solidFill>
                    <w14:schemeClr w14:val="tx1"/>
                  </w14:solidFill>
                </w14:textFill>
              </w:rPr>
              <w:t>）</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20"/>
              <w:gridCol w:w="421"/>
              <w:gridCol w:w="476"/>
              <w:gridCol w:w="785"/>
              <w:gridCol w:w="624"/>
              <w:gridCol w:w="476"/>
              <w:gridCol w:w="606"/>
              <w:gridCol w:w="541"/>
              <w:gridCol w:w="484"/>
              <w:gridCol w:w="785"/>
              <w:gridCol w:w="736"/>
              <w:gridCol w:w="785"/>
              <w:gridCol w:w="785"/>
              <w:gridCol w:w="546"/>
            </w:tblGrid>
            <w:tr w14:paraId="34A2B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264" w:type="pct"/>
                  <w:vMerge w:val="restart"/>
                  <w:shd w:val="clear" w:color="auto" w:fill="auto"/>
                  <w:vAlign w:val="center"/>
                </w:tcPr>
                <w:p w14:paraId="30179E0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建筑物名称</w:t>
                  </w:r>
                </w:p>
              </w:tc>
              <w:tc>
                <w:tcPr>
                  <w:tcW w:w="264" w:type="pct"/>
                  <w:vMerge w:val="restart"/>
                  <w:shd w:val="clear" w:color="auto" w:fill="auto"/>
                  <w:vAlign w:val="center"/>
                </w:tcPr>
                <w:p w14:paraId="17096CEB">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声源名称</w:t>
                  </w:r>
                </w:p>
              </w:tc>
              <w:tc>
                <w:tcPr>
                  <w:tcW w:w="264" w:type="pct"/>
                  <w:vMerge w:val="restart"/>
                  <w:shd w:val="clear" w:color="auto" w:fill="auto"/>
                  <w:vAlign w:val="center"/>
                </w:tcPr>
                <w:p w14:paraId="76839CA3">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eastAsia" w:cs="Times New Roman"/>
                      <w:b/>
                      <w:bCs/>
                      <w:i w:val="0"/>
                      <w:iCs w:val="0"/>
                      <w:color w:val="auto"/>
                      <w:kern w:val="0"/>
                      <w:sz w:val="21"/>
                      <w:szCs w:val="21"/>
                      <w:u w:val="none"/>
                      <w:lang w:val="en-US" w:eastAsia="zh-CN" w:bidi="ar"/>
                    </w:rPr>
                    <w:t>数量</w:t>
                  </w:r>
                </w:p>
              </w:tc>
              <w:tc>
                <w:tcPr>
                  <w:tcW w:w="489" w:type="pct"/>
                  <w:vMerge w:val="restart"/>
                  <w:shd w:val="clear" w:color="auto" w:fill="auto"/>
                  <w:vAlign w:val="center"/>
                </w:tcPr>
                <w:p w14:paraId="02F2BD8B">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声功率级</w:t>
                  </w:r>
                  <w:r>
                    <w:rPr>
                      <w:rStyle w:val="70"/>
                      <w:rFonts w:hint="default" w:ascii="Times New Roman" w:hAnsi="Times New Roman" w:eastAsia="宋体" w:cs="Times New Roman"/>
                      <w:b/>
                      <w:bCs/>
                      <w:color w:val="auto"/>
                      <w:sz w:val="21"/>
                      <w:szCs w:val="21"/>
                      <w:lang w:val="en-US" w:eastAsia="zh-CN" w:bidi="ar"/>
                    </w:rPr>
                    <w:t>/dB</w:t>
                  </w:r>
                  <w:r>
                    <w:rPr>
                      <w:rStyle w:val="71"/>
                      <w:rFonts w:hint="default" w:ascii="Times New Roman" w:hAnsi="Times New Roman" w:eastAsia="宋体" w:cs="Times New Roman"/>
                      <w:b/>
                      <w:bCs/>
                      <w:color w:val="auto"/>
                      <w:sz w:val="21"/>
                      <w:szCs w:val="21"/>
                      <w:lang w:val="en-US" w:eastAsia="zh-CN" w:bidi="ar"/>
                    </w:rPr>
                    <w:t>（</w:t>
                  </w:r>
                  <w:r>
                    <w:rPr>
                      <w:rStyle w:val="70"/>
                      <w:rFonts w:hint="default" w:ascii="Times New Roman" w:hAnsi="Times New Roman" w:eastAsia="宋体" w:cs="Times New Roman"/>
                      <w:b/>
                      <w:bCs/>
                      <w:color w:val="auto"/>
                      <w:sz w:val="21"/>
                      <w:szCs w:val="21"/>
                      <w:lang w:val="en-US" w:eastAsia="zh-CN" w:bidi="ar"/>
                    </w:rPr>
                    <w:t>A</w:t>
                  </w:r>
                  <w:r>
                    <w:rPr>
                      <w:rStyle w:val="71"/>
                      <w:rFonts w:hint="default" w:ascii="Times New Roman" w:hAnsi="Times New Roman" w:eastAsia="宋体" w:cs="Times New Roman"/>
                      <w:b/>
                      <w:bCs/>
                      <w:color w:val="auto"/>
                      <w:sz w:val="21"/>
                      <w:szCs w:val="21"/>
                      <w:lang w:val="en-US" w:eastAsia="zh-CN" w:bidi="ar"/>
                    </w:rPr>
                    <w:t>）</w:t>
                  </w:r>
                </w:p>
              </w:tc>
              <w:tc>
                <w:tcPr>
                  <w:tcW w:w="393" w:type="pct"/>
                  <w:vMerge w:val="restart"/>
                  <w:shd w:val="clear" w:color="auto" w:fill="auto"/>
                  <w:vAlign w:val="center"/>
                </w:tcPr>
                <w:p w14:paraId="761201B5">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声源控制措施</w:t>
                  </w:r>
                </w:p>
              </w:tc>
              <w:tc>
                <w:tcPr>
                  <w:tcW w:w="889" w:type="pct"/>
                  <w:gridSpan w:val="3"/>
                  <w:shd w:val="clear" w:color="auto" w:fill="auto"/>
                  <w:vAlign w:val="center"/>
                </w:tcPr>
                <w:p w14:paraId="651B9F5B">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空间相对位置</w:t>
                  </w:r>
                  <w:r>
                    <w:rPr>
                      <w:rStyle w:val="70"/>
                      <w:rFonts w:hint="default" w:ascii="Times New Roman" w:hAnsi="Times New Roman" w:eastAsia="宋体" w:cs="Times New Roman"/>
                      <w:b/>
                      <w:bCs/>
                      <w:color w:val="auto"/>
                      <w:sz w:val="21"/>
                      <w:szCs w:val="21"/>
                      <w:lang w:val="en-US" w:eastAsia="zh-CN" w:bidi="ar"/>
                    </w:rPr>
                    <w:t>m</w:t>
                  </w:r>
                </w:p>
              </w:tc>
              <w:tc>
                <w:tcPr>
                  <w:tcW w:w="271" w:type="pct"/>
                  <w:vMerge w:val="restart"/>
                  <w:shd w:val="clear" w:color="auto" w:fill="auto"/>
                  <w:vAlign w:val="center"/>
                </w:tcPr>
                <w:p w14:paraId="27315FA3">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距离室内边界距离</w:t>
                  </w:r>
                  <w:r>
                    <w:rPr>
                      <w:rStyle w:val="70"/>
                      <w:rFonts w:hint="default" w:ascii="Times New Roman" w:hAnsi="Times New Roman" w:eastAsia="宋体" w:cs="Times New Roman"/>
                      <w:color w:val="auto"/>
                      <w:sz w:val="21"/>
                      <w:szCs w:val="21"/>
                      <w:lang w:val="en-US" w:eastAsia="zh-CN" w:bidi="ar"/>
                    </w:rPr>
                    <w:t>/m</w:t>
                  </w:r>
                </w:p>
              </w:tc>
              <w:tc>
                <w:tcPr>
                  <w:tcW w:w="489" w:type="pct"/>
                  <w:vMerge w:val="restart"/>
                  <w:shd w:val="clear" w:color="auto" w:fill="auto"/>
                  <w:vAlign w:val="center"/>
                </w:tcPr>
                <w:p w14:paraId="08A07E5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室内边界声级</w:t>
                  </w:r>
                  <w:r>
                    <w:rPr>
                      <w:rStyle w:val="70"/>
                      <w:rFonts w:hint="default" w:ascii="Times New Roman" w:hAnsi="Times New Roman" w:eastAsia="宋体" w:cs="Times New Roman"/>
                      <w:b/>
                      <w:bCs/>
                      <w:color w:val="auto"/>
                      <w:sz w:val="21"/>
                      <w:szCs w:val="21"/>
                      <w:lang w:val="en-US" w:eastAsia="zh-CN" w:bidi="ar"/>
                    </w:rPr>
                    <w:t>/dB</w:t>
                  </w:r>
                  <w:r>
                    <w:rPr>
                      <w:rStyle w:val="71"/>
                      <w:rFonts w:hint="default" w:ascii="Times New Roman" w:hAnsi="Times New Roman" w:eastAsia="宋体" w:cs="Times New Roman"/>
                      <w:b/>
                      <w:bCs/>
                      <w:color w:val="auto"/>
                      <w:sz w:val="21"/>
                      <w:szCs w:val="21"/>
                      <w:lang w:val="en-US" w:eastAsia="zh-CN" w:bidi="ar"/>
                    </w:rPr>
                    <w:t>（</w:t>
                  </w:r>
                  <w:r>
                    <w:rPr>
                      <w:rStyle w:val="70"/>
                      <w:rFonts w:hint="default" w:ascii="Times New Roman" w:hAnsi="Times New Roman" w:eastAsia="宋体" w:cs="Times New Roman"/>
                      <w:b/>
                      <w:bCs/>
                      <w:color w:val="auto"/>
                      <w:sz w:val="21"/>
                      <w:szCs w:val="21"/>
                      <w:lang w:val="en-US" w:eastAsia="zh-CN" w:bidi="ar"/>
                    </w:rPr>
                    <w:t>A</w:t>
                  </w:r>
                  <w:r>
                    <w:rPr>
                      <w:rStyle w:val="71"/>
                      <w:rFonts w:hint="default" w:ascii="Times New Roman" w:hAnsi="Times New Roman" w:eastAsia="宋体" w:cs="Times New Roman"/>
                      <w:b/>
                      <w:bCs/>
                      <w:color w:val="auto"/>
                      <w:sz w:val="21"/>
                      <w:szCs w:val="21"/>
                      <w:lang w:val="en-US" w:eastAsia="zh-CN" w:bidi="ar"/>
                    </w:rPr>
                    <w:t>）</w:t>
                  </w:r>
                </w:p>
              </w:tc>
              <w:tc>
                <w:tcPr>
                  <w:tcW w:w="395" w:type="pct"/>
                  <w:vMerge w:val="restart"/>
                  <w:shd w:val="clear" w:color="auto" w:fill="auto"/>
                  <w:vAlign w:val="center"/>
                </w:tcPr>
                <w:p w14:paraId="310957B9">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运行时段（年运行时间）</w:t>
                  </w:r>
                </w:p>
              </w:tc>
              <w:tc>
                <w:tcPr>
                  <w:tcW w:w="489" w:type="pct"/>
                  <w:vMerge w:val="restart"/>
                  <w:shd w:val="clear" w:color="auto" w:fill="auto"/>
                  <w:vAlign w:val="center"/>
                </w:tcPr>
                <w:p w14:paraId="63F685B2">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建筑物插入损失</w:t>
                  </w:r>
                  <w:r>
                    <w:rPr>
                      <w:rStyle w:val="70"/>
                      <w:rFonts w:hint="default" w:ascii="Times New Roman" w:hAnsi="Times New Roman" w:eastAsia="宋体" w:cs="Times New Roman"/>
                      <w:b/>
                      <w:bCs/>
                      <w:color w:val="auto"/>
                      <w:sz w:val="21"/>
                      <w:szCs w:val="21"/>
                      <w:lang w:val="en-US" w:eastAsia="zh-CN" w:bidi="ar"/>
                    </w:rPr>
                    <w:t>/dB</w:t>
                  </w:r>
                  <w:r>
                    <w:rPr>
                      <w:rStyle w:val="71"/>
                      <w:rFonts w:hint="default" w:ascii="Times New Roman" w:hAnsi="Times New Roman" w:eastAsia="宋体" w:cs="Times New Roman"/>
                      <w:b/>
                      <w:bCs/>
                      <w:color w:val="auto"/>
                      <w:sz w:val="21"/>
                      <w:szCs w:val="21"/>
                      <w:lang w:val="en-US" w:eastAsia="zh-CN" w:bidi="ar"/>
                    </w:rPr>
                    <w:t>（</w:t>
                  </w:r>
                  <w:r>
                    <w:rPr>
                      <w:rStyle w:val="70"/>
                      <w:rFonts w:hint="default" w:ascii="Times New Roman" w:hAnsi="Times New Roman" w:eastAsia="宋体" w:cs="Times New Roman"/>
                      <w:b/>
                      <w:bCs/>
                      <w:color w:val="auto"/>
                      <w:sz w:val="21"/>
                      <w:szCs w:val="21"/>
                      <w:lang w:val="en-US" w:eastAsia="zh-CN" w:bidi="ar"/>
                    </w:rPr>
                    <w:t>A</w:t>
                  </w:r>
                  <w:r>
                    <w:rPr>
                      <w:rStyle w:val="71"/>
                      <w:rFonts w:hint="default" w:ascii="Times New Roman" w:hAnsi="Times New Roman" w:eastAsia="宋体" w:cs="Times New Roman"/>
                      <w:b/>
                      <w:bCs/>
                      <w:color w:val="auto"/>
                      <w:sz w:val="21"/>
                      <w:szCs w:val="21"/>
                      <w:lang w:val="en-US" w:eastAsia="zh-CN" w:bidi="ar"/>
                    </w:rPr>
                    <w:t>）</w:t>
                  </w:r>
                </w:p>
              </w:tc>
              <w:tc>
                <w:tcPr>
                  <w:tcW w:w="789" w:type="pct"/>
                  <w:gridSpan w:val="2"/>
                  <w:shd w:val="clear" w:color="auto" w:fill="auto"/>
                  <w:vAlign w:val="center"/>
                </w:tcPr>
                <w:p w14:paraId="59FBB071">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建筑物外噪声</w:t>
                  </w:r>
                </w:p>
              </w:tc>
            </w:tr>
            <w:tr w14:paraId="3D25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64" w:type="pct"/>
                  <w:vMerge w:val="continue"/>
                  <w:shd w:val="clear" w:color="auto" w:fill="auto"/>
                  <w:vAlign w:val="center"/>
                </w:tcPr>
                <w:p w14:paraId="038A8253">
                  <w:pPr>
                    <w:jc w:val="center"/>
                    <w:rPr>
                      <w:rFonts w:hint="default" w:ascii="Times New Roman" w:hAnsi="Times New Roman" w:eastAsia="宋体" w:cs="Times New Roman"/>
                      <w:b/>
                      <w:bCs/>
                      <w:i w:val="0"/>
                      <w:iCs w:val="0"/>
                      <w:color w:val="auto"/>
                      <w:sz w:val="21"/>
                      <w:szCs w:val="21"/>
                      <w:u w:val="none"/>
                    </w:rPr>
                  </w:pPr>
                </w:p>
              </w:tc>
              <w:tc>
                <w:tcPr>
                  <w:tcW w:w="264" w:type="pct"/>
                  <w:vMerge w:val="continue"/>
                  <w:shd w:val="clear" w:color="auto" w:fill="auto"/>
                  <w:vAlign w:val="center"/>
                </w:tcPr>
                <w:p w14:paraId="3449A47D">
                  <w:pPr>
                    <w:jc w:val="center"/>
                    <w:rPr>
                      <w:rFonts w:hint="default" w:ascii="Times New Roman" w:hAnsi="Times New Roman" w:eastAsia="宋体" w:cs="Times New Roman"/>
                      <w:b/>
                      <w:bCs/>
                      <w:i w:val="0"/>
                      <w:iCs w:val="0"/>
                      <w:color w:val="auto"/>
                      <w:sz w:val="21"/>
                      <w:szCs w:val="21"/>
                      <w:u w:val="none"/>
                    </w:rPr>
                  </w:pPr>
                </w:p>
              </w:tc>
              <w:tc>
                <w:tcPr>
                  <w:tcW w:w="264" w:type="pct"/>
                  <w:vMerge w:val="continue"/>
                  <w:shd w:val="clear" w:color="auto" w:fill="auto"/>
                  <w:vAlign w:val="center"/>
                </w:tcPr>
                <w:p w14:paraId="104BF88C">
                  <w:pPr>
                    <w:jc w:val="center"/>
                    <w:rPr>
                      <w:rFonts w:hint="default" w:ascii="Times New Roman" w:hAnsi="Times New Roman" w:eastAsia="宋体" w:cs="Times New Roman"/>
                      <w:b/>
                      <w:bCs/>
                      <w:i w:val="0"/>
                      <w:iCs w:val="0"/>
                      <w:color w:val="auto"/>
                      <w:sz w:val="21"/>
                      <w:szCs w:val="21"/>
                      <w:u w:val="none"/>
                    </w:rPr>
                  </w:pPr>
                </w:p>
              </w:tc>
              <w:tc>
                <w:tcPr>
                  <w:tcW w:w="489" w:type="pct"/>
                  <w:vMerge w:val="continue"/>
                  <w:shd w:val="clear" w:color="auto" w:fill="auto"/>
                  <w:vAlign w:val="center"/>
                </w:tcPr>
                <w:p w14:paraId="04F45AF2">
                  <w:pPr>
                    <w:jc w:val="center"/>
                    <w:rPr>
                      <w:rFonts w:hint="default" w:ascii="Times New Roman" w:hAnsi="Times New Roman" w:eastAsia="宋体" w:cs="Times New Roman"/>
                      <w:b/>
                      <w:bCs/>
                      <w:i w:val="0"/>
                      <w:iCs w:val="0"/>
                      <w:color w:val="auto"/>
                      <w:sz w:val="21"/>
                      <w:szCs w:val="21"/>
                      <w:u w:val="none"/>
                    </w:rPr>
                  </w:pPr>
                </w:p>
              </w:tc>
              <w:tc>
                <w:tcPr>
                  <w:tcW w:w="393" w:type="pct"/>
                  <w:vMerge w:val="continue"/>
                  <w:shd w:val="clear" w:color="auto" w:fill="auto"/>
                  <w:vAlign w:val="center"/>
                </w:tcPr>
                <w:p w14:paraId="12AFE87A">
                  <w:pPr>
                    <w:jc w:val="center"/>
                    <w:rPr>
                      <w:rFonts w:hint="default" w:ascii="Times New Roman" w:hAnsi="Times New Roman" w:eastAsia="宋体" w:cs="Times New Roman"/>
                      <w:b/>
                      <w:bCs/>
                      <w:i w:val="0"/>
                      <w:iCs w:val="0"/>
                      <w:color w:val="auto"/>
                      <w:sz w:val="21"/>
                      <w:szCs w:val="21"/>
                      <w:u w:val="none"/>
                    </w:rPr>
                  </w:pPr>
                </w:p>
              </w:tc>
              <w:tc>
                <w:tcPr>
                  <w:tcW w:w="263" w:type="pct"/>
                  <w:shd w:val="clear" w:color="auto" w:fill="auto"/>
                  <w:vAlign w:val="center"/>
                </w:tcPr>
                <w:p w14:paraId="016A76E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X</w:t>
                  </w:r>
                </w:p>
              </w:tc>
              <w:tc>
                <w:tcPr>
                  <w:tcW w:w="328" w:type="pct"/>
                  <w:shd w:val="clear" w:color="auto" w:fill="auto"/>
                  <w:vAlign w:val="center"/>
                </w:tcPr>
                <w:p w14:paraId="23F41E2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Y</w:t>
                  </w:r>
                </w:p>
              </w:tc>
              <w:tc>
                <w:tcPr>
                  <w:tcW w:w="296" w:type="pct"/>
                  <w:shd w:val="clear" w:color="auto" w:fill="auto"/>
                  <w:vAlign w:val="center"/>
                </w:tcPr>
                <w:p w14:paraId="3681742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Z</w:t>
                  </w:r>
                </w:p>
              </w:tc>
              <w:tc>
                <w:tcPr>
                  <w:tcW w:w="271" w:type="pct"/>
                  <w:vMerge w:val="continue"/>
                  <w:shd w:val="clear" w:color="auto" w:fill="auto"/>
                  <w:vAlign w:val="center"/>
                </w:tcPr>
                <w:p w14:paraId="2DBFA552">
                  <w:pPr>
                    <w:jc w:val="center"/>
                    <w:rPr>
                      <w:rFonts w:hint="default" w:ascii="Times New Roman" w:hAnsi="Times New Roman" w:eastAsia="宋体" w:cs="Times New Roman"/>
                      <w:b/>
                      <w:bCs/>
                      <w:i w:val="0"/>
                      <w:iCs w:val="0"/>
                      <w:color w:val="auto"/>
                      <w:sz w:val="21"/>
                      <w:szCs w:val="21"/>
                      <w:u w:val="none"/>
                    </w:rPr>
                  </w:pPr>
                </w:p>
              </w:tc>
              <w:tc>
                <w:tcPr>
                  <w:tcW w:w="489" w:type="pct"/>
                  <w:vMerge w:val="continue"/>
                  <w:shd w:val="clear" w:color="auto" w:fill="auto"/>
                  <w:vAlign w:val="center"/>
                </w:tcPr>
                <w:p w14:paraId="23D204AA">
                  <w:pPr>
                    <w:jc w:val="center"/>
                    <w:rPr>
                      <w:rFonts w:hint="default" w:ascii="Times New Roman" w:hAnsi="Times New Roman" w:eastAsia="宋体" w:cs="Times New Roman"/>
                      <w:b/>
                      <w:bCs/>
                      <w:i w:val="0"/>
                      <w:iCs w:val="0"/>
                      <w:color w:val="auto"/>
                      <w:sz w:val="21"/>
                      <w:szCs w:val="21"/>
                      <w:u w:val="none"/>
                    </w:rPr>
                  </w:pPr>
                </w:p>
              </w:tc>
              <w:tc>
                <w:tcPr>
                  <w:tcW w:w="395" w:type="pct"/>
                  <w:vMerge w:val="continue"/>
                  <w:shd w:val="clear" w:color="auto" w:fill="auto"/>
                  <w:vAlign w:val="center"/>
                </w:tcPr>
                <w:p w14:paraId="6E1346FB">
                  <w:pPr>
                    <w:jc w:val="center"/>
                    <w:rPr>
                      <w:rFonts w:hint="default" w:ascii="Times New Roman" w:hAnsi="Times New Roman" w:eastAsia="宋体" w:cs="Times New Roman"/>
                      <w:b/>
                      <w:bCs/>
                      <w:i w:val="0"/>
                      <w:iCs w:val="0"/>
                      <w:color w:val="auto"/>
                      <w:sz w:val="21"/>
                      <w:szCs w:val="21"/>
                      <w:u w:val="none"/>
                    </w:rPr>
                  </w:pPr>
                </w:p>
              </w:tc>
              <w:tc>
                <w:tcPr>
                  <w:tcW w:w="489" w:type="pct"/>
                  <w:vMerge w:val="continue"/>
                  <w:shd w:val="clear" w:color="auto" w:fill="auto"/>
                  <w:vAlign w:val="center"/>
                </w:tcPr>
                <w:p w14:paraId="125823D2">
                  <w:pPr>
                    <w:jc w:val="center"/>
                    <w:rPr>
                      <w:rFonts w:hint="default" w:ascii="Times New Roman" w:hAnsi="Times New Roman" w:eastAsia="宋体" w:cs="Times New Roman"/>
                      <w:b/>
                      <w:bCs/>
                      <w:i w:val="0"/>
                      <w:iCs w:val="0"/>
                      <w:color w:val="auto"/>
                      <w:sz w:val="21"/>
                      <w:szCs w:val="21"/>
                      <w:u w:val="none"/>
                    </w:rPr>
                  </w:pPr>
                </w:p>
              </w:tc>
              <w:tc>
                <w:tcPr>
                  <w:tcW w:w="489" w:type="pct"/>
                  <w:shd w:val="clear" w:color="auto" w:fill="auto"/>
                  <w:vAlign w:val="center"/>
                </w:tcPr>
                <w:p w14:paraId="53467E0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声压级</w:t>
                  </w:r>
                  <w:r>
                    <w:rPr>
                      <w:rStyle w:val="70"/>
                      <w:rFonts w:hint="default" w:ascii="Times New Roman" w:hAnsi="Times New Roman" w:eastAsia="宋体" w:cs="Times New Roman"/>
                      <w:b/>
                      <w:bCs/>
                      <w:color w:val="auto"/>
                      <w:sz w:val="21"/>
                      <w:szCs w:val="21"/>
                      <w:lang w:val="en-US" w:eastAsia="zh-CN" w:bidi="ar"/>
                    </w:rPr>
                    <w:t>/dB</w:t>
                  </w:r>
                  <w:r>
                    <w:rPr>
                      <w:rStyle w:val="71"/>
                      <w:rFonts w:hint="default" w:ascii="Times New Roman" w:hAnsi="Times New Roman" w:eastAsia="宋体" w:cs="Times New Roman"/>
                      <w:b/>
                      <w:bCs/>
                      <w:color w:val="auto"/>
                      <w:sz w:val="21"/>
                      <w:szCs w:val="21"/>
                      <w:lang w:val="en-US" w:eastAsia="zh-CN" w:bidi="ar"/>
                    </w:rPr>
                    <w:t>（</w:t>
                  </w:r>
                  <w:r>
                    <w:rPr>
                      <w:rStyle w:val="70"/>
                      <w:rFonts w:hint="default" w:ascii="Times New Roman" w:hAnsi="Times New Roman" w:eastAsia="宋体" w:cs="Times New Roman"/>
                      <w:b/>
                      <w:bCs/>
                      <w:color w:val="auto"/>
                      <w:sz w:val="21"/>
                      <w:szCs w:val="21"/>
                      <w:lang w:val="en-US" w:eastAsia="zh-CN" w:bidi="ar"/>
                    </w:rPr>
                    <w:t>A</w:t>
                  </w:r>
                  <w:r>
                    <w:rPr>
                      <w:rStyle w:val="71"/>
                      <w:rFonts w:hint="default" w:ascii="Times New Roman" w:hAnsi="Times New Roman" w:eastAsia="宋体" w:cs="Times New Roman"/>
                      <w:b/>
                      <w:bCs/>
                      <w:color w:val="auto"/>
                      <w:sz w:val="21"/>
                      <w:szCs w:val="21"/>
                      <w:lang w:val="en-US" w:eastAsia="zh-CN" w:bidi="ar"/>
                    </w:rPr>
                    <w:t>）</w:t>
                  </w:r>
                </w:p>
              </w:tc>
              <w:tc>
                <w:tcPr>
                  <w:tcW w:w="300" w:type="pct"/>
                  <w:shd w:val="clear" w:color="auto" w:fill="auto"/>
                  <w:vAlign w:val="center"/>
                </w:tcPr>
                <w:p w14:paraId="46DCA806">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建筑物外距离</w:t>
                  </w:r>
                </w:p>
              </w:tc>
            </w:tr>
            <w:tr w14:paraId="7B7C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4" w:type="pct"/>
                  <w:vMerge w:val="restart"/>
                  <w:shd w:val="clear" w:color="auto" w:fill="auto"/>
                  <w:vAlign w:val="center"/>
                </w:tcPr>
                <w:p w14:paraId="5138EBA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生产厂房</w:t>
                  </w:r>
                </w:p>
              </w:tc>
              <w:tc>
                <w:tcPr>
                  <w:tcW w:w="264" w:type="pct"/>
                  <w:shd w:val="clear" w:color="auto" w:fill="auto"/>
                  <w:vAlign w:val="center"/>
                </w:tcPr>
                <w:p w14:paraId="7957EBC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ascii="宋体" w:hAnsi="宋体" w:eastAsia="宋体" w:cs="宋体"/>
                      <w:i w:val="0"/>
                      <w:iCs w:val="0"/>
                      <w:snapToGrid w:val="0"/>
                      <w:color w:val="000000"/>
                      <w:kern w:val="0"/>
                      <w:sz w:val="21"/>
                      <w:szCs w:val="21"/>
                      <w:u w:val="none"/>
                      <w:lang w:val="en-US" w:eastAsia="zh-CN" w:bidi="ar"/>
                    </w:rPr>
                    <w:t>清洗设备</w:t>
                  </w:r>
                </w:p>
              </w:tc>
              <w:tc>
                <w:tcPr>
                  <w:tcW w:w="264" w:type="pct"/>
                  <w:shd w:val="clear" w:color="auto" w:fill="auto"/>
                  <w:vAlign w:val="center"/>
                </w:tcPr>
                <w:p w14:paraId="1DCE09B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w:t>
                  </w:r>
                </w:p>
              </w:tc>
              <w:tc>
                <w:tcPr>
                  <w:tcW w:w="489" w:type="pct"/>
                  <w:shd w:val="clear" w:color="auto" w:fill="auto"/>
                  <w:vAlign w:val="center"/>
                </w:tcPr>
                <w:p w14:paraId="0CE19CB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85</w:t>
                  </w:r>
                </w:p>
              </w:tc>
              <w:tc>
                <w:tcPr>
                  <w:tcW w:w="393" w:type="pct"/>
                  <w:vMerge w:val="restart"/>
                  <w:shd w:val="clear" w:color="auto" w:fill="auto"/>
                  <w:vAlign w:val="center"/>
                </w:tcPr>
                <w:p w14:paraId="0C2473E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安装减振基座、厂房隔声</w:t>
                  </w:r>
                  <w:r>
                    <w:rPr>
                      <w:rStyle w:val="72"/>
                      <w:rFonts w:hint="default" w:ascii="Times New Roman" w:hAnsi="Times New Roman" w:eastAsia="宋体" w:cs="Times New Roman"/>
                      <w:color w:val="auto"/>
                      <w:sz w:val="21"/>
                      <w:szCs w:val="21"/>
                      <w:lang w:val="en-US" w:eastAsia="zh-CN" w:bidi="ar"/>
                    </w:rPr>
                    <w:t>、强噪声源设备安装隔声罩</w:t>
                  </w:r>
                </w:p>
              </w:tc>
              <w:tc>
                <w:tcPr>
                  <w:tcW w:w="426" w:type="dxa"/>
                  <w:shd w:val="clear" w:color="auto" w:fill="auto"/>
                  <w:noWrap/>
                  <w:vAlign w:val="center"/>
                </w:tcPr>
                <w:p w14:paraId="7C92E7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67</w:t>
                  </w:r>
                </w:p>
              </w:tc>
              <w:tc>
                <w:tcPr>
                  <w:tcW w:w="531" w:type="dxa"/>
                  <w:shd w:val="clear" w:color="auto" w:fill="auto"/>
                  <w:noWrap/>
                  <w:vAlign w:val="center"/>
                </w:tcPr>
                <w:p w14:paraId="1CCB95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44</w:t>
                  </w:r>
                </w:p>
              </w:tc>
              <w:tc>
                <w:tcPr>
                  <w:tcW w:w="296" w:type="pct"/>
                  <w:shd w:val="clear" w:color="auto" w:fill="auto"/>
                  <w:vAlign w:val="center"/>
                </w:tcPr>
                <w:p w14:paraId="621876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271" w:type="pct"/>
                  <w:shd w:val="clear" w:color="auto" w:fill="auto"/>
                  <w:vAlign w:val="center"/>
                </w:tcPr>
                <w:p w14:paraId="2A00DF8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790" w:type="dxa"/>
                  <w:shd w:val="clear" w:color="auto" w:fill="auto"/>
                  <w:vAlign w:val="center"/>
                </w:tcPr>
                <w:p w14:paraId="381BD56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638" w:type="dxa"/>
                  <w:shd w:val="clear" w:color="auto" w:fill="auto"/>
                  <w:vAlign w:val="center"/>
                </w:tcPr>
                <w:p w14:paraId="74B274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2400</w:t>
                  </w:r>
                </w:p>
              </w:tc>
              <w:tc>
                <w:tcPr>
                  <w:tcW w:w="790" w:type="dxa"/>
                  <w:shd w:val="clear" w:color="auto" w:fill="auto"/>
                  <w:vAlign w:val="center"/>
                </w:tcPr>
                <w:p w14:paraId="3DA224C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790" w:type="dxa"/>
                  <w:shd w:val="clear" w:color="auto" w:fill="auto"/>
                  <w:vAlign w:val="center"/>
                </w:tcPr>
                <w:p w14:paraId="7F54C8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300" w:type="pct"/>
                  <w:shd w:val="clear" w:color="auto" w:fill="auto"/>
                  <w:vAlign w:val="center"/>
                </w:tcPr>
                <w:p w14:paraId="3DFDFBF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1m</w:t>
                  </w:r>
                </w:p>
              </w:tc>
            </w:tr>
            <w:tr w14:paraId="1E0C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64" w:type="pct"/>
                  <w:vMerge w:val="continue"/>
                  <w:shd w:val="clear" w:color="auto" w:fill="auto"/>
                  <w:vAlign w:val="center"/>
                </w:tcPr>
                <w:p w14:paraId="2838CD3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c>
                <w:tcPr>
                  <w:tcW w:w="264" w:type="pct"/>
                  <w:shd w:val="clear" w:color="auto" w:fill="auto"/>
                  <w:vAlign w:val="center"/>
                </w:tcPr>
                <w:p w14:paraId="023443B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ascii="宋体" w:hAnsi="宋体" w:eastAsia="宋体" w:cs="宋体"/>
                      <w:i w:val="0"/>
                      <w:iCs w:val="0"/>
                      <w:snapToGrid w:val="0"/>
                      <w:color w:val="000000"/>
                      <w:kern w:val="0"/>
                      <w:sz w:val="21"/>
                      <w:szCs w:val="21"/>
                      <w:u w:val="none"/>
                      <w:lang w:val="en-US" w:eastAsia="zh-CN" w:bidi="ar"/>
                    </w:rPr>
                    <w:t>净水设备</w:t>
                  </w:r>
                </w:p>
              </w:tc>
              <w:tc>
                <w:tcPr>
                  <w:tcW w:w="264" w:type="pct"/>
                  <w:shd w:val="clear" w:color="auto" w:fill="auto"/>
                  <w:vAlign w:val="center"/>
                </w:tcPr>
                <w:p w14:paraId="77BFB804">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w:t>
                  </w:r>
                </w:p>
              </w:tc>
              <w:tc>
                <w:tcPr>
                  <w:tcW w:w="489" w:type="pct"/>
                  <w:shd w:val="clear" w:color="auto" w:fill="auto"/>
                  <w:vAlign w:val="center"/>
                </w:tcPr>
                <w:p w14:paraId="53C9122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85</w:t>
                  </w:r>
                </w:p>
              </w:tc>
              <w:tc>
                <w:tcPr>
                  <w:tcW w:w="393" w:type="pct"/>
                  <w:vMerge w:val="continue"/>
                  <w:shd w:val="clear" w:color="auto" w:fill="auto"/>
                  <w:vAlign w:val="center"/>
                </w:tcPr>
                <w:p w14:paraId="0B6BC5A5">
                  <w:pPr>
                    <w:jc w:val="center"/>
                    <w:rPr>
                      <w:rFonts w:hint="default" w:ascii="Times New Roman" w:hAnsi="Times New Roman" w:eastAsia="宋体" w:cs="Times New Roman"/>
                      <w:i w:val="0"/>
                      <w:iCs w:val="0"/>
                      <w:color w:val="auto"/>
                      <w:sz w:val="21"/>
                      <w:szCs w:val="21"/>
                      <w:u w:val="none"/>
                    </w:rPr>
                  </w:pPr>
                </w:p>
              </w:tc>
              <w:tc>
                <w:tcPr>
                  <w:tcW w:w="426" w:type="dxa"/>
                  <w:shd w:val="clear" w:color="auto" w:fill="auto"/>
                  <w:noWrap/>
                  <w:vAlign w:val="center"/>
                </w:tcPr>
                <w:p w14:paraId="426345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66</w:t>
                  </w:r>
                </w:p>
              </w:tc>
              <w:tc>
                <w:tcPr>
                  <w:tcW w:w="531" w:type="dxa"/>
                  <w:shd w:val="clear" w:color="auto" w:fill="auto"/>
                  <w:noWrap/>
                  <w:vAlign w:val="center"/>
                </w:tcPr>
                <w:p w14:paraId="20CC2A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22</w:t>
                  </w:r>
                </w:p>
              </w:tc>
              <w:tc>
                <w:tcPr>
                  <w:tcW w:w="296" w:type="pct"/>
                  <w:shd w:val="clear" w:color="auto" w:fill="auto"/>
                  <w:vAlign w:val="center"/>
                </w:tcPr>
                <w:p w14:paraId="086651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271" w:type="pct"/>
                  <w:shd w:val="clear" w:color="auto" w:fill="auto"/>
                  <w:vAlign w:val="center"/>
                </w:tcPr>
                <w:p w14:paraId="2D0D875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790" w:type="dxa"/>
                  <w:shd w:val="clear" w:color="auto" w:fill="auto"/>
                  <w:vAlign w:val="center"/>
                </w:tcPr>
                <w:p w14:paraId="746FDE3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638" w:type="dxa"/>
                  <w:shd w:val="clear" w:color="auto" w:fill="auto"/>
                  <w:vAlign w:val="center"/>
                </w:tcPr>
                <w:p w14:paraId="6FD844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2400</w:t>
                  </w:r>
                </w:p>
              </w:tc>
              <w:tc>
                <w:tcPr>
                  <w:tcW w:w="790" w:type="dxa"/>
                  <w:shd w:val="clear" w:color="auto" w:fill="auto"/>
                  <w:vAlign w:val="center"/>
                </w:tcPr>
                <w:p w14:paraId="5B3993E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790" w:type="dxa"/>
                  <w:shd w:val="clear" w:color="auto" w:fill="auto"/>
                  <w:vAlign w:val="center"/>
                </w:tcPr>
                <w:p w14:paraId="0C3BB5B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300" w:type="pct"/>
                  <w:shd w:val="clear" w:color="auto" w:fill="auto"/>
                  <w:vAlign w:val="center"/>
                </w:tcPr>
                <w:p w14:paraId="1968F07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1m</w:t>
                  </w:r>
                </w:p>
              </w:tc>
            </w:tr>
            <w:tr w14:paraId="4E7B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64" w:type="pct"/>
                  <w:vMerge w:val="continue"/>
                  <w:shd w:val="clear" w:color="auto" w:fill="auto"/>
                  <w:noWrap/>
                  <w:vAlign w:val="center"/>
                </w:tcPr>
                <w:p w14:paraId="7DB5BE81">
                  <w:pPr>
                    <w:jc w:val="center"/>
                    <w:rPr>
                      <w:rFonts w:hint="default" w:ascii="Times New Roman" w:hAnsi="Times New Roman" w:eastAsia="宋体" w:cs="Times New Roman"/>
                      <w:i w:val="0"/>
                      <w:iCs w:val="0"/>
                      <w:color w:val="auto"/>
                      <w:sz w:val="21"/>
                      <w:szCs w:val="21"/>
                      <w:u w:val="none"/>
                    </w:rPr>
                  </w:pPr>
                </w:p>
              </w:tc>
              <w:tc>
                <w:tcPr>
                  <w:tcW w:w="264" w:type="pct"/>
                  <w:shd w:val="clear" w:color="auto" w:fill="auto"/>
                  <w:vAlign w:val="center"/>
                </w:tcPr>
                <w:p w14:paraId="4F14DA7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ascii="宋体" w:hAnsi="宋体" w:eastAsia="宋体" w:cs="宋体"/>
                      <w:i w:val="0"/>
                      <w:iCs w:val="0"/>
                      <w:snapToGrid w:val="0"/>
                      <w:color w:val="000000"/>
                      <w:kern w:val="0"/>
                      <w:sz w:val="21"/>
                      <w:szCs w:val="21"/>
                      <w:u w:val="none"/>
                      <w:lang w:val="en-US" w:eastAsia="zh-CN" w:bidi="ar"/>
                    </w:rPr>
                    <w:t>水解罐</w:t>
                  </w:r>
                </w:p>
              </w:tc>
              <w:tc>
                <w:tcPr>
                  <w:tcW w:w="264" w:type="pct"/>
                  <w:shd w:val="clear" w:color="auto" w:fill="auto"/>
                  <w:vAlign w:val="center"/>
                </w:tcPr>
                <w:p w14:paraId="381EFCED">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20</w:t>
                  </w:r>
                </w:p>
              </w:tc>
              <w:tc>
                <w:tcPr>
                  <w:tcW w:w="489" w:type="pct"/>
                  <w:shd w:val="clear" w:color="auto" w:fill="auto"/>
                  <w:vAlign w:val="center"/>
                </w:tcPr>
                <w:p w14:paraId="34613A8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80</w:t>
                  </w:r>
                </w:p>
              </w:tc>
              <w:tc>
                <w:tcPr>
                  <w:tcW w:w="393" w:type="pct"/>
                  <w:vMerge w:val="continue"/>
                  <w:shd w:val="clear" w:color="auto" w:fill="auto"/>
                  <w:vAlign w:val="center"/>
                </w:tcPr>
                <w:p w14:paraId="1AF41BFC">
                  <w:pPr>
                    <w:jc w:val="center"/>
                    <w:rPr>
                      <w:rFonts w:hint="default" w:ascii="Times New Roman" w:hAnsi="Times New Roman" w:eastAsia="宋体" w:cs="Times New Roman"/>
                      <w:i w:val="0"/>
                      <w:iCs w:val="0"/>
                      <w:color w:val="auto"/>
                      <w:sz w:val="21"/>
                      <w:szCs w:val="21"/>
                      <w:u w:val="none"/>
                    </w:rPr>
                  </w:pPr>
                </w:p>
              </w:tc>
              <w:tc>
                <w:tcPr>
                  <w:tcW w:w="426" w:type="dxa"/>
                  <w:shd w:val="clear" w:color="auto" w:fill="auto"/>
                  <w:noWrap/>
                  <w:vAlign w:val="center"/>
                </w:tcPr>
                <w:p w14:paraId="6079B0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64</w:t>
                  </w:r>
                </w:p>
              </w:tc>
              <w:tc>
                <w:tcPr>
                  <w:tcW w:w="531" w:type="dxa"/>
                  <w:shd w:val="clear" w:color="auto" w:fill="auto"/>
                  <w:noWrap/>
                  <w:vAlign w:val="center"/>
                </w:tcPr>
                <w:p w14:paraId="035AFF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172</w:t>
                  </w:r>
                </w:p>
              </w:tc>
              <w:tc>
                <w:tcPr>
                  <w:tcW w:w="296" w:type="pct"/>
                  <w:shd w:val="clear" w:color="auto" w:fill="auto"/>
                  <w:vAlign w:val="center"/>
                </w:tcPr>
                <w:p w14:paraId="223E1B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271" w:type="pct"/>
                  <w:shd w:val="clear" w:color="auto" w:fill="auto"/>
                  <w:vAlign w:val="center"/>
                </w:tcPr>
                <w:p w14:paraId="66674C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790" w:type="dxa"/>
                  <w:shd w:val="clear" w:color="auto" w:fill="auto"/>
                  <w:vAlign w:val="center"/>
                </w:tcPr>
                <w:p w14:paraId="1898FDD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638" w:type="dxa"/>
                  <w:shd w:val="clear" w:color="auto" w:fill="auto"/>
                  <w:vAlign w:val="center"/>
                </w:tcPr>
                <w:p w14:paraId="4F86F5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2400</w:t>
                  </w:r>
                </w:p>
              </w:tc>
              <w:tc>
                <w:tcPr>
                  <w:tcW w:w="790" w:type="dxa"/>
                  <w:shd w:val="clear" w:color="auto" w:fill="auto"/>
                  <w:vAlign w:val="center"/>
                </w:tcPr>
                <w:p w14:paraId="0411EAC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790" w:type="dxa"/>
                  <w:shd w:val="clear" w:color="auto" w:fill="auto"/>
                  <w:vAlign w:val="center"/>
                </w:tcPr>
                <w:p w14:paraId="1AB8F6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300" w:type="pct"/>
                  <w:shd w:val="clear" w:color="auto" w:fill="auto"/>
                  <w:vAlign w:val="center"/>
                </w:tcPr>
                <w:p w14:paraId="372FB87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1m</w:t>
                  </w:r>
                </w:p>
              </w:tc>
            </w:tr>
            <w:tr w14:paraId="75C1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64" w:type="pct"/>
                  <w:vMerge w:val="continue"/>
                  <w:shd w:val="clear" w:color="auto" w:fill="auto"/>
                  <w:noWrap/>
                  <w:vAlign w:val="center"/>
                </w:tcPr>
                <w:p w14:paraId="787A4A3A">
                  <w:pPr>
                    <w:jc w:val="center"/>
                    <w:rPr>
                      <w:rFonts w:hint="default" w:ascii="Times New Roman" w:hAnsi="Times New Roman" w:eastAsia="宋体" w:cs="Times New Roman"/>
                      <w:i w:val="0"/>
                      <w:iCs w:val="0"/>
                      <w:color w:val="auto"/>
                      <w:sz w:val="21"/>
                      <w:szCs w:val="21"/>
                      <w:u w:val="none"/>
                    </w:rPr>
                  </w:pPr>
                </w:p>
              </w:tc>
              <w:tc>
                <w:tcPr>
                  <w:tcW w:w="264" w:type="pct"/>
                  <w:shd w:val="clear" w:color="auto" w:fill="auto"/>
                  <w:vAlign w:val="center"/>
                </w:tcPr>
                <w:p w14:paraId="66CE918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ascii="宋体" w:hAnsi="宋体" w:eastAsia="宋体" w:cs="宋体"/>
                      <w:i w:val="0"/>
                      <w:iCs w:val="0"/>
                      <w:snapToGrid w:val="0"/>
                      <w:color w:val="000000"/>
                      <w:kern w:val="0"/>
                      <w:sz w:val="21"/>
                      <w:szCs w:val="21"/>
                      <w:u w:val="none"/>
                      <w:lang w:val="en-US" w:eastAsia="zh-CN" w:bidi="ar"/>
                    </w:rPr>
                    <w:t>离心机</w:t>
                  </w:r>
                </w:p>
              </w:tc>
              <w:tc>
                <w:tcPr>
                  <w:tcW w:w="264" w:type="pct"/>
                  <w:shd w:val="clear" w:color="auto" w:fill="auto"/>
                  <w:vAlign w:val="center"/>
                </w:tcPr>
                <w:p w14:paraId="586D255A">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w:t>
                  </w:r>
                </w:p>
              </w:tc>
              <w:tc>
                <w:tcPr>
                  <w:tcW w:w="489" w:type="pct"/>
                  <w:shd w:val="clear" w:color="auto" w:fill="auto"/>
                  <w:vAlign w:val="center"/>
                </w:tcPr>
                <w:p w14:paraId="4F0DF67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iCs w:val="0"/>
                      <w:color w:val="auto"/>
                      <w:kern w:val="0"/>
                      <w:sz w:val="21"/>
                      <w:szCs w:val="21"/>
                      <w:u w:val="none"/>
                      <w:lang w:val="en-US" w:eastAsia="zh-CN" w:bidi="ar"/>
                    </w:rPr>
                    <w:t>9</w:t>
                  </w:r>
                  <w:r>
                    <w:rPr>
                      <w:rFonts w:hint="default" w:ascii="Times New Roman" w:hAnsi="Times New Roman" w:eastAsia="宋体" w:cs="Times New Roman"/>
                      <w:i w:val="0"/>
                      <w:iCs w:val="0"/>
                      <w:color w:val="auto"/>
                      <w:kern w:val="0"/>
                      <w:sz w:val="21"/>
                      <w:szCs w:val="21"/>
                      <w:u w:val="none"/>
                      <w:lang w:val="en-US" w:eastAsia="zh-CN" w:bidi="ar"/>
                    </w:rPr>
                    <w:t>0</w:t>
                  </w:r>
                </w:p>
              </w:tc>
              <w:tc>
                <w:tcPr>
                  <w:tcW w:w="393" w:type="pct"/>
                  <w:vMerge w:val="continue"/>
                  <w:shd w:val="clear" w:color="auto" w:fill="auto"/>
                  <w:vAlign w:val="center"/>
                </w:tcPr>
                <w:p w14:paraId="73DC3914">
                  <w:pPr>
                    <w:jc w:val="center"/>
                    <w:rPr>
                      <w:rFonts w:hint="default" w:ascii="Times New Roman" w:hAnsi="Times New Roman" w:eastAsia="宋体" w:cs="Times New Roman"/>
                      <w:i w:val="0"/>
                      <w:iCs w:val="0"/>
                      <w:color w:val="auto"/>
                      <w:sz w:val="21"/>
                      <w:szCs w:val="21"/>
                      <w:u w:val="none"/>
                    </w:rPr>
                  </w:pPr>
                </w:p>
              </w:tc>
              <w:tc>
                <w:tcPr>
                  <w:tcW w:w="426" w:type="dxa"/>
                  <w:shd w:val="clear" w:color="auto" w:fill="auto"/>
                  <w:noWrap/>
                  <w:vAlign w:val="center"/>
                </w:tcPr>
                <w:p w14:paraId="758AA4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68</w:t>
                  </w:r>
                </w:p>
              </w:tc>
              <w:tc>
                <w:tcPr>
                  <w:tcW w:w="531" w:type="dxa"/>
                  <w:shd w:val="clear" w:color="auto" w:fill="auto"/>
                  <w:noWrap/>
                  <w:vAlign w:val="center"/>
                </w:tcPr>
                <w:p w14:paraId="02E8B8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107</w:t>
                  </w:r>
                </w:p>
              </w:tc>
              <w:tc>
                <w:tcPr>
                  <w:tcW w:w="296" w:type="pct"/>
                  <w:shd w:val="clear" w:color="auto" w:fill="auto"/>
                  <w:vAlign w:val="center"/>
                </w:tcPr>
                <w:p w14:paraId="2D804F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271" w:type="pct"/>
                  <w:shd w:val="clear" w:color="auto" w:fill="auto"/>
                  <w:vAlign w:val="center"/>
                </w:tcPr>
                <w:p w14:paraId="5C0A91B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790" w:type="dxa"/>
                  <w:shd w:val="clear" w:color="auto" w:fill="auto"/>
                  <w:vAlign w:val="center"/>
                </w:tcPr>
                <w:p w14:paraId="1EB85A1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638" w:type="dxa"/>
                  <w:shd w:val="clear" w:color="auto" w:fill="auto"/>
                  <w:vAlign w:val="center"/>
                </w:tcPr>
                <w:p w14:paraId="4F5FE65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2400</w:t>
                  </w:r>
                </w:p>
              </w:tc>
              <w:tc>
                <w:tcPr>
                  <w:tcW w:w="790" w:type="dxa"/>
                  <w:shd w:val="clear" w:color="auto" w:fill="auto"/>
                  <w:vAlign w:val="center"/>
                </w:tcPr>
                <w:p w14:paraId="75A8B2E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790" w:type="dxa"/>
                  <w:shd w:val="clear" w:color="auto" w:fill="auto"/>
                  <w:vAlign w:val="center"/>
                </w:tcPr>
                <w:p w14:paraId="041771C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300" w:type="pct"/>
                  <w:shd w:val="clear" w:color="auto" w:fill="auto"/>
                  <w:vAlign w:val="center"/>
                </w:tcPr>
                <w:p w14:paraId="5B85351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1m</w:t>
                  </w:r>
                </w:p>
              </w:tc>
            </w:tr>
            <w:tr w14:paraId="0C92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64" w:type="pct"/>
                  <w:vMerge w:val="continue"/>
                  <w:shd w:val="clear" w:color="auto" w:fill="auto"/>
                  <w:noWrap/>
                  <w:vAlign w:val="center"/>
                </w:tcPr>
                <w:p w14:paraId="43A47FF6">
                  <w:pPr>
                    <w:jc w:val="center"/>
                    <w:rPr>
                      <w:rFonts w:hint="default" w:ascii="Times New Roman" w:hAnsi="Times New Roman" w:eastAsia="宋体" w:cs="Times New Roman"/>
                      <w:i w:val="0"/>
                      <w:iCs w:val="0"/>
                      <w:color w:val="auto"/>
                      <w:sz w:val="21"/>
                      <w:szCs w:val="21"/>
                      <w:u w:val="none"/>
                    </w:rPr>
                  </w:pPr>
                </w:p>
              </w:tc>
              <w:tc>
                <w:tcPr>
                  <w:tcW w:w="264" w:type="pct"/>
                  <w:shd w:val="clear" w:color="auto" w:fill="auto"/>
                  <w:vAlign w:val="center"/>
                </w:tcPr>
                <w:p w14:paraId="4030411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ascii="宋体" w:hAnsi="宋体" w:eastAsia="宋体" w:cs="宋体"/>
                      <w:i w:val="0"/>
                      <w:iCs w:val="0"/>
                      <w:snapToGrid w:val="0"/>
                      <w:color w:val="000000"/>
                      <w:kern w:val="0"/>
                      <w:sz w:val="21"/>
                      <w:szCs w:val="21"/>
                      <w:u w:val="none"/>
                      <w:lang w:val="en-US" w:eastAsia="zh-CN" w:bidi="ar"/>
                    </w:rPr>
                    <w:t>包装设备</w:t>
                  </w:r>
                </w:p>
              </w:tc>
              <w:tc>
                <w:tcPr>
                  <w:tcW w:w="264" w:type="pct"/>
                  <w:shd w:val="clear" w:color="auto" w:fill="auto"/>
                  <w:vAlign w:val="center"/>
                </w:tcPr>
                <w:p w14:paraId="2EB8ABDD">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w:t>
                  </w:r>
                </w:p>
              </w:tc>
              <w:tc>
                <w:tcPr>
                  <w:tcW w:w="489" w:type="pct"/>
                  <w:shd w:val="clear" w:color="auto" w:fill="auto"/>
                  <w:vAlign w:val="center"/>
                </w:tcPr>
                <w:p w14:paraId="02917DE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80</w:t>
                  </w:r>
                </w:p>
              </w:tc>
              <w:tc>
                <w:tcPr>
                  <w:tcW w:w="393" w:type="pct"/>
                  <w:vMerge w:val="continue"/>
                  <w:shd w:val="clear" w:color="auto" w:fill="auto"/>
                  <w:vAlign w:val="center"/>
                </w:tcPr>
                <w:p w14:paraId="6F0B9C97">
                  <w:pPr>
                    <w:jc w:val="center"/>
                    <w:rPr>
                      <w:rFonts w:hint="default" w:ascii="Times New Roman" w:hAnsi="Times New Roman" w:eastAsia="宋体" w:cs="Times New Roman"/>
                      <w:i w:val="0"/>
                      <w:iCs w:val="0"/>
                      <w:color w:val="auto"/>
                      <w:sz w:val="21"/>
                      <w:szCs w:val="21"/>
                      <w:u w:val="none"/>
                    </w:rPr>
                  </w:pPr>
                </w:p>
              </w:tc>
              <w:tc>
                <w:tcPr>
                  <w:tcW w:w="426" w:type="dxa"/>
                  <w:shd w:val="clear" w:color="auto" w:fill="auto"/>
                  <w:noWrap/>
                  <w:vAlign w:val="center"/>
                </w:tcPr>
                <w:p w14:paraId="78B775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75</w:t>
                  </w:r>
                </w:p>
              </w:tc>
              <w:tc>
                <w:tcPr>
                  <w:tcW w:w="531" w:type="dxa"/>
                  <w:shd w:val="clear" w:color="auto" w:fill="auto"/>
                  <w:noWrap/>
                  <w:vAlign w:val="center"/>
                </w:tcPr>
                <w:p w14:paraId="03FDEB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108</w:t>
                  </w:r>
                </w:p>
              </w:tc>
              <w:tc>
                <w:tcPr>
                  <w:tcW w:w="296" w:type="pct"/>
                  <w:shd w:val="clear" w:color="auto" w:fill="auto"/>
                  <w:vAlign w:val="center"/>
                </w:tcPr>
                <w:p w14:paraId="5AF329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271" w:type="pct"/>
                  <w:shd w:val="clear" w:color="auto" w:fill="auto"/>
                  <w:vAlign w:val="center"/>
                </w:tcPr>
                <w:p w14:paraId="3C571C8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790" w:type="dxa"/>
                  <w:shd w:val="clear" w:color="auto" w:fill="auto"/>
                  <w:vAlign w:val="center"/>
                </w:tcPr>
                <w:p w14:paraId="51912B9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638" w:type="dxa"/>
                  <w:shd w:val="clear" w:color="auto" w:fill="auto"/>
                  <w:vAlign w:val="center"/>
                </w:tcPr>
                <w:p w14:paraId="122F04B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2400</w:t>
                  </w:r>
                </w:p>
              </w:tc>
              <w:tc>
                <w:tcPr>
                  <w:tcW w:w="790" w:type="dxa"/>
                  <w:shd w:val="clear" w:color="auto" w:fill="auto"/>
                  <w:vAlign w:val="center"/>
                </w:tcPr>
                <w:p w14:paraId="3749D5D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790" w:type="dxa"/>
                  <w:shd w:val="clear" w:color="auto" w:fill="auto"/>
                  <w:vAlign w:val="center"/>
                </w:tcPr>
                <w:p w14:paraId="3FE550C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300" w:type="pct"/>
                  <w:shd w:val="clear" w:color="auto" w:fill="auto"/>
                  <w:vAlign w:val="center"/>
                </w:tcPr>
                <w:p w14:paraId="74E12A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1m</w:t>
                  </w:r>
                </w:p>
              </w:tc>
            </w:tr>
          </w:tbl>
          <w:p w14:paraId="2872F893">
            <w:pPr>
              <w:keepNext/>
              <w:keepLines/>
              <w:adjustRightInd w:val="0"/>
              <w:snapToGrid w:val="0"/>
              <w:spacing w:line="360" w:lineRule="auto"/>
              <w:outlineLvl w:val="3"/>
              <w:rPr>
                <w:color w:val="000000" w:themeColor="text1"/>
                <w:sz w:val="24"/>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注</w:t>
            </w:r>
            <w:r>
              <w:rPr>
                <w:bCs/>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坐标原点为</w:t>
            </w:r>
            <w:r>
              <w:rPr>
                <w:rFonts w:hint="eastAsia"/>
                <w:b/>
                <w:bCs/>
                <w:color w:val="000000" w:themeColor="text1"/>
                <w:szCs w:val="21"/>
                <w:lang w:val="en-US" w:eastAsia="zh-CN"/>
                <w14:textFill>
                  <w14:solidFill>
                    <w14:schemeClr w14:val="tx1"/>
                  </w14:solidFill>
                </w14:textFill>
              </w:rPr>
              <w:t>厂房</w:t>
            </w:r>
            <w:r>
              <w:rPr>
                <w:rFonts w:hint="eastAsia"/>
                <w:b/>
                <w:bCs/>
                <w:color w:val="000000" w:themeColor="text1"/>
                <w:szCs w:val="21"/>
                <w14:textFill>
                  <w14:solidFill>
                    <w14:schemeClr w14:val="tx1"/>
                  </w14:solidFill>
                </w14:textFill>
              </w:rPr>
              <w:t>西南角</w:t>
            </w:r>
            <w:r>
              <w:rPr>
                <w:color w:val="000000" w:themeColor="text1"/>
                <w:sz w:val="24"/>
                <w14:textFill>
                  <w14:solidFill>
                    <w14:schemeClr w14:val="tx1"/>
                  </w14:solidFill>
                </w14:textFill>
              </w:rPr>
              <w:t>。</w:t>
            </w:r>
          </w:p>
          <w:p w14:paraId="1F783DE1">
            <w:pPr>
              <w:pStyle w:val="7"/>
              <w:spacing w:after="0"/>
              <w:ind w:left="0" w:leftChars="0" w:firstLine="0"/>
              <w:jc w:val="center"/>
              <w:rPr>
                <w:b/>
                <w:bCs/>
              </w:rPr>
            </w:pPr>
            <w:r>
              <w:rPr>
                <w:b/>
                <w:bCs/>
              </w:rPr>
              <w:t>表</w:t>
            </w:r>
            <w:r>
              <w:rPr>
                <w:rFonts w:hint="eastAsia"/>
                <w:b/>
                <w:bCs/>
              </w:rPr>
              <w:t>4-</w:t>
            </w:r>
            <w:r>
              <w:rPr>
                <w:rFonts w:hint="eastAsia"/>
                <w:b/>
                <w:bCs/>
                <w:lang w:val="en-US" w:eastAsia="zh-CN"/>
              </w:rPr>
              <w:t>17</w:t>
            </w:r>
            <w:r>
              <w:rPr>
                <w:rFonts w:hint="eastAsia"/>
                <w:b/>
                <w:bCs/>
              </w:rPr>
              <w:t>工业企业</w:t>
            </w:r>
            <w:r>
              <w:rPr>
                <w:rFonts w:hint="eastAsia"/>
                <w:b/>
                <w:bCs/>
                <w:lang w:val="en-US" w:eastAsia="zh-CN"/>
              </w:rPr>
              <w:t>主要</w:t>
            </w:r>
            <w:r>
              <w:rPr>
                <w:rFonts w:hint="eastAsia"/>
                <w:b/>
                <w:bCs/>
              </w:rPr>
              <w:t>噪声源强调查清单（室外声源）</w:t>
            </w:r>
          </w:p>
          <w:tbl>
            <w:tblPr>
              <w:tblStyle w:val="23"/>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16"/>
              <w:gridCol w:w="1046"/>
              <w:gridCol w:w="947"/>
              <w:gridCol w:w="938"/>
              <w:gridCol w:w="740"/>
              <w:gridCol w:w="965"/>
              <w:gridCol w:w="1285"/>
              <w:gridCol w:w="1325"/>
            </w:tblGrid>
            <w:tr w14:paraId="7930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 w:hRule="atLeast"/>
                <w:jc w:val="center"/>
              </w:trPr>
              <w:tc>
                <w:tcPr>
                  <w:tcW w:w="724" w:type="pct"/>
                  <w:vMerge w:val="restart"/>
                  <w:tcMar>
                    <w:top w:w="12" w:type="dxa"/>
                    <w:left w:w="12" w:type="dxa"/>
                    <w:bottom w:w="0" w:type="dxa"/>
                    <w:right w:w="12" w:type="dxa"/>
                  </w:tcMar>
                  <w:vAlign w:val="center"/>
                </w:tcPr>
                <w:p w14:paraId="7B76468B">
                  <w:pPr>
                    <w:adjustRightInd w:val="0"/>
                    <w:snapToGrid w:val="0"/>
                    <w:jc w:val="center"/>
                    <w:rPr>
                      <w:b/>
                      <w:sz w:val="21"/>
                      <w:szCs w:val="21"/>
                    </w:rPr>
                  </w:pPr>
                  <w:r>
                    <w:rPr>
                      <w:rFonts w:hint="eastAsia"/>
                      <w:b/>
                      <w:sz w:val="21"/>
                      <w:szCs w:val="21"/>
                    </w:rPr>
                    <w:t>声源名称</w:t>
                  </w:r>
                </w:p>
              </w:tc>
              <w:tc>
                <w:tcPr>
                  <w:tcW w:w="576" w:type="pct"/>
                  <w:vMerge w:val="restart"/>
                  <w:vAlign w:val="center"/>
                </w:tcPr>
                <w:p w14:paraId="645A6A95">
                  <w:pPr>
                    <w:adjustRightInd w:val="0"/>
                    <w:snapToGrid w:val="0"/>
                    <w:jc w:val="center"/>
                    <w:rPr>
                      <w:b/>
                      <w:sz w:val="21"/>
                      <w:szCs w:val="21"/>
                    </w:rPr>
                  </w:pPr>
                  <w:r>
                    <w:rPr>
                      <w:rFonts w:hint="eastAsia"/>
                      <w:b/>
                      <w:sz w:val="21"/>
                      <w:szCs w:val="21"/>
                    </w:rPr>
                    <w:t>型号</w:t>
                  </w:r>
                </w:p>
              </w:tc>
              <w:tc>
                <w:tcPr>
                  <w:tcW w:w="1568" w:type="pct"/>
                  <w:gridSpan w:val="3"/>
                  <w:vAlign w:val="center"/>
                </w:tcPr>
                <w:p w14:paraId="36C892EF">
                  <w:pPr>
                    <w:adjustRightInd w:val="0"/>
                    <w:snapToGrid w:val="0"/>
                    <w:jc w:val="center"/>
                    <w:rPr>
                      <w:b/>
                      <w:sz w:val="21"/>
                      <w:szCs w:val="21"/>
                    </w:rPr>
                  </w:pPr>
                  <w:r>
                    <w:rPr>
                      <w:rFonts w:hint="eastAsia"/>
                      <w:b/>
                      <w:sz w:val="21"/>
                      <w:szCs w:val="21"/>
                    </w:rPr>
                    <w:t>空间相对位置</w:t>
                  </w:r>
                </w:p>
              </w:tc>
              <w:tc>
                <w:tcPr>
                  <w:tcW w:w="576" w:type="pct"/>
                  <w:vMerge w:val="restart"/>
                  <w:vAlign w:val="center"/>
                </w:tcPr>
                <w:p w14:paraId="2C480B00">
                  <w:pPr>
                    <w:adjustRightInd w:val="0"/>
                    <w:snapToGrid w:val="0"/>
                    <w:jc w:val="center"/>
                    <w:rPr>
                      <w:b/>
                      <w:sz w:val="21"/>
                      <w:szCs w:val="21"/>
                    </w:rPr>
                  </w:pPr>
                  <w:r>
                    <w:rPr>
                      <w:rFonts w:hint="eastAsia"/>
                      <w:b/>
                      <w:sz w:val="21"/>
                      <w:szCs w:val="21"/>
                    </w:rPr>
                    <w:t>声功率级/dB（A）</w:t>
                  </w:r>
                </w:p>
              </w:tc>
              <w:tc>
                <w:tcPr>
                  <w:tcW w:w="765" w:type="pct"/>
                  <w:vMerge w:val="restart"/>
                  <w:vAlign w:val="center"/>
                </w:tcPr>
                <w:p w14:paraId="3DAC8A6E">
                  <w:pPr>
                    <w:adjustRightInd w:val="0"/>
                    <w:snapToGrid w:val="0"/>
                    <w:jc w:val="center"/>
                    <w:rPr>
                      <w:b/>
                      <w:sz w:val="21"/>
                      <w:szCs w:val="21"/>
                    </w:rPr>
                  </w:pPr>
                  <w:r>
                    <w:rPr>
                      <w:rFonts w:hint="eastAsia"/>
                      <w:b/>
                      <w:sz w:val="21"/>
                      <w:szCs w:val="21"/>
                    </w:rPr>
                    <w:t>声源控制措施</w:t>
                  </w:r>
                </w:p>
              </w:tc>
              <w:tc>
                <w:tcPr>
                  <w:tcW w:w="788" w:type="pct"/>
                  <w:vMerge w:val="restart"/>
                  <w:vAlign w:val="center"/>
                </w:tcPr>
                <w:p w14:paraId="6AE106A0">
                  <w:pPr>
                    <w:adjustRightInd w:val="0"/>
                    <w:snapToGrid w:val="0"/>
                    <w:jc w:val="center"/>
                    <w:rPr>
                      <w:b/>
                      <w:sz w:val="21"/>
                      <w:szCs w:val="21"/>
                    </w:rPr>
                  </w:pPr>
                  <w:r>
                    <w:rPr>
                      <w:rFonts w:hint="eastAsia"/>
                      <w:b/>
                      <w:sz w:val="21"/>
                      <w:szCs w:val="21"/>
                    </w:rPr>
                    <w:t>运行时段（h/a）</w:t>
                  </w:r>
                </w:p>
              </w:tc>
            </w:tr>
            <w:tr w14:paraId="56BA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24" w:type="pct"/>
                  <w:vMerge w:val="continue"/>
                  <w:tcMar>
                    <w:top w:w="12" w:type="dxa"/>
                    <w:left w:w="12" w:type="dxa"/>
                    <w:bottom w:w="0" w:type="dxa"/>
                    <w:right w:w="12" w:type="dxa"/>
                  </w:tcMar>
                  <w:vAlign w:val="center"/>
                </w:tcPr>
                <w:p w14:paraId="4FBBDCD6">
                  <w:pPr>
                    <w:jc w:val="center"/>
                    <w:rPr>
                      <w:bCs/>
                      <w:sz w:val="21"/>
                      <w:szCs w:val="21"/>
                    </w:rPr>
                  </w:pPr>
                </w:p>
              </w:tc>
              <w:tc>
                <w:tcPr>
                  <w:tcW w:w="576" w:type="pct"/>
                  <w:vMerge w:val="continue"/>
                  <w:vAlign w:val="center"/>
                </w:tcPr>
                <w:p w14:paraId="5A82929C">
                  <w:pPr>
                    <w:jc w:val="center"/>
                    <w:rPr>
                      <w:bCs/>
                      <w:sz w:val="21"/>
                      <w:szCs w:val="21"/>
                    </w:rPr>
                  </w:pPr>
                </w:p>
              </w:tc>
              <w:tc>
                <w:tcPr>
                  <w:tcW w:w="565" w:type="pct"/>
                  <w:vAlign w:val="center"/>
                </w:tcPr>
                <w:p w14:paraId="66283EE8">
                  <w:pPr>
                    <w:jc w:val="center"/>
                    <w:rPr>
                      <w:bCs/>
                      <w:sz w:val="21"/>
                      <w:szCs w:val="21"/>
                    </w:rPr>
                  </w:pPr>
                  <w:r>
                    <w:rPr>
                      <w:rFonts w:hint="eastAsia"/>
                      <w:bCs/>
                      <w:sz w:val="21"/>
                      <w:szCs w:val="21"/>
                    </w:rPr>
                    <w:t>X</w:t>
                  </w:r>
                </w:p>
              </w:tc>
              <w:tc>
                <w:tcPr>
                  <w:tcW w:w="560" w:type="pct"/>
                  <w:vAlign w:val="center"/>
                </w:tcPr>
                <w:p w14:paraId="4A3C2626">
                  <w:pPr>
                    <w:jc w:val="center"/>
                    <w:rPr>
                      <w:bCs/>
                      <w:sz w:val="21"/>
                      <w:szCs w:val="21"/>
                    </w:rPr>
                  </w:pPr>
                  <w:r>
                    <w:rPr>
                      <w:rFonts w:hint="eastAsia"/>
                      <w:bCs/>
                      <w:sz w:val="21"/>
                      <w:szCs w:val="21"/>
                    </w:rPr>
                    <w:t>Y</w:t>
                  </w:r>
                </w:p>
              </w:tc>
              <w:tc>
                <w:tcPr>
                  <w:tcW w:w="443" w:type="pct"/>
                  <w:vAlign w:val="center"/>
                </w:tcPr>
                <w:p w14:paraId="2C0F5A97">
                  <w:pPr>
                    <w:jc w:val="center"/>
                    <w:rPr>
                      <w:bCs/>
                      <w:sz w:val="21"/>
                      <w:szCs w:val="21"/>
                    </w:rPr>
                  </w:pPr>
                  <w:r>
                    <w:rPr>
                      <w:rFonts w:hint="eastAsia"/>
                      <w:bCs/>
                      <w:sz w:val="21"/>
                      <w:szCs w:val="21"/>
                    </w:rPr>
                    <w:t>Z</w:t>
                  </w:r>
                </w:p>
              </w:tc>
              <w:tc>
                <w:tcPr>
                  <w:tcW w:w="576" w:type="pct"/>
                  <w:vMerge w:val="continue"/>
                  <w:vAlign w:val="center"/>
                </w:tcPr>
                <w:p w14:paraId="12793DAB">
                  <w:pPr>
                    <w:jc w:val="center"/>
                    <w:rPr>
                      <w:bCs/>
                      <w:sz w:val="21"/>
                      <w:szCs w:val="21"/>
                    </w:rPr>
                  </w:pPr>
                </w:p>
              </w:tc>
              <w:tc>
                <w:tcPr>
                  <w:tcW w:w="765" w:type="pct"/>
                  <w:vMerge w:val="continue"/>
                  <w:vAlign w:val="center"/>
                </w:tcPr>
                <w:p w14:paraId="3A230E72">
                  <w:pPr>
                    <w:jc w:val="center"/>
                    <w:rPr>
                      <w:bCs/>
                      <w:sz w:val="21"/>
                      <w:szCs w:val="21"/>
                    </w:rPr>
                  </w:pPr>
                </w:p>
              </w:tc>
              <w:tc>
                <w:tcPr>
                  <w:tcW w:w="788" w:type="pct"/>
                  <w:vMerge w:val="continue"/>
                  <w:vAlign w:val="center"/>
                </w:tcPr>
                <w:p w14:paraId="0B5940FC">
                  <w:pPr>
                    <w:jc w:val="center"/>
                    <w:rPr>
                      <w:bCs/>
                      <w:sz w:val="21"/>
                      <w:szCs w:val="21"/>
                    </w:rPr>
                  </w:pPr>
                </w:p>
              </w:tc>
            </w:tr>
            <w:tr w14:paraId="17B9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24" w:type="pct"/>
                  <w:tcMar>
                    <w:top w:w="12" w:type="dxa"/>
                    <w:left w:w="12" w:type="dxa"/>
                    <w:bottom w:w="0" w:type="dxa"/>
                    <w:right w:w="12" w:type="dxa"/>
                  </w:tcMar>
                  <w:vAlign w:val="center"/>
                </w:tcPr>
                <w:p w14:paraId="2003F907">
                  <w:pPr>
                    <w:jc w:val="center"/>
                    <w:rPr>
                      <w:kern w:val="0"/>
                      <w:sz w:val="21"/>
                      <w:szCs w:val="21"/>
                    </w:rPr>
                  </w:pPr>
                  <w:r>
                    <w:rPr>
                      <w:rFonts w:hint="eastAsia"/>
                      <w:kern w:val="0"/>
                      <w:sz w:val="21"/>
                      <w:szCs w:val="21"/>
                    </w:rPr>
                    <w:t>风机</w:t>
                  </w:r>
                </w:p>
              </w:tc>
              <w:tc>
                <w:tcPr>
                  <w:tcW w:w="576" w:type="pct"/>
                  <w:vAlign w:val="center"/>
                </w:tcPr>
                <w:p w14:paraId="3C3C8E43">
                  <w:pPr>
                    <w:jc w:val="center"/>
                    <w:rPr>
                      <w:bCs/>
                      <w:sz w:val="21"/>
                      <w:szCs w:val="21"/>
                    </w:rPr>
                  </w:pPr>
                  <w:r>
                    <w:rPr>
                      <w:rFonts w:hint="eastAsia"/>
                      <w:bCs/>
                      <w:sz w:val="21"/>
                      <w:szCs w:val="21"/>
                    </w:rPr>
                    <w:t>风量</w:t>
                  </w:r>
                  <w:r>
                    <w:rPr>
                      <w:rFonts w:hint="eastAsia"/>
                      <w:bCs/>
                      <w:sz w:val="21"/>
                      <w:szCs w:val="21"/>
                      <w:lang w:val="en-US" w:eastAsia="zh-CN"/>
                    </w:rPr>
                    <w:t>75</w:t>
                  </w:r>
                  <w:r>
                    <w:rPr>
                      <w:rFonts w:hint="eastAsia"/>
                      <w:bCs/>
                      <w:sz w:val="21"/>
                      <w:szCs w:val="21"/>
                    </w:rPr>
                    <w:t>00m</w:t>
                  </w:r>
                  <w:r>
                    <w:rPr>
                      <w:rFonts w:hint="eastAsia"/>
                      <w:bCs/>
                      <w:sz w:val="21"/>
                      <w:szCs w:val="21"/>
                      <w:vertAlign w:val="superscript"/>
                    </w:rPr>
                    <w:t>3</w:t>
                  </w:r>
                  <w:r>
                    <w:rPr>
                      <w:rFonts w:hint="eastAsia"/>
                      <w:bCs/>
                      <w:sz w:val="21"/>
                      <w:szCs w:val="21"/>
                    </w:rPr>
                    <w:t>/h</w:t>
                  </w:r>
                </w:p>
              </w:tc>
              <w:tc>
                <w:tcPr>
                  <w:tcW w:w="912" w:type="dxa"/>
                  <w:vAlign w:val="center"/>
                </w:tcPr>
                <w:p w14:paraId="2B8A1550">
                  <w:pPr>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71</w:t>
                  </w:r>
                </w:p>
              </w:tc>
              <w:tc>
                <w:tcPr>
                  <w:tcW w:w="904" w:type="dxa"/>
                  <w:vAlign w:val="center"/>
                </w:tcPr>
                <w:p w14:paraId="411DD115">
                  <w:pPr>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218</w:t>
                  </w:r>
                </w:p>
              </w:tc>
              <w:tc>
                <w:tcPr>
                  <w:tcW w:w="443" w:type="pct"/>
                  <w:vAlign w:val="center"/>
                </w:tcPr>
                <w:p w14:paraId="0F7BD533">
                  <w:pPr>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0.5</w:t>
                  </w:r>
                </w:p>
              </w:tc>
              <w:tc>
                <w:tcPr>
                  <w:tcW w:w="576" w:type="pct"/>
                  <w:vAlign w:val="center"/>
                </w:tcPr>
                <w:p w14:paraId="6B19923D">
                  <w:pPr>
                    <w:widowControl/>
                    <w:adjustRightInd w:val="0"/>
                    <w:snapToGrid w:val="0"/>
                    <w:jc w:val="center"/>
                    <w:rPr>
                      <w:rFonts w:hint="default" w:eastAsia="宋体"/>
                      <w:bCs/>
                      <w:sz w:val="21"/>
                      <w:szCs w:val="21"/>
                      <w:lang w:val="en-US" w:eastAsia="zh-CN"/>
                    </w:rPr>
                  </w:pPr>
                  <w:r>
                    <w:rPr>
                      <w:rFonts w:hint="eastAsia"/>
                      <w:bCs/>
                      <w:sz w:val="21"/>
                      <w:szCs w:val="21"/>
                      <w:lang w:val="en-US" w:eastAsia="zh-CN"/>
                    </w:rPr>
                    <w:t>85</w:t>
                  </w:r>
                </w:p>
              </w:tc>
              <w:tc>
                <w:tcPr>
                  <w:tcW w:w="765" w:type="pct"/>
                  <w:vAlign w:val="center"/>
                </w:tcPr>
                <w:p w14:paraId="5B917B68">
                  <w:pPr>
                    <w:jc w:val="center"/>
                    <w:rPr>
                      <w:rFonts w:hint="default" w:eastAsia="宋体"/>
                      <w:bCs/>
                      <w:sz w:val="21"/>
                      <w:szCs w:val="21"/>
                      <w:lang w:val="en-US" w:eastAsia="zh-CN"/>
                    </w:rPr>
                  </w:pPr>
                  <w:r>
                    <w:rPr>
                      <w:rFonts w:hint="eastAsia"/>
                      <w:sz w:val="21"/>
                      <w:szCs w:val="21"/>
                      <w:lang w:val="en-US" w:eastAsia="zh-CN"/>
                    </w:rPr>
                    <w:t>风机的进、出口处安装阻性消声器</w:t>
                  </w:r>
                </w:p>
              </w:tc>
              <w:tc>
                <w:tcPr>
                  <w:tcW w:w="788" w:type="pct"/>
                  <w:vAlign w:val="center"/>
                </w:tcPr>
                <w:p w14:paraId="0126570B">
                  <w:pPr>
                    <w:jc w:val="center"/>
                    <w:rPr>
                      <w:rFonts w:hint="default" w:eastAsia="宋体"/>
                      <w:bCs/>
                      <w:sz w:val="21"/>
                      <w:szCs w:val="21"/>
                      <w:lang w:val="en-US" w:eastAsia="zh-CN"/>
                    </w:rPr>
                  </w:pPr>
                  <w:r>
                    <w:rPr>
                      <w:rFonts w:hint="eastAsia"/>
                      <w:bCs/>
                      <w:sz w:val="21"/>
                      <w:szCs w:val="21"/>
                      <w:lang w:val="en-US" w:eastAsia="zh-CN"/>
                    </w:rPr>
                    <w:t>2400</w:t>
                  </w:r>
                </w:p>
              </w:tc>
            </w:tr>
          </w:tbl>
          <w:p w14:paraId="6DCCF2B8">
            <w:pPr>
              <w:spacing w:line="360" w:lineRule="auto"/>
              <w:ind w:firstLine="480" w:firstLineChars="200"/>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2、厂界达标情况分析</w:t>
            </w:r>
          </w:p>
          <w:p w14:paraId="24C7490D">
            <w:pPr>
              <w:adjustRightInd w:val="0"/>
              <w:snapToGrid w:val="0"/>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根据项目的噪声排放特点，结合《环境影响评价技术导则声环境》（HJ2.4-20</w:t>
            </w:r>
            <w:r>
              <w:rPr>
                <w:rFonts w:hint="eastAsia"/>
                <w:bCs/>
                <w:color w:val="000000" w:themeColor="text1"/>
                <w:sz w:val="24"/>
                <w14:textFill>
                  <w14:solidFill>
                    <w14:schemeClr w14:val="tx1"/>
                  </w14:solidFill>
                </w14:textFill>
              </w:rPr>
              <w:t>21</w:t>
            </w:r>
            <w:r>
              <w:rPr>
                <w:bCs/>
                <w:color w:val="000000" w:themeColor="text1"/>
                <w:sz w:val="24"/>
                <w14:textFill>
                  <w14:solidFill>
                    <w14:schemeClr w14:val="tx1"/>
                  </w14:solidFill>
                </w14:textFill>
              </w:rPr>
              <w:t>）的要求，预测模式采用</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8</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4预测</w:t>
            </w:r>
            <w:r>
              <w:rPr>
                <w:rFonts w:hint="eastAsia"/>
                <w:bCs/>
                <w:color w:val="000000" w:themeColor="text1"/>
                <w:sz w:val="24"/>
                <w14:textFill>
                  <w14:solidFill>
                    <w14:schemeClr w14:val="tx1"/>
                  </w14:solidFill>
                </w14:textFill>
              </w:rPr>
              <w:t>方法”</w:t>
            </w:r>
            <w:r>
              <w:rPr>
                <w:bCs/>
                <w:color w:val="000000" w:themeColor="text1"/>
                <w:sz w:val="24"/>
                <w14:textFill>
                  <w14:solidFill>
                    <w14:schemeClr w14:val="tx1"/>
                  </w14:solidFill>
                </w14:textFill>
              </w:rPr>
              <w:t>计算模式。</w:t>
            </w:r>
          </w:p>
          <w:p w14:paraId="1172DA4E">
            <w:pPr>
              <w:spacing w:line="360" w:lineRule="auto"/>
              <w:ind w:firstLine="480" w:firstLineChars="200"/>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（1）室外声源</w:t>
            </w:r>
          </w:p>
          <w:p w14:paraId="3FF2367E">
            <w:pPr>
              <w:spacing w:line="360" w:lineRule="auto"/>
              <w:ind w:firstLine="480" w:firstLineChars="200"/>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计算基本公式为：</w:t>
            </w:r>
          </w:p>
          <w:p w14:paraId="5C6EA986">
            <w:pPr>
              <w:spacing w:line="360" w:lineRule="auto"/>
              <w:ind w:firstLine="480" w:firstLineChars="200"/>
              <w:jc w:val="center"/>
              <w:rPr>
                <w:color w:val="000000" w:themeColor="text1"/>
                <w:kern w:val="0"/>
                <w:sz w:val="24"/>
                <w:lang w:bidi="ar"/>
                <w14:textFill>
                  <w14:solidFill>
                    <w14:schemeClr w14:val="tx1"/>
                  </w14:solidFill>
                </w14:textFill>
              </w:rPr>
            </w:pPr>
            <w:r>
              <w:rPr>
                <w:rFonts w:hint="eastAsia"/>
                <w:color w:val="000000" w:themeColor="text1"/>
                <w:kern w:val="0"/>
                <w:position w:val="-14"/>
                <w:sz w:val="24"/>
                <w:lang w:bidi="ar"/>
                <w14:textFill>
                  <w14:solidFill>
                    <w14:schemeClr w14:val="tx1"/>
                  </w14:solidFill>
                </w14:textFill>
              </w:rPr>
              <w:object>
                <v:shape id="_x0000_i1029" o:spt="75" type="#_x0000_t75" style="height:18.75pt;width:252.85pt;" o:ole="t" filled="f" o:preferrelative="t" stroked="f" coordsize="21600,21600">
                  <v:path/>
                  <v:fill on="f" focussize="0,0"/>
                  <v:stroke on="f" joinstyle="miter"/>
                  <v:imagedata r:id="rId18" o:title=""/>
                  <o:lock v:ext="edit" aspectratio="t"/>
                  <w10:wrap type="none"/>
                  <w10:anchorlock/>
                </v:shape>
                <o:OLEObject Type="Embed" ProgID="Equation.3" ShapeID="_x0000_i1029" DrawAspect="Content" ObjectID="_1468075729" r:id="rId17">
                  <o:LockedField>false</o:LockedField>
                </o:OLEObject>
              </w:object>
            </w:r>
          </w:p>
          <w:p w14:paraId="6C4A2BFF">
            <w:pPr>
              <w:adjustRightInd w:val="0"/>
              <w:snapToGrid w:val="0"/>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式中：</w:t>
            </w:r>
            <w:r>
              <w:rPr>
                <w:bCs/>
                <w:color w:val="000000" w:themeColor="text1"/>
                <w:position w:val="-14"/>
                <w:sz w:val="24"/>
                <w14:textFill>
                  <w14:solidFill>
                    <w14:schemeClr w14:val="tx1"/>
                  </w14:solidFill>
                </w14:textFill>
              </w:rPr>
              <w:object>
                <v:shape id="_x0000_i1030" o:spt="75" type="#_x0000_t75" style="height:18.75pt;width:30.75pt;" o:ole="t" filled="f" o:preferrelative="t" stroked="f" coordsize="21600,21600">
                  <v:path/>
                  <v:fill on="f" focussize="0,0"/>
                  <v:stroke on="f" joinstyle="miter"/>
                  <v:imagedata r:id="rId20" o:title=""/>
                  <o:lock v:ext="edit" aspectratio="t"/>
                  <w10:wrap type="none"/>
                  <w10:anchorlock/>
                </v:shape>
                <o:OLEObject Type="Embed" ProgID="Equation.3" ShapeID="_x0000_i1030" DrawAspect="Content" ObjectID="_1468075730" r:id="rId19">
                  <o:LockedField>false</o:LockedField>
                </o:OLEObject>
              </w:object>
            </w:r>
            <w:r>
              <w:rPr>
                <w:bCs/>
                <w:color w:val="000000" w:themeColor="text1"/>
                <w:sz w:val="24"/>
                <w14:textFill>
                  <w14:solidFill>
                    <w14:schemeClr w14:val="tx1"/>
                  </w14:solidFill>
                </w14:textFill>
              </w:rPr>
              <w:t>——预测点处的声压级，dB；</w:t>
            </w:r>
          </w:p>
          <w:p w14:paraId="45273DF2">
            <w:pPr>
              <w:adjustRightInd w:val="0"/>
              <w:snapToGrid w:val="0"/>
              <w:spacing w:line="360" w:lineRule="auto"/>
              <w:ind w:firstLine="1200" w:firstLineChars="500"/>
              <w:rPr>
                <w:bCs/>
                <w:color w:val="000000" w:themeColor="text1"/>
                <w:sz w:val="24"/>
                <w14:textFill>
                  <w14:solidFill>
                    <w14:schemeClr w14:val="tx1"/>
                  </w14:solidFill>
                </w14:textFill>
              </w:rPr>
            </w:pPr>
            <w:r>
              <w:rPr>
                <w:bCs/>
                <w:color w:val="000000" w:themeColor="text1"/>
                <w:position w:val="-14"/>
                <w:sz w:val="24"/>
                <w14:textFill>
                  <w14:solidFill>
                    <w14:schemeClr w14:val="tx1"/>
                  </w14:solidFill>
                </w14:textFill>
              </w:rPr>
              <w:object>
                <v:shape id="_x0000_i1031" o:spt="75" type="#_x0000_t75" style="height:18.75pt;width:33.75pt;" o:ole="t" filled="f" o:preferrelative="t" stroked="f" coordsize="21600,21600">
                  <v:path/>
                  <v:fill on="f" focussize="0,0"/>
                  <v:stroke on="f" joinstyle="miter"/>
                  <v:imagedata r:id="rId22" o:title=""/>
                  <o:lock v:ext="edit" aspectratio="t"/>
                  <w10:wrap type="none"/>
                  <w10:anchorlock/>
                </v:shape>
                <o:OLEObject Type="Embed" ProgID="Equation.3" ShapeID="_x0000_i1031" DrawAspect="Content" ObjectID="_1468075731" r:id="rId21">
                  <o:LockedField>false</o:LockedField>
                </o:OLEObject>
              </w:object>
            </w: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参考位置</w:t>
            </w:r>
            <w:r>
              <w:rPr>
                <w:rFonts w:hint="eastAsia"/>
                <w:bCs/>
                <w:color w:val="000000" w:themeColor="text1"/>
                <w:position w:val="-12"/>
                <w:sz w:val="24"/>
                <w14:textFill>
                  <w14:solidFill>
                    <w14:schemeClr w14:val="tx1"/>
                  </w14:solidFill>
                </w14:textFill>
              </w:rPr>
              <w:object>
                <v:shape id="_x0000_i1032" o:spt="75" type="#_x0000_t75" style="height:18pt;width:11.25pt;" o:ole="t" filled="f" o:preferrelative="t" stroked="f" coordsize="21600,21600">
                  <v:path/>
                  <v:fill on="f" focussize="0,0"/>
                  <v:stroke on="f" joinstyle="miter"/>
                  <v:imagedata r:id="rId24" o:title=""/>
                  <o:lock v:ext="edit" aspectratio="t"/>
                  <w10:wrap type="none"/>
                  <w10:anchorlock/>
                </v:shape>
                <o:OLEObject Type="Embed" ProgID="Equation.3" ShapeID="_x0000_i1032" DrawAspect="Content" ObjectID="_1468075732" r:id="rId23">
                  <o:LockedField>false</o:LockedField>
                </o:OLEObject>
              </w:object>
            </w:r>
            <w:r>
              <w:rPr>
                <w:rFonts w:hint="eastAsia"/>
                <w:bCs/>
                <w:color w:val="000000" w:themeColor="text1"/>
                <w:sz w:val="24"/>
                <w14:textFill>
                  <w14:solidFill>
                    <w14:schemeClr w14:val="tx1"/>
                  </w14:solidFill>
                </w14:textFill>
              </w:rPr>
              <w:t>处</w:t>
            </w:r>
            <w:r>
              <w:rPr>
                <w:bCs/>
                <w:color w:val="000000" w:themeColor="text1"/>
                <w:sz w:val="24"/>
                <w14:textFill>
                  <w14:solidFill>
                    <w14:schemeClr w14:val="tx1"/>
                  </w14:solidFill>
                </w14:textFill>
              </w:rPr>
              <w:t>的声压</w:t>
            </w:r>
            <w:r>
              <w:rPr>
                <w:rFonts w:hint="eastAsia"/>
                <w:bCs/>
                <w:color w:val="000000" w:themeColor="text1"/>
                <w:sz w:val="24"/>
                <w14:textFill>
                  <w14:solidFill>
                    <w14:schemeClr w14:val="tx1"/>
                  </w14:solidFill>
                </w14:textFill>
              </w:rPr>
              <w:t>级</w:t>
            </w:r>
            <w:r>
              <w:rPr>
                <w:bCs/>
                <w:color w:val="000000" w:themeColor="text1"/>
                <w:sz w:val="24"/>
                <w14:textFill>
                  <w14:solidFill>
                    <w14:schemeClr w14:val="tx1"/>
                  </w14:solidFill>
                </w14:textFill>
              </w:rPr>
              <w:t>，dB；</w:t>
            </w:r>
          </w:p>
          <w:p w14:paraId="2929293F">
            <w:pPr>
              <w:adjustRightInd w:val="0"/>
              <w:snapToGrid w:val="0"/>
              <w:spacing w:line="360" w:lineRule="auto"/>
              <w:ind w:firstLine="1200" w:firstLineChars="500"/>
              <w:rPr>
                <w:bCs/>
                <w:color w:val="000000" w:themeColor="text1"/>
                <w:sz w:val="24"/>
                <w14:textFill>
                  <w14:solidFill>
                    <w14:schemeClr w14:val="tx1"/>
                  </w14:solidFill>
                </w14:textFill>
              </w:rPr>
            </w:pPr>
            <w:r>
              <w:rPr>
                <w:rFonts w:hint="eastAsia"/>
                <w:bCs/>
                <w:color w:val="000000" w:themeColor="text1"/>
                <w:position w:val="-12"/>
                <w:sz w:val="24"/>
                <w14:textFill>
                  <w14:solidFill>
                    <w14:schemeClr w14:val="tx1"/>
                  </w14:solidFill>
                </w14:textFill>
              </w:rPr>
              <w:object>
                <v:shape id="_x0000_i1033" o:spt="75" type="#_x0000_t75" style="height:18pt;width:18pt;" o:ole="t" filled="f" o:preferrelative="t" stroked="f" coordsize="21600,21600">
                  <v:path/>
                  <v:fill on="f" focussize="0,0"/>
                  <v:stroke on="f" joinstyle="miter"/>
                  <v:imagedata r:id="rId26" o:title=""/>
                  <o:lock v:ext="edit" aspectratio="t"/>
                  <w10:wrap type="none"/>
                  <w10:anchorlock/>
                </v:shape>
                <o:OLEObject Type="Embed" ProgID="Equation.3" ShapeID="_x0000_i1033" DrawAspect="Content" ObjectID="_1468075733" r:id="rId25">
                  <o:LockedField>false</o:LockedField>
                </o:OLEObject>
              </w:object>
            </w:r>
            <w:r>
              <w:rPr>
                <w:rFonts w:hint="eastAsia"/>
                <w:bCs/>
                <w:color w:val="000000" w:themeColor="text1"/>
                <w:sz w:val="24"/>
                <w14:textFill>
                  <w14:solidFill>
                    <w14:schemeClr w14:val="tx1"/>
                  </w14:solidFill>
                </w14:textFill>
              </w:rPr>
              <w:t>——指向性校正，它描述点声源的等效连续声压级与产生声功率级</w:t>
            </w:r>
            <w:r>
              <w:rPr>
                <w:rFonts w:hint="eastAsia"/>
                <w:bCs/>
                <w:color w:val="000000" w:themeColor="text1"/>
                <w:position w:val="-12"/>
                <w:sz w:val="24"/>
                <w14:textFill>
                  <w14:solidFill>
                    <w14:schemeClr w14:val="tx1"/>
                  </w14:solidFill>
                </w14:textFill>
              </w:rPr>
              <w:object>
                <v:shape id="_x0000_i1034" o:spt="75" type="#_x0000_t75" style="height:18pt;width:15pt;" o:ole="t" filled="f" o:preferrelative="t" stroked="f" coordsize="21600,21600">
                  <v:path/>
                  <v:fill on="f" focussize="0,0"/>
                  <v:stroke on="f" joinstyle="miter"/>
                  <v:imagedata r:id="rId28" o:title=""/>
                  <o:lock v:ext="edit" aspectratio="t"/>
                  <w10:wrap type="none"/>
                  <w10:anchorlock/>
                </v:shape>
                <o:OLEObject Type="Embed" ProgID="Equation.3" ShapeID="_x0000_i1034" DrawAspect="Content" ObjectID="_1468075734" r:id="rId27">
                  <o:LockedField>false</o:LockedField>
                </o:OLEObject>
              </w:object>
            </w:r>
            <w:r>
              <w:rPr>
                <w:rFonts w:hint="eastAsia"/>
                <w:bCs/>
                <w:color w:val="000000" w:themeColor="text1"/>
                <w:sz w:val="24"/>
                <w14:textFill>
                  <w14:solidFill>
                    <w14:schemeClr w14:val="tx1"/>
                  </w14:solidFill>
                </w14:textFill>
              </w:rPr>
              <w:t>的全向点声源在规定方向的声级的偏差程度，dB；</w:t>
            </w:r>
          </w:p>
          <w:p w14:paraId="4483A472">
            <w:pPr>
              <w:adjustRightInd w:val="0"/>
              <w:snapToGrid w:val="0"/>
              <w:spacing w:line="360" w:lineRule="auto"/>
              <w:ind w:firstLine="1200" w:firstLineChars="500"/>
              <w:rPr>
                <w:bCs/>
                <w:color w:val="000000" w:themeColor="text1"/>
                <w:sz w:val="24"/>
                <w14:textFill>
                  <w14:solidFill>
                    <w14:schemeClr w14:val="tx1"/>
                  </w14:solidFill>
                </w14:textFill>
              </w:rPr>
            </w:pPr>
            <w:r>
              <w:rPr>
                <w:bCs/>
                <w:color w:val="000000" w:themeColor="text1"/>
                <w:position w:val="-12"/>
                <w:sz w:val="24"/>
                <w14:textFill>
                  <w14:solidFill>
                    <w14:schemeClr w14:val="tx1"/>
                  </w14:solidFill>
                </w14:textFill>
              </w:rPr>
              <w:object>
                <v:shape id="_x0000_i1035" o:spt="75" type="#_x0000_t75" style="height:18pt;width:20.25pt;" o:ole="t" filled="f" o:preferrelative="t" stroked="f" coordsize="21600,21600">
                  <v:path/>
                  <v:fill on="f" focussize="0,0"/>
                  <v:stroke on="f" joinstyle="miter"/>
                  <v:imagedata r:id="rId30" o:title=""/>
                  <o:lock v:ext="edit" aspectratio="t"/>
                  <w10:wrap type="none"/>
                  <w10:anchorlock/>
                </v:shape>
                <o:OLEObject Type="Embed" ProgID="Equation.3" ShapeID="_x0000_i1035" DrawAspect="Content" ObjectID="_1468075735" r:id="rId29">
                  <o:LockedField>false</o:LockedField>
                </o:OLEObject>
              </w:object>
            </w:r>
            <w:r>
              <w:rPr>
                <w:bCs/>
                <w:color w:val="000000" w:themeColor="text1"/>
                <w:sz w:val="24"/>
                <w14:textFill>
                  <w14:solidFill>
                    <w14:schemeClr w14:val="tx1"/>
                  </w14:solidFill>
                </w14:textFill>
              </w:rPr>
              <w:t>——几何发散引起的衰减，dB；</w:t>
            </w:r>
          </w:p>
          <w:p w14:paraId="6FAEE2B1">
            <w:pPr>
              <w:adjustRightInd w:val="0"/>
              <w:snapToGrid w:val="0"/>
              <w:spacing w:line="360" w:lineRule="auto"/>
              <w:ind w:firstLine="1200" w:firstLineChars="500"/>
              <w:rPr>
                <w:bCs/>
                <w:color w:val="000000" w:themeColor="text1"/>
                <w:sz w:val="24"/>
                <w14:textFill>
                  <w14:solidFill>
                    <w14:schemeClr w14:val="tx1"/>
                  </w14:solidFill>
                </w14:textFill>
              </w:rPr>
            </w:pPr>
            <w:r>
              <w:rPr>
                <w:bCs/>
                <w:color w:val="000000" w:themeColor="text1"/>
                <w:position w:val="-12"/>
                <w:sz w:val="24"/>
                <w14:textFill>
                  <w14:solidFill>
                    <w14:schemeClr w14:val="tx1"/>
                  </w14:solidFill>
                </w14:textFill>
              </w:rPr>
              <w:object>
                <v:shape id="_x0000_i1036" o:spt="75" type="#_x0000_t75" style="height:18pt;width:21.75pt;" o:ole="t" filled="f" o:preferrelative="t" stroked="f" coordsize="21600,21600">
                  <v:path/>
                  <v:fill on="f" focussize="0,0"/>
                  <v:stroke on="f" joinstyle="miter"/>
                  <v:imagedata r:id="rId32" o:title=""/>
                  <o:lock v:ext="edit" aspectratio="t"/>
                  <w10:wrap type="none"/>
                  <w10:anchorlock/>
                </v:shape>
                <o:OLEObject Type="Embed" ProgID="Equation.3" ShapeID="_x0000_i1036" DrawAspect="Content" ObjectID="_1468075736" r:id="rId31">
                  <o:LockedField>false</o:LockedField>
                </o:OLEObject>
              </w:object>
            </w:r>
            <w:r>
              <w:rPr>
                <w:bCs/>
                <w:color w:val="000000" w:themeColor="text1"/>
                <w:sz w:val="24"/>
                <w14:textFill>
                  <w14:solidFill>
                    <w14:schemeClr w14:val="tx1"/>
                  </w14:solidFill>
                </w14:textFill>
              </w:rPr>
              <w:t>——大气吸收引起的衰减，dB；</w:t>
            </w:r>
          </w:p>
          <w:p w14:paraId="6BF658C8">
            <w:pPr>
              <w:adjustRightInd w:val="0"/>
              <w:snapToGrid w:val="0"/>
              <w:spacing w:line="360" w:lineRule="auto"/>
              <w:ind w:firstLine="1200" w:firstLineChars="500"/>
              <w:rPr>
                <w:bCs/>
                <w:color w:val="000000" w:themeColor="text1"/>
                <w:sz w:val="24"/>
                <w14:textFill>
                  <w14:solidFill>
                    <w14:schemeClr w14:val="tx1"/>
                  </w14:solidFill>
                </w14:textFill>
              </w:rPr>
            </w:pPr>
            <w:r>
              <w:rPr>
                <w:bCs/>
                <w:color w:val="000000" w:themeColor="text1"/>
                <w:position w:val="-14"/>
                <w:sz w:val="24"/>
                <w14:textFill>
                  <w14:solidFill>
                    <w14:schemeClr w14:val="tx1"/>
                  </w14:solidFill>
                </w14:textFill>
              </w:rPr>
              <w:object>
                <v:shape id="_x0000_i1037" o:spt="75" type="#_x0000_t75" style="height:18.75pt;width:18pt;" o:ole="t" filled="f" o:preferrelative="t" stroked="f" coordsize="21600,21600">
                  <v:path/>
                  <v:fill on="f" focussize="0,0"/>
                  <v:stroke on="f" joinstyle="miter"/>
                  <v:imagedata r:id="rId34" o:title=""/>
                  <o:lock v:ext="edit" aspectratio="t"/>
                  <w10:wrap type="none"/>
                  <w10:anchorlock/>
                </v:shape>
                <o:OLEObject Type="Embed" ProgID="Equation.3" ShapeID="_x0000_i1037" DrawAspect="Content" ObjectID="_1468075737" r:id="rId33">
                  <o:LockedField>false</o:LockedField>
                </o:OLEObject>
              </w:object>
            </w:r>
            <w:r>
              <w:rPr>
                <w:bCs/>
                <w:color w:val="000000" w:themeColor="text1"/>
                <w:sz w:val="24"/>
                <w14:textFill>
                  <w14:solidFill>
                    <w14:schemeClr w14:val="tx1"/>
                  </w14:solidFill>
                </w14:textFill>
              </w:rPr>
              <w:t>——地面效应引起的衰减，dB；</w:t>
            </w:r>
          </w:p>
          <w:p w14:paraId="366109D3">
            <w:pPr>
              <w:adjustRightInd w:val="0"/>
              <w:snapToGrid w:val="0"/>
              <w:spacing w:line="360" w:lineRule="auto"/>
              <w:ind w:firstLine="1200" w:firstLineChars="500"/>
              <w:rPr>
                <w:bCs/>
                <w:color w:val="000000" w:themeColor="text1"/>
                <w:sz w:val="24"/>
                <w14:textFill>
                  <w14:solidFill>
                    <w14:schemeClr w14:val="tx1"/>
                  </w14:solidFill>
                </w14:textFill>
              </w:rPr>
            </w:pPr>
            <w:r>
              <w:rPr>
                <w:bCs/>
                <w:color w:val="000000" w:themeColor="text1"/>
                <w:position w:val="-12"/>
                <w:sz w:val="24"/>
                <w14:textFill>
                  <w14:solidFill>
                    <w14:schemeClr w14:val="tx1"/>
                  </w14:solidFill>
                </w14:textFill>
              </w:rPr>
              <w:object>
                <v:shape id="_x0000_i1038" o:spt="75" type="#_x0000_t75" style="height:18pt;width:21pt;" o:ole="t" filled="f" o:preferrelative="t" stroked="f" coordsize="21600,21600">
                  <v:path/>
                  <v:fill on="f" focussize="0,0"/>
                  <v:stroke on="f" joinstyle="miter"/>
                  <v:imagedata r:id="rId36" o:title=""/>
                  <o:lock v:ext="edit" aspectratio="t"/>
                  <w10:wrap type="none"/>
                  <w10:anchorlock/>
                </v:shape>
                <o:OLEObject Type="Embed" ProgID="Equation.3" ShapeID="_x0000_i1038" DrawAspect="Content" ObjectID="_1468075738" r:id="rId35">
                  <o:LockedField>false</o:LockedField>
                </o:OLEObject>
              </w:object>
            </w: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障碍物</w:t>
            </w:r>
            <w:r>
              <w:rPr>
                <w:bCs/>
                <w:color w:val="000000" w:themeColor="text1"/>
                <w:sz w:val="24"/>
                <w14:textFill>
                  <w14:solidFill>
                    <w14:schemeClr w14:val="tx1"/>
                  </w14:solidFill>
                </w14:textFill>
              </w:rPr>
              <w:t>屏障引起的衰减，dB；</w:t>
            </w:r>
          </w:p>
          <w:p w14:paraId="63821891">
            <w:pPr>
              <w:adjustRightInd w:val="0"/>
              <w:snapToGrid w:val="0"/>
              <w:spacing w:line="360" w:lineRule="auto"/>
              <w:ind w:firstLine="1200" w:firstLineChars="500"/>
              <w:rPr>
                <w:bCs/>
                <w:color w:val="000000" w:themeColor="text1"/>
                <w:sz w:val="24"/>
                <w14:textFill>
                  <w14:solidFill>
                    <w14:schemeClr w14:val="tx1"/>
                  </w14:solidFill>
                </w14:textFill>
              </w:rPr>
            </w:pPr>
            <w:r>
              <w:rPr>
                <w:bCs/>
                <w:color w:val="000000" w:themeColor="text1"/>
                <w:position w:val="-12"/>
                <w:sz w:val="24"/>
                <w14:textFill>
                  <w14:solidFill>
                    <w14:schemeClr w14:val="tx1"/>
                  </w14:solidFill>
                </w14:textFill>
              </w:rPr>
              <w:object>
                <v:shape id="_x0000_i1039" o:spt="75" type="#_x0000_t75" style="height:18pt;width:24pt;" o:ole="t" filled="f" o:preferrelative="t" stroked="f" coordsize="21600,21600">
                  <v:path/>
                  <v:fill on="f" focussize="0,0"/>
                  <v:stroke on="f" joinstyle="miter"/>
                  <v:imagedata r:id="rId38" o:title=""/>
                  <o:lock v:ext="edit" aspectratio="t"/>
                  <w10:wrap type="none"/>
                  <w10:anchorlock/>
                </v:shape>
                <o:OLEObject Type="Embed" ProgID="Equation.3" ShapeID="_x0000_i1039" DrawAspect="Content" ObjectID="_1468075739" r:id="rId37">
                  <o:LockedField>false</o:LockedField>
                </o:OLEObject>
              </w:object>
            </w:r>
            <w:r>
              <w:rPr>
                <w:bCs/>
                <w:color w:val="000000" w:themeColor="text1"/>
                <w:sz w:val="24"/>
                <w14:textFill>
                  <w14:solidFill>
                    <w14:schemeClr w14:val="tx1"/>
                  </w14:solidFill>
                </w14:textFill>
              </w:rPr>
              <w:t>——其他多方面效应引起的衰减，dB。</w:t>
            </w:r>
          </w:p>
          <w:p w14:paraId="4577D36A">
            <w:pPr>
              <w:adjustRightInd w:val="0"/>
              <w:snapToGrid w:val="0"/>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为保守起见，本次预测仅考虑</w:t>
            </w:r>
            <w:r>
              <w:rPr>
                <w:rFonts w:hint="eastAsia"/>
                <w:bCs/>
                <w:color w:val="000000" w:themeColor="text1"/>
                <w:sz w:val="24"/>
                <w14:textFill>
                  <w14:solidFill>
                    <w14:schemeClr w14:val="tx1"/>
                  </w14:solidFill>
                </w14:textFill>
              </w:rPr>
              <w:t>点声源</w:t>
            </w:r>
            <w:r>
              <w:rPr>
                <w:bCs/>
                <w:color w:val="000000" w:themeColor="text1"/>
                <w:sz w:val="24"/>
                <w14:textFill>
                  <w14:solidFill>
                    <w14:schemeClr w14:val="tx1"/>
                  </w14:solidFill>
                </w14:textFill>
              </w:rPr>
              <w:t>几何发散衰减，</w:t>
            </w:r>
            <w:r>
              <w:rPr>
                <w:rFonts w:hint="eastAsia"/>
                <w:bCs/>
                <w:color w:val="000000" w:themeColor="text1"/>
                <w:sz w:val="24"/>
                <w14:textFill>
                  <w14:solidFill>
                    <w14:schemeClr w14:val="tx1"/>
                  </w14:solidFill>
                </w14:textFill>
              </w:rPr>
              <w:t>无指向性点声源几何发散衰减的基本公式</w:t>
            </w:r>
            <w:r>
              <w:rPr>
                <w:bCs/>
                <w:color w:val="000000" w:themeColor="text1"/>
                <w:sz w:val="24"/>
                <w14:textFill>
                  <w14:solidFill>
                    <w14:schemeClr w14:val="tx1"/>
                  </w14:solidFill>
                </w14:textFill>
              </w:rPr>
              <w:t>如下：</w:t>
            </w:r>
          </w:p>
          <w:p w14:paraId="693459DA">
            <w:pPr>
              <w:adjustRightInd w:val="0"/>
              <w:snapToGrid w:val="0"/>
              <w:spacing w:line="360" w:lineRule="auto"/>
              <w:ind w:left="0" w:leftChars="0" w:firstLine="0" w:firstLineChars="0"/>
              <w:jc w:val="center"/>
              <w:rPr>
                <w:bCs/>
                <w:color w:val="000000" w:themeColor="text1"/>
                <w:sz w:val="24"/>
                <w14:textFill>
                  <w14:solidFill>
                    <w14:schemeClr w14:val="tx1"/>
                  </w14:solidFill>
                </w14:textFill>
              </w:rPr>
            </w:pPr>
            <w:r>
              <w:rPr>
                <w:color w:val="000000" w:themeColor="text1"/>
                <w:sz w:val="24"/>
                <w14:textFill>
                  <w14:solidFill>
                    <w14:schemeClr w14:val="tx1"/>
                  </w14:solidFill>
                </w14:textFill>
              </w:rPr>
              <w:drawing>
                <wp:inline distT="0" distB="0" distL="114300" distR="114300">
                  <wp:extent cx="1961515" cy="539750"/>
                  <wp:effectExtent l="0" t="0" r="635" b="3175"/>
                  <wp:docPr id="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pic:cNvPicPr>
                            <a:picLocks noChangeAspect="1"/>
                          </pic:cNvPicPr>
                        </pic:nvPicPr>
                        <pic:blipFill>
                          <a:blip r:embed="rId39"/>
                          <a:stretch>
                            <a:fillRect/>
                          </a:stretch>
                        </pic:blipFill>
                        <pic:spPr>
                          <a:xfrm>
                            <a:off x="0" y="0"/>
                            <a:ext cx="1961515" cy="539750"/>
                          </a:xfrm>
                          <a:prstGeom prst="rect">
                            <a:avLst/>
                          </a:prstGeom>
                          <a:noFill/>
                          <a:ln>
                            <a:noFill/>
                          </a:ln>
                        </pic:spPr>
                      </pic:pic>
                    </a:graphicData>
                  </a:graphic>
                </wp:inline>
              </w:drawing>
            </w:r>
          </w:p>
          <w:p w14:paraId="21E5227C">
            <w:pPr>
              <w:adjustRightInd w:val="0"/>
              <w:snapToGrid w:val="0"/>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（2）室内声源</w:t>
            </w:r>
          </w:p>
          <w:p w14:paraId="456FCAA8">
            <w:pPr>
              <w:adjustRightInd w:val="0"/>
              <w:snapToGrid w:val="0"/>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对室内噪声源采用等效室外声源声功率级法进行计算。设靠近开口处（或窗户）室内、室外某倍频带的声压级分别为Lp1和Lp2。若声源所在室内声场为近似扩散声场，则室外的倍频带声压级可按下式近似求出：</w:t>
            </w:r>
          </w:p>
          <w:p w14:paraId="3E6DBA70">
            <w:pPr>
              <w:adjustRightInd w:val="0"/>
              <w:snapToGrid w:val="0"/>
              <w:spacing w:line="360" w:lineRule="auto"/>
              <w:ind w:left="0" w:leftChars="0" w:firstLine="0" w:firstLineChars="0"/>
              <w:jc w:val="center"/>
              <w:rPr>
                <w:bCs/>
                <w:color w:val="000000" w:themeColor="text1"/>
                <w:sz w:val="24"/>
                <w14:textFill>
                  <w14:solidFill>
                    <w14:schemeClr w14:val="tx1"/>
                  </w14:solidFill>
                </w14:textFill>
              </w:rPr>
            </w:pPr>
            <w:r>
              <w:rPr>
                <w:color w:val="000000" w:themeColor="text1"/>
                <w:sz w:val="24"/>
                <w14:textFill>
                  <w14:solidFill>
                    <w14:schemeClr w14:val="tx1"/>
                  </w14:solidFill>
                </w14:textFill>
              </w:rPr>
              <w:drawing>
                <wp:inline distT="0" distB="0" distL="114300" distR="114300">
                  <wp:extent cx="1653540" cy="328930"/>
                  <wp:effectExtent l="0" t="0" r="3810" b="4445"/>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3"/>
                          <pic:cNvPicPr>
                            <a:picLocks noChangeAspect="1"/>
                          </pic:cNvPicPr>
                        </pic:nvPicPr>
                        <pic:blipFill>
                          <a:blip r:embed="rId40"/>
                          <a:stretch>
                            <a:fillRect/>
                          </a:stretch>
                        </pic:blipFill>
                        <pic:spPr>
                          <a:xfrm>
                            <a:off x="0" y="0"/>
                            <a:ext cx="1653540" cy="328930"/>
                          </a:xfrm>
                          <a:prstGeom prst="rect">
                            <a:avLst/>
                          </a:prstGeom>
                          <a:noFill/>
                          <a:ln>
                            <a:noFill/>
                          </a:ln>
                        </pic:spPr>
                      </pic:pic>
                    </a:graphicData>
                  </a:graphic>
                </wp:inline>
              </w:drawing>
            </w:r>
          </w:p>
          <w:p w14:paraId="0F37AD96">
            <w:pPr>
              <w:adjustRightInd w:val="0"/>
              <w:snapToGrid w:val="0"/>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式中：TL—隔墙（或窗户）倍频带的隔声量，dB(A)。</w:t>
            </w:r>
          </w:p>
          <w:p w14:paraId="795C7C5D">
            <w:pPr>
              <w:adjustRightInd w:val="0"/>
              <w:snapToGrid w:val="0"/>
              <w:spacing w:line="360" w:lineRule="auto"/>
              <w:ind w:left="0" w:leftChars="0" w:firstLine="0" w:firstLineChars="0"/>
              <w:jc w:val="center"/>
              <w:rPr>
                <w:bCs/>
                <w:color w:val="000000" w:themeColor="text1"/>
                <w:sz w:val="24"/>
                <w14:textFill>
                  <w14:solidFill>
                    <w14:schemeClr w14:val="tx1"/>
                  </w14:solidFill>
                </w14:textFill>
              </w:rPr>
            </w:pPr>
            <w:r>
              <w:rPr>
                <w:color w:val="000000" w:themeColor="text1"/>
                <w:sz w:val="24"/>
                <w14:textFill>
                  <w14:solidFill>
                    <w14:schemeClr w14:val="tx1"/>
                  </w14:solidFill>
                </w14:textFill>
              </w:rPr>
              <w:drawing>
                <wp:inline distT="0" distB="0" distL="114300" distR="114300">
                  <wp:extent cx="3131820" cy="1565910"/>
                  <wp:effectExtent l="0" t="0" r="1905" b="5715"/>
                  <wp:docPr id="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pic:cNvPicPr>
                            <a:picLocks noChangeAspect="1"/>
                          </pic:cNvPicPr>
                        </pic:nvPicPr>
                        <pic:blipFill>
                          <a:blip r:embed="rId41"/>
                          <a:stretch>
                            <a:fillRect/>
                          </a:stretch>
                        </pic:blipFill>
                        <pic:spPr>
                          <a:xfrm>
                            <a:off x="0" y="0"/>
                            <a:ext cx="3131820" cy="1565910"/>
                          </a:xfrm>
                          <a:prstGeom prst="rect">
                            <a:avLst/>
                          </a:prstGeom>
                          <a:noFill/>
                          <a:ln>
                            <a:noFill/>
                          </a:ln>
                        </pic:spPr>
                      </pic:pic>
                    </a:graphicData>
                  </a:graphic>
                </wp:inline>
              </w:drawing>
            </w:r>
          </w:p>
          <w:p w14:paraId="3C2E6DC3">
            <w:pPr>
              <w:adjustRightInd w:val="0"/>
              <w:snapToGrid w:val="0"/>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也可按照下式计算某一室内声源靠近围护结构处产生的倍频带声压级：</w:t>
            </w:r>
          </w:p>
          <w:p w14:paraId="6ECFA660">
            <w:pPr>
              <w:adjustRightInd w:val="0"/>
              <w:snapToGrid w:val="0"/>
              <w:spacing w:line="360" w:lineRule="auto"/>
              <w:ind w:left="0" w:leftChars="0" w:firstLine="0" w:firstLineChars="0"/>
              <w:jc w:val="center"/>
              <w:rPr>
                <w:bCs/>
                <w:color w:val="000000" w:themeColor="text1"/>
                <w:sz w:val="24"/>
                <w14:textFill>
                  <w14:solidFill>
                    <w14:schemeClr w14:val="tx1"/>
                  </w14:solidFill>
                </w14:textFill>
              </w:rPr>
            </w:pPr>
            <w:r>
              <w:rPr>
                <w:color w:val="000000" w:themeColor="text1"/>
                <w:sz w:val="24"/>
                <w14:textFill>
                  <w14:solidFill>
                    <w14:schemeClr w14:val="tx1"/>
                  </w14:solidFill>
                </w14:textFill>
              </w:rPr>
              <w:drawing>
                <wp:inline distT="0" distB="0" distL="114300" distR="114300">
                  <wp:extent cx="1934845" cy="495300"/>
                  <wp:effectExtent l="0" t="0" r="8255" b="0"/>
                  <wp:docPr id="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5"/>
                          <pic:cNvPicPr>
                            <a:picLocks noChangeAspect="1"/>
                          </pic:cNvPicPr>
                        </pic:nvPicPr>
                        <pic:blipFill>
                          <a:blip r:embed="rId42"/>
                          <a:stretch>
                            <a:fillRect/>
                          </a:stretch>
                        </pic:blipFill>
                        <pic:spPr>
                          <a:xfrm>
                            <a:off x="0" y="0"/>
                            <a:ext cx="1934845" cy="495300"/>
                          </a:xfrm>
                          <a:prstGeom prst="rect">
                            <a:avLst/>
                          </a:prstGeom>
                          <a:noFill/>
                          <a:ln>
                            <a:noFill/>
                          </a:ln>
                        </pic:spPr>
                      </pic:pic>
                    </a:graphicData>
                  </a:graphic>
                </wp:inline>
              </w:drawing>
            </w:r>
          </w:p>
          <w:p w14:paraId="323A7EE2">
            <w:pPr>
              <w:adjustRightInd w:val="0"/>
              <w:snapToGrid w:val="0"/>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式中：Q——指向性因数；通常对无指向性声源，当声源放在房间中心时，Q=1；当入在一面墙的中心时，Q=2；当放在两面墙夹角处时，Q=4；当放在三面墙夹角处时，Q=8；</w:t>
            </w:r>
          </w:p>
          <w:p w14:paraId="7EDEDE15">
            <w:pPr>
              <w:adjustRightInd w:val="0"/>
              <w:snapToGrid w:val="0"/>
              <w:spacing w:line="360" w:lineRule="auto"/>
              <w:ind w:firstLine="1200" w:firstLineChars="5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R——房间常数；R=Sα/(1−α)，S为房间内表面面积，m</w:t>
            </w:r>
            <w:r>
              <w:rPr>
                <w:bCs/>
                <w:color w:val="000000" w:themeColor="text1"/>
                <w:sz w:val="24"/>
                <w:vertAlign w:val="superscript"/>
                <w14:textFill>
                  <w14:solidFill>
                    <w14:schemeClr w14:val="tx1"/>
                  </w14:solidFill>
                </w14:textFill>
              </w:rPr>
              <w:t>2</w:t>
            </w:r>
            <w:r>
              <w:rPr>
                <w:bCs/>
                <w:color w:val="000000" w:themeColor="text1"/>
                <w:sz w:val="24"/>
                <w14:textFill>
                  <w14:solidFill>
                    <w14:schemeClr w14:val="tx1"/>
                  </w14:solidFill>
                </w14:textFill>
              </w:rPr>
              <w:t>；α为平均吸声系数；</w:t>
            </w:r>
          </w:p>
          <w:p w14:paraId="215E78DD">
            <w:pPr>
              <w:adjustRightInd w:val="0"/>
              <w:snapToGrid w:val="0"/>
              <w:spacing w:line="360" w:lineRule="auto"/>
              <w:ind w:firstLine="1200" w:firstLineChars="5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r——声源到靠近围护结构某点处的距离，m。</w:t>
            </w:r>
          </w:p>
          <w:p w14:paraId="35AC7C58">
            <w:pPr>
              <w:adjustRightInd w:val="0"/>
              <w:snapToGrid w:val="0"/>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所有室内声源在围护结构处产生的i倍频带叠加声压级的计算：</w:t>
            </w:r>
          </w:p>
          <w:p w14:paraId="28149220">
            <w:pPr>
              <w:adjustRightInd w:val="0"/>
              <w:snapToGrid w:val="0"/>
              <w:spacing w:line="360" w:lineRule="auto"/>
              <w:ind w:left="0" w:leftChars="0" w:firstLine="0" w:firstLineChars="0"/>
              <w:jc w:val="center"/>
              <w:rPr>
                <w:bCs/>
                <w:color w:val="000000" w:themeColor="text1"/>
                <w:sz w:val="24"/>
                <w14:textFill>
                  <w14:solidFill>
                    <w14:schemeClr w14:val="tx1"/>
                  </w14:solidFill>
                </w14:textFill>
              </w:rPr>
            </w:pPr>
            <w:r>
              <w:rPr>
                <w:color w:val="000000" w:themeColor="text1"/>
                <w:sz w:val="24"/>
                <w14:textFill>
                  <w14:solidFill>
                    <w14:schemeClr w14:val="tx1"/>
                  </w14:solidFill>
                </w14:textFill>
              </w:rPr>
              <w:drawing>
                <wp:inline distT="0" distB="0" distL="114300" distR="114300">
                  <wp:extent cx="1835785" cy="518160"/>
                  <wp:effectExtent l="0" t="0" r="2540" b="5715"/>
                  <wp:docPr id="2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6"/>
                          <pic:cNvPicPr>
                            <a:picLocks noChangeAspect="1"/>
                          </pic:cNvPicPr>
                        </pic:nvPicPr>
                        <pic:blipFill>
                          <a:blip r:embed="rId43"/>
                          <a:stretch>
                            <a:fillRect/>
                          </a:stretch>
                        </pic:blipFill>
                        <pic:spPr>
                          <a:xfrm>
                            <a:off x="0" y="0"/>
                            <a:ext cx="1835785" cy="518160"/>
                          </a:xfrm>
                          <a:prstGeom prst="rect">
                            <a:avLst/>
                          </a:prstGeom>
                          <a:noFill/>
                          <a:ln>
                            <a:noFill/>
                          </a:ln>
                        </pic:spPr>
                      </pic:pic>
                    </a:graphicData>
                  </a:graphic>
                </wp:inline>
              </w:drawing>
            </w:r>
          </w:p>
          <w:p w14:paraId="585D1D02">
            <w:pPr>
              <w:adjustRightInd w:val="0"/>
              <w:snapToGrid w:val="0"/>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式中：LP1,i（T）——靠近围护结构处室内N个声源i倍频带的叠加声压级，dB；</w:t>
            </w:r>
          </w:p>
          <w:p w14:paraId="65EECF14">
            <w:pPr>
              <w:adjustRightInd w:val="0"/>
              <w:snapToGrid w:val="0"/>
              <w:spacing w:line="360" w:lineRule="auto"/>
              <w:ind w:firstLine="1200" w:firstLineChars="5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LP1,j——室内j声源i倍频带的声压级，dB；</w:t>
            </w:r>
          </w:p>
          <w:p w14:paraId="5021FAE4">
            <w:pPr>
              <w:adjustRightInd w:val="0"/>
              <w:snapToGrid w:val="0"/>
              <w:spacing w:line="360" w:lineRule="auto"/>
              <w:ind w:firstLine="1200" w:firstLineChars="5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N——室内声源总数；</w:t>
            </w:r>
          </w:p>
          <w:p w14:paraId="4BC0E126">
            <w:pPr>
              <w:adjustRightInd w:val="0"/>
              <w:snapToGrid w:val="0"/>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在室内近似为扩散声场时，按下式计算出靠近室外围护结构处的声压级：</w:t>
            </w:r>
          </w:p>
          <w:p w14:paraId="08E12F23">
            <w:pPr>
              <w:adjustRightInd w:val="0"/>
              <w:snapToGrid w:val="0"/>
              <w:spacing w:line="360" w:lineRule="auto"/>
              <w:ind w:left="0" w:leftChars="0" w:firstLine="0" w:firstLineChars="0"/>
              <w:jc w:val="center"/>
              <w:rPr>
                <w:bCs/>
                <w:color w:val="000000" w:themeColor="text1"/>
                <w:sz w:val="24"/>
                <w14:textFill>
                  <w14:solidFill>
                    <w14:schemeClr w14:val="tx1"/>
                  </w14:solidFill>
                </w14:textFill>
              </w:rPr>
            </w:pPr>
            <w:r>
              <w:rPr>
                <w:color w:val="000000" w:themeColor="text1"/>
                <w:sz w:val="24"/>
                <w14:textFill>
                  <w14:solidFill>
                    <w14:schemeClr w14:val="tx1"/>
                  </w14:solidFill>
                </w14:textFill>
              </w:rPr>
              <w:drawing>
                <wp:inline distT="0" distB="0" distL="114300" distR="114300">
                  <wp:extent cx="2029460" cy="321310"/>
                  <wp:effectExtent l="0" t="0" r="8890" b="2540"/>
                  <wp:docPr id="2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7"/>
                          <pic:cNvPicPr>
                            <a:picLocks noChangeAspect="1"/>
                          </pic:cNvPicPr>
                        </pic:nvPicPr>
                        <pic:blipFill>
                          <a:blip r:embed="rId44"/>
                          <a:stretch>
                            <a:fillRect/>
                          </a:stretch>
                        </pic:blipFill>
                        <pic:spPr>
                          <a:xfrm>
                            <a:off x="0" y="0"/>
                            <a:ext cx="2029460" cy="321310"/>
                          </a:xfrm>
                          <a:prstGeom prst="rect">
                            <a:avLst/>
                          </a:prstGeom>
                          <a:noFill/>
                          <a:ln>
                            <a:noFill/>
                          </a:ln>
                        </pic:spPr>
                      </pic:pic>
                    </a:graphicData>
                  </a:graphic>
                </wp:inline>
              </w:drawing>
            </w:r>
          </w:p>
          <w:p w14:paraId="7F6F46CB">
            <w:pPr>
              <w:adjustRightInd w:val="0"/>
              <w:snapToGrid w:val="0"/>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式中：LP2,i（T）——靠近围护结构处室外N个声源i倍频带的叠加声压级，dB；</w:t>
            </w:r>
          </w:p>
          <w:p w14:paraId="626E3AA4">
            <w:pPr>
              <w:adjustRightInd w:val="0"/>
              <w:snapToGrid w:val="0"/>
              <w:spacing w:line="360" w:lineRule="auto"/>
              <w:ind w:firstLine="1200" w:firstLineChars="5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TLi——围护结构i倍频带的隔声量，dB；</w:t>
            </w:r>
          </w:p>
          <w:p w14:paraId="2B9363C8">
            <w:pPr>
              <w:adjustRightInd w:val="0"/>
              <w:snapToGrid w:val="0"/>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将室外声源的声压级和透过面积换算成等效的室外声源，计算出中心位置于透声面积（S）处的等效声源的倍频带声功率级，见下式：</w:t>
            </w:r>
          </w:p>
          <w:p w14:paraId="0AFFB9F3">
            <w:pPr>
              <w:adjustRightInd w:val="0"/>
              <w:snapToGrid w:val="0"/>
              <w:spacing w:line="360" w:lineRule="auto"/>
              <w:ind w:left="0" w:leftChars="0" w:firstLine="0" w:firstLineChars="0"/>
              <w:jc w:val="center"/>
              <w:rPr>
                <w:bCs/>
                <w:color w:val="000000" w:themeColor="text1"/>
                <w:sz w:val="24"/>
                <w14:textFill>
                  <w14:solidFill>
                    <w14:schemeClr w14:val="tx1"/>
                  </w14:solidFill>
                </w14:textFill>
              </w:rPr>
            </w:pPr>
            <w:r>
              <w:rPr>
                <w:color w:val="000000" w:themeColor="text1"/>
                <w:sz w:val="24"/>
                <w14:textFill>
                  <w14:solidFill>
                    <w14:schemeClr w14:val="tx1"/>
                  </w14:solidFill>
                </w14:textFill>
              </w:rPr>
              <w:drawing>
                <wp:inline distT="0" distB="0" distL="114300" distR="114300">
                  <wp:extent cx="1623695" cy="257175"/>
                  <wp:effectExtent l="0" t="0" r="5080" b="0"/>
                  <wp:docPr id="2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8"/>
                          <pic:cNvPicPr>
                            <a:picLocks noChangeAspect="1"/>
                          </pic:cNvPicPr>
                        </pic:nvPicPr>
                        <pic:blipFill>
                          <a:blip r:embed="rId45"/>
                          <a:stretch>
                            <a:fillRect/>
                          </a:stretch>
                        </pic:blipFill>
                        <pic:spPr>
                          <a:xfrm>
                            <a:off x="0" y="0"/>
                            <a:ext cx="1623695" cy="257175"/>
                          </a:xfrm>
                          <a:prstGeom prst="rect">
                            <a:avLst/>
                          </a:prstGeom>
                          <a:noFill/>
                          <a:ln>
                            <a:noFill/>
                          </a:ln>
                        </pic:spPr>
                      </pic:pic>
                    </a:graphicData>
                  </a:graphic>
                </wp:inline>
              </w:drawing>
            </w:r>
          </w:p>
          <w:p w14:paraId="1059FB66">
            <w:pPr>
              <w:adjustRightInd w:val="0"/>
              <w:snapToGrid w:val="0"/>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然后按室外声源预测方法计算预测点处的A声级。</w:t>
            </w:r>
          </w:p>
          <w:p w14:paraId="0D288B2E">
            <w:pPr>
              <w:adjustRightInd w:val="0"/>
              <w:snapToGrid w:val="0"/>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（3）计算总声压级</w:t>
            </w:r>
          </w:p>
          <w:p w14:paraId="7171EE98">
            <w:pPr>
              <w:adjustRightInd w:val="0"/>
              <w:snapToGrid w:val="0"/>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①多声源声压级的叠加</w:t>
            </w:r>
          </w:p>
          <w:p w14:paraId="23EB6E33">
            <w:pPr>
              <w:adjustRightInd w:val="0"/>
              <w:snapToGrid w:val="0"/>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对两个以上多个声源同时存在时，多点源叠加计算总源强，采用如下公式：</w:t>
            </w:r>
          </w:p>
          <w:p w14:paraId="5AC7EAF7">
            <w:pPr>
              <w:adjustRightInd w:val="0"/>
              <w:snapToGrid w:val="0"/>
              <w:spacing w:line="360" w:lineRule="auto"/>
              <w:ind w:firstLine="480" w:firstLineChars="200"/>
              <w:jc w:val="center"/>
              <w:rPr>
                <w:bCs/>
                <w:color w:val="000000" w:themeColor="text1"/>
                <w:sz w:val="24"/>
                <w14:textFill>
                  <w14:solidFill>
                    <w14:schemeClr w14:val="tx1"/>
                  </w14:solidFill>
                </w14:textFill>
              </w:rPr>
            </w:pPr>
            <w:r>
              <w:rPr>
                <w:color w:val="000000" w:themeColor="text1"/>
                <w:sz w:val="24"/>
                <w14:textFill>
                  <w14:solidFill>
                    <w14:schemeClr w14:val="tx1"/>
                  </w14:solidFill>
                </w14:textFill>
              </w:rPr>
              <w:drawing>
                <wp:inline distT="0" distB="0" distL="114300" distR="114300">
                  <wp:extent cx="2465705" cy="454660"/>
                  <wp:effectExtent l="0" t="0" r="1270" b="254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46"/>
                          <a:stretch>
                            <a:fillRect/>
                          </a:stretch>
                        </pic:blipFill>
                        <pic:spPr>
                          <a:xfrm>
                            <a:off x="0" y="0"/>
                            <a:ext cx="2465705" cy="454660"/>
                          </a:xfrm>
                          <a:prstGeom prst="rect">
                            <a:avLst/>
                          </a:prstGeom>
                          <a:noFill/>
                          <a:ln>
                            <a:noFill/>
                          </a:ln>
                        </pic:spPr>
                      </pic:pic>
                    </a:graphicData>
                  </a:graphic>
                </wp:inline>
              </w:drawing>
            </w:r>
          </w:p>
          <w:p w14:paraId="38415966">
            <w:pPr>
              <w:adjustRightInd w:val="0"/>
              <w:snapToGrid w:val="0"/>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式中：Leqg——建设项目声源在预测点的等效声级贡献值，dB(A)；</w:t>
            </w:r>
          </w:p>
          <w:p w14:paraId="69726437">
            <w:pPr>
              <w:adjustRightInd w:val="0"/>
              <w:snapToGrid w:val="0"/>
              <w:spacing w:line="360" w:lineRule="auto"/>
              <w:ind w:firstLine="1200" w:firstLineChars="5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LAi——第i个室外声源在预测点产生的A声级，dB(A)；</w:t>
            </w:r>
          </w:p>
          <w:p w14:paraId="5864AE18">
            <w:pPr>
              <w:adjustRightInd w:val="0"/>
              <w:snapToGrid w:val="0"/>
              <w:spacing w:line="360" w:lineRule="auto"/>
              <w:ind w:firstLine="1200" w:firstLineChars="5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LAj——第j个等效室外声源在预测点产生的A声级，dB(A)；</w:t>
            </w:r>
          </w:p>
          <w:p w14:paraId="6FF2F150">
            <w:pPr>
              <w:adjustRightInd w:val="0"/>
              <w:snapToGrid w:val="0"/>
              <w:spacing w:line="360" w:lineRule="auto"/>
              <w:ind w:firstLine="1200" w:firstLineChars="5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tj——在T时间内j声源工作时间，S；</w:t>
            </w:r>
          </w:p>
          <w:p w14:paraId="1A247C2E">
            <w:pPr>
              <w:adjustRightInd w:val="0"/>
              <w:snapToGrid w:val="0"/>
              <w:spacing w:line="360" w:lineRule="auto"/>
              <w:ind w:firstLine="1200" w:firstLineChars="5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ti——在T时间内i声源工作时间，S；</w:t>
            </w:r>
          </w:p>
          <w:p w14:paraId="7E39E9CB">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T——用于计算等效声级的时间，S；</w:t>
            </w:r>
          </w:p>
          <w:p w14:paraId="22C9FC68">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N——室外声源个数；</w:t>
            </w:r>
          </w:p>
          <w:p w14:paraId="725C10A9">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M——等效室外声源个数。</w:t>
            </w:r>
          </w:p>
          <w:p w14:paraId="734A6D25">
            <w:pPr>
              <w:adjustRightInd w:val="0"/>
              <w:snapToGrid w:val="0"/>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②预测点的噪声预测值</w:t>
            </w:r>
          </w:p>
          <w:p w14:paraId="154422AA">
            <w:pPr>
              <w:adjustRightInd w:val="0"/>
              <w:snapToGrid w:val="0"/>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为预测项目噪声源对周围声环境的影响情况，首先预测噪声源随距离的衰减，然后将噪声源产生的噪声值与区域噪声背景值叠加，即可以预测不同距离的噪声值。叠加公式为：</w:t>
            </w:r>
          </w:p>
          <w:p w14:paraId="63B03CDD">
            <w:pPr>
              <w:adjustRightInd w:val="0"/>
              <w:snapToGrid w:val="0"/>
              <w:spacing w:line="360" w:lineRule="auto"/>
              <w:ind w:firstLine="480" w:firstLineChars="200"/>
              <w:jc w:val="center"/>
              <w:rPr>
                <w:bCs/>
                <w:color w:val="000000" w:themeColor="text1"/>
                <w:sz w:val="24"/>
                <w14:textFill>
                  <w14:solidFill>
                    <w14:schemeClr w14:val="tx1"/>
                  </w14:solidFill>
                </w14:textFill>
              </w:rPr>
            </w:pPr>
            <w:r>
              <w:rPr>
                <w:color w:val="000000" w:themeColor="text1"/>
                <w:sz w:val="24"/>
                <w14:textFill>
                  <w14:solidFill>
                    <w14:schemeClr w14:val="tx1"/>
                  </w14:solidFill>
                </w14:textFill>
              </w:rPr>
              <w:drawing>
                <wp:inline distT="0" distB="0" distL="114300" distR="114300">
                  <wp:extent cx="2040890" cy="364490"/>
                  <wp:effectExtent l="0" t="0" r="6985" b="6985"/>
                  <wp:docPr id="2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0"/>
                          <pic:cNvPicPr>
                            <a:picLocks noChangeAspect="1"/>
                          </pic:cNvPicPr>
                        </pic:nvPicPr>
                        <pic:blipFill>
                          <a:blip r:embed="rId47"/>
                          <a:stretch>
                            <a:fillRect/>
                          </a:stretch>
                        </pic:blipFill>
                        <pic:spPr>
                          <a:xfrm>
                            <a:off x="0" y="0"/>
                            <a:ext cx="2040890" cy="364490"/>
                          </a:xfrm>
                          <a:prstGeom prst="rect">
                            <a:avLst/>
                          </a:prstGeom>
                          <a:noFill/>
                          <a:ln>
                            <a:noFill/>
                          </a:ln>
                        </pic:spPr>
                      </pic:pic>
                    </a:graphicData>
                  </a:graphic>
                </wp:inline>
              </w:drawing>
            </w:r>
          </w:p>
          <w:p w14:paraId="251E3135">
            <w:pPr>
              <w:adjustRightInd w:val="0"/>
              <w:snapToGrid w:val="0"/>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式中：Leq——预测等效声级，dB(A)；</w:t>
            </w:r>
          </w:p>
          <w:p w14:paraId="20AE91AE">
            <w:pPr>
              <w:adjustRightInd w:val="0"/>
              <w:snapToGrid w:val="0"/>
              <w:spacing w:line="360" w:lineRule="auto"/>
              <w:ind w:firstLine="1200" w:firstLineChars="5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Leqg——建设项目声源在预测点的等效声级贡献值，dB(A)；</w:t>
            </w:r>
          </w:p>
          <w:p w14:paraId="78DF651C">
            <w:pPr>
              <w:adjustRightInd w:val="0"/>
              <w:snapToGrid w:val="0"/>
              <w:spacing w:line="360" w:lineRule="auto"/>
              <w:ind w:firstLine="1200" w:firstLineChars="5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Leqb——预测点的背景值，dB(A)。</w:t>
            </w:r>
          </w:p>
          <w:p w14:paraId="5E92BB59">
            <w:pPr>
              <w:adjustRightInd w:val="0"/>
              <w:snapToGrid w:val="0"/>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（4）预测结果</w:t>
            </w:r>
          </w:p>
          <w:p w14:paraId="48819BAF">
            <w:pPr>
              <w:adjustRightInd w:val="0"/>
              <w:snapToGrid w:val="0"/>
              <w:spacing w:line="360" w:lineRule="auto"/>
              <w:ind w:firstLine="480" w:firstLineChars="200"/>
              <w:rPr>
                <w:b/>
                <w:color w:val="000000" w:themeColor="text1"/>
                <w:sz w:val="24"/>
                <w14:textFill>
                  <w14:solidFill>
                    <w14:schemeClr w14:val="tx1"/>
                  </w14:solidFill>
                </w14:textFill>
              </w:rPr>
            </w:pPr>
            <w:r>
              <w:rPr>
                <w:bCs/>
                <w:color w:val="000000" w:themeColor="text1"/>
                <w:sz w:val="24"/>
                <w14:textFill>
                  <w14:solidFill>
                    <w14:schemeClr w14:val="tx1"/>
                  </w14:solidFill>
                </w14:textFill>
              </w:rPr>
              <w:t>项目噪声预测结果见</w:t>
            </w:r>
            <w:r>
              <w:rPr>
                <w:rFonts w:hint="eastAsia"/>
                <w:bCs/>
                <w:color w:val="000000" w:themeColor="text1"/>
                <w:sz w:val="24"/>
                <w14:textFill>
                  <w14:solidFill>
                    <w14:schemeClr w14:val="tx1"/>
                  </w14:solidFill>
                </w14:textFill>
              </w:rPr>
              <w:t>下</w:t>
            </w:r>
            <w:r>
              <w:rPr>
                <w:bCs/>
                <w:color w:val="000000" w:themeColor="text1"/>
                <w:sz w:val="24"/>
                <w14:textFill>
                  <w14:solidFill>
                    <w14:schemeClr w14:val="tx1"/>
                  </w14:solidFill>
                </w14:textFill>
              </w:rPr>
              <w:t>表。</w:t>
            </w:r>
          </w:p>
          <w:p w14:paraId="614F5B7B">
            <w:pPr>
              <w:pStyle w:val="12"/>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b/>
                <w:bCs/>
                <w:color w:val="000000" w:themeColor="text1"/>
                <w:sz w:val="24"/>
                <w:szCs w:val="24"/>
                <w14:textFill>
                  <w14:solidFill>
                    <w14:schemeClr w14:val="tx1"/>
                  </w14:solidFill>
                </w14:textFill>
              </w:rPr>
            </w:pPr>
            <w:r>
              <w:rPr>
                <w:b/>
                <w:bCs/>
                <w:color w:val="000000" w:themeColor="text1"/>
                <w:sz w:val="24"/>
                <w:szCs w:val="24"/>
                <w:lang w:bidi="ar"/>
                <w14:textFill>
                  <w14:solidFill>
                    <w14:schemeClr w14:val="tx1"/>
                  </w14:solidFill>
                </w14:textFill>
              </w:rPr>
              <w:t>表</w:t>
            </w:r>
            <w:r>
              <w:rPr>
                <w:rFonts w:hint="eastAsia"/>
                <w:b/>
                <w:bCs/>
                <w:color w:val="000000" w:themeColor="text1"/>
                <w:sz w:val="24"/>
                <w:szCs w:val="24"/>
                <w:lang w:bidi="ar"/>
                <w14:textFill>
                  <w14:solidFill>
                    <w14:schemeClr w14:val="tx1"/>
                  </w14:solidFill>
                </w14:textFill>
              </w:rPr>
              <w:t>4-</w:t>
            </w:r>
            <w:r>
              <w:rPr>
                <w:rFonts w:hint="eastAsia"/>
                <w:b/>
                <w:bCs/>
                <w:color w:val="000000" w:themeColor="text1"/>
                <w:sz w:val="24"/>
                <w:szCs w:val="24"/>
                <w:lang w:val="en-US" w:eastAsia="zh-CN" w:bidi="ar"/>
                <w14:textFill>
                  <w14:solidFill>
                    <w14:schemeClr w14:val="tx1"/>
                  </w14:solidFill>
                </w14:textFill>
              </w:rPr>
              <w:t>18</w:t>
            </w:r>
            <w:r>
              <w:rPr>
                <w:b/>
                <w:bCs/>
                <w:color w:val="000000" w:themeColor="text1"/>
                <w:sz w:val="24"/>
                <w:szCs w:val="24"/>
                <w:lang w:bidi="ar"/>
                <w14:textFill>
                  <w14:solidFill>
                    <w14:schemeClr w14:val="tx1"/>
                  </w14:solidFill>
                </w14:textFill>
              </w:rPr>
              <w:t xml:space="preserve"> 环境噪声预测结果一览表  单位dB（A）</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1381"/>
              <w:gridCol w:w="1247"/>
              <w:gridCol w:w="1115"/>
              <w:gridCol w:w="1179"/>
              <w:gridCol w:w="1853"/>
            </w:tblGrid>
            <w:tr w14:paraId="505E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Merge w:val="restart"/>
                  <w:vAlign w:val="center"/>
                </w:tcPr>
                <w:p w14:paraId="2DA215D1">
                  <w:pPr>
                    <w:jc w:val="center"/>
                    <w:rPr>
                      <w:color w:val="000000" w:themeColor="text1"/>
                      <w:szCs w:val="21"/>
                      <w14:textFill>
                        <w14:solidFill>
                          <w14:schemeClr w14:val="tx1"/>
                        </w14:solidFill>
                      </w14:textFill>
                    </w:rPr>
                  </w:pPr>
                  <w:r>
                    <w:rPr>
                      <w:b/>
                      <w:bCs/>
                      <w:color w:val="000000" w:themeColor="text1"/>
                      <w:kern w:val="0"/>
                      <w:szCs w:val="21"/>
                      <w:lang w:bidi="ar"/>
                      <w14:textFill>
                        <w14:solidFill>
                          <w14:schemeClr w14:val="tx1"/>
                        </w14:solidFill>
                      </w14:textFill>
                    </w:rPr>
                    <w:t>预测点</w:t>
                  </w:r>
                </w:p>
              </w:tc>
              <w:tc>
                <w:tcPr>
                  <w:tcW w:w="1551" w:type="pct"/>
                  <w:gridSpan w:val="2"/>
                  <w:vAlign w:val="center"/>
                </w:tcPr>
                <w:p w14:paraId="1D3A856E">
                  <w:pPr>
                    <w:jc w:val="center"/>
                    <w:rPr>
                      <w:b/>
                      <w:bCs/>
                      <w:color w:val="000000" w:themeColor="text1"/>
                      <w:kern w:val="0"/>
                      <w:szCs w:val="21"/>
                      <w:lang w:bidi="ar"/>
                      <w14:textFill>
                        <w14:solidFill>
                          <w14:schemeClr w14:val="tx1"/>
                        </w14:solidFill>
                      </w14:textFill>
                    </w:rPr>
                  </w:pPr>
                  <w:r>
                    <w:rPr>
                      <w:rFonts w:hint="eastAsia"/>
                      <w:b/>
                      <w:bCs/>
                      <w:color w:val="000000" w:themeColor="text1"/>
                      <w:kern w:val="0"/>
                      <w:szCs w:val="21"/>
                      <w:lang w:val="en-US" w:eastAsia="zh-CN" w:bidi="ar"/>
                      <w14:textFill>
                        <w14:solidFill>
                          <w14:schemeClr w14:val="tx1"/>
                        </w14:solidFill>
                      </w14:textFill>
                    </w:rPr>
                    <w:t>贡献</w:t>
                  </w:r>
                  <w:r>
                    <w:rPr>
                      <w:b/>
                      <w:bCs/>
                      <w:color w:val="000000" w:themeColor="text1"/>
                      <w:kern w:val="0"/>
                      <w:szCs w:val="21"/>
                      <w:lang w:bidi="ar"/>
                      <w14:textFill>
                        <w14:solidFill>
                          <w14:schemeClr w14:val="tx1"/>
                        </w14:solidFill>
                      </w14:textFill>
                    </w:rPr>
                    <w:t>值</w:t>
                  </w:r>
                </w:p>
              </w:tc>
              <w:tc>
                <w:tcPr>
                  <w:tcW w:w="1354" w:type="pct"/>
                  <w:gridSpan w:val="2"/>
                  <w:vAlign w:val="center"/>
                </w:tcPr>
                <w:p w14:paraId="2D51AC15">
                  <w:pPr>
                    <w:jc w:val="center"/>
                    <w:rPr>
                      <w:b/>
                      <w:bCs/>
                      <w:color w:val="000000" w:themeColor="text1"/>
                      <w:kern w:val="0"/>
                      <w:szCs w:val="21"/>
                      <w:lang w:bidi="ar"/>
                      <w14:textFill>
                        <w14:solidFill>
                          <w14:schemeClr w14:val="tx1"/>
                        </w14:solidFill>
                      </w14:textFill>
                    </w:rPr>
                  </w:pPr>
                  <w:r>
                    <w:rPr>
                      <w:b/>
                      <w:bCs/>
                      <w:color w:val="000000" w:themeColor="text1"/>
                      <w:kern w:val="0"/>
                      <w:szCs w:val="21"/>
                      <w:lang w:bidi="ar"/>
                      <w14:textFill>
                        <w14:solidFill>
                          <w14:schemeClr w14:val="tx1"/>
                        </w14:solidFill>
                      </w14:textFill>
                    </w:rPr>
                    <w:t>标准值</w:t>
                  </w:r>
                </w:p>
              </w:tc>
              <w:tc>
                <w:tcPr>
                  <w:tcW w:w="1094" w:type="pct"/>
                  <w:vMerge w:val="restart"/>
                  <w:vAlign w:val="center"/>
                </w:tcPr>
                <w:p w14:paraId="7E0A59EE">
                  <w:pPr>
                    <w:jc w:val="center"/>
                    <w:rPr>
                      <w:b/>
                      <w:bCs/>
                      <w:color w:val="000000" w:themeColor="text1"/>
                      <w:kern w:val="0"/>
                      <w:szCs w:val="21"/>
                      <w:lang w:bidi="ar"/>
                      <w14:textFill>
                        <w14:solidFill>
                          <w14:schemeClr w14:val="tx1"/>
                        </w14:solidFill>
                      </w14:textFill>
                    </w:rPr>
                  </w:pPr>
                  <w:r>
                    <w:rPr>
                      <w:b/>
                      <w:bCs/>
                      <w:color w:val="000000" w:themeColor="text1"/>
                      <w:kern w:val="0"/>
                      <w:szCs w:val="21"/>
                      <w:lang w:bidi="ar"/>
                      <w14:textFill>
                        <w14:solidFill>
                          <w14:schemeClr w14:val="tx1"/>
                        </w14:solidFill>
                      </w14:textFill>
                    </w:rPr>
                    <w:t>达标情况</w:t>
                  </w:r>
                </w:p>
              </w:tc>
            </w:tr>
            <w:tr w14:paraId="6F7D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Merge w:val="continue"/>
                  <w:vAlign w:val="center"/>
                </w:tcPr>
                <w:p w14:paraId="132D5007">
                  <w:pPr>
                    <w:jc w:val="center"/>
                    <w:rPr>
                      <w:color w:val="000000" w:themeColor="text1"/>
                      <w:szCs w:val="21"/>
                      <w14:textFill>
                        <w14:solidFill>
                          <w14:schemeClr w14:val="tx1"/>
                        </w14:solidFill>
                      </w14:textFill>
                    </w:rPr>
                  </w:pPr>
                </w:p>
              </w:tc>
              <w:tc>
                <w:tcPr>
                  <w:tcW w:w="815" w:type="pct"/>
                  <w:vAlign w:val="center"/>
                </w:tcPr>
                <w:p w14:paraId="2CD6A38B">
                  <w:pPr>
                    <w:jc w:val="center"/>
                    <w:rPr>
                      <w:color w:val="000000" w:themeColor="text1"/>
                      <w:szCs w:val="21"/>
                      <w14:textFill>
                        <w14:solidFill>
                          <w14:schemeClr w14:val="tx1"/>
                        </w14:solidFill>
                      </w14:textFill>
                    </w:rPr>
                  </w:pPr>
                  <w:r>
                    <w:rPr>
                      <w:b/>
                      <w:bCs/>
                      <w:color w:val="000000" w:themeColor="text1"/>
                      <w:kern w:val="0"/>
                      <w:szCs w:val="21"/>
                      <w:lang w:bidi="ar"/>
                      <w14:textFill>
                        <w14:solidFill>
                          <w14:schemeClr w14:val="tx1"/>
                        </w14:solidFill>
                      </w14:textFill>
                    </w:rPr>
                    <w:t>昼间</w:t>
                  </w:r>
                </w:p>
              </w:tc>
              <w:tc>
                <w:tcPr>
                  <w:tcW w:w="736" w:type="pct"/>
                  <w:vAlign w:val="center"/>
                </w:tcPr>
                <w:p w14:paraId="2EA058F1">
                  <w:pPr>
                    <w:jc w:val="center"/>
                    <w:rPr>
                      <w:color w:val="000000" w:themeColor="text1"/>
                      <w:szCs w:val="21"/>
                      <w14:textFill>
                        <w14:solidFill>
                          <w14:schemeClr w14:val="tx1"/>
                        </w14:solidFill>
                      </w14:textFill>
                    </w:rPr>
                  </w:pPr>
                  <w:r>
                    <w:rPr>
                      <w:b/>
                      <w:bCs/>
                      <w:color w:val="000000" w:themeColor="text1"/>
                      <w:kern w:val="0"/>
                      <w:szCs w:val="21"/>
                      <w:lang w:bidi="ar"/>
                      <w14:textFill>
                        <w14:solidFill>
                          <w14:schemeClr w14:val="tx1"/>
                        </w14:solidFill>
                      </w14:textFill>
                    </w:rPr>
                    <w:t>夜间</w:t>
                  </w:r>
                </w:p>
              </w:tc>
              <w:tc>
                <w:tcPr>
                  <w:tcW w:w="658" w:type="pct"/>
                  <w:vAlign w:val="center"/>
                </w:tcPr>
                <w:p w14:paraId="14BD721C">
                  <w:pPr>
                    <w:jc w:val="center"/>
                    <w:rPr>
                      <w:color w:val="000000" w:themeColor="text1"/>
                      <w:szCs w:val="21"/>
                      <w14:textFill>
                        <w14:solidFill>
                          <w14:schemeClr w14:val="tx1"/>
                        </w14:solidFill>
                      </w14:textFill>
                    </w:rPr>
                  </w:pPr>
                  <w:r>
                    <w:rPr>
                      <w:b/>
                      <w:bCs/>
                      <w:color w:val="000000" w:themeColor="text1"/>
                      <w:kern w:val="0"/>
                      <w:szCs w:val="21"/>
                      <w:lang w:bidi="ar"/>
                      <w14:textFill>
                        <w14:solidFill>
                          <w14:schemeClr w14:val="tx1"/>
                        </w14:solidFill>
                      </w14:textFill>
                    </w:rPr>
                    <w:t>昼间</w:t>
                  </w:r>
                </w:p>
              </w:tc>
              <w:tc>
                <w:tcPr>
                  <w:tcW w:w="696" w:type="pct"/>
                  <w:vAlign w:val="center"/>
                </w:tcPr>
                <w:p w14:paraId="0A822F98">
                  <w:pPr>
                    <w:jc w:val="center"/>
                    <w:rPr>
                      <w:color w:val="000000" w:themeColor="text1"/>
                      <w:szCs w:val="21"/>
                      <w14:textFill>
                        <w14:solidFill>
                          <w14:schemeClr w14:val="tx1"/>
                        </w14:solidFill>
                      </w14:textFill>
                    </w:rPr>
                  </w:pPr>
                  <w:r>
                    <w:rPr>
                      <w:b/>
                      <w:bCs/>
                      <w:color w:val="000000" w:themeColor="text1"/>
                      <w:kern w:val="0"/>
                      <w:szCs w:val="21"/>
                      <w:lang w:bidi="ar"/>
                      <w14:textFill>
                        <w14:solidFill>
                          <w14:schemeClr w14:val="tx1"/>
                        </w14:solidFill>
                      </w14:textFill>
                    </w:rPr>
                    <w:t>夜间</w:t>
                  </w:r>
                </w:p>
              </w:tc>
              <w:tc>
                <w:tcPr>
                  <w:tcW w:w="1094" w:type="pct"/>
                  <w:vMerge w:val="continue"/>
                  <w:vAlign w:val="center"/>
                </w:tcPr>
                <w:p w14:paraId="481EE08E">
                  <w:pPr>
                    <w:jc w:val="center"/>
                    <w:rPr>
                      <w:color w:val="000000" w:themeColor="text1"/>
                      <w:szCs w:val="21"/>
                      <w14:textFill>
                        <w14:solidFill>
                          <w14:schemeClr w14:val="tx1"/>
                        </w14:solidFill>
                      </w14:textFill>
                    </w:rPr>
                  </w:pPr>
                </w:p>
              </w:tc>
            </w:tr>
            <w:tr w14:paraId="2DFFE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Align w:val="center"/>
                </w:tcPr>
                <w:p w14:paraId="6A27A883">
                  <w:pPr>
                    <w:jc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东厂界</w:t>
                  </w:r>
                </w:p>
              </w:tc>
              <w:tc>
                <w:tcPr>
                  <w:tcW w:w="1294" w:type="dxa"/>
                  <w:vAlign w:val="center"/>
                </w:tcPr>
                <w:p w14:paraId="6DA4B1CC">
                  <w:pPr>
                    <w:jc w:val="center"/>
                    <w:rPr>
                      <w:rFonts w:hint="default" w:ascii="Times New Roman" w:hAnsi="Times New Roman" w:eastAsia="宋体" w:cs="Times New Roman"/>
                      <w:color w:val="000000" w:themeColor="text1"/>
                      <w:kern w:val="0"/>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Cs w:val="21"/>
                      <w:lang w:val="en-US" w:eastAsia="zh-CN" w:bidi="ar"/>
                      <w14:textFill>
                        <w14:solidFill>
                          <w14:schemeClr w14:val="tx1"/>
                        </w14:solidFill>
                      </w14:textFill>
                    </w:rPr>
                    <w:t>40.56</w:t>
                  </w:r>
                </w:p>
              </w:tc>
              <w:tc>
                <w:tcPr>
                  <w:tcW w:w="736" w:type="pct"/>
                  <w:vAlign w:val="center"/>
                </w:tcPr>
                <w:p w14:paraId="3FF34551">
                  <w:pPr>
                    <w:jc w:val="center"/>
                    <w:rPr>
                      <w:rFonts w:hint="eastAsia" w:ascii="Times New Roman" w:hAnsi="Times New Roman" w:eastAsia="宋体" w:cs="Times New Roman"/>
                      <w:color w:val="000000" w:themeColor="text1"/>
                      <w:kern w:val="0"/>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Cs w:val="21"/>
                      <w:lang w:val="en-US" w:eastAsia="zh-CN" w:bidi="ar"/>
                      <w14:textFill>
                        <w14:solidFill>
                          <w14:schemeClr w14:val="tx1"/>
                        </w14:solidFill>
                      </w14:textFill>
                    </w:rPr>
                    <w:t>/</w:t>
                  </w:r>
                </w:p>
              </w:tc>
              <w:tc>
                <w:tcPr>
                  <w:tcW w:w="658" w:type="pct"/>
                  <w:vAlign w:val="center"/>
                </w:tcPr>
                <w:p w14:paraId="09866377">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65</w:t>
                  </w:r>
                </w:p>
              </w:tc>
              <w:tc>
                <w:tcPr>
                  <w:tcW w:w="696" w:type="pct"/>
                </w:tcPr>
                <w:p w14:paraId="71C9A423">
                  <w:pPr>
                    <w:jc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w:t>
                  </w:r>
                </w:p>
              </w:tc>
              <w:tc>
                <w:tcPr>
                  <w:tcW w:w="1094" w:type="pct"/>
                  <w:vAlign w:val="center"/>
                </w:tcPr>
                <w:p w14:paraId="6820A705">
                  <w:pPr>
                    <w:jc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达标</w:t>
                  </w:r>
                </w:p>
              </w:tc>
            </w:tr>
            <w:tr w14:paraId="03ECD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Align w:val="center"/>
                </w:tcPr>
                <w:p w14:paraId="7C9525CB">
                  <w:pPr>
                    <w:jc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南厂界</w:t>
                  </w:r>
                </w:p>
              </w:tc>
              <w:tc>
                <w:tcPr>
                  <w:tcW w:w="1294" w:type="dxa"/>
                  <w:vAlign w:val="center"/>
                </w:tcPr>
                <w:p w14:paraId="428E4891">
                  <w:pPr>
                    <w:jc w:val="center"/>
                    <w:rPr>
                      <w:rFonts w:hint="default" w:ascii="Times New Roman" w:hAnsi="Times New Roman" w:eastAsia="宋体" w:cs="Times New Roman"/>
                      <w:color w:val="000000" w:themeColor="text1"/>
                      <w:kern w:val="0"/>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Cs w:val="21"/>
                      <w:lang w:val="en-US" w:eastAsia="zh-CN" w:bidi="ar"/>
                      <w14:textFill>
                        <w14:solidFill>
                          <w14:schemeClr w14:val="tx1"/>
                        </w14:solidFill>
                      </w14:textFill>
                    </w:rPr>
                    <w:t>27.35</w:t>
                  </w:r>
                </w:p>
              </w:tc>
              <w:tc>
                <w:tcPr>
                  <w:tcW w:w="736" w:type="pct"/>
                  <w:vAlign w:val="center"/>
                </w:tcPr>
                <w:p w14:paraId="022FC991">
                  <w:pPr>
                    <w:jc w:val="center"/>
                    <w:rPr>
                      <w:rFonts w:hint="eastAsia" w:ascii="Times New Roman" w:hAnsi="Times New Roman" w:eastAsia="宋体" w:cs="Times New Roman"/>
                      <w:color w:val="000000" w:themeColor="text1"/>
                      <w:kern w:val="0"/>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Cs w:val="21"/>
                      <w:lang w:val="en-US" w:eastAsia="zh-CN" w:bidi="ar"/>
                      <w14:textFill>
                        <w14:solidFill>
                          <w14:schemeClr w14:val="tx1"/>
                        </w14:solidFill>
                      </w14:textFill>
                    </w:rPr>
                    <w:t>/</w:t>
                  </w:r>
                </w:p>
              </w:tc>
              <w:tc>
                <w:tcPr>
                  <w:tcW w:w="658" w:type="pct"/>
                  <w:vAlign w:val="center"/>
                </w:tcPr>
                <w:p w14:paraId="090E2F2E">
                  <w:pPr>
                    <w:jc w:val="center"/>
                    <w:rPr>
                      <w:color w:val="000000" w:themeColor="text1"/>
                      <w:szCs w:val="21"/>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65</w:t>
                  </w:r>
                </w:p>
              </w:tc>
              <w:tc>
                <w:tcPr>
                  <w:tcW w:w="696" w:type="pct"/>
                </w:tcPr>
                <w:p w14:paraId="676A3AF5">
                  <w:pPr>
                    <w:jc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w:t>
                  </w:r>
                </w:p>
              </w:tc>
              <w:tc>
                <w:tcPr>
                  <w:tcW w:w="1094" w:type="pct"/>
                  <w:vAlign w:val="center"/>
                </w:tcPr>
                <w:p w14:paraId="6288C511">
                  <w:pPr>
                    <w:jc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达标</w:t>
                  </w:r>
                </w:p>
              </w:tc>
            </w:tr>
            <w:tr w14:paraId="4ED26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Align w:val="center"/>
                </w:tcPr>
                <w:p w14:paraId="2238E62B">
                  <w:pPr>
                    <w:jc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西厂界</w:t>
                  </w:r>
                </w:p>
              </w:tc>
              <w:tc>
                <w:tcPr>
                  <w:tcW w:w="1294" w:type="dxa"/>
                  <w:vAlign w:val="center"/>
                </w:tcPr>
                <w:p w14:paraId="736E9E99">
                  <w:pPr>
                    <w:jc w:val="center"/>
                    <w:rPr>
                      <w:rFonts w:hint="default" w:ascii="Times New Roman" w:hAnsi="Times New Roman" w:eastAsia="宋体" w:cs="Times New Roman"/>
                      <w:color w:val="000000" w:themeColor="text1"/>
                      <w:kern w:val="0"/>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Cs w:val="21"/>
                      <w:lang w:val="en-US" w:eastAsia="zh-CN" w:bidi="ar"/>
                      <w14:textFill>
                        <w14:solidFill>
                          <w14:schemeClr w14:val="tx1"/>
                        </w14:solidFill>
                      </w14:textFill>
                    </w:rPr>
                    <w:t>27.56</w:t>
                  </w:r>
                </w:p>
              </w:tc>
              <w:tc>
                <w:tcPr>
                  <w:tcW w:w="736" w:type="pct"/>
                  <w:vAlign w:val="center"/>
                </w:tcPr>
                <w:p w14:paraId="4AB90C6B">
                  <w:pPr>
                    <w:jc w:val="center"/>
                    <w:rPr>
                      <w:rFonts w:hint="eastAsia" w:ascii="Times New Roman" w:hAnsi="Times New Roman" w:eastAsia="宋体" w:cs="Times New Roman"/>
                      <w:color w:val="000000" w:themeColor="text1"/>
                      <w:kern w:val="0"/>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Cs w:val="21"/>
                      <w:lang w:val="en-US" w:eastAsia="zh-CN" w:bidi="ar"/>
                      <w14:textFill>
                        <w14:solidFill>
                          <w14:schemeClr w14:val="tx1"/>
                        </w14:solidFill>
                      </w14:textFill>
                    </w:rPr>
                    <w:t>/</w:t>
                  </w:r>
                </w:p>
              </w:tc>
              <w:tc>
                <w:tcPr>
                  <w:tcW w:w="658" w:type="pct"/>
                  <w:vAlign w:val="center"/>
                </w:tcPr>
                <w:p w14:paraId="6C9C3791">
                  <w:pPr>
                    <w:jc w:val="center"/>
                    <w:rPr>
                      <w:color w:val="000000" w:themeColor="text1"/>
                      <w:szCs w:val="21"/>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65</w:t>
                  </w:r>
                </w:p>
              </w:tc>
              <w:tc>
                <w:tcPr>
                  <w:tcW w:w="696" w:type="pct"/>
                </w:tcPr>
                <w:p w14:paraId="4E65574D">
                  <w:pPr>
                    <w:jc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w:t>
                  </w:r>
                </w:p>
              </w:tc>
              <w:tc>
                <w:tcPr>
                  <w:tcW w:w="1094" w:type="pct"/>
                  <w:vAlign w:val="center"/>
                </w:tcPr>
                <w:p w14:paraId="0F59655C">
                  <w:pPr>
                    <w:jc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达标</w:t>
                  </w:r>
                </w:p>
              </w:tc>
            </w:tr>
            <w:tr w14:paraId="6CDC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Align w:val="center"/>
                </w:tcPr>
                <w:p w14:paraId="46BF13DB">
                  <w:pPr>
                    <w:jc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北厂界</w:t>
                  </w:r>
                </w:p>
              </w:tc>
              <w:tc>
                <w:tcPr>
                  <w:tcW w:w="1294" w:type="dxa"/>
                  <w:vAlign w:val="center"/>
                </w:tcPr>
                <w:p w14:paraId="07C7C1C7">
                  <w:pPr>
                    <w:jc w:val="center"/>
                    <w:rPr>
                      <w:rFonts w:hint="default" w:ascii="Times New Roman" w:hAnsi="Times New Roman" w:eastAsia="宋体" w:cs="Times New Roman"/>
                      <w:color w:val="000000" w:themeColor="text1"/>
                      <w:kern w:val="0"/>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Cs w:val="21"/>
                      <w:lang w:val="en-US" w:eastAsia="zh-CN" w:bidi="ar"/>
                      <w14:textFill>
                        <w14:solidFill>
                          <w14:schemeClr w14:val="tx1"/>
                        </w14:solidFill>
                      </w14:textFill>
                    </w:rPr>
                    <w:t>37.78</w:t>
                  </w:r>
                </w:p>
              </w:tc>
              <w:tc>
                <w:tcPr>
                  <w:tcW w:w="736" w:type="pct"/>
                  <w:vAlign w:val="center"/>
                </w:tcPr>
                <w:p w14:paraId="01FBE08F">
                  <w:pPr>
                    <w:jc w:val="center"/>
                    <w:rPr>
                      <w:rFonts w:hint="eastAsia" w:ascii="Times New Roman" w:hAnsi="Times New Roman" w:eastAsia="宋体" w:cs="Times New Roman"/>
                      <w:color w:val="000000" w:themeColor="text1"/>
                      <w:kern w:val="0"/>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Cs w:val="21"/>
                      <w:lang w:val="en-US" w:eastAsia="zh-CN" w:bidi="ar"/>
                      <w14:textFill>
                        <w14:solidFill>
                          <w14:schemeClr w14:val="tx1"/>
                        </w14:solidFill>
                      </w14:textFill>
                    </w:rPr>
                    <w:t>/</w:t>
                  </w:r>
                </w:p>
              </w:tc>
              <w:tc>
                <w:tcPr>
                  <w:tcW w:w="658" w:type="pct"/>
                  <w:vAlign w:val="center"/>
                </w:tcPr>
                <w:p w14:paraId="30F64252">
                  <w:pPr>
                    <w:jc w:val="center"/>
                    <w:rPr>
                      <w:color w:val="000000" w:themeColor="text1"/>
                      <w:szCs w:val="21"/>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65</w:t>
                  </w:r>
                </w:p>
              </w:tc>
              <w:tc>
                <w:tcPr>
                  <w:tcW w:w="696" w:type="pct"/>
                </w:tcPr>
                <w:p w14:paraId="325AACC5">
                  <w:pPr>
                    <w:jc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w:t>
                  </w:r>
                </w:p>
              </w:tc>
              <w:tc>
                <w:tcPr>
                  <w:tcW w:w="1094" w:type="pct"/>
                  <w:vAlign w:val="center"/>
                </w:tcPr>
                <w:p w14:paraId="528E9D78">
                  <w:pPr>
                    <w:jc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达标</w:t>
                  </w:r>
                </w:p>
              </w:tc>
            </w:tr>
          </w:tbl>
          <w:p w14:paraId="0D3EB569">
            <w:pPr>
              <w:adjustRightInd w:val="0"/>
              <w:snapToGrid w:val="0"/>
              <w:spacing w:line="360" w:lineRule="auto"/>
              <w:ind w:firstLine="480" w:firstLineChars="200"/>
              <w:rPr>
                <w:rFonts w:ascii="Times New Roman" w:hAnsi="Times New Roman" w:eastAsia="宋体" w:cs="Times New Roman"/>
                <w:color w:val="000000" w:themeColor="text1"/>
                <w:kern w:val="0"/>
                <w:sz w:val="24"/>
                <w14:textFill>
                  <w14:solidFill>
                    <w14:schemeClr w14:val="tx1"/>
                  </w14:solidFill>
                </w14:textFill>
              </w:rPr>
            </w:pPr>
            <w:r>
              <w:rPr>
                <w:rFonts w:hint="eastAsia" w:ascii="Times New Roman" w:hAnsi="Times New Roman" w:eastAsia="宋体" w:cs="Times New Roman"/>
                <w:color w:val="000000" w:themeColor="text1"/>
                <w:kern w:val="0"/>
                <w:sz w:val="24"/>
                <w:lang w:val="en-US" w:eastAsia="zh-CN"/>
                <w14:textFill>
                  <w14:solidFill>
                    <w14:schemeClr w14:val="tx1"/>
                  </w14:solidFill>
                </w14:textFill>
              </w:rPr>
              <w:t>项目夜间不生产，</w:t>
            </w:r>
            <w:r>
              <w:rPr>
                <w:rFonts w:ascii="Times New Roman" w:hAnsi="Times New Roman" w:eastAsia="宋体" w:cs="Times New Roman"/>
                <w:color w:val="000000" w:themeColor="text1"/>
                <w:kern w:val="0"/>
                <w:sz w:val="24"/>
                <w14:textFill>
                  <w14:solidFill>
                    <w14:schemeClr w14:val="tx1"/>
                  </w14:solidFill>
                </w14:textFill>
              </w:rPr>
              <w:t>根据</w:t>
            </w:r>
            <w:r>
              <w:rPr>
                <w:rFonts w:hint="eastAsia" w:ascii="Times New Roman" w:hAnsi="Times New Roman" w:eastAsia="宋体" w:cs="Times New Roman"/>
                <w:color w:val="000000" w:themeColor="text1"/>
                <w:kern w:val="0"/>
                <w:sz w:val="24"/>
                <w:lang w:val="en-US" w:eastAsia="zh-CN"/>
                <w14:textFill>
                  <w14:solidFill>
                    <w14:schemeClr w14:val="tx1"/>
                  </w14:solidFill>
                </w14:textFill>
              </w:rPr>
              <w:t>噪声</w:t>
            </w:r>
            <w:r>
              <w:rPr>
                <w:rFonts w:ascii="Times New Roman" w:hAnsi="Times New Roman" w:eastAsia="宋体" w:cs="Times New Roman"/>
                <w:color w:val="000000" w:themeColor="text1"/>
                <w:kern w:val="0"/>
                <w:sz w:val="24"/>
                <w14:textFill>
                  <w14:solidFill>
                    <w14:schemeClr w14:val="tx1"/>
                  </w14:solidFill>
                </w14:textFill>
              </w:rPr>
              <w:t>预测结果可知，经以上防护措施及墙体隔声和距离的自然衰减等措施后，项目四周厂界均满足《工业企业厂界环境噪声排放标准》（GB12348-2008）中</w:t>
            </w:r>
            <w:r>
              <w:rPr>
                <w:rFonts w:hint="eastAsia" w:cs="Times New Roman"/>
                <w:color w:val="000000" w:themeColor="text1"/>
                <w:kern w:val="0"/>
                <w:sz w:val="24"/>
                <w:lang w:val="en-US" w:eastAsia="zh-CN"/>
                <w14:textFill>
                  <w14:solidFill>
                    <w14:schemeClr w14:val="tx1"/>
                  </w14:solidFill>
                </w14:textFill>
              </w:rPr>
              <w:t>3</w:t>
            </w:r>
            <w:r>
              <w:rPr>
                <w:rFonts w:ascii="Times New Roman" w:hAnsi="Times New Roman" w:eastAsia="宋体" w:cs="Times New Roman"/>
                <w:color w:val="000000" w:themeColor="text1"/>
                <w:kern w:val="0"/>
                <w:sz w:val="24"/>
                <w14:textFill>
                  <w14:solidFill>
                    <w14:schemeClr w14:val="tx1"/>
                  </w14:solidFill>
                </w14:textFill>
              </w:rPr>
              <w:t>类标准要求</w:t>
            </w:r>
            <w:r>
              <w:rPr>
                <w:rFonts w:hint="eastAsia" w:ascii="Times New Roman" w:hAnsi="Times New Roman" w:eastAsia="宋体" w:cs="Times New Roman"/>
                <w:color w:val="000000" w:themeColor="text1"/>
                <w:kern w:val="0"/>
                <w:sz w:val="24"/>
                <w14:textFill>
                  <w14:solidFill>
                    <w14:schemeClr w14:val="tx1"/>
                  </w14:solidFill>
                </w14:textFill>
              </w:rPr>
              <w:t>，</w:t>
            </w:r>
            <w:r>
              <w:rPr>
                <w:rFonts w:ascii="Times New Roman" w:hAnsi="Times New Roman" w:eastAsia="宋体" w:cs="Times New Roman"/>
                <w:color w:val="000000" w:themeColor="text1"/>
                <w:kern w:val="0"/>
                <w:sz w:val="24"/>
                <w14:textFill>
                  <w14:solidFill>
                    <w14:schemeClr w14:val="tx1"/>
                  </w14:solidFill>
                </w14:textFill>
              </w:rPr>
              <w:t>不会对周围声环境及内部造成明显影响。</w:t>
            </w:r>
          </w:p>
          <w:p w14:paraId="5116A17A">
            <w:pPr>
              <w:adjustRightInd w:val="0"/>
              <w:snapToGrid w:val="0"/>
              <w:spacing w:line="360" w:lineRule="auto"/>
              <w:ind w:firstLine="480" w:firstLineChars="200"/>
              <w:rPr>
                <w:color w:val="000000" w:themeColor="text1"/>
                <w:kern w:val="0"/>
                <w:sz w:val="24"/>
                <w14:textFill>
                  <w14:solidFill>
                    <w14:schemeClr w14:val="tx1"/>
                  </w14:solidFill>
                </w14:textFill>
              </w:rPr>
            </w:pPr>
            <w:r>
              <w:rPr>
                <w:rFonts w:hint="eastAsia"/>
                <w:bCs/>
                <w:snapToGrid w:val="0"/>
                <w:color w:val="000000" w:themeColor="text1"/>
                <w:kern w:val="0"/>
                <w:sz w:val="24"/>
                <w14:textFill>
                  <w14:solidFill>
                    <w14:schemeClr w14:val="tx1"/>
                  </w14:solidFill>
                </w14:textFill>
              </w:rPr>
              <w:t>4、</w:t>
            </w:r>
            <w:r>
              <w:rPr>
                <w:color w:val="000000" w:themeColor="text1"/>
                <w:sz w:val="24"/>
                <w:lang w:bidi="ar"/>
                <w14:textFill>
                  <w14:solidFill>
                    <w14:schemeClr w14:val="tx1"/>
                  </w14:solidFill>
                </w14:textFill>
              </w:rPr>
              <w:t>噪声</w:t>
            </w:r>
            <w:r>
              <w:rPr>
                <w:bCs/>
                <w:snapToGrid w:val="0"/>
                <w:color w:val="000000" w:themeColor="text1"/>
                <w:kern w:val="0"/>
                <w:sz w:val="24"/>
                <w14:textFill>
                  <w14:solidFill>
                    <w14:schemeClr w14:val="tx1"/>
                  </w14:solidFill>
                </w14:textFill>
              </w:rPr>
              <w:t>治理措施</w:t>
            </w:r>
          </w:p>
          <w:p w14:paraId="13A0EAED">
            <w:pPr>
              <w:adjustRightInd w:val="0"/>
              <w:snapToGrid w:val="0"/>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本项目生产设备在运行期间均会产生噪声，建设单位采取以下措施来减轻生产设备运行噪声的环境影响。</w:t>
            </w:r>
          </w:p>
          <w:p w14:paraId="4EA9E6B8">
            <w:pPr>
              <w:adjustRightInd w:val="0"/>
              <w:snapToGrid w:val="0"/>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（1）选用低噪声设备或带隔声、消声的设备，从源头减少噪声的产生。</w:t>
            </w:r>
          </w:p>
          <w:p w14:paraId="3569448E">
            <w:pPr>
              <w:adjustRightInd w:val="0"/>
              <w:snapToGrid w:val="0"/>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（2）合理布局设备位置，使高强度的噪声设备远离项目边界及环境敏感点。</w:t>
            </w:r>
          </w:p>
          <w:p w14:paraId="47971B41">
            <w:pPr>
              <w:adjustRightInd w:val="0"/>
              <w:snapToGrid w:val="0"/>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w:t>
            </w:r>
            <w:r>
              <w:rPr>
                <w:rFonts w:hint="eastAsia"/>
                <w:color w:val="000000" w:themeColor="text1"/>
                <w:kern w:val="0"/>
                <w:sz w:val="24"/>
                <w14:textFill>
                  <w14:solidFill>
                    <w14:schemeClr w14:val="tx1"/>
                  </w14:solidFill>
                </w14:textFill>
              </w:rPr>
              <w:t>3</w:t>
            </w:r>
            <w:r>
              <w:rPr>
                <w:color w:val="000000" w:themeColor="text1"/>
                <w:kern w:val="0"/>
                <w:sz w:val="24"/>
                <w14:textFill>
                  <w14:solidFill>
                    <w14:schemeClr w14:val="tx1"/>
                  </w14:solidFill>
                </w14:textFill>
              </w:rPr>
              <w:t>）对噪声值高的设备采取减振、消声、隔声等措施降低噪声值。</w:t>
            </w:r>
          </w:p>
          <w:p w14:paraId="05649021">
            <w:pPr>
              <w:adjustRightInd w:val="0"/>
              <w:snapToGrid w:val="0"/>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w:t>
            </w:r>
            <w:r>
              <w:rPr>
                <w:rFonts w:hint="eastAsia"/>
                <w:color w:val="000000" w:themeColor="text1"/>
                <w:kern w:val="0"/>
                <w:sz w:val="24"/>
                <w14:textFill>
                  <w14:solidFill>
                    <w14:schemeClr w14:val="tx1"/>
                  </w14:solidFill>
                </w14:textFill>
              </w:rPr>
              <w:t>4</w:t>
            </w:r>
            <w:r>
              <w:rPr>
                <w:color w:val="000000" w:themeColor="text1"/>
                <w:kern w:val="0"/>
                <w:sz w:val="24"/>
                <w14:textFill>
                  <w14:solidFill>
                    <w14:schemeClr w14:val="tx1"/>
                  </w14:solidFill>
                </w14:textFill>
              </w:rPr>
              <w:t>）定期对生产设备进行保养维修，保证生产设备维持的良好使用状态，并严格遵守生产设备的操作规范。</w:t>
            </w:r>
          </w:p>
          <w:p w14:paraId="7FE660A2">
            <w:pPr>
              <w:adjustRightInd w:val="0"/>
              <w:snapToGrid w:val="0"/>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通过采取以上措施后，项目厂界满足《工业企业厂界环境噪声排放标准》（GB12348-2008）中的</w:t>
            </w:r>
            <w:r>
              <w:rPr>
                <w:rFonts w:hint="eastAsia"/>
                <w:color w:val="000000" w:themeColor="text1"/>
                <w:kern w:val="0"/>
                <w:sz w:val="24"/>
                <w:lang w:val="en-US" w:eastAsia="zh-CN"/>
                <w14:textFill>
                  <w14:solidFill>
                    <w14:schemeClr w14:val="tx1"/>
                  </w14:solidFill>
                </w14:textFill>
              </w:rPr>
              <w:t>3</w:t>
            </w:r>
            <w:r>
              <w:rPr>
                <w:color w:val="000000" w:themeColor="text1"/>
                <w:kern w:val="0"/>
                <w:sz w:val="24"/>
                <w14:textFill>
                  <w14:solidFill>
                    <w14:schemeClr w14:val="tx1"/>
                  </w14:solidFill>
                </w14:textFill>
              </w:rPr>
              <w:t>类标准限值要求，对周边区域声环境影响较小。</w:t>
            </w:r>
          </w:p>
          <w:p w14:paraId="62AD60D2">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w:t>
            </w:r>
            <w:r>
              <w:rPr>
                <w:color w:val="000000" w:themeColor="text1"/>
                <w:sz w:val="24"/>
                <w:lang w:bidi="ar"/>
                <w14:textFill>
                  <w14:solidFill>
                    <w14:schemeClr w14:val="tx1"/>
                  </w14:solidFill>
                </w14:textFill>
              </w:rPr>
              <w:t>噪声</w:t>
            </w:r>
            <w:r>
              <w:rPr>
                <w:bCs/>
                <w:color w:val="000000" w:themeColor="text1"/>
                <w:sz w:val="24"/>
                <w14:textFill>
                  <w14:solidFill>
                    <w14:schemeClr w14:val="tx1"/>
                  </w14:solidFill>
                </w14:textFill>
              </w:rPr>
              <w:t>监测计划</w:t>
            </w:r>
          </w:p>
          <w:p w14:paraId="564EE162">
            <w:pPr>
              <w:adjustRightInd w:val="0"/>
              <w:snapToGrid w:val="0"/>
              <w:spacing w:line="360" w:lineRule="auto"/>
              <w:ind w:firstLine="480" w:firstLineChars="200"/>
              <w:rPr>
                <w:rFonts w:ascii="Times New Roman" w:hAnsi="Times New Roman" w:eastAsia="宋体" w:cs="Times New Roman"/>
                <w:color w:val="000000" w:themeColor="text1"/>
                <w:kern w:val="0"/>
                <w:sz w:val="24"/>
                <w14:textFill>
                  <w14:solidFill>
                    <w14:schemeClr w14:val="tx1"/>
                  </w14:solidFill>
                </w14:textFill>
              </w:rPr>
            </w:pPr>
            <w:r>
              <w:rPr>
                <w:rFonts w:hint="eastAsia" w:ascii="Times New Roman" w:hAnsi="Times New Roman" w:eastAsia="宋体" w:cs="Times New Roman"/>
                <w:color w:val="000000" w:themeColor="text1"/>
                <w:kern w:val="0"/>
                <w:sz w:val="24"/>
                <w14:textFill>
                  <w14:solidFill>
                    <w14:schemeClr w14:val="tx1"/>
                  </w14:solidFill>
                </w14:textFill>
              </w:rPr>
              <w:t>本项目噪声监测</w:t>
            </w:r>
            <w:r>
              <w:rPr>
                <w:rFonts w:hint="eastAsia" w:ascii="Times New Roman" w:hAnsi="Times New Roman" w:eastAsia="宋体" w:cs="Times New Roman"/>
                <w:color w:val="000000" w:themeColor="text1"/>
                <w:sz w:val="24"/>
                <w:lang w:val="en-US" w:eastAsia="zh-CN"/>
                <w14:textFill>
                  <w14:solidFill>
                    <w14:schemeClr w14:val="tx1"/>
                  </w14:solidFill>
                </w14:textFill>
              </w:rPr>
              <w:t>按照</w:t>
            </w:r>
            <w:r>
              <w:rPr>
                <w:rFonts w:hint="eastAsia" w:ascii="Times New Roman" w:hAnsi="Times New Roman" w:eastAsia="宋体" w:cs="Times New Roman"/>
                <w:color w:val="000000" w:themeColor="text1"/>
                <w:kern w:val="0"/>
                <w:sz w:val="24"/>
                <w:lang w:val="en-US" w:eastAsia="zh-CN"/>
                <w14:textFill>
                  <w14:solidFill>
                    <w14:schemeClr w14:val="tx1"/>
                  </w14:solidFill>
                </w14:textFill>
              </w:rPr>
              <w:t>《排污许可证申请与核发技术规范 工业噪声》</w:t>
            </w:r>
            <w:r>
              <w:rPr>
                <w:rFonts w:hint="eastAsia" w:ascii="Times New Roman" w:hAnsi="Times New Roman" w:eastAsia="宋体" w:cs="Times New Roman"/>
                <w:color w:val="000000" w:themeColor="text1"/>
                <w:kern w:val="0"/>
                <w:sz w:val="24"/>
                <w:lang w:val="en-US" w:eastAsia="zh-CN"/>
                <w14:textFill>
                  <w14:solidFill>
                    <w14:schemeClr w14:val="tx1"/>
                  </w14:solidFill>
                </w14:textFill>
              </w:rPr>
              <w:fldChar w:fldCharType="begin"/>
            </w:r>
            <w:r>
              <w:rPr>
                <w:rFonts w:hint="eastAsia" w:ascii="Times New Roman" w:hAnsi="Times New Roman" w:eastAsia="宋体" w:cs="Times New Roman"/>
                <w:color w:val="000000" w:themeColor="text1"/>
                <w:kern w:val="0"/>
                <w:sz w:val="24"/>
                <w:lang w:val="en-US" w:eastAsia="zh-CN"/>
                <w14:textFill>
                  <w14:solidFill>
                    <w14:schemeClr w14:val="tx1"/>
                  </w14:solidFill>
                </w14:textFill>
              </w:rPr>
              <w:instrText xml:space="preserve"> HYPERLINK "https://www.mee.gov.cn/ywgz/fgbz/bz/bzwb/pwxk/202308/W020230919349861394526.pdf" </w:instrText>
            </w:r>
            <w:r>
              <w:rPr>
                <w:rFonts w:hint="eastAsia" w:ascii="Times New Roman" w:hAnsi="Times New Roman" w:eastAsia="宋体" w:cs="Times New Roman"/>
                <w:color w:val="000000" w:themeColor="text1"/>
                <w:kern w:val="0"/>
                <w:sz w:val="24"/>
                <w:lang w:val="en-US" w:eastAsia="zh-CN"/>
                <w14:textFill>
                  <w14:solidFill>
                    <w14:schemeClr w14:val="tx1"/>
                  </w14:solidFill>
                </w14:textFill>
              </w:rPr>
              <w:fldChar w:fldCharType="separate"/>
            </w:r>
            <w:r>
              <w:rPr>
                <w:rFonts w:hint="eastAsia" w:ascii="Times New Roman" w:hAnsi="Times New Roman" w:eastAsia="宋体" w:cs="Times New Roman"/>
                <w:color w:val="000000" w:themeColor="text1"/>
                <w:kern w:val="0"/>
                <w:sz w:val="24"/>
                <w:lang w:val="en-US" w:eastAsia="zh-CN"/>
                <w14:textFill>
                  <w14:solidFill>
                    <w14:schemeClr w14:val="tx1"/>
                  </w14:solidFill>
                </w14:textFill>
              </w:rPr>
              <w:t>（HJ 1301—2023）</w:t>
            </w:r>
            <w:r>
              <w:rPr>
                <w:rFonts w:hint="eastAsia" w:ascii="Times New Roman" w:hAnsi="Times New Roman" w:eastAsia="宋体" w:cs="Times New Roman"/>
                <w:color w:val="000000" w:themeColor="text1"/>
                <w:kern w:val="0"/>
                <w:sz w:val="24"/>
                <w:lang w:val="en-US" w:eastAsia="zh-CN"/>
                <w14:textFill>
                  <w14:solidFill>
                    <w14:schemeClr w14:val="tx1"/>
                  </w14:solidFill>
                </w14:textFill>
              </w:rPr>
              <w:fldChar w:fldCharType="end"/>
            </w:r>
            <w:r>
              <w:rPr>
                <w:rFonts w:ascii="Times New Roman" w:hAnsi="Times New Roman" w:eastAsia="宋体" w:cs="Times New Roman"/>
                <w:color w:val="000000" w:themeColor="text1"/>
                <w:kern w:val="0"/>
                <w:sz w:val="24"/>
                <w:lang w:val="en-US" w:eastAsia="zh-CN"/>
                <w14:textFill>
                  <w14:solidFill>
                    <w14:schemeClr w14:val="tx1"/>
                  </w14:solidFill>
                </w14:textFill>
              </w:rPr>
              <w:t>中相关要求</w:t>
            </w:r>
            <w:r>
              <w:rPr>
                <w:rFonts w:ascii="Times New Roman" w:hAnsi="Times New Roman" w:eastAsia="宋体" w:cs="Times New Roman"/>
                <w:color w:val="000000" w:themeColor="text1"/>
                <w:kern w:val="0"/>
                <w:sz w:val="24"/>
                <w14:textFill>
                  <w14:solidFill>
                    <w14:schemeClr w14:val="tx1"/>
                  </w14:solidFill>
                </w14:textFill>
              </w:rPr>
              <w:t>，</w:t>
            </w:r>
            <w:r>
              <w:rPr>
                <w:rFonts w:hint="eastAsia" w:ascii="Times New Roman" w:hAnsi="Times New Roman" w:eastAsia="宋体" w:cs="Times New Roman"/>
                <w:color w:val="000000" w:themeColor="text1"/>
                <w:kern w:val="0"/>
                <w:sz w:val="24"/>
                <w14:textFill>
                  <w14:solidFill>
                    <w14:schemeClr w14:val="tx1"/>
                  </w14:solidFill>
                </w14:textFill>
              </w:rPr>
              <w:t>制定</w:t>
            </w:r>
            <w:r>
              <w:rPr>
                <w:rFonts w:hint="eastAsia" w:ascii="Times New Roman" w:hAnsi="Times New Roman" w:eastAsia="宋体" w:cs="Times New Roman"/>
                <w:color w:val="000000" w:themeColor="text1"/>
                <w:kern w:val="0"/>
                <w:sz w:val="24"/>
                <w:lang w:val="en-US" w:eastAsia="zh-CN"/>
                <w14:textFill>
                  <w14:solidFill>
                    <w14:schemeClr w14:val="tx1"/>
                  </w14:solidFill>
                </w14:textFill>
              </w:rPr>
              <w:t>监测方案，具体监测内容见表4-</w:t>
            </w:r>
            <w:r>
              <w:rPr>
                <w:rFonts w:hint="eastAsia" w:cs="Times New Roman"/>
                <w:color w:val="000000" w:themeColor="text1"/>
                <w:kern w:val="0"/>
                <w:sz w:val="24"/>
                <w:lang w:val="en-US" w:eastAsia="zh-CN"/>
                <w14:textFill>
                  <w14:solidFill>
                    <w14:schemeClr w14:val="tx1"/>
                  </w14:solidFill>
                </w14:textFill>
              </w:rPr>
              <w:t>19</w:t>
            </w:r>
            <w:r>
              <w:rPr>
                <w:rFonts w:hint="eastAsia" w:ascii="Times New Roman" w:hAnsi="Times New Roman" w:eastAsia="宋体" w:cs="Times New Roman"/>
                <w:color w:val="000000" w:themeColor="text1"/>
                <w:kern w:val="0"/>
                <w:sz w:val="24"/>
                <w:lang w:val="en-US" w:eastAsia="zh-CN"/>
                <w14:textFill>
                  <w14:solidFill>
                    <w14:schemeClr w14:val="tx1"/>
                  </w14:solidFill>
                </w14:textFill>
              </w:rPr>
              <w:t>。</w:t>
            </w:r>
          </w:p>
          <w:p w14:paraId="45CED7F1">
            <w:pPr>
              <w:autoSpaceDE w:val="0"/>
              <w:autoSpaceDN w:val="0"/>
              <w:adjustRightInd w:val="0"/>
              <w:jc w:val="center"/>
              <w:rPr>
                <w:b/>
                <w:bCs/>
                <w:color w:val="000000" w:themeColor="text1"/>
                <w:kern w:val="0"/>
                <w:sz w:val="24"/>
                <w14:textFill>
                  <w14:solidFill>
                    <w14:schemeClr w14:val="tx1"/>
                  </w14:solidFill>
                </w14:textFill>
              </w:rPr>
            </w:pPr>
            <w:r>
              <w:rPr>
                <w:b/>
                <w:bCs/>
                <w:color w:val="000000" w:themeColor="text1"/>
                <w:kern w:val="0"/>
                <w:sz w:val="24"/>
                <w:lang w:bidi="ar"/>
                <w14:textFill>
                  <w14:solidFill>
                    <w14:schemeClr w14:val="tx1"/>
                  </w14:solidFill>
                </w14:textFill>
              </w:rPr>
              <w:t>表</w:t>
            </w:r>
            <w:r>
              <w:rPr>
                <w:rFonts w:hint="eastAsia"/>
                <w:b/>
                <w:bCs/>
                <w:color w:val="000000" w:themeColor="text1"/>
                <w:kern w:val="0"/>
                <w:sz w:val="24"/>
                <w:lang w:bidi="ar"/>
                <w14:textFill>
                  <w14:solidFill>
                    <w14:schemeClr w14:val="tx1"/>
                  </w14:solidFill>
                </w14:textFill>
              </w:rPr>
              <w:t>4-</w:t>
            </w:r>
            <w:r>
              <w:rPr>
                <w:rFonts w:hint="eastAsia"/>
                <w:b/>
                <w:bCs/>
                <w:color w:val="000000" w:themeColor="text1"/>
                <w:kern w:val="0"/>
                <w:sz w:val="24"/>
                <w:lang w:val="en-US" w:eastAsia="zh-CN" w:bidi="ar"/>
                <w14:textFill>
                  <w14:solidFill>
                    <w14:schemeClr w14:val="tx1"/>
                  </w14:solidFill>
                </w14:textFill>
              </w:rPr>
              <w:t>19</w:t>
            </w:r>
            <w:r>
              <w:rPr>
                <w:b/>
                <w:bCs/>
                <w:color w:val="000000" w:themeColor="text1"/>
                <w:kern w:val="0"/>
                <w:sz w:val="24"/>
                <w:lang w:bidi="ar"/>
                <w14:textFill>
                  <w14:solidFill>
                    <w14:schemeClr w14:val="tx1"/>
                  </w14:solidFill>
                </w14:textFill>
              </w:rPr>
              <w:t xml:space="preserve"> </w:t>
            </w:r>
            <w:r>
              <w:rPr>
                <w:rFonts w:hint="eastAsia"/>
                <w:b/>
                <w:bCs/>
                <w:color w:val="000000" w:themeColor="text1"/>
                <w:kern w:val="0"/>
                <w:sz w:val="24"/>
                <w:lang w:bidi="ar"/>
                <w14:textFill>
                  <w14:solidFill>
                    <w14:schemeClr w14:val="tx1"/>
                  </w14:solidFill>
                </w14:textFill>
              </w:rPr>
              <w:t>噪声监测计划表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1704"/>
              <w:gridCol w:w="1291"/>
              <w:gridCol w:w="4008"/>
            </w:tblGrid>
            <w:tr w14:paraId="415C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64" w:type="pct"/>
                  <w:vAlign w:val="center"/>
                </w:tcPr>
                <w:p w14:paraId="790540F0">
                  <w:pPr>
                    <w:pStyle w:val="46"/>
                    <w:spacing w:line="240" w:lineRule="auto"/>
                    <w:rPr>
                      <w:b/>
                      <w:bCs/>
                      <w:color w:val="000000" w:themeColor="text1"/>
                      <w:sz w:val="21"/>
                      <w14:textFill>
                        <w14:solidFill>
                          <w14:schemeClr w14:val="tx1"/>
                        </w14:solidFill>
                      </w14:textFill>
                    </w:rPr>
                  </w:pPr>
                  <w:r>
                    <w:rPr>
                      <w:b/>
                      <w:bCs/>
                      <w:color w:val="000000" w:themeColor="text1"/>
                      <w:sz w:val="21"/>
                      <w14:textFill>
                        <w14:solidFill>
                          <w14:schemeClr w14:val="tx1"/>
                        </w14:solidFill>
                      </w14:textFill>
                    </w:rPr>
                    <w:t>监测点位置</w:t>
                  </w:r>
                </w:p>
              </w:tc>
              <w:tc>
                <w:tcPr>
                  <w:tcW w:w="1006" w:type="pct"/>
                  <w:vAlign w:val="center"/>
                </w:tcPr>
                <w:p w14:paraId="02AA6D33">
                  <w:pPr>
                    <w:pStyle w:val="46"/>
                    <w:spacing w:line="240" w:lineRule="auto"/>
                    <w:rPr>
                      <w:b/>
                      <w:bCs/>
                      <w:color w:val="000000" w:themeColor="text1"/>
                      <w:sz w:val="21"/>
                      <w14:textFill>
                        <w14:solidFill>
                          <w14:schemeClr w14:val="tx1"/>
                        </w14:solidFill>
                      </w14:textFill>
                    </w:rPr>
                  </w:pPr>
                  <w:r>
                    <w:rPr>
                      <w:b/>
                      <w:bCs/>
                      <w:color w:val="000000" w:themeColor="text1"/>
                      <w:sz w:val="21"/>
                      <w14:textFill>
                        <w14:solidFill>
                          <w14:schemeClr w14:val="tx1"/>
                        </w14:solidFill>
                      </w14:textFill>
                    </w:rPr>
                    <w:t>监测</w:t>
                  </w:r>
                  <w:r>
                    <w:rPr>
                      <w:rFonts w:hint="eastAsia"/>
                      <w:b/>
                      <w:bCs/>
                      <w:color w:val="000000" w:themeColor="text1"/>
                      <w:sz w:val="21"/>
                      <w14:textFill>
                        <w14:solidFill>
                          <w14:schemeClr w14:val="tx1"/>
                        </w14:solidFill>
                      </w14:textFill>
                    </w:rPr>
                    <w:t>指标</w:t>
                  </w:r>
                </w:p>
              </w:tc>
              <w:tc>
                <w:tcPr>
                  <w:tcW w:w="762" w:type="pct"/>
                  <w:vAlign w:val="center"/>
                </w:tcPr>
                <w:p w14:paraId="1884EA77">
                  <w:pPr>
                    <w:pStyle w:val="46"/>
                    <w:spacing w:line="240" w:lineRule="auto"/>
                    <w:rPr>
                      <w:b/>
                      <w:bCs/>
                      <w:color w:val="000000" w:themeColor="text1"/>
                      <w:sz w:val="21"/>
                      <w14:textFill>
                        <w14:solidFill>
                          <w14:schemeClr w14:val="tx1"/>
                        </w14:solidFill>
                      </w14:textFill>
                    </w:rPr>
                  </w:pPr>
                  <w:r>
                    <w:rPr>
                      <w:b/>
                      <w:bCs/>
                      <w:color w:val="000000" w:themeColor="text1"/>
                      <w:sz w:val="21"/>
                      <w14:textFill>
                        <w14:solidFill>
                          <w14:schemeClr w14:val="tx1"/>
                        </w14:solidFill>
                      </w14:textFill>
                    </w:rPr>
                    <w:t>监测频</w:t>
                  </w:r>
                  <w:r>
                    <w:rPr>
                      <w:rFonts w:hint="eastAsia"/>
                      <w:b/>
                      <w:bCs/>
                      <w:color w:val="000000" w:themeColor="text1"/>
                      <w:sz w:val="21"/>
                      <w14:textFill>
                        <w14:solidFill>
                          <w14:schemeClr w14:val="tx1"/>
                        </w14:solidFill>
                      </w14:textFill>
                    </w:rPr>
                    <w:t>次</w:t>
                  </w:r>
                </w:p>
              </w:tc>
              <w:tc>
                <w:tcPr>
                  <w:tcW w:w="2366" w:type="pct"/>
                  <w:vAlign w:val="center"/>
                </w:tcPr>
                <w:p w14:paraId="077AC167">
                  <w:pPr>
                    <w:pStyle w:val="46"/>
                    <w:spacing w:line="240" w:lineRule="auto"/>
                    <w:rPr>
                      <w:b/>
                      <w:bCs/>
                      <w:color w:val="000000" w:themeColor="text1"/>
                      <w:sz w:val="21"/>
                      <w14:textFill>
                        <w14:solidFill>
                          <w14:schemeClr w14:val="tx1"/>
                        </w14:solidFill>
                      </w14:textFill>
                    </w:rPr>
                  </w:pPr>
                  <w:r>
                    <w:rPr>
                      <w:rFonts w:hint="eastAsia"/>
                      <w:b/>
                      <w:bCs/>
                      <w:color w:val="000000" w:themeColor="text1"/>
                      <w:sz w:val="21"/>
                      <w14:textFill>
                        <w14:solidFill>
                          <w14:schemeClr w14:val="tx1"/>
                        </w14:solidFill>
                      </w14:textFill>
                    </w:rPr>
                    <w:t>执行标准</w:t>
                  </w:r>
                </w:p>
              </w:tc>
            </w:tr>
            <w:tr w14:paraId="2153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64" w:type="pct"/>
                  <w:vAlign w:val="center"/>
                </w:tcPr>
                <w:p w14:paraId="7ED04035">
                  <w:pPr>
                    <w:pStyle w:val="46"/>
                    <w:spacing w:line="240" w:lineRule="auto"/>
                    <w:rPr>
                      <w:color w:val="000000" w:themeColor="text1"/>
                      <w:sz w:val="21"/>
                      <w14:textFill>
                        <w14:solidFill>
                          <w14:schemeClr w14:val="tx1"/>
                        </w14:solidFill>
                      </w14:textFill>
                    </w:rPr>
                  </w:pPr>
                  <w:r>
                    <w:rPr>
                      <w:color w:val="000000" w:themeColor="text1"/>
                      <w:sz w:val="21"/>
                      <w14:textFill>
                        <w14:solidFill>
                          <w14:schemeClr w14:val="tx1"/>
                        </w14:solidFill>
                      </w14:textFill>
                    </w:rPr>
                    <w:t>厂界四周各布设一个噪声监测点</w:t>
                  </w:r>
                </w:p>
              </w:tc>
              <w:tc>
                <w:tcPr>
                  <w:tcW w:w="1006" w:type="pct"/>
                  <w:vAlign w:val="center"/>
                </w:tcPr>
                <w:p w14:paraId="1AB28939">
                  <w:pPr>
                    <w:pStyle w:val="46"/>
                    <w:spacing w:line="240" w:lineRule="auto"/>
                    <w:rPr>
                      <w:color w:val="000000" w:themeColor="text1"/>
                      <w:sz w:val="21"/>
                      <w14:textFill>
                        <w14:solidFill>
                          <w14:schemeClr w14:val="tx1"/>
                        </w14:solidFill>
                      </w14:textFill>
                    </w:rPr>
                  </w:pPr>
                  <w:r>
                    <w:rPr>
                      <w:color w:val="000000" w:themeColor="text1"/>
                      <w:sz w:val="21"/>
                      <w14:textFill>
                        <w14:solidFill>
                          <w14:schemeClr w14:val="tx1"/>
                        </w14:solidFill>
                      </w14:textFill>
                    </w:rPr>
                    <w:t>连续等效A声级</w:t>
                  </w:r>
                </w:p>
              </w:tc>
              <w:tc>
                <w:tcPr>
                  <w:tcW w:w="762" w:type="pct"/>
                  <w:vAlign w:val="center"/>
                </w:tcPr>
                <w:p w14:paraId="2BBC2CD6">
                  <w:pPr>
                    <w:pStyle w:val="46"/>
                    <w:spacing w:line="240" w:lineRule="auto"/>
                    <w:rPr>
                      <w:color w:val="000000" w:themeColor="text1"/>
                      <w:sz w:val="21"/>
                      <w14:textFill>
                        <w14:solidFill>
                          <w14:schemeClr w14:val="tx1"/>
                        </w14:solidFill>
                      </w14:textFill>
                    </w:rPr>
                  </w:pPr>
                  <w:r>
                    <w:rPr>
                      <w:color w:val="000000" w:themeColor="text1"/>
                      <w:sz w:val="21"/>
                      <w14:textFill>
                        <w14:solidFill>
                          <w14:schemeClr w14:val="tx1"/>
                        </w14:solidFill>
                      </w14:textFill>
                    </w:rPr>
                    <w:t>每</w:t>
                  </w:r>
                  <w:r>
                    <w:rPr>
                      <w:rFonts w:hint="eastAsia"/>
                      <w:color w:val="000000" w:themeColor="text1"/>
                      <w:sz w:val="21"/>
                      <w14:textFill>
                        <w14:solidFill>
                          <w14:schemeClr w14:val="tx1"/>
                        </w14:solidFill>
                      </w14:textFill>
                    </w:rPr>
                    <w:t>季</w:t>
                  </w:r>
                  <w:r>
                    <w:rPr>
                      <w:color w:val="000000" w:themeColor="text1"/>
                      <w:sz w:val="21"/>
                      <w14:textFill>
                        <w14:solidFill>
                          <w14:schemeClr w14:val="tx1"/>
                        </w14:solidFill>
                      </w14:textFill>
                    </w:rPr>
                    <w:t>一次</w:t>
                  </w:r>
                </w:p>
              </w:tc>
              <w:tc>
                <w:tcPr>
                  <w:tcW w:w="2366" w:type="pct"/>
                  <w:vAlign w:val="center"/>
                </w:tcPr>
                <w:p w14:paraId="31526256">
                  <w:pPr>
                    <w:pStyle w:val="46"/>
                    <w:spacing w:line="240" w:lineRule="auto"/>
                    <w:rPr>
                      <w:color w:val="000000" w:themeColor="text1"/>
                      <w:sz w:val="21"/>
                      <w14:textFill>
                        <w14:solidFill>
                          <w14:schemeClr w14:val="tx1"/>
                        </w14:solidFill>
                      </w14:textFill>
                    </w:rPr>
                  </w:pPr>
                  <w:r>
                    <w:rPr>
                      <w:color w:val="000000" w:themeColor="text1"/>
                      <w:sz w:val="21"/>
                      <w14:textFill>
                        <w14:solidFill>
                          <w14:schemeClr w14:val="tx1"/>
                        </w14:solidFill>
                      </w14:textFill>
                    </w:rPr>
                    <w:t>《工业企业厂界环境噪声排放标准》（GB12348-2008）的中</w:t>
                  </w:r>
                  <w:r>
                    <w:rPr>
                      <w:rFonts w:hint="eastAsia"/>
                      <w:color w:val="000000" w:themeColor="text1"/>
                      <w:sz w:val="21"/>
                      <w:lang w:val="en-US" w:eastAsia="zh-CN"/>
                      <w14:textFill>
                        <w14:solidFill>
                          <w14:schemeClr w14:val="tx1"/>
                        </w14:solidFill>
                      </w14:textFill>
                    </w:rPr>
                    <w:t>3</w:t>
                  </w:r>
                  <w:r>
                    <w:rPr>
                      <w:color w:val="000000" w:themeColor="text1"/>
                      <w:sz w:val="21"/>
                      <w14:textFill>
                        <w14:solidFill>
                          <w14:schemeClr w14:val="tx1"/>
                        </w14:solidFill>
                      </w14:textFill>
                    </w:rPr>
                    <w:t>类标准</w:t>
                  </w:r>
                </w:p>
              </w:tc>
            </w:tr>
          </w:tbl>
          <w:p w14:paraId="6BED2ED8">
            <w:pPr>
              <w:spacing w:line="360" w:lineRule="auto"/>
              <w:ind w:firstLine="482" w:firstLineChars="20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四、固体废物</w:t>
            </w:r>
          </w:p>
          <w:p w14:paraId="71AA97C4">
            <w:pPr>
              <w:pStyle w:val="45"/>
              <w:autoSpaceDE w:val="0"/>
              <w:spacing w:line="360" w:lineRule="auto"/>
              <w:ind w:left="420" w:leftChars="200" w:firstLine="0" w:firstLineChars="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本项目所产生的固体废物为生活垃圾、一般固废和危险废物；</w:t>
            </w:r>
          </w:p>
          <w:p w14:paraId="7AED1688">
            <w:pPr>
              <w:pStyle w:val="45"/>
              <w:autoSpaceDE w:val="0"/>
              <w:spacing w:line="360" w:lineRule="auto"/>
              <w:ind w:left="420" w:leftChars="200" w:firstLine="0" w:firstLineChars="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1、生活垃圾</w:t>
            </w:r>
          </w:p>
          <w:p w14:paraId="58A9CFF7">
            <w:pPr>
              <w:pStyle w:val="45"/>
              <w:autoSpaceDE w:val="0"/>
              <w:spacing w:line="360" w:lineRule="auto"/>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项目</w:t>
            </w:r>
            <w:r>
              <w:rPr>
                <w:rFonts w:hint="eastAsia" w:ascii="Times New Roman" w:hAnsi="Times New Roman" w:eastAsia="宋体" w:cs="Times New Roman"/>
                <w:color w:val="000000" w:themeColor="text1"/>
                <w:lang w:val="en-US" w:eastAsia="zh-CN"/>
                <w14:textFill>
                  <w14:solidFill>
                    <w14:schemeClr w14:val="tx1"/>
                  </w14:solidFill>
                </w14:textFill>
              </w:rPr>
              <w:t>劳动定员</w:t>
            </w:r>
            <w:r>
              <w:rPr>
                <w:rFonts w:hint="eastAsia" w:cs="Times New Roman"/>
                <w:color w:val="000000" w:themeColor="text1"/>
                <w:lang w:val="en-US" w:eastAsia="zh-CN"/>
                <w14:textFill>
                  <w14:solidFill>
                    <w14:schemeClr w14:val="tx1"/>
                  </w14:solidFill>
                </w14:textFill>
              </w:rPr>
              <w:t>30</w:t>
            </w:r>
            <w:r>
              <w:rPr>
                <w:rFonts w:hint="eastAsia" w:ascii="Times New Roman" w:hAnsi="Times New Roman" w:eastAsia="宋体" w:cs="Times New Roman"/>
                <w:color w:val="000000" w:themeColor="text1"/>
                <w14:textFill>
                  <w14:solidFill>
                    <w14:schemeClr w14:val="tx1"/>
                  </w14:solidFill>
                </w14:textFill>
              </w:rPr>
              <w:t>人，生活垃圾产生量按照0.5kg/人·d计算，产生生活垃圾量</w:t>
            </w:r>
            <w:r>
              <w:rPr>
                <w:rFonts w:hint="eastAsia" w:cs="Times New Roman"/>
                <w:color w:val="000000" w:themeColor="text1"/>
                <w:lang w:val="en-US" w:eastAsia="zh-CN"/>
                <w14:textFill>
                  <w14:solidFill>
                    <w14:schemeClr w14:val="tx1"/>
                  </w14:solidFill>
                </w14:textFill>
              </w:rPr>
              <w:t>4.5</w:t>
            </w:r>
            <w:r>
              <w:rPr>
                <w:rFonts w:hint="eastAsia" w:ascii="Times New Roman" w:hAnsi="Times New Roman" w:eastAsia="宋体" w:cs="Times New Roman"/>
                <w:color w:val="000000" w:themeColor="text1"/>
                <w14:textFill>
                  <w14:solidFill>
                    <w14:schemeClr w14:val="tx1"/>
                  </w14:solidFill>
                </w14:textFill>
              </w:rPr>
              <w:t>t/a。由环卫部门定期清运处理。</w:t>
            </w:r>
          </w:p>
          <w:p w14:paraId="6999927E">
            <w:pPr>
              <w:pStyle w:val="45"/>
              <w:autoSpaceDE w:val="0"/>
              <w:spacing w:line="360" w:lineRule="auto"/>
              <w:ind w:left="420" w:leftChars="200" w:firstLine="0" w:firstLineChars="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一般固体废物</w:t>
            </w:r>
          </w:p>
          <w:p w14:paraId="060D5B61">
            <w:pPr>
              <w:pStyle w:val="45"/>
              <w:autoSpaceDE w:val="0"/>
              <w:spacing w:line="360" w:lineRule="auto"/>
              <w:ind w:firstLine="480"/>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（1）泥沙</w:t>
            </w:r>
          </w:p>
          <w:p w14:paraId="7E0D41BD">
            <w:pPr>
              <w:pStyle w:val="45"/>
              <w:autoSpaceDE w:val="0"/>
              <w:spacing w:line="360" w:lineRule="auto"/>
              <w:ind w:firstLine="480"/>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项目刮泥沙工序会产生泥沙，产生物态为固态，根据企业提供材料，泥沙产生量约为45t/a，回用于一期项目用于蚯蚓养殖。根据《固体废物分类与代码目录》可知，废物代码为SW17可再生类废物900-099-S17，废边角料经收集后暂存于一般固废暂存处，外售至物资回收部门。</w:t>
            </w:r>
          </w:p>
          <w:p w14:paraId="4BD792EC">
            <w:pPr>
              <w:pStyle w:val="45"/>
              <w:autoSpaceDE w:val="0"/>
              <w:spacing w:line="360" w:lineRule="auto"/>
              <w:ind w:left="420" w:leftChars="200"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清洗废物</w:t>
            </w:r>
          </w:p>
          <w:p w14:paraId="0E0E33E6">
            <w:pPr>
              <w:pStyle w:val="45"/>
              <w:autoSpaceDE w:val="0"/>
              <w:spacing w:line="360" w:lineRule="auto"/>
              <w:ind w:firstLine="48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蚯蚓清洗会产生少量的清洗废物，根据企业提供材料，清洗废物产生量约为5t/a</w:t>
            </w:r>
            <w:r>
              <w:rPr>
                <w:rFonts w:hint="eastAsia" w:ascii="Times New Roman" w:hAnsi="Times New Roman" w:eastAsia="宋体" w:cs="Times New Roman"/>
                <w:color w:val="000000" w:themeColor="text1"/>
                <w:lang w:val="en-US" w:eastAsia="zh-CN"/>
                <w14:textFill>
                  <w14:solidFill>
                    <w14:schemeClr w14:val="tx1"/>
                  </w14:solidFill>
                </w14:textFill>
              </w:rPr>
              <w:t>，回用于一期项目用于蚯蚓养殖</w:t>
            </w:r>
            <w:r>
              <w:rPr>
                <w:rFonts w:hint="eastAsia"/>
                <w:color w:val="000000" w:themeColor="text1"/>
                <w14:textFill>
                  <w14:solidFill>
                    <w14:schemeClr w14:val="tx1"/>
                  </w14:solidFill>
                </w14:textFill>
              </w:rPr>
              <w:t>。根据《固体废物分类与代码目录》可知，废物代码为SW59其他工业固体废物900-099-S59，经收集后暂存于一般固废暂存处，</w:t>
            </w:r>
            <w:r>
              <w:rPr>
                <w:rFonts w:hint="eastAsia" w:ascii="Times New Roman" w:hAnsi="Times New Roman" w:eastAsia="宋体" w:cs="Times New Roman"/>
                <w:color w:val="000000" w:themeColor="text1"/>
                <w:lang w:val="en-US" w:eastAsia="zh-CN"/>
                <w14:textFill>
                  <w14:solidFill>
                    <w14:schemeClr w14:val="tx1"/>
                  </w14:solidFill>
                </w14:textFill>
              </w:rPr>
              <w:t>回用于一期项目用于蚯蚓养殖</w:t>
            </w:r>
            <w:r>
              <w:rPr>
                <w:rFonts w:hint="eastAsia"/>
                <w:color w:val="000000" w:themeColor="text1"/>
                <w14:textFill>
                  <w14:solidFill>
                    <w14:schemeClr w14:val="tx1"/>
                  </w14:solidFill>
                </w14:textFill>
              </w:rPr>
              <w:t>。</w:t>
            </w:r>
          </w:p>
          <w:p w14:paraId="5F7DDD05">
            <w:pPr>
              <w:pStyle w:val="45"/>
              <w:autoSpaceDE w:val="0"/>
              <w:spacing w:line="360" w:lineRule="auto"/>
              <w:ind w:left="420" w:leftChars="200"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蚯蚓残渣</w:t>
            </w:r>
          </w:p>
          <w:p w14:paraId="01F809D6">
            <w:pPr>
              <w:pStyle w:val="45"/>
              <w:autoSpaceDE w:val="0"/>
              <w:spacing w:line="360" w:lineRule="auto"/>
              <w:ind w:firstLine="48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离心工序会产生少量的蚯蚓残渣，根据企业提供材料，蚯蚓残渣产生量约为10t/a</w:t>
            </w:r>
            <w:r>
              <w:rPr>
                <w:rFonts w:hint="eastAsia" w:ascii="Times New Roman" w:hAnsi="Times New Roman" w:eastAsia="宋体" w:cs="Times New Roman"/>
                <w:color w:val="000000" w:themeColor="text1"/>
                <w:lang w:val="en-US" w:eastAsia="zh-CN"/>
                <w14:textFill>
                  <w14:solidFill>
                    <w14:schemeClr w14:val="tx1"/>
                  </w14:solidFill>
                </w14:textFill>
              </w:rPr>
              <w:t>，回用于一期项目用于蚯蚓养殖</w:t>
            </w:r>
            <w:r>
              <w:rPr>
                <w:rFonts w:hint="eastAsia"/>
                <w:color w:val="000000" w:themeColor="text1"/>
                <w14:textFill>
                  <w14:solidFill>
                    <w14:schemeClr w14:val="tx1"/>
                  </w14:solidFill>
                </w14:textFill>
              </w:rPr>
              <w:t>。根据《固体废物分类与代码目录》可知，废物代码为SW59其他工业固体废物900-099-S59，经收集后暂存于一般固废暂存处，</w:t>
            </w:r>
            <w:r>
              <w:rPr>
                <w:rFonts w:hint="eastAsia" w:ascii="Times New Roman" w:hAnsi="Times New Roman" w:eastAsia="宋体" w:cs="Times New Roman"/>
                <w:color w:val="000000" w:themeColor="text1"/>
                <w:lang w:val="en-US" w:eastAsia="zh-CN"/>
                <w14:textFill>
                  <w14:solidFill>
                    <w14:schemeClr w14:val="tx1"/>
                  </w14:solidFill>
                </w14:textFill>
              </w:rPr>
              <w:t>回用于一期项目用于蚯蚓养殖</w:t>
            </w:r>
            <w:r>
              <w:rPr>
                <w:rFonts w:hint="eastAsia"/>
                <w:color w:val="000000" w:themeColor="text1"/>
                <w14:textFill>
                  <w14:solidFill>
                    <w14:schemeClr w14:val="tx1"/>
                  </w14:solidFill>
                </w14:textFill>
              </w:rPr>
              <w:t>。</w:t>
            </w:r>
          </w:p>
          <w:p w14:paraId="5FA671E3">
            <w:pPr>
              <w:spacing w:line="360" w:lineRule="auto"/>
              <w:ind w:firstLine="480" w:firstLineChars="200"/>
              <w:rPr>
                <w:rFonts w:hint="eastAsia" w:ascii="Times New Roman" w:hAnsi="Times New Roman" w:eastAsia="宋体" w:cs="Times New Roman"/>
                <w:color w:val="auto"/>
                <w:sz w:val="24"/>
                <w:lang w:bidi="ar"/>
              </w:rPr>
            </w:pPr>
            <w:r>
              <w:rPr>
                <w:rFonts w:hint="eastAsia" w:ascii="Times New Roman" w:hAnsi="Times New Roman" w:eastAsia="宋体" w:cs="Times New Roman"/>
                <w:color w:val="auto"/>
                <w:sz w:val="24"/>
                <w:lang w:bidi="ar"/>
              </w:rPr>
              <w:t>（</w:t>
            </w:r>
            <w:r>
              <w:rPr>
                <w:rFonts w:hint="eastAsia" w:cs="Times New Roman"/>
                <w:color w:val="auto"/>
                <w:sz w:val="24"/>
                <w:lang w:val="en-US" w:eastAsia="zh-CN" w:bidi="ar"/>
              </w:rPr>
              <w:t>4</w:t>
            </w:r>
            <w:r>
              <w:rPr>
                <w:rFonts w:hint="eastAsia" w:ascii="Times New Roman" w:hAnsi="Times New Roman" w:eastAsia="宋体" w:cs="Times New Roman"/>
                <w:color w:val="auto"/>
                <w:sz w:val="24"/>
                <w:lang w:bidi="ar"/>
              </w:rPr>
              <w:t>）污水处理</w:t>
            </w:r>
            <w:r>
              <w:rPr>
                <w:rFonts w:hint="eastAsia" w:ascii="Times New Roman" w:hAnsi="Times New Roman" w:eastAsia="宋体" w:cs="Times New Roman"/>
                <w:color w:val="auto"/>
                <w:sz w:val="24"/>
                <w:lang w:val="en-US" w:eastAsia="zh-CN" w:bidi="ar"/>
              </w:rPr>
              <w:t>设施</w:t>
            </w:r>
            <w:r>
              <w:rPr>
                <w:rFonts w:hint="eastAsia" w:ascii="Times New Roman" w:hAnsi="Times New Roman" w:eastAsia="宋体" w:cs="Times New Roman"/>
                <w:color w:val="auto"/>
                <w:sz w:val="24"/>
                <w:lang w:bidi="ar"/>
              </w:rPr>
              <w:t>污泥</w:t>
            </w:r>
          </w:p>
          <w:p w14:paraId="4CE6AA08">
            <w:pPr>
              <w:pStyle w:val="45"/>
              <w:autoSpaceDE w:val="0"/>
              <w:spacing w:line="360" w:lineRule="auto"/>
              <w:ind w:firstLine="480"/>
              <w:rPr>
                <w:rFonts w:ascii="Times New Roman" w:hAnsi="Times New Roman"/>
                <w:color w:val="auto"/>
              </w:rPr>
            </w:pPr>
            <w:r>
              <w:rPr>
                <w:rFonts w:ascii="Times New Roman" w:hAnsi="Times New Roman"/>
                <w:color w:val="auto"/>
              </w:rPr>
              <w:t>项目污水处理</w:t>
            </w:r>
            <w:r>
              <w:rPr>
                <w:rFonts w:hint="eastAsia" w:ascii="Times New Roman" w:hAnsi="Times New Roman"/>
                <w:color w:val="auto"/>
                <w:lang w:val="en-US" w:eastAsia="zh-CN"/>
              </w:rPr>
              <w:t>设施</w:t>
            </w:r>
            <w:r>
              <w:rPr>
                <w:rFonts w:ascii="Times New Roman" w:hAnsi="Times New Roman"/>
                <w:color w:val="auto"/>
              </w:rPr>
              <w:t>干污泥产生量采用《排污许可证申请与核发技术规范水处理（试行）》（HJ978-2018）中计算公式：</w:t>
            </w:r>
          </w:p>
          <w:p w14:paraId="3393A878">
            <w:pPr>
              <w:pStyle w:val="45"/>
              <w:autoSpaceDE w:val="0"/>
              <w:spacing w:line="360" w:lineRule="auto"/>
              <w:ind w:firstLine="0" w:firstLineChars="0"/>
              <w:jc w:val="center"/>
              <w:rPr>
                <w:rFonts w:ascii="Times New Roman" w:hAnsi="Times New Roman"/>
                <w:color w:val="auto"/>
              </w:rPr>
            </w:pPr>
            <w:bookmarkStart w:id="3" w:name="OLE_LINK1"/>
            <w:r>
              <w:rPr>
                <w:rFonts w:ascii="Times New Roman" w:hAnsi="Times New Roman"/>
                <w:color w:val="auto"/>
                <w:position w:val="-14"/>
              </w:rPr>
              <w:object>
                <v:shape id="_x0000_i1040" o:spt="75" type="#_x0000_t75" style="height:20.25pt;width:132pt;" o:ole="t" filled="f" o:preferrelative="t" stroked="f" coordsize="21600,21600">
                  <v:path/>
                  <v:fill on="f" focussize="0,0"/>
                  <v:stroke on="f" joinstyle="miter"/>
                  <v:imagedata r:id="rId49" o:title=""/>
                  <o:lock v:ext="edit" aspectratio="t"/>
                  <w10:wrap type="none"/>
                  <w10:anchorlock/>
                </v:shape>
                <o:OLEObject Type="Embed" ProgID="Equation.3" ShapeID="_x0000_i1040" DrawAspect="Content" ObjectID="_1468075740" r:id="rId48">
                  <o:LockedField>false</o:LockedField>
                </o:OLEObject>
              </w:object>
            </w:r>
          </w:p>
          <w:p w14:paraId="64EE3F38">
            <w:pPr>
              <w:pStyle w:val="45"/>
              <w:autoSpaceDE w:val="0"/>
              <w:spacing w:line="360" w:lineRule="auto"/>
              <w:ind w:firstLine="480"/>
              <w:rPr>
                <w:rFonts w:ascii="Times New Roman" w:hAnsi="Times New Roman"/>
                <w:color w:val="auto"/>
              </w:rPr>
            </w:pPr>
            <w:r>
              <w:rPr>
                <w:rFonts w:ascii="Times New Roman" w:hAnsi="Times New Roman"/>
                <w:color w:val="auto"/>
              </w:rPr>
              <w:t>式中：</w:t>
            </w:r>
            <w:r>
              <w:rPr>
                <w:rFonts w:ascii="Times New Roman" w:hAnsi="Times New Roman"/>
                <w:color w:val="auto"/>
                <w:position w:val="-14"/>
              </w:rPr>
              <w:object>
                <v:shape id="_x0000_i1041" o:spt="75" type="#_x0000_t75" style="height:18.75pt;width:33pt;" o:ole="t" filled="f" o:preferrelative="t" stroked="f" coordsize="21600,21600">
                  <v:path/>
                  <v:fill on="f" focussize="0,0"/>
                  <v:stroke on="f" joinstyle="miter"/>
                  <v:imagedata r:id="rId51" o:title=""/>
                  <o:lock v:ext="edit" aspectratio="t"/>
                  <w10:wrap type="none"/>
                  <w10:anchorlock/>
                </v:shape>
                <o:OLEObject Type="Embed" ProgID="Equation.3" ShapeID="_x0000_i1041" DrawAspect="Content" ObjectID="_1468075741" r:id="rId50">
                  <o:LockedField>false</o:LockedField>
                </o:OLEObject>
              </w:object>
            </w:r>
            <w:r>
              <w:rPr>
                <w:rFonts w:ascii="Times New Roman" w:hAnsi="Times New Roman"/>
                <w:color w:val="auto"/>
              </w:rPr>
              <w:t>——污水处理过程中产生的污泥量，以干泥计，t；</w:t>
            </w:r>
          </w:p>
          <w:p w14:paraId="1463C264">
            <w:pPr>
              <w:pStyle w:val="45"/>
              <w:autoSpaceDE w:val="0"/>
              <w:spacing w:line="360" w:lineRule="auto"/>
              <w:ind w:firstLine="480"/>
              <w:rPr>
                <w:rFonts w:ascii="Times New Roman" w:hAnsi="Times New Roman"/>
                <w:color w:val="auto"/>
              </w:rPr>
            </w:pPr>
            <w:r>
              <w:rPr>
                <w:rFonts w:ascii="Times New Roman" w:hAnsi="Times New Roman"/>
                <w:color w:val="auto"/>
                <w:position w:val="-10"/>
              </w:rPr>
              <w:object>
                <v:shape id="_x0000_i1042" o:spt="75" type="#_x0000_t75" style="height:15.75pt;width:12pt;" o:ole="t" filled="f" o:preferrelative="t" stroked="f" coordsize="21600,21600">
                  <v:path/>
                  <v:fill on="f" focussize="0,0"/>
                  <v:stroke on="f" joinstyle="miter"/>
                  <v:imagedata r:id="rId53" o:title=""/>
                  <o:lock v:ext="edit" aspectratio="t"/>
                  <w10:wrap type="none"/>
                  <w10:anchorlock/>
                </v:shape>
                <o:OLEObject Type="Embed" ProgID="Equation.3" ShapeID="_x0000_i1042" DrawAspect="Content" ObjectID="_1468075742" r:id="rId52">
                  <o:LockedField>false</o:LockedField>
                </o:OLEObject>
              </w:object>
            </w:r>
            <w:r>
              <w:rPr>
                <w:rFonts w:ascii="Times New Roman" w:hAnsi="Times New Roman"/>
                <w:color w:val="auto"/>
              </w:rPr>
              <w:t>——核算时段内排污单位废水排放量，m</w:t>
            </w:r>
            <w:r>
              <w:rPr>
                <w:rFonts w:ascii="Times New Roman" w:hAnsi="Times New Roman"/>
                <w:color w:val="auto"/>
                <w:vertAlign w:val="superscript"/>
              </w:rPr>
              <w:t>3</w:t>
            </w:r>
            <w:r>
              <w:rPr>
                <w:rFonts w:ascii="Times New Roman" w:hAnsi="Times New Roman"/>
                <w:color w:val="auto"/>
              </w:rPr>
              <w:t>，具有有效出水口实测值按实测值计，无有效出水口实测值按进水口实测值计，无有效进水口实测值按协议进水水量计；</w:t>
            </w:r>
          </w:p>
          <w:p w14:paraId="6A5F0E88">
            <w:pPr>
              <w:pStyle w:val="45"/>
              <w:autoSpaceDE w:val="0"/>
              <w:spacing w:line="360" w:lineRule="auto"/>
              <w:ind w:firstLine="480"/>
              <w:rPr>
                <w:rFonts w:ascii="Times New Roman" w:hAnsi="Times New Roman"/>
                <w:color w:val="auto"/>
              </w:rPr>
            </w:pPr>
            <w:r>
              <w:rPr>
                <w:rFonts w:ascii="Times New Roman" w:hAnsi="Times New Roman"/>
                <w:color w:val="auto"/>
                <w:position w:val="-12"/>
              </w:rPr>
              <w:object>
                <v:shape id="_x0000_i1043" o:spt="75" type="#_x0000_t75" style="height:18pt;width:18.75pt;" o:ole="t" filled="f" o:preferrelative="t" stroked="f" coordsize="21600,21600">
                  <v:path/>
                  <v:fill on="f" focussize="0,0"/>
                  <v:stroke on="f" joinstyle="miter"/>
                  <v:imagedata r:id="rId55" o:title=""/>
                  <o:lock v:ext="edit" aspectratio="t"/>
                  <w10:wrap type="none"/>
                  <w10:anchorlock/>
                </v:shape>
                <o:OLEObject Type="Embed" ProgID="Equation.3" ShapeID="_x0000_i1043" DrawAspect="Content" ObjectID="_1468075743" r:id="rId54">
                  <o:LockedField>false</o:LockedField>
                </o:OLEObject>
              </w:object>
            </w:r>
            <w:r>
              <w:rPr>
                <w:rFonts w:ascii="Times New Roman" w:hAnsi="Times New Roman"/>
                <w:color w:val="auto"/>
              </w:rPr>
              <w:t>——有深度处理工艺（添加化学药剂）时按2计，无深度处理工艺时按1计，量纲一。</w:t>
            </w:r>
          </w:p>
          <w:p w14:paraId="2790C57E">
            <w:pPr>
              <w:pStyle w:val="12"/>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color w:val="auto"/>
                <w:sz w:val="24"/>
                <w:szCs w:val="24"/>
                <w:lang w:bidi="ar"/>
              </w:rPr>
            </w:pPr>
            <w:r>
              <w:rPr>
                <w:color w:val="auto"/>
                <w:sz w:val="24"/>
                <w:szCs w:val="24"/>
                <w:lang w:bidi="ar"/>
              </w:rPr>
              <w:t>经厂区污水处理站处理的废水共有</w:t>
            </w:r>
            <w:r>
              <w:rPr>
                <w:rFonts w:hint="eastAsia"/>
                <w:color w:val="auto"/>
                <w:sz w:val="24"/>
                <w:szCs w:val="24"/>
                <w:lang w:val="en-US" w:eastAsia="zh-CN" w:bidi="ar"/>
              </w:rPr>
              <w:t>6915t</w:t>
            </w:r>
            <w:r>
              <w:rPr>
                <w:color w:val="auto"/>
                <w:sz w:val="24"/>
                <w:szCs w:val="24"/>
                <w:lang w:bidi="ar"/>
              </w:rPr>
              <w:t>/a，根据上</w:t>
            </w:r>
            <w:bookmarkEnd w:id="3"/>
            <w:r>
              <w:rPr>
                <w:color w:val="auto"/>
                <w:sz w:val="24"/>
                <w:szCs w:val="24"/>
                <w:lang w:bidi="ar"/>
              </w:rPr>
              <w:t>述公式计算可得，干污泥产生量为</w:t>
            </w:r>
            <w:r>
              <w:rPr>
                <w:rFonts w:hint="eastAsia"/>
                <w:color w:val="auto"/>
                <w:sz w:val="24"/>
                <w:szCs w:val="24"/>
                <w:lang w:val="en-US" w:eastAsia="zh-CN" w:bidi="ar"/>
              </w:rPr>
              <w:t>2.35</w:t>
            </w:r>
            <w:r>
              <w:rPr>
                <w:color w:val="auto"/>
                <w:sz w:val="24"/>
                <w:szCs w:val="24"/>
                <w:lang w:bidi="ar"/>
              </w:rPr>
              <w:t>t/a，污泥含水率</w:t>
            </w:r>
            <w:r>
              <w:rPr>
                <w:rFonts w:hint="eastAsia"/>
                <w:color w:val="auto"/>
                <w:sz w:val="24"/>
                <w:szCs w:val="24"/>
                <w:lang w:val="en-US" w:eastAsia="zh-CN" w:bidi="ar"/>
              </w:rPr>
              <w:t>以</w:t>
            </w:r>
            <w:r>
              <w:rPr>
                <w:color w:val="auto"/>
                <w:sz w:val="24"/>
                <w:szCs w:val="24"/>
                <w:lang w:bidi="ar"/>
              </w:rPr>
              <w:t>80%</w:t>
            </w:r>
            <w:r>
              <w:rPr>
                <w:rFonts w:hint="eastAsia"/>
                <w:color w:val="auto"/>
                <w:sz w:val="24"/>
                <w:szCs w:val="24"/>
                <w:lang w:val="en-US" w:eastAsia="zh-CN" w:bidi="ar"/>
              </w:rPr>
              <w:t>计</w:t>
            </w:r>
            <w:r>
              <w:rPr>
                <w:color w:val="auto"/>
                <w:sz w:val="24"/>
                <w:szCs w:val="24"/>
                <w:lang w:bidi="ar"/>
              </w:rPr>
              <w:t>，则污泥产生量为</w:t>
            </w:r>
            <w:r>
              <w:rPr>
                <w:rFonts w:hint="eastAsia"/>
                <w:color w:val="auto"/>
                <w:sz w:val="24"/>
                <w:szCs w:val="24"/>
                <w:lang w:val="en-US" w:eastAsia="zh-CN" w:bidi="ar"/>
              </w:rPr>
              <w:t>11.76</w:t>
            </w:r>
            <w:r>
              <w:rPr>
                <w:color w:val="auto"/>
                <w:sz w:val="24"/>
                <w:szCs w:val="24"/>
                <w:lang w:bidi="ar"/>
              </w:rPr>
              <w:t>t/a。</w:t>
            </w:r>
            <w:r>
              <w:rPr>
                <w:rFonts w:hint="eastAsia"/>
                <w:color w:val="auto"/>
                <w:sz w:val="24"/>
                <w:szCs w:val="24"/>
                <w:lang w:bidi="ar"/>
              </w:rPr>
              <w:t>根据《固体废物分类与代码目录》可知，废物代码为SW07污泥140-001-S07，经收集后暂存于一般固废暂存处，</w:t>
            </w:r>
            <w:r>
              <w:rPr>
                <w:rFonts w:hint="eastAsia"/>
                <w:color w:val="auto"/>
                <w:sz w:val="24"/>
                <w:szCs w:val="24"/>
                <w:lang w:val="en-US" w:eastAsia="zh-CN" w:bidi="ar"/>
              </w:rPr>
              <w:t>委托一般固废处置单位处理</w:t>
            </w:r>
            <w:r>
              <w:rPr>
                <w:rFonts w:hint="eastAsia"/>
                <w:color w:val="auto"/>
                <w:sz w:val="24"/>
                <w:szCs w:val="24"/>
                <w:lang w:bidi="ar"/>
              </w:rPr>
              <w:t>。</w:t>
            </w:r>
          </w:p>
          <w:p w14:paraId="3488DB43">
            <w:pPr>
              <w:pStyle w:val="12"/>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eastAsia" w:ascii="Times New Roman" w:hAnsi="Times New Roman" w:eastAsia="宋体" w:cs="Times New Roman"/>
                <w:color w:val="auto"/>
                <w:sz w:val="24"/>
                <w:szCs w:val="24"/>
                <w:lang w:val="en-US" w:eastAsia="zh-CN" w:bidi="ar"/>
              </w:rPr>
            </w:pPr>
            <w:r>
              <w:rPr>
                <w:rFonts w:hint="eastAsia" w:ascii="Times New Roman" w:hAnsi="Times New Roman" w:eastAsia="宋体" w:cs="Times New Roman"/>
                <w:color w:val="auto"/>
                <w:sz w:val="24"/>
                <w:szCs w:val="24"/>
                <w:lang w:val="en-US" w:eastAsia="zh-CN" w:bidi="ar"/>
              </w:rPr>
              <w:t>（5）废纯水制备材料</w:t>
            </w:r>
          </w:p>
          <w:p w14:paraId="54223ED8">
            <w:pPr>
              <w:pStyle w:val="12"/>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eastAsia" w:ascii="Times New Roman" w:hAnsi="Times New Roman" w:eastAsia="宋体" w:cs="Times New Roman"/>
                <w:color w:val="auto"/>
                <w:sz w:val="24"/>
                <w:szCs w:val="24"/>
                <w:lang w:val="en-US" w:eastAsia="zh-CN" w:bidi="ar"/>
              </w:rPr>
            </w:pPr>
            <w:r>
              <w:rPr>
                <w:rFonts w:hint="eastAsia" w:ascii="Times New Roman" w:hAnsi="Times New Roman" w:eastAsia="宋体" w:cs="Times New Roman"/>
                <w:color w:val="auto"/>
                <w:sz w:val="24"/>
                <w:szCs w:val="24"/>
                <w:lang w:val="en-US" w:eastAsia="zh-CN" w:bidi="ar"/>
              </w:rPr>
              <w:t>项目设置2台纯水制备机，项目废纯水制备材料产生量约为0.5t/a。收集后暂存在一般固废暂存间，作为一般固废，交由有资质的一般固废处置单位处理。根据《固体废物分类与代码目录》，废纯水制备材料属于SW59其他工业固体废物900-009-S59。</w:t>
            </w:r>
          </w:p>
          <w:p w14:paraId="2C139FCD">
            <w:pPr>
              <w:pStyle w:val="45"/>
              <w:autoSpaceDE w:val="0"/>
              <w:spacing w:line="360" w:lineRule="auto"/>
              <w:ind w:left="420" w:leftChars="200"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3、危险废物</w:t>
            </w:r>
          </w:p>
          <w:p w14:paraId="69F04211">
            <w:pPr>
              <w:pStyle w:val="45"/>
              <w:autoSpaceDE w:val="0"/>
              <w:spacing w:line="360" w:lineRule="auto"/>
              <w:ind w:left="420" w:leftChars="200"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实验检验废物</w:t>
            </w:r>
          </w:p>
          <w:p w14:paraId="277A92BB">
            <w:pPr>
              <w:pStyle w:val="45"/>
              <w:autoSpaceDE w:val="0"/>
              <w:spacing w:line="360" w:lineRule="auto"/>
              <w:ind w:firstLine="48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项目进行产品质量检测时会用到实验试剂，年用量较少，实验检验废物产生量约为0.01t/a，根据《国家危险废物名录》（2025年版），实验检验废物属于危险固废，危废类别为HW49，危废代码900-047-49，设置危废收集桶，用于暂存危废，委托有资质单位处理。</w:t>
            </w:r>
          </w:p>
          <w:p w14:paraId="141AE8B8">
            <w:pPr>
              <w:jc w:val="center"/>
              <w:rPr>
                <w:b/>
                <w:sz w:val="24"/>
                <w:szCs w:val="24"/>
              </w:rPr>
            </w:pPr>
            <w:r>
              <w:rPr>
                <w:b/>
                <w:sz w:val="24"/>
                <w:szCs w:val="24"/>
                <w:lang w:bidi="ar"/>
              </w:rPr>
              <w:t>表4-</w:t>
            </w:r>
            <w:r>
              <w:rPr>
                <w:rFonts w:hint="eastAsia"/>
                <w:b/>
                <w:sz w:val="24"/>
                <w:szCs w:val="24"/>
                <w:lang w:val="en-US" w:eastAsia="zh-CN" w:bidi="ar"/>
              </w:rPr>
              <w:t>20</w:t>
            </w:r>
            <w:r>
              <w:rPr>
                <w:b/>
                <w:sz w:val="24"/>
                <w:szCs w:val="24"/>
                <w:lang w:bidi="ar"/>
              </w:rPr>
              <w:t>固体废物产生情况一览表</w:t>
            </w:r>
          </w:p>
          <w:tbl>
            <w:tblPr>
              <w:tblStyle w:val="23"/>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758"/>
              <w:gridCol w:w="1570"/>
              <w:gridCol w:w="902"/>
              <w:gridCol w:w="701"/>
              <w:gridCol w:w="965"/>
              <w:gridCol w:w="1302"/>
              <w:gridCol w:w="957"/>
            </w:tblGrid>
            <w:tr w14:paraId="1A33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93" w:type="pct"/>
                  <w:tcBorders>
                    <w:bottom w:val="single" w:color="auto" w:sz="4" w:space="0"/>
                    <w:right w:val="single" w:color="auto" w:sz="4" w:space="0"/>
                  </w:tcBorders>
                  <w:vAlign w:val="center"/>
                </w:tcPr>
                <w:p w14:paraId="064A0E14">
                  <w:pPr>
                    <w:keepNext w:val="0"/>
                    <w:keepLines w:val="0"/>
                    <w:pageBreakBefore w:val="0"/>
                    <w:kinsoku/>
                    <w:wordWrap/>
                    <w:overflowPunct/>
                    <w:topLinePunct w:val="0"/>
                    <w:bidi w:val="0"/>
                    <w:ind w:right="0"/>
                    <w:jc w:val="center"/>
                    <w:textAlignment w:val="auto"/>
                    <w:outlineLvl w:val="9"/>
                    <w:rPr>
                      <w:b/>
                      <w:sz w:val="21"/>
                      <w:szCs w:val="21"/>
                    </w:rPr>
                  </w:pPr>
                  <w:r>
                    <w:rPr>
                      <w:b/>
                      <w:sz w:val="21"/>
                      <w:szCs w:val="21"/>
                      <w:lang w:bidi="ar"/>
                    </w:rPr>
                    <w:t>名称</w:t>
                  </w:r>
                </w:p>
              </w:tc>
              <w:tc>
                <w:tcPr>
                  <w:tcW w:w="469" w:type="pct"/>
                  <w:tcBorders>
                    <w:left w:val="nil"/>
                    <w:bottom w:val="single" w:color="auto" w:sz="4" w:space="0"/>
                    <w:right w:val="single" w:color="auto" w:sz="4" w:space="0"/>
                  </w:tcBorders>
                  <w:vAlign w:val="center"/>
                </w:tcPr>
                <w:p w14:paraId="39D028C9">
                  <w:pPr>
                    <w:keepNext w:val="0"/>
                    <w:keepLines w:val="0"/>
                    <w:pageBreakBefore w:val="0"/>
                    <w:kinsoku/>
                    <w:wordWrap/>
                    <w:overflowPunct/>
                    <w:topLinePunct w:val="0"/>
                    <w:bidi w:val="0"/>
                    <w:ind w:right="0"/>
                    <w:jc w:val="center"/>
                    <w:textAlignment w:val="auto"/>
                    <w:outlineLvl w:val="9"/>
                    <w:rPr>
                      <w:b/>
                      <w:sz w:val="21"/>
                      <w:szCs w:val="21"/>
                    </w:rPr>
                  </w:pPr>
                  <w:r>
                    <w:rPr>
                      <w:b/>
                      <w:sz w:val="21"/>
                      <w:szCs w:val="21"/>
                      <w:lang w:bidi="ar"/>
                    </w:rPr>
                    <w:t>类别</w:t>
                  </w:r>
                </w:p>
              </w:tc>
              <w:tc>
                <w:tcPr>
                  <w:tcW w:w="782" w:type="pct"/>
                  <w:tcBorders>
                    <w:left w:val="nil"/>
                    <w:bottom w:val="single" w:color="auto" w:sz="4" w:space="0"/>
                    <w:right w:val="single" w:color="auto" w:sz="4" w:space="0"/>
                  </w:tcBorders>
                  <w:vAlign w:val="center"/>
                </w:tcPr>
                <w:p w14:paraId="7513F0AF">
                  <w:pPr>
                    <w:keepNext w:val="0"/>
                    <w:keepLines w:val="0"/>
                    <w:pageBreakBefore w:val="0"/>
                    <w:kinsoku/>
                    <w:wordWrap/>
                    <w:overflowPunct/>
                    <w:topLinePunct w:val="0"/>
                    <w:bidi w:val="0"/>
                    <w:ind w:right="0"/>
                    <w:jc w:val="center"/>
                    <w:textAlignment w:val="auto"/>
                    <w:outlineLvl w:val="9"/>
                    <w:rPr>
                      <w:b/>
                      <w:sz w:val="21"/>
                      <w:szCs w:val="21"/>
                      <w:lang w:bidi="ar"/>
                    </w:rPr>
                  </w:pPr>
                  <w:r>
                    <w:rPr>
                      <w:b/>
                      <w:sz w:val="21"/>
                      <w:szCs w:val="21"/>
                      <w:lang w:bidi="ar"/>
                    </w:rPr>
                    <w:t>固废代码</w:t>
                  </w:r>
                </w:p>
              </w:tc>
              <w:tc>
                <w:tcPr>
                  <w:tcW w:w="554" w:type="pct"/>
                  <w:tcBorders>
                    <w:left w:val="nil"/>
                    <w:bottom w:val="single" w:color="auto" w:sz="4" w:space="0"/>
                    <w:right w:val="single" w:color="auto" w:sz="4" w:space="0"/>
                  </w:tcBorders>
                  <w:vAlign w:val="center"/>
                </w:tcPr>
                <w:p w14:paraId="3B894FFB">
                  <w:pPr>
                    <w:keepNext w:val="0"/>
                    <w:keepLines w:val="0"/>
                    <w:pageBreakBefore w:val="0"/>
                    <w:kinsoku/>
                    <w:wordWrap/>
                    <w:overflowPunct/>
                    <w:topLinePunct w:val="0"/>
                    <w:bidi w:val="0"/>
                    <w:ind w:right="0"/>
                    <w:jc w:val="center"/>
                    <w:textAlignment w:val="auto"/>
                    <w:outlineLvl w:val="9"/>
                    <w:rPr>
                      <w:b/>
                      <w:sz w:val="21"/>
                      <w:szCs w:val="21"/>
                      <w:lang w:bidi="ar"/>
                    </w:rPr>
                  </w:pPr>
                  <w:r>
                    <w:rPr>
                      <w:b/>
                      <w:sz w:val="21"/>
                      <w:szCs w:val="21"/>
                      <w:lang w:bidi="ar"/>
                    </w:rPr>
                    <w:t>产生环节</w:t>
                  </w:r>
                </w:p>
              </w:tc>
              <w:tc>
                <w:tcPr>
                  <w:tcW w:w="435" w:type="pct"/>
                  <w:tcBorders>
                    <w:left w:val="nil"/>
                    <w:bottom w:val="single" w:color="auto" w:sz="4" w:space="0"/>
                    <w:right w:val="single" w:color="auto" w:sz="4" w:space="0"/>
                  </w:tcBorders>
                  <w:vAlign w:val="center"/>
                </w:tcPr>
                <w:p w14:paraId="4CAF7A88">
                  <w:pPr>
                    <w:keepNext w:val="0"/>
                    <w:keepLines w:val="0"/>
                    <w:pageBreakBefore w:val="0"/>
                    <w:kinsoku/>
                    <w:wordWrap/>
                    <w:overflowPunct/>
                    <w:topLinePunct w:val="0"/>
                    <w:bidi w:val="0"/>
                    <w:ind w:right="0"/>
                    <w:jc w:val="center"/>
                    <w:textAlignment w:val="auto"/>
                    <w:outlineLvl w:val="9"/>
                    <w:rPr>
                      <w:b/>
                      <w:sz w:val="21"/>
                      <w:szCs w:val="21"/>
                      <w:lang w:bidi="ar"/>
                    </w:rPr>
                  </w:pPr>
                  <w:r>
                    <w:rPr>
                      <w:b/>
                      <w:sz w:val="21"/>
                      <w:szCs w:val="21"/>
                      <w:lang w:bidi="ar"/>
                    </w:rPr>
                    <w:t>状态</w:t>
                  </w:r>
                </w:p>
              </w:tc>
              <w:tc>
                <w:tcPr>
                  <w:tcW w:w="591" w:type="pct"/>
                  <w:tcBorders>
                    <w:left w:val="nil"/>
                    <w:bottom w:val="single" w:color="auto" w:sz="4" w:space="0"/>
                    <w:right w:val="single" w:color="auto" w:sz="4" w:space="0"/>
                  </w:tcBorders>
                  <w:vAlign w:val="center"/>
                </w:tcPr>
                <w:p w14:paraId="0A10A3EB">
                  <w:pPr>
                    <w:keepNext w:val="0"/>
                    <w:keepLines w:val="0"/>
                    <w:pageBreakBefore w:val="0"/>
                    <w:kinsoku/>
                    <w:wordWrap/>
                    <w:overflowPunct/>
                    <w:topLinePunct w:val="0"/>
                    <w:bidi w:val="0"/>
                    <w:ind w:right="0"/>
                    <w:jc w:val="center"/>
                    <w:textAlignment w:val="auto"/>
                    <w:outlineLvl w:val="9"/>
                    <w:rPr>
                      <w:b/>
                      <w:sz w:val="21"/>
                      <w:szCs w:val="21"/>
                    </w:rPr>
                  </w:pPr>
                  <w:r>
                    <w:rPr>
                      <w:b/>
                      <w:sz w:val="21"/>
                      <w:szCs w:val="21"/>
                      <w:lang w:bidi="ar"/>
                    </w:rPr>
                    <w:t>产生量（t/a）</w:t>
                  </w:r>
                </w:p>
              </w:tc>
              <w:tc>
                <w:tcPr>
                  <w:tcW w:w="790" w:type="pct"/>
                  <w:tcBorders>
                    <w:left w:val="nil"/>
                    <w:bottom w:val="single" w:color="auto" w:sz="4" w:space="0"/>
                    <w:right w:val="single" w:color="auto" w:sz="4" w:space="0"/>
                  </w:tcBorders>
                  <w:vAlign w:val="center"/>
                </w:tcPr>
                <w:p w14:paraId="20BFE29C">
                  <w:pPr>
                    <w:keepNext w:val="0"/>
                    <w:keepLines w:val="0"/>
                    <w:pageBreakBefore w:val="0"/>
                    <w:kinsoku/>
                    <w:wordWrap/>
                    <w:overflowPunct/>
                    <w:topLinePunct w:val="0"/>
                    <w:bidi w:val="0"/>
                    <w:ind w:right="0"/>
                    <w:jc w:val="center"/>
                    <w:textAlignment w:val="auto"/>
                    <w:outlineLvl w:val="9"/>
                    <w:rPr>
                      <w:b/>
                      <w:sz w:val="21"/>
                      <w:szCs w:val="21"/>
                    </w:rPr>
                  </w:pPr>
                  <w:r>
                    <w:rPr>
                      <w:b/>
                      <w:sz w:val="21"/>
                      <w:szCs w:val="21"/>
                      <w:lang w:bidi="ar"/>
                    </w:rPr>
                    <w:t>最终去向</w:t>
                  </w:r>
                </w:p>
              </w:tc>
              <w:tc>
                <w:tcPr>
                  <w:tcW w:w="582" w:type="pct"/>
                  <w:tcBorders>
                    <w:left w:val="nil"/>
                    <w:bottom w:val="single" w:color="auto" w:sz="4" w:space="0"/>
                  </w:tcBorders>
                  <w:vAlign w:val="center"/>
                </w:tcPr>
                <w:p w14:paraId="238DEDAC">
                  <w:pPr>
                    <w:keepNext w:val="0"/>
                    <w:keepLines w:val="0"/>
                    <w:pageBreakBefore w:val="0"/>
                    <w:kinsoku/>
                    <w:wordWrap/>
                    <w:overflowPunct/>
                    <w:topLinePunct w:val="0"/>
                    <w:bidi w:val="0"/>
                    <w:ind w:right="0"/>
                    <w:jc w:val="center"/>
                    <w:textAlignment w:val="auto"/>
                    <w:outlineLvl w:val="9"/>
                    <w:rPr>
                      <w:b/>
                      <w:sz w:val="21"/>
                      <w:szCs w:val="21"/>
                      <w:lang w:bidi="ar"/>
                    </w:rPr>
                  </w:pPr>
                  <w:r>
                    <w:rPr>
                      <w:b/>
                      <w:sz w:val="21"/>
                      <w:szCs w:val="21"/>
                      <w:lang w:bidi="ar"/>
                    </w:rPr>
                    <w:t>排放量（t/a）</w:t>
                  </w:r>
                </w:p>
              </w:tc>
            </w:tr>
            <w:tr w14:paraId="315C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93" w:type="pct"/>
                  <w:tcBorders>
                    <w:top w:val="single" w:color="auto" w:sz="4" w:space="0"/>
                    <w:bottom w:val="single" w:color="auto" w:sz="4" w:space="0"/>
                    <w:right w:val="single" w:color="auto" w:sz="4" w:space="0"/>
                  </w:tcBorders>
                  <w:vAlign w:val="center"/>
                </w:tcPr>
                <w:p w14:paraId="41CE2A1A">
                  <w:pPr>
                    <w:pStyle w:val="12"/>
                    <w:keepNext w:val="0"/>
                    <w:keepLines w:val="0"/>
                    <w:pageBreakBefore w:val="0"/>
                    <w:kinsoku/>
                    <w:wordWrap/>
                    <w:overflowPunct/>
                    <w:topLinePunct w:val="0"/>
                    <w:bidi w:val="0"/>
                    <w:spacing w:before="0" w:after="0" w:line="240" w:lineRule="auto"/>
                    <w:ind w:right="0"/>
                    <w:jc w:val="center"/>
                    <w:textAlignment w:val="auto"/>
                    <w:outlineLvl w:val="9"/>
                    <w:rPr>
                      <w:sz w:val="21"/>
                      <w:szCs w:val="21"/>
                      <w:lang w:bidi="ar"/>
                    </w:rPr>
                  </w:pPr>
                  <w:r>
                    <w:rPr>
                      <w:sz w:val="21"/>
                      <w:szCs w:val="21"/>
                    </w:rPr>
                    <w:t>生活垃圾</w:t>
                  </w:r>
                </w:p>
              </w:tc>
              <w:tc>
                <w:tcPr>
                  <w:tcW w:w="469" w:type="pct"/>
                  <w:tcBorders>
                    <w:top w:val="single" w:color="auto" w:sz="4" w:space="0"/>
                    <w:left w:val="nil"/>
                    <w:bottom w:val="single" w:color="auto" w:sz="4" w:space="0"/>
                    <w:right w:val="single" w:color="auto" w:sz="4" w:space="0"/>
                  </w:tcBorders>
                  <w:vAlign w:val="center"/>
                </w:tcPr>
                <w:p w14:paraId="05ADE852">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782" w:type="pct"/>
                  <w:tcBorders>
                    <w:top w:val="single" w:color="auto" w:sz="4" w:space="0"/>
                    <w:left w:val="nil"/>
                    <w:bottom w:val="single" w:color="auto" w:sz="4" w:space="0"/>
                    <w:right w:val="single" w:color="auto" w:sz="4" w:space="0"/>
                  </w:tcBorders>
                  <w:vAlign w:val="center"/>
                </w:tcPr>
                <w:p w14:paraId="0BC55F03">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554" w:type="pct"/>
                  <w:tcBorders>
                    <w:top w:val="single" w:color="auto" w:sz="4" w:space="0"/>
                    <w:left w:val="nil"/>
                    <w:bottom w:val="single" w:color="auto" w:sz="4" w:space="0"/>
                    <w:right w:val="single" w:color="auto" w:sz="4" w:space="0"/>
                  </w:tcBorders>
                  <w:vAlign w:val="center"/>
                </w:tcPr>
                <w:p w14:paraId="405E53D5">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日常生活</w:t>
                  </w:r>
                </w:p>
              </w:tc>
              <w:tc>
                <w:tcPr>
                  <w:tcW w:w="435" w:type="pct"/>
                  <w:tcBorders>
                    <w:top w:val="single" w:color="auto" w:sz="4" w:space="0"/>
                    <w:left w:val="nil"/>
                    <w:bottom w:val="single" w:color="auto" w:sz="4" w:space="0"/>
                    <w:right w:val="single" w:color="auto" w:sz="4" w:space="0"/>
                  </w:tcBorders>
                  <w:vAlign w:val="center"/>
                </w:tcPr>
                <w:p w14:paraId="1509AFDD">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固态</w:t>
                  </w:r>
                </w:p>
              </w:tc>
              <w:tc>
                <w:tcPr>
                  <w:tcW w:w="591" w:type="pct"/>
                  <w:tcBorders>
                    <w:top w:val="single" w:color="auto" w:sz="4" w:space="0"/>
                    <w:left w:val="nil"/>
                    <w:bottom w:val="single" w:color="auto" w:sz="4" w:space="0"/>
                    <w:right w:val="single" w:color="auto" w:sz="4" w:space="0"/>
                  </w:tcBorders>
                  <w:vAlign w:val="center"/>
                </w:tcPr>
                <w:p w14:paraId="7037A96C">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default" w:ascii="Times New Roman" w:hAnsi="Times New Roman" w:eastAsia="宋体" w:cs="Times New Roman"/>
                      <w:sz w:val="21"/>
                      <w:szCs w:val="21"/>
                      <w:lang w:val="en-US" w:eastAsia="zh-CN"/>
                    </w:rPr>
                  </w:pPr>
                  <w:r>
                    <w:rPr>
                      <w:rFonts w:hint="eastAsia" w:cs="Times New Roman"/>
                      <w:sz w:val="21"/>
                      <w:szCs w:val="21"/>
                      <w:lang w:val="en-US" w:eastAsia="zh-CN"/>
                    </w:rPr>
                    <w:t>4.5</w:t>
                  </w:r>
                </w:p>
              </w:tc>
              <w:tc>
                <w:tcPr>
                  <w:tcW w:w="790" w:type="pct"/>
                  <w:tcBorders>
                    <w:top w:val="single" w:color="auto" w:sz="4" w:space="0"/>
                    <w:left w:val="nil"/>
                    <w:bottom w:val="single" w:color="auto" w:sz="4" w:space="0"/>
                    <w:right w:val="single" w:color="auto" w:sz="4" w:space="0"/>
                  </w:tcBorders>
                  <w:vAlign w:val="center"/>
                </w:tcPr>
                <w:p w14:paraId="1C284C07">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环卫部门清运</w:t>
                  </w:r>
                </w:p>
              </w:tc>
              <w:tc>
                <w:tcPr>
                  <w:tcW w:w="582" w:type="pct"/>
                  <w:tcBorders>
                    <w:top w:val="single" w:color="auto" w:sz="4" w:space="0"/>
                    <w:left w:val="nil"/>
                    <w:bottom w:val="single" w:color="auto" w:sz="4" w:space="0"/>
                  </w:tcBorders>
                  <w:vAlign w:val="center"/>
                </w:tcPr>
                <w:p w14:paraId="24A58D99">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w:t>
                  </w:r>
                </w:p>
              </w:tc>
            </w:tr>
            <w:tr w14:paraId="339C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93" w:type="pct"/>
                  <w:tcBorders>
                    <w:top w:val="single" w:color="auto" w:sz="4" w:space="0"/>
                    <w:bottom w:val="single" w:color="auto" w:sz="4" w:space="0"/>
                    <w:right w:val="single" w:color="auto" w:sz="4" w:space="0"/>
                  </w:tcBorders>
                  <w:vAlign w:val="center"/>
                </w:tcPr>
                <w:p w14:paraId="690779CB">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泥沙</w:t>
                  </w:r>
                </w:p>
              </w:tc>
              <w:tc>
                <w:tcPr>
                  <w:tcW w:w="469" w:type="pct"/>
                  <w:tcBorders>
                    <w:top w:val="single" w:color="auto" w:sz="4" w:space="0"/>
                    <w:left w:val="nil"/>
                    <w:bottom w:val="single" w:color="auto" w:sz="4" w:space="0"/>
                    <w:right w:val="single" w:color="auto" w:sz="4" w:space="0"/>
                  </w:tcBorders>
                  <w:vAlign w:val="center"/>
                </w:tcPr>
                <w:p w14:paraId="056E3D5F">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一般固废</w:t>
                  </w:r>
                </w:p>
              </w:tc>
              <w:tc>
                <w:tcPr>
                  <w:tcW w:w="782" w:type="pct"/>
                  <w:tcBorders>
                    <w:top w:val="single" w:color="auto" w:sz="4" w:space="0"/>
                    <w:left w:val="nil"/>
                    <w:bottom w:val="single" w:color="auto" w:sz="4" w:space="0"/>
                    <w:right w:val="single" w:color="auto" w:sz="4" w:space="0"/>
                  </w:tcBorders>
                  <w:vAlign w:val="center"/>
                </w:tcPr>
                <w:p w14:paraId="0BED06BC">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900-099-S59</w:t>
                  </w:r>
                </w:p>
              </w:tc>
              <w:tc>
                <w:tcPr>
                  <w:tcW w:w="554" w:type="pct"/>
                  <w:tcBorders>
                    <w:top w:val="single" w:color="auto" w:sz="4" w:space="0"/>
                    <w:left w:val="nil"/>
                    <w:bottom w:val="single" w:color="auto" w:sz="4" w:space="0"/>
                    <w:right w:val="single" w:color="auto" w:sz="4" w:space="0"/>
                  </w:tcBorders>
                  <w:vAlign w:val="center"/>
                </w:tcPr>
                <w:p w14:paraId="64F53B43">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日常生产</w:t>
                  </w:r>
                </w:p>
              </w:tc>
              <w:tc>
                <w:tcPr>
                  <w:tcW w:w="435" w:type="pct"/>
                  <w:tcBorders>
                    <w:top w:val="single" w:color="auto" w:sz="4" w:space="0"/>
                    <w:left w:val="nil"/>
                    <w:bottom w:val="single" w:color="auto" w:sz="4" w:space="0"/>
                    <w:right w:val="single" w:color="auto" w:sz="4" w:space="0"/>
                  </w:tcBorders>
                  <w:vAlign w:val="center"/>
                </w:tcPr>
                <w:p w14:paraId="3814C6B1">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固态</w:t>
                  </w:r>
                </w:p>
              </w:tc>
              <w:tc>
                <w:tcPr>
                  <w:tcW w:w="591" w:type="pct"/>
                  <w:tcBorders>
                    <w:top w:val="single" w:color="auto" w:sz="4" w:space="0"/>
                    <w:left w:val="nil"/>
                    <w:bottom w:val="single" w:color="auto" w:sz="4" w:space="0"/>
                    <w:right w:val="single" w:color="auto" w:sz="4" w:space="0"/>
                  </w:tcBorders>
                  <w:vAlign w:val="center"/>
                </w:tcPr>
                <w:p w14:paraId="45973757">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45</w:t>
                  </w:r>
                </w:p>
              </w:tc>
              <w:tc>
                <w:tcPr>
                  <w:tcW w:w="790" w:type="pct"/>
                  <w:tcBorders>
                    <w:top w:val="single" w:color="auto" w:sz="4" w:space="0"/>
                    <w:left w:val="nil"/>
                    <w:bottom w:val="single" w:color="auto" w:sz="4" w:space="0"/>
                    <w:right w:val="single" w:color="auto" w:sz="4" w:space="0"/>
                  </w:tcBorders>
                  <w:vAlign w:val="center"/>
                </w:tcPr>
                <w:p w14:paraId="1433BB7D">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回用于一期项目用于蚯蚓养殖</w:t>
                  </w:r>
                </w:p>
              </w:tc>
              <w:tc>
                <w:tcPr>
                  <w:tcW w:w="582" w:type="pct"/>
                  <w:tcBorders>
                    <w:top w:val="single" w:color="auto" w:sz="4" w:space="0"/>
                    <w:left w:val="nil"/>
                    <w:bottom w:val="single" w:color="auto" w:sz="4" w:space="0"/>
                  </w:tcBorders>
                  <w:vAlign w:val="center"/>
                </w:tcPr>
                <w:p w14:paraId="65590A61">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w:t>
                  </w:r>
                </w:p>
              </w:tc>
            </w:tr>
            <w:tr w14:paraId="06E98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93" w:type="pct"/>
                  <w:tcBorders>
                    <w:top w:val="single" w:color="auto" w:sz="4" w:space="0"/>
                    <w:bottom w:val="single" w:color="auto" w:sz="4" w:space="0"/>
                    <w:right w:val="single" w:color="auto" w:sz="4" w:space="0"/>
                  </w:tcBorders>
                  <w:vAlign w:val="center"/>
                </w:tcPr>
                <w:p w14:paraId="2CDB3D92">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清洗废物</w:t>
                  </w:r>
                </w:p>
              </w:tc>
              <w:tc>
                <w:tcPr>
                  <w:tcW w:w="469" w:type="pct"/>
                  <w:tcBorders>
                    <w:top w:val="single" w:color="auto" w:sz="4" w:space="0"/>
                    <w:left w:val="nil"/>
                    <w:bottom w:val="single" w:color="auto" w:sz="4" w:space="0"/>
                    <w:right w:val="single" w:color="auto" w:sz="4" w:space="0"/>
                  </w:tcBorders>
                  <w:vAlign w:val="center"/>
                </w:tcPr>
                <w:p w14:paraId="234B13B7">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一般固废</w:t>
                  </w:r>
                </w:p>
              </w:tc>
              <w:tc>
                <w:tcPr>
                  <w:tcW w:w="782" w:type="pct"/>
                  <w:tcBorders>
                    <w:top w:val="single" w:color="auto" w:sz="4" w:space="0"/>
                    <w:left w:val="nil"/>
                    <w:bottom w:val="single" w:color="auto" w:sz="4" w:space="0"/>
                    <w:right w:val="single" w:color="auto" w:sz="4" w:space="0"/>
                  </w:tcBorders>
                  <w:vAlign w:val="center"/>
                </w:tcPr>
                <w:p w14:paraId="4729B225">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900-099-S59</w:t>
                  </w:r>
                </w:p>
              </w:tc>
              <w:tc>
                <w:tcPr>
                  <w:tcW w:w="554" w:type="pct"/>
                  <w:tcBorders>
                    <w:top w:val="single" w:color="auto" w:sz="4" w:space="0"/>
                    <w:left w:val="nil"/>
                    <w:bottom w:val="single" w:color="auto" w:sz="4" w:space="0"/>
                    <w:right w:val="single" w:color="auto" w:sz="4" w:space="0"/>
                  </w:tcBorders>
                  <w:vAlign w:val="center"/>
                </w:tcPr>
                <w:p w14:paraId="2ABD6C3C">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日常生产</w:t>
                  </w:r>
                </w:p>
              </w:tc>
              <w:tc>
                <w:tcPr>
                  <w:tcW w:w="435" w:type="pct"/>
                  <w:tcBorders>
                    <w:top w:val="single" w:color="auto" w:sz="4" w:space="0"/>
                    <w:left w:val="nil"/>
                    <w:bottom w:val="single" w:color="auto" w:sz="4" w:space="0"/>
                    <w:right w:val="single" w:color="auto" w:sz="4" w:space="0"/>
                  </w:tcBorders>
                  <w:vAlign w:val="center"/>
                </w:tcPr>
                <w:p w14:paraId="73585443">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固态</w:t>
                  </w:r>
                </w:p>
              </w:tc>
              <w:tc>
                <w:tcPr>
                  <w:tcW w:w="591" w:type="pct"/>
                  <w:tcBorders>
                    <w:top w:val="single" w:color="auto" w:sz="4" w:space="0"/>
                    <w:left w:val="nil"/>
                    <w:bottom w:val="single" w:color="auto" w:sz="4" w:space="0"/>
                    <w:right w:val="single" w:color="auto" w:sz="4" w:space="0"/>
                  </w:tcBorders>
                  <w:vAlign w:val="center"/>
                </w:tcPr>
                <w:p w14:paraId="1ED1A80A">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c>
                <w:tcPr>
                  <w:tcW w:w="790" w:type="pct"/>
                  <w:tcBorders>
                    <w:top w:val="single" w:color="auto" w:sz="4" w:space="0"/>
                    <w:left w:val="nil"/>
                    <w:bottom w:val="single" w:color="auto" w:sz="4" w:space="0"/>
                    <w:right w:val="single" w:color="auto" w:sz="4" w:space="0"/>
                  </w:tcBorders>
                  <w:vAlign w:val="center"/>
                </w:tcPr>
                <w:p w14:paraId="74A49F4B">
                  <w:pPr>
                    <w:keepNext w:val="0"/>
                    <w:keepLines w:val="0"/>
                    <w:pageBreakBefore w:val="0"/>
                    <w:kinsoku/>
                    <w:wordWrap/>
                    <w:overflowPunct/>
                    <w:topLinePunct w:val="0"/>
                    <w:bidi w:val="0"/>
                    <w:spacing w:before="0" w:after="0" w:line="240" w:lineRule="auto"/>
                    <w:ind w:right="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回用于一期项目用于蚯蚓养殖</w:t>
                  </w:r>
                </w:p>
              </w:tc>
              <w:tc>
                <w:tcPr>
                  <w:tcW w:w="582" w:type="pct"/>
                  <w:tcBorders>
                    <w:top w:val="single" w:color="auto" w:sz="4" w:space="0"/>
                    <w:left w:val="nil"/>
                    <w:bottom w:val="single" w:color="auto" w:sz="4" w:space="0"/>
                  </w:tcBorders>
                  <w:vAlign w:val="center"/>
                </w:tcPr>
                <w:p w14:paraId="6B937BA9">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w:t>
                  </w:r>
                </w:p>
              </w:tc>
            </w:tr>
            <w:tr w14:paraId="08ED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93" w:type="pct"/>
                  <w:tcBorders>
                    <w:top w:val="single" w:color="auto" w:sz="4" w:space="0"/>
                    <w:bottom w:val="single" w:color="auto" w:sz="4" w:space="0"/>
                    <w:right w:val="single" w:color="auto" w:sz="4" w:space="0"/>
                  </w:tcBorders>
                  <w:vAlign w:val="center"/>
                </w:tcPr>
                <w:p w14:paraId="1562ACDF">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蚯蚓残渣</w:t>
                  </w:r>
                </w:p>
              </w:tc>
              <w:tc>
                <w:tcPr>
                  <w:tcW w:w="469" w:type="pct"/>
                  <w:tcBorders>
                    <w:top w:val="single" w:color="auto" w:sz="4" w:space="0"/>
                    <w:left w:val="nil"/>
                    <w:bottom w:val="single" w:color="auto" w:sz="4" w:space="0"/>
                    <w:right w:val="single" w:color="auto" w:sz="4" w:space="0"/>
                  </w:tcBorders>
                  <w:vAlign w:val="center"/>
                </w:tcPr>
                <w:p w14:paraId="568B042E">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一般固废</w:t>
                  </w:r>
                </w:p>
              </w:tc>
              <w:tc>
                <w:tcPr>
                  <w:tcW w:w="782" w:type="pct"/>
                  <w:tcBorders>
                    <w:top w:val="single" w:color="auto" w:sz="4" w:space="0"/>
                    <w:left w:val="nil"/>
                    <w:bottom w:val="single" w:color="auto" w:sz="4" w:space="0"/>
                    <w:right w:val="single" w:color="auto" w:sz="4" w:space="0"/>
                  </w:tcBorders>
                  <w:vAlign w:val="center"/>
                </w:tcPr>
                <w:p w14:paraId="6EADADA1">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900-099-S59</w:t>
                  </w:r>
                </w:p>
              </w:tc>
              <w:tc>
                <w:tcPr>
                  <w:tcW w:w="554" w:type="pct"/>
                  <w:tcBorders>
                    <w:top w:val="single" w:color="auto" w:sz="4" w:space="0"/>
                    <w:left w:val="nil"/>
                    <w:bottom w:val="single" w:color="auto" w:sz="4" w:space="0"/>
                    <w:right w:val="single" w:color="auto" w:sz="4" w:space="0"/>
                  </w:tcBorders>
                  <w:vAlign w:val="center"/>
                </w:tcPr>
                <w:p w14:paraId="1A26D957">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日常生产</w:t>
                  </w:r>
                </w:p>
              </w:tc>
              <w:tc>
                <w:tcPr>
                  <w:tcW w:w="435" w:type="pct"/>
                  <w:tcBorders>
                    <w:top w:val="single" w:color="auto" w:sz="4" w:space="0"/>
                    <w:left w:val="nil"/>
                    <w:bottom w:val="single" w:color="auto" w:sz="4" w:space="0"/>
                    <w:right w:val="single" w:color="auto" w:sz="4" w:space="0"/>
                  </w:tcBorders>
                  <w:vAlign w:val="center"/>
                </w:tcPr>
                <w:p w14:paraId="165C3B2D">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固态</w:t>
                  </w:r>
                </w:p>
              </w:tc>
              <w:tc>
                <w:tcPr>
                  <w:tcW w:w="591" w:type="pct"/>
                  <w:tcBorders>
                    <w:top w:val="single" w:color="auto" w:sz="4" w:space="0"/>
                    <w:left w:val="nil"/>
                    <w:bottom w:val="single" w:color="auto" w:sz="4" w:space="0"/>
                    <w:right w:val="single" w:color="auto" w:sz="4" w:space="0"/>
                  </w:tcBorders>
                  <w:vAlign w:val="center"/>
                </w:tcPr>
                <w:p w14:paraId="4E2721C7">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790" w:type="pct"/>
                  <w:tcBorders>
                    <w:top w:val="single" w:color="auto" w:sz="4" w:space="0"/>
                    <w:left w:val="nil"/>
                    <w:bottom w:val="single" w:color="auto" w:sz="4" w:space="0"/>
                    <w:right w:val="single" w:color="auto" w:sz="4" w:space="0"/>
                  </w:tcBorders>
                  <w:vAlign w:val="center"/>
                </w:tcPr>
                <w:p w14:paraId="1D459C56">
                  <w:pPr>
                    <w:keepNext w:val="0"/>
                    <w:keepLines w:val="0"/>
                    <w:pageBreakBefore w:val="0"/>
                    <w:kinsoku/>
                    <w:wordWrap/>
                    <w:overflowPunct/>
                    <w:topLinePunct w:val="0"/>
                    <w:bidi w:val="0"/>
                    <w:spacing w:before="0" w:after="0" w:line="240" w:lineRule="auto"/>
                    <w:ind w:right="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回用于一期项目用于蚯蚓养殖</w:t>
                  </w:r>
                </w:p>
              </w:tc>
              <w:tc>
                <w:tcPr>
                  <w:tcW w:w="582" w:type="pct"/>
                  <w:tcBorders>
                    <w:top w:val="single" w:color="auto" w:sz="4" w:space="0"/>
                    <w:left w:val="nil"/>
                    <w:bottom w:val="single" w:color="auto" w:sz="4" w:space="0"/>
                  </w:tcBorders>
                  <w:vAlign w:val="center"/>
                </w:tcPr>
                <w:p w14:paraId="428A241B">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w:t>
                  </w:r>
                </w:p>
              </w:tc>
            </w:tr>
            <w:tr w14:paraId="7CA3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93" w:type="pct"/>
                  <w:tcBorders>
                    <w:top w:val="single" w:color="auto" w:sz="4" w:space="0"/>
                    <w:bottom w:val="single" w:color="auto" w:sz="4" w:space="0"/>
                    <w:right w:val="single" w:color="auto" w:sz="4" w:space="0"/>
                  </w:tcBorders>
                  <w:vAlign w:val="center"/>
                </w:tcPr>
                <w:p w14:paraId="5BCC3067">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污泥</w:t>
                  </w:r>
                </w:p>
              </w:tc>
              <w:tc>
                <w:tcPr>
                  <w:tcW w:w="469" w:type="pct"/>
                  <w:tcBorders>
                    <w:top w:val="single" w:color="auto" w:sz="4" w:space="0"/>
                    <w:left w:val="nil"/>
                    <w:bottom w:val="single" w:color="auto" w:sz="4" w:space="0"/>
                    <w:right w:val="single" w:color="auto" w:sz="4" w:space="0"/>
                  </w:tcBorders>
                  <w:vAlign w:val="center"/>
                </w:tcPr>
                <w:p w14:paraId="3F9EECA2">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一般固废</w:t>
                  </w:r>
                </w:p>
              </w:tc>
              <w:tc>
                <w:tcPr>
                  <w:tcW w:w="782" w:type="pct"/>
                  <w:tcBorders>
                    <w:top w:val="single" w:color="auto" w:sz="4" w:space="0"/>
                    <w:left w:val="nil"/>
                    <w:bottom w:val="single" w:color="auto" w:sz="4" w:space="0"/>
                    <w:right w:val="single" w:color="auto" w:sz="4" w:space="0"/>
                  </w:tcBorders>
                  <w:vAlign w:val="center"/>
                </w:tcPr>
                <w:p w14:paraId="3EF7623A">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900-099-S59</w:t>
                  </w:r>
                </w:p>
              </w:tc>
              <w:tc>
                <w:tcPr>
                  <w:tcW w:w="554" w:type="pct"/>
                  <w:tcBorders>
                    <w:top w:val="single" w:color="auto" w:sz="4" w:space="0"/>
                    <w:left w:val="nil"/>
                    <w:bottom w:val="single" w:color="auto" w:sz="4" w:space="0"/>
                    <w:right w:val="single" w:color="auto" w:sz="4" w:space="0"/>
                  </w:tcBorders>
                  <w:vAlign w:val="center"/>
                </w:tcPr>
                <w:p w14:paraId="3EA01571">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日常生产</w:t>
                  </w:r>
                </w:p>
              </w:tc>
              <w:tc>
                <w:tcPr>
                  <w:tcW w:w="435" w:type="pct"/>
                  <w:tcBorders>
                    <w:top w:val="single" w:color="auto" w:sz="4" w:space="0"/>
                    <w:left w:val="nil"/>
                    <w:bottom w:val="single" w:color="auto" w:sz="4" w:space="0"/>
                    <w:right w:val="single" w:color="auto" w:sz="4" w:space="0"/>
                  </w:tcBorders>
                  <w:vAlign w:val="center"/>
                </w:tcPr>
                <w:p w14:paraId="02CF3C32">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半固态</w:t>
                  </w:r>
                </w:p>
              </w:tc>
              <w:tc>
                <w:tcPr>
                  <w:tcW w:w="591" w:type="pct"/>
                  <w:tcBorders>
                    <w:top w:val="single" w:color="auto" w:sz="4" w:space="0"/>
                    <w:left w:val="nil"/>
                    <w:bottom w:val="single" w:color="auto" w:sz="4" w:space="0"/>
                    <w:right w:val="single" w:color="auto" w:sz="4" w:space="0"/>
                  </w:tcBorders>
                  <w:vAlign w:val="center"/>
                </w:tcPr>
                <w:p w14:paraId="7DFD7DA0">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11.76</w:t>
                  </w:r>
                </w:p>
              </w:tc>
              <w:tc>
                <w:tcPr>
                  <w:tcW w:w="790" w:type="pct"/>
                  <w:tcBorders>
                    <w:top w:val="single" w:color="auto" w:sz="4" w:space="0"/>
                    <w:left w:val="nil"/>
                    <w:bottom w:val="single" w:color="auto" w:sz="4" w:space="0"/>
                    <w:right w:val="single" w:color="auto" w:sz="4" w:space="0"/>
                  </w:tcBorders>
                  <w:vAlign w:val="center"/>
                </w:tcPr>
                <w:p w14:paraId="6E74C355">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交由一般固废处置单位处理</w:t>
                  </w:r>
                </w:p>
              </w:tc>
              <w:tc>
                <w:tcPr>
                  <w:tcW w:w="582" w:type="pct"/>
                  <w:tcBorders>
                    <w:top w:val="single" w:color="auto" w:sz="4" w:space="0"/>
                    <w:left w:val="nil"/>
                    <w:bottom w:val="single" w:color="auto" w:sz="4" w:space="0"/>
                  </w:tcBorders>
                  <w:vAlign w:val="center"/>
                </w:tcPr>
                <w:p w14:paraId="1CBCACC0">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w:t>
                  </w:r>
                </w:p>
              </w:tc>
            </w:tr>
            <w:tr w14:paraId="13DF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93" w:type="pct"/>
                  <w:tcBorders>
                    <w:top w:val="single" w:color="auto" w:sz="4" w:space="0"/>
                    <w:bottom w:val="single" w:color="auto" w:sz="4" w:space="0"/>
                    <w:right w:val="single" w:color="auto" w:sz="4" w:space="0"/>
                  </w:tcBorders>
                  <w:vAlign w:val="center"/>
                </w:tcPr>
                <w:p w14:paraId="27FD7385">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废纯水制备材料</w:t>
                  </w:r>
                </w:p>
              </w:tc>
              <w:tc>
                <w:tcPr>
                  <w:tcW w:w="750" w:type="dxa"/>
                  <w:tcBorders>
                    <w:top w:val="single" w:color="auto" w:sz="4" w:space="0"/>
                    <w:left w:val="nil"/>
                    <w:bottom w:val="single" w:color="auto" w:sz="4" w:space="0"/>
                    <w:right w:val="single" w:color="auto" w:sz="4" w:space="0"/>
                  </w:tcBorders>
                  <w:vAlign w:val="center"/>
                </w:tcPr>
                <w:p w14:paraId="1475FF29">
                  <w:pPr>
                    <w:pStyle w:val="12"/>
                    <w:keepNext w:val="0"/>
                    <w:keepLines w:val="0"/>
                    <w:pageBreakBefore w:val="0"/>
                    <w:kinsoku/>
                    <w:wordWrap/>
                    <w:overflowPunct/>
                    <w:topLinePunct w:val="0"/>
                    <w:bidi w:val="0"/>
                    <w:spacing w:before="0" w:after="0" w:line="240" w:lineRule="auto"/>
                    <w:ind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一般固废</w:t>
                  </w:r>
                </w:p>
              </w:tc>
              <w:tc>
                <w:tcPr>
                  <w:tcW w:w="1313" w:type="dxa"/>
                  <w:tcBorders>
                    <w:top w:val="single" w:color="auto" w:sz="4" w:space="0"/>
                    <w:left w:val="nil"/>
                    <w:bottom w:val="single" w:color="auto" w:sz="4" w:space="0"/>
                    <w:right w:val="single" w:color="auto" w:sz="4" w:space="0"/>
                  </w:tcBorders>
                  <w:vAlign w:val="center"/>
                </w:tcPr>
                <w:p w14:paraId="5A97804F">
                  <w:pPr>
                    <w:pStyle w:val="12"/>
                    <w:keepNext w:val="0"/>
                    <w:keepLines w:val="0"/>
                    <w:pageBreakBefore w:val="0"/>
                    <w:kinsoku/>
                    <w:wordWrap/>
                    <w:overflowPunct/>
                    <w:topLinePunct w:val="0"/>
                    <w:bidi w:val="0"/>
                    <w:spacing w:before="0" w:after="0" w:line="240" w:lineRule="auto"/>
                    <w:ind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900-099-S59</w:t>
                  </w:r>
                </w:p>
              </w:tc>
              <w:tc>
                <w:tcPr>
                  <w:tcW w:w="887" w:type="dxa"/>
                  <w:tcBorders>
                    <w:top w:val="single" w:color="auto" w:sz="4" w:space="0"/>
                    <w:left w:val="nil"/>
                    <w:bottom w:val="single" w:color="auto" w:sz="4" w:space="0"/>
                    <w:right w:val="single" w:color="auto" w:sz="4" w:space="0"/>
                  </w:tcBorders>
                  <w:vAlign w:val="center"/>
                </w:tcPr>
                <w:p w14:paraId="61D23CB9">
                  <w:pPr>
                    <w:pStyle w:val="12"/>
                    <w:keepNext w:val="0"/>
                    <w:keepLines w:val="0"/>
                    <w:pageBreakBefore w:val="0"/>
                    <w:kinsoku/>
                    <w:wordWrap/>
                    <w:overflowPunct/>
                    <w:topLinePunct w:val="0"/>
                    <w:bidi w:val="0"/>
                    <w:spacing w:before="0" w:after="0" w:line="240" w:lineRule="auto"/>
                    <w:ind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纯水制备</w:t>
                  </w:r>
                </w:p>
              </w:tc>
              <w:tc>
                <w:tcPr>
                  <w:tcW w:w="695" w:type="dxa"/>
                  <w:tcBorders>
                    <w:top w:val="single" w:color="auto" w:sz="4" w:space="0"/>
                    <w:left w:val="nil"/>
                    <w:bottom w:val="single" w:color="auto" w:sz="4" w:space="0"/>
                    <w:right w:val="single" w:color="auto" w:sz="4" w:space="0"/>
                  </w:tcBorders>
                  <w:vAlign w:val="center"/>
                </w:tcPr>
                <w:p w14:paraId="6025F782">
                  <w:pPr>
                    <w:pStyle w:val="12"/>
                    <w:keepNext w:val="0"/>
                    <w:keepLines w:val="0"/>
                    <w:pageBreakBefore w:val="0"/>
                    <w:kinsoku/>
                    <w:wordWrap/>
                    <w:overflowPunct/>
                    <w:topLinePunct w:val="0"/>
                    <w:bidi w:val="0"/>
                    <w:spacing w:before="0" w:after="0" w:line="240" w:lineRule="auto"/>
                    <w:ind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固态</w:t>
                  </w:r>
                </w:p>
              </w:tc>
              <w:tc>
                <w:tcPr>
                  <w:tcW w:w="947" w:type="dxa"/>
                  <w:tcBorders>
                    <w:top w:val="single" w:color="auto" w:sz="4" w:space="0"/>
                    <w:left w:val="nil"/>
                    <w:bottom w:val="single" w:color="auto" w:sz="4" w:space="0"/>
                    <w:right w:val="single" w:color="auto" w:sz="4" w:space="0"/>
                  </w:tcBorders>
                  <w:vAlign w:val="center"/>
                </w:tcPr>
                <w:p w14:paraId="0C0636BA">
                  <w:pPr>
                    <w:pStyle w:val="12"/>
                    <w:keepNext w:val="0"/>
                    <w:keepLines w:val="0"/>
                    <w:pageBreakBefore w:val="0"/>
                    <w:kinsoku/>
                    <w:wordWrap/>
                    <w:overflowPunct/>
                    <w:topLinePunct w:val="0"/>
                    <w:bidi w:val="0"/>
                    <w:spacing w:before="0" w:after="0" w:line="240" w:lineRule="auto"/>
                    <w:ind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0.5</w:t>
                  </w:r>
                </w:p>
              </w:tc>
              <w:tc>
                <w:tcPr>
                  <w:tcW w:w="1268" w:type="dxa"/>
                  <w:tcBorders>
                    <w:top w:val="single" w:color="auto" w:sz="4" w:space="0"/>
                    <w:left w:val="nil"/>
                    <w:bottom w:val="single" w:color="auto" w:sz="4" w:space="0"/>
                    <w:right w:val="single" w:color="auto" w:sz="4" w:space="0"/>
                  </w:tcBorders>
                  <w:vAlign w:val="center"/>
                </w:tcPr>
                <w:p w14:paraId="0C5224C5">
                  <w:pPr>
                    <w:pStyle w:val="12"/>
                    <w:keepNext w:val="0"/>
                    <w:keepLines w:val="0"/>
                    <w:pageBreakBefore w:val="0"/>
                    <w:kinsoku/>
                    <w:wordWrap/>
                    <w:overflowPunct/>
                    <w:topLinePunct w:val="0"/>
                    <w:bidi w:val="0"/>
                    <w:spacing w:before="0" w:after="0" w:line="240" w:lineRule="auto"/>
                    <w:ind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交由一般固废处置单位处理</w:t>
                  </w:r>
                </w:p>
              </w:tc>
              <w:tc>
                <w:tcPr>
                  <w:tcW w:w="933" w:type="dxa"/>
                  <w:tcBorders>
                    <w:top w:val="single" w:color="auto" w:sz="4" w:space="0"/>
                    <w:left w:val="nil"/>
                    <w:bottom w:val="single" w:color="auto" w:sz="4" w:space="0"/>
                  </w:tcBorders>
                  <w:vAlign w:val="center"/>
                </w:tcPr>
                <w:p w14:paraId="17EFA981">
                  <w:pPr>
                    <w:pStyle w:val="12"/>
                    <w:keepNext w:val="0"/>
                    <w:keepLines w:val="0"/>
                    <w:pageBreakBefore w:val="0"/>
                    <w:kinsoku/>
                    <w:wordWrap/>
                    <w:overflowPunct/>
                    <w:topLinePunct w:val="0"/>
                    <w:bidi w:val="0"/>
                    <w:spacing w:before="0" w:after="0" w:line="240" w:lineRule="auto"/>
                    <w:ind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w:t>
                  </w:r>
                </w:p>
              </w:tc>
            </w:tr>
            <w:tr w14:paraId="1D64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93" w:type="pct"/>
                  <w:tcBorders>
                    <w:top w:val="single" w:color="auto" w:sz="4" w:space="0"/>
                    <w:bottom w:val="single" w:color="auto" w:sz="4" w:space="0"/>
                    <w:right w:val="single" w:color="auto" w:sz="4" w:space="0"/>
                  </w:tcBorders>
                  <w:vAlign w:val="center"/>
                </w:tcPr>
                <w:p w14:paraId="736B46AC">
                  <w:pPr>
                    <w:pStyle w:val="12"/>
                    <w:keepNext w:val="0"/>
                    <w:keepLines w:val="0"/>
                    <w:pageBreakBefore w:val="0"/>
                    <w:tabs>
                      <w:tab w:val="left" w:pos="441"/>
                    </w:tabs>
                    <w:kinsoku/>
                    <w:wordWrap/>
                    <w:overflowPunct/>
                    <w:topLinePunct w:val="0"/>
                    <w:bidi w:val="0"/>
                    <w:spacing w:before="0" w:after="0" w:line="240" w:lineRule="auto"/>
                    <w:ind w:right="0" w:rightChars="0"/>
                    <w:jc w:val="center"/>
                    <w:textAlignment w:val="auto"/>
                    <w:outlineLvl w:val="9"/>
                    <w:rPr>
                      <w:rFonts w:hint="eastAsia"/>
                      <w:sz w:val="21"/>
                      <w:szCs w:val="21"/>
                    </w:rPr>
                  </w:pPr>
                  <w:r>
                    <w:rPr>
                      <w:rFonts w:hint="eastAsia"/>
                      <w:kern w:val="2"/>
                      <w:sz w:val="21"/>
                      <w:szCs w:val="21"/>
                    </w:rPr>
                    <w:t>实验检验废物</w:t>
                  </w:r>
                </w:p>
              </w:tc>
              <w:tc>
                <w:tcPr>
                  <w:tcW w:w="469" w:type="pct"/>
                  <w:tcBorders>
                    <w:top w:val="single" w:color="auto" w:sz="4" w:space="0"/>
                    <w:left w:val="nil"/>
                    <w:bottom w:val="single" w:color="auto" w:sz="4" w:space="0"/>
                    <w:right w:val="single" w:color="auto" w:sz="4" w:space="0"/>
                  </w:tcBorders>
                  <w:vAlign w:val="center"/>
                </w:tcPr>
                <w:p w14:paraId="15FD1946">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危险废物</w:t>
                  </w:r>
                </w:p>
              </w:tc>
              <w:tc>
                <w:tcPr>
                  <w:tcW w:w="782" w:type="pct"/>
                  <w:tcBorders>
                    <w:top w:val="single" w:color="auto" w:sz="4" w:space="0"/>
                    <w:left w:val="nil"/>
                    <w:bottom w:val="single" w:color="auto" w:sz="4" w:space="0"/>
                    <w:right w:val="single" w:color="auto" w:sz="4" w:space="0"/>
                  </w:tcBorders>
                  <w:vAlign w:val="center"/>
                </w:tcPr>
                <w:p w14:paraId="7963E6AF">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900-047-49</w:t>
                  </w:r>
                </w:p>
              </w:tc>
              <w:tc>
                <w:tcPr>
                  <w:tcW w:w="554" w:type="pct"/>
                  <w:tcBorders>
                    <w:top w:val="single" w:color="auto" w:sz="4" w:space="0"/>
                    <w:left w:val="nil"/>
                    <w:bottom w:val="single" w:color="auto" w:sz="4" w:space="0"/>
                    <w:right w:val="single" w:color="auto" w:sz="4" w:space="0"/>
                  </w:tcBorders>
                  <w:vAlign w:val="center"/>
                </w:tcPr>
                <w:p w14:paraId="66BB1CB0">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实验检测</w:t>
                  </w:r>
                </w:p>
              </w:tc>
              <w:tc>
                <w:tcPr>
                  <w:tcW w:w="435" w:type="pct"/>
                  <w:tcBorders>
                    <w:top w:val="single" w:color="auto" w:sz="4" w:space="0"/>
                    <w:left w:val="nil"/>
                    <w:bottom w:val="single" w:color="auto" w:sz="4" w:space="0"/>
                    <w:right w:val="single" w:color="auto" w:sz="4" w:space="0"/>
                  </w:tcBorders>
                  <w:vAlign w:val="center"/>
                </w:tcPr>
                <w:p w14:paraId="601A5512">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固/液态</w:t>
                  </w:r>
                </w:p>
              </w:tc>
              <w:tc>
                <w:tcPr>
                  <w:tcW w:w="591" w:type="pct"/>
                  <w:tcBorders>
                    <w:top w:val="single" w:color="auto" w:sz="4" w:space="0"/>
                    <w:left w:val="nil"/>
                    <w:bottom w:val="single" w:color="auto" w:sz="4" w:space="0"/>
                    <w:right w:val="single" w:color="auto" w:sz="4" w:space="0"/>
                  </w:tcBorders>
                  <w:vAlign w:val="center"/>
                </w:tcPr>
                <w:p w14:paraId="4502AC21">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0.01</w:t>
                  </w:r>
                </w:p>
              </w:tc>
              <w:tc>
                <w:tcPr>
                  <w:tcW w:w="790" w:type="pct"/>
                  <w:tcBorders>
                    <w:top w:val="single" w:color="auto" w:sz="4" w:space="0"/>
                    <w:left w:val="nil"/>
                    <w:bottom w:val="single" w:color="auto" w:sz="4" w:space="0"/>
                    <w:right w:val="single" w:color="auto" w:sz="4" w:space="0"/>
                  </w:tcBorders>
                  <w:vAlign w:val="center"/>
                </w:tcPr>
                <w:p w14:paraId="6BBC9C0E">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定期交由有资质单位处理</w:t>
                  </w:r>
                </w:p>
              </w:tc>
              <w:tc>
                <w:tcPr>
                  <w:tcW w:w="582" w:type="pct"/>
                  <w:tcBorders>
                    <w:top w:val="single" w:color="auto" w:sz="4" w:space="0"/>
                    <w:left w:val="nil"/>
                    <w:bottom w:val="single" w:color="auto" w:sz="4" w:space="0"/>
                  </w:tcBorders>
                  <w:vAlign w:val="center"/>
                </w:tcPr>
                <w:p w14:paraId="67044E46">
                  <w:pPr>
                    <w:pStyle w:val="12"/>
                    <w:keepNext w:val="0"/>
                    <w:keepLines w:val="0"/>
                    <w:pageBreakBefore w:val="0"/>
                    <w:kinsoku/>
                    <w:wordWrap/>
                    <w:overflowPunct/>
                    <w:topLinePunct w:val="0"/>
                    <w:bidi w:val="0"/>
                    <w:spacing w:before="0" w:after="0" w:line="240" w:lineRule="auto"/>
                    <w:ind w:right="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w:t>
                  </w:r>
                </w:p>
              </w:tc>
            </w:tr>
          </w:tbl>
          <w:p w14:paraId="5607E02A">
            <w:pPr>
              <w:jc w:val="center"/>
              <w:rPr>
                <w:b/>
                <w:sz w:val="24"/>
                <w:szCs w:val="24"/>
                <w:lang w:bidi="ar"/>
              </w:rPr>
            </w:pPr>
            <w:r>
              <w:rPr>
                <w:b/>
                <w:sz w:val="24"/>
                <w:szCs w:val="24"/>
                <w:lang w:bidi="ar"/>
              </w:rPr>
              <w:t>表4-</w:t>
            </w:r>
            <w:r>
              <w:rPr>
                <w:rFonts w:hint="eastAsia"/>
                <w:b/>
                <w:sz w:val="24"/>
                <w:szCs w:val="24"/>
                <w:lang w:val="en-US" w:eastAsia="zh-CN" w:bidi="ar"/>
              </w:rPr>
              <w:t>21</w:t>
            </w:r>
            <w:r>
              <w:rPr>
                <w:b/>
                <w:sz w:val="24"/>
                <w:szCs w:val="24"/>
                <w:lang w:bidi="ar"/>
              </w:rPr>
              <w:t>项目危险废物产生情况一览表</w:t>
            </w:r>
          </w:p>
          <w:tbl>
            <w:tblPr>
              <w:tblStyle w:val="23"/>
              <w:tblW w:w="5000" w:type="pct"/>
              <w:jc w:val="center"/>
              <w:tblBorders>
                <w:top w:val="single" w:color="auto" w:sz="4" w:space="0"/>
                <w:left w:val="none" w:color="auto" w:sz="6" w:space="0"/>
                <w:bottom w:val="single" w:color="auto" w:sz="4" w:space="0"/>
                <w:right w:val="non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1505"/>
              <w:gridCol w:w="849"/>
              <w:gridCol w:w="1437"/>
              <w:gridCol w:w="743"/>
              <w:gridCol w:w="762"/>
              <w:gridCol w:w="626"/>
              <w:gridCol w:w="762"/>
              <w:gridCol w:w="912"/>
              <w:gridCol w:w="884"/>
            </w:tblGrid>
            <w:tr w14:paraId="2F4E29FB">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6" w:type="pct"/>
                  <w:tcBorders>
                    <w:top w:val="single" w:color="auto" w:sz="4" w:space="0"/>
                    <w:left w:val="single" w:color="auto" w:sz="4" w:space="0"/>
                    <w:bottom w:val="single" w:color="auto" w:sz="4" w:space="0"/>
                    <w:right w:val="single" w:color="auto" w:sz="4" w:space="0"/>
                  </w:tcBorders>
                  <w:vAlign w:val="center"/>
                </w:tcPr>
                <w:p w14:paraId="5A8A00A8">
                  <w:pPr>
                    <w:keepNext w:val="0"/>
                    <w:keepLines w:val="0"/>
                    <w:pageBreakBefore w:val="0"/>
                    <w:kinsoku/>
                    <w:wordWrap/>
                    <w:overflowPunct/>
                    <w:topLinePunct w:val="0"/>
                    <w:bidi w:val="0"/>
                    <w:ind w:right="0"/>
                    <w:jc w:val="center"/>
                    <w:textAlignment w:val="auto"/>
                    <w:outlineLvl w:val="9"/>
                    <w:rPr>
                      <w:b/>
                      <w:sz w:val="21"/>
                      <w:szCs w:val="21"/>
                      <w:lang w:bidi="ar"/>
                    </w:rPr>
                  </w:pPr>
                  <w:r>
                    <w:rPr>
                      <w:b/>
                      <w:sz w:val="21"/>
                      <w:szCs w:val="21"/>
                      <w:lang w:bidi="ar"/>
                    </w:rPr>
                    <w:t>危险废物名称</w:t>
                  </w:r>
                </w:p>
              </w:tc>
              <w:tc>
                <w:tcPr>
                  <w:tcW w:w="504" w:type="pct"/>
                  <w:tcBorders>
                    <w:top w:val="single" w:color="auto" w:sz="4" w:space="0"/>
                    <w:left w:val="single" w:color="auto" w:sz="4" w:space="0"/>
                    <w:bottom w:val="single" w:color="auto" w:sz="4" w:space="0"/>
                    <w:right w:val="single" w:color="auto" w:sz="4" w:space="0"/>
                  </w:tcBorders>
                  <w:vAlign w:val="center"/>
                </w:tcPr>
                <w:p w14:paraId="1485A94D">
                  <w:pPr>
                    <w:keepNext w:val="0"/>
                    <w:keepLines w:val="0"/>
                    <w:pageBreakBefore w:val="0"/>
                    <w:kinsoku/>
                    <w:wordWrap/>
                    <w:overflowPunct/>
                    <w:topLinePunct w:val="0"/>
                    <w:bidi w:val="0"/>
                    <w:ind w:right="0"/>
                    <w:jc w:val="center"/>
                    <w:textAlignment w:val="auto"/>
                    <w:outlineLvl w:val="9"/>
                    <w:rPr>
                      <w:b/>
                      <w:sz w:val="21"/>
                      <w:szCs w:val="21"/>
                    </w:rPr>
                  </w:pPr>
                  <w:r>
                    <w:rPr>
                      <w:b/>
                      <w:sz w:val="21"/>
                      <w:szCs w:val="21"/>
                      <w:lang w:bidi="ar"/>
                    </w:rPr>
                    <w:t>危险废物类别</w:t>
                  </w:r>
                </w:p>
              </w:tc>
              <w:tc>
                <w:tcPr>
                  <w:tcW w:w="734" w:type="pct"/>
                  <w:tcBorders>
                    <w:top w:val="single" w:color="auto" w:sz="4" w:space="0"/>
                    <w:left w:val="single" w:color="auto" w:sz="4" w:space="0"/>
                    <w:bottom w:val="single" w:color="auto" w:sz="4" w:space="0"/>
                    <w:right w:val="single" w:color="auto" w:sz="4" w:space="0"/>
                  </w:tcBorders>
                  <w:vAlign w:val="center"/>
                </w:tcPr>
                <w:p w14:paraId="31554B3D">
                  <w:pPr>
                    <w:keepNext w:val="0"/>
                    <w:keepLines w:val="0"/>
                    <w:pageBreakBefore w:val="0"/>
                    <w:kinsoku/>
                    <w:wordWrap/>
                    <w:overflowPunct/>
                    <w:topLinePunct w:val="0"/>
                    <w:bidi w:val="0"/>
                    <w:ind w:right="0"/>
                    <w:jc w:val="center"/>
                    <w:textAlignment w:val="auto"/>
                    <w:outlineLvl w:val="9"/>
                    <w:rPr>
                      <w:b/>
                      <w:sz w:val="21"/>
                      <w:szCs w:val="21"/>
                    </w:rPr>
                  </w:pPr>
                  <w:r>
                    <w:rPr>
                      <w:b/>
                      <w:sz w:val="21"/>
                      <w:szCs w:val="21"/>
                      <w:lang w:bidi="ar"/>
                    </w:rPr>
                    <w:t>危险废物代码</w:t>
                  </w:r>
                </w:p>
              </w:tc>
              <w:tc>
                <w:tcPr>
                  <w:tcW w:w="472" w:type="pct"/>
                  <w:tcBorders>
                    <w:top w:val="single" w:color="auto" w:sz="4" w:space="0"/>
                    <w:left w:val="single" w:color="auto" w:sz="4" w:space="0"/>
                    <w:bottom w:val="single" w:color="auto" w:sz="4" w:space="0"/>
                    <w:right w:val="single" w:color="auto" w:sz="4" w:space="0"/>
                  </w:tcBorders>
                  <w:vAlign w:val="center"/>
                </w:tcPr>
                <w:p w14:paraId="53ADE930">
                  <w:pPr>
                    <w:keepNext w:val="0"/>
                    <w:keepLines w:val="0"/>
                    <w:pageBreakBefore w:val="0"/>
                    <w:kinsoku/>
                    <w:wordWrap/>
                    <w:overflowPunct/>
                    <w:topLinePunct w:val="0"/>
                    <w:bidi w:val="0"/>
                    <w:ind w:right="0"/>
                    <w:jc w:val="center"/>
                    <w:textAlignment w:val="auto"/>
                    <w:outlineLvl w:val="9"/>
                    <w:rPr>
                      <w:b/>
                      <w:sz w:val="21"/>
                      <w:szCs w:val="21"/>
                    </w:rPr>
                  </w:pPr>
                  <w:r>
                    <w:rPr>
                      <w:b/>
                      <w:sz w:val="21"/>
                      <w:szCs w:val="21"/>
                      <w:lang w:bidi="ar"/>
                    </w:rPr>
                    <w:t>产生量</w:t>
                  </w:r>
                  <w:r>
                    <w:rPr>
                      <w:sz w:val="21"/>
                      <w:szCs w:val="21"/>
                      <w:lang w:bidi="ar"/>
                    </w:rPr>
                    <w:t>t/a</w:t>
                  </w:r>
                </w:p>
              </w:tc>
              <w:tc>
                <w:tcPr>
                  <w:tcW w:w="468" w:type="pct"/>
                  <w:tcBorders>
                    <w:top w:val="single" w:color="auto" w:sz="4" w:space="0"/>
                    <w:left w:val="single" w:color="auto" w:sz="4" w:space="0"/>
                    <w:bottom w:val="single" w:color="auto" w:sz="4" w:space="0"/>
                    <w:right w:val="single" w:color="auto" w:sz="4" w:space="0"/>
                  </w:tcBorders>
                  <w:vAlign w:val="center"/>
                </w:tcPr>
                <w:p w14:paraId="3A3EE821">
                  <w:pPr>
                    <w:keepNext w:val="0"/>
                    <w:keepLines w:val="0"/>
                    <w:pageBreakBefore w:val="0"/>
                    <w:kinsoku/>
                    <w:wordWrap/>
                    <w:overflowPunct/>
                    <w:topLinePunct w:val="0"/>
                    <w:bidi w:val="0"/>
                    <w:ind w:right="0"/>
                    <w:jc w:val="center"/>
                    <w:textAlignment w:val="auto"/>
                    <w:outlineLvl w:val="9"/>
                    <w:rPr>
                      <w:b/>
                      <w:sz w:val="21"/>
                      <w:szCs w:val="21"/>
                    </w:rPr>
                  </w:pPr>
                  <w:r>
                    <w:rPr>
                      <w:b/>
                      <w:sz w:val="21"/>
                      <w:szCs w:val="21"/>
                      <w:lang w:bidi="ar"/>
                    </w:rPr>
                    <w:t>产生工序及装置</w:t>
                  </w:r>
                </w:p>
              </w:tc>
              <w:tc>
                <w:tcPr>
                  <w:tcW w:w="388" w:type="pct"/>
                  <w:tcBorders>
                    <w:top w:val="single" w:color="auto" w:sz="4" w:space="0"/>
                    <w:left w:val="single" w:color="auto" w:sz="4" w:space="0"/>
                    <w:bottom w:val="single" w:color="auto" w:sz="4" w:space="0"/>
                    <w:right w:val="single" w:color="auto" w:sz="4" w:space="0"/>
                  </w:tcBorders>
                  <w:vAlign w:val="center"/>
                </w:tcPr>
                <w:p w14:paraId="16CB5D9C">
                  <w:pPr>
                    <w:keepNext w:val="0"/>
                    <w:keepLines w:val="0"/>
                    <w:pageBreakBefore w:val="0"/>
                    <w:kinsoku/>
                    <w:wordWrap/>
                    <w:overflowPunct/>
                    <w:topLinePunct w:val="0"/>
                    <w:bidi w:val="0"/>
                    <w:ind w:right="0"/>
                    <w:jc w:val="center"/>
                    <w:textAlignment w:val="auto"/>
                    <w:outlineLvl w:val="9"/>
                    <w:rPr>
                      <w:b/>
                      <w:sz w:val="21"/>
                      <w:szCs w:val="21"/>
                    </w:rPr>
                  </w:pPr>
                  <w:r>
                    <w:rPr>
                      <w:b/>
                      <w:sz w:val="21"/>
                      <w:szCs w:val="21"/>
                    </w:rPr>
                    <w:t>形态</w:t>
                  </w:r>
                </w:p>
              </w:tc>
              <w:tc>
                <w:tcPr>
                  <w:tcW w:w="468" w:type="pct"/>
                  <w:tcBorders>
                    <w:top w:val="single" w:color="auto" w:sz="4" w:space="0"/>
                    <w:left w:val="single" w:color="auto" w:sz="4" w:space="0"/>
                    <w:bottom w:val="single" w:color="auto" w:sz="4" w:space="0"/>
                    <w:right w:val="single" w:color="auto" w:sz="4" w:space="0"/>
                  </w:tcBorders>
                  <w:vAlign w:val="center"/>
                </w:tcPr>
                <w:p w14:paraId="49F75114">
                  <w:pPr>
                    <w:keepNext w:val="0"/>
                    <w:keepLines w:val="0"/>
                    <w:pageBreakBefore w:val="0"/>
                    <w:kinsoku/>
                    <w:wordWrap/>
                    <w:overflowPunct/>
                    <w:topLinePunct w:val="0"/>
                    <w:bidi w:val="0"/>
                    <w:ind w:right="0"/>
                    <w:jc w:val="center"/>
                    <w:textAlignment w:val="auto"/>
                    <w:outlineLvl w:val="9"/>
                    <w:rPr>
                      <w:b/>
                      <w:sz w:val="21"/>
                      <w:szCs w:val="21"/>
                    </w:rPr>
                  </w:pPr>
                  <w:r>
                    <w:rPr>
                      <w:b/>
                      <w:sz w:val="21"/>
                      <w:szCs w:val="21"/>
                      <w:lang w:bidi="ar"/>
                    </w:rPr>
                    <w:t>产废周期</w:t>
                  </w:r>
                </w:p>
              </w:tc>
              <w:tc>
                <w:tcPr>
                  <w:tcW w:w="518" w:type="pct"/>
                  <w:tcBorders>
                    <w:top w:val="single" w:color="auto" w:sz="4" w:space="0"/>
                    <w:left w:val="nil"/>
                    <w:bottom w:val="single" w:color="auto" w:sz="4" w:space="0"/>
                    <w:right w:val="single" w:color="auto" w:sz="4" w:space="0"/>
                  </w:tcBorders>
                  <w:vAlign w:val="center"/>
                </w:tcPr>
                <w:p w14:paraId="64E84396">
                  <w:pPr>
                    <w:keepNext w:val="0"/>
                    <w:keepLines w:val="0"/>
                    <w:pageBreakBefore w:val="0"/>
                    <w:kinsoku/>
                    <w:wordWrap/>
                    <w:overflowPunct/>
                    <w:topLinePunct w:val="0"/>
                    <w:bidi w:val="0"/>
                    <w:ind w:right="0"/>
                    <w:jc w:val="center"/>
                    <w:textAlignment w:val="auto"/>
                    <w:outlineLvl w:val="9"/>
                    <w:rPr>
                      <w:b/>
                      <w:sz w:val="21"/>
                      <w:szCs w:val="21"/>
                    </w:rPr>
                  </w:pPr>
                  <w:r>
                    <w:rPr>
                      <w:b/>
                      <w:sz w:val="21"/>
                      <w:szCs w:val="21"/>
                    </w:rPr>
                    <w:t>危险特性</w:t>
                  </w:r>
                </w:p>
              </w:tc>
              <w:tc>
                <w:tcPr>
                  <w:tcW w:w="540" w:type="pct"/>
                  <w:tcBorders>
                    <w:top w:val="single" w:color="auto" w:sz="4" w:space="0"/>
                    <w:left w:val="nil"/>
                    <w:bottom w:val="single" w:color="auto" w:sz="4" w:space="0"/>
                    <w:right w:val="single" w:color="auto" w:sz="4" w:space="0"/>
                  </w:tcBorders>
                  <w:vAlign w:val="center"/>
                </w:tcPr>
                <w:p w14:paraId="0F029C29">
                  <w:pPr>
                    <w:keepNext w:val="0"/>
                    <w:keepLines w:val="0"/>
                    <w:pageBreakBefore w:val="0"/>
                    <w:kinsoku/>
                    <w:wordWrap/>
                    <w:overflowPunct/>
                    <w:topLinePunct w:val="0"/>
                    <w:bidi w:val="0"/>
                    <w:ind w:right="0"/>
                    <w:jc w:val="center"/>
                    <w:textAlignment w:val="auto"/>
                    <w:outlineLvl w:val="9"/>
                    <w:rPr>
                      <w:b/>
                      <w:sz w:val="21"/>
                      <w:szCs w:val="21"/>
                      <w:lang w:bidi="ar"/>
                    </w:rPr>
                  </w:pPr>
                  <w:r>
                    <w:rPr>
                      <w:b/>
                      <w:sz w:val="21"/>
                      <w:szCs w:val="21"/>
                      <w:lang w:bidi="ar"/>
                    </w:rPr>
                    <w:t>污染防治措施</w:t>
                  </w:r>
                </w:p>
              </w:tc>
            </w:tr>
            <w:tr w14:paraId="13E11A00">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6" w:type="pct"/>
                  <w:tcBorders>
                    <w:top w:val="single" w:color="auto" w:sz="4" w:space="0"/>
                    <w:left w:val="single" w:color="auto" w:sz="4" w:space="0"/>
                    <w:right w:val="single" w:color="auto" w:sz="4" w:space="0"/>
                  </w:tcBorders>
                  <w:vAlign w:val="center"/>
                </w:tcPr>
                <w:p w14:paraId="5AEC24EC">
                  <w:pPr>
                    <w:pStyle w:val="12"/>
                    <w:keepNext w:val="0"/>
                    <w:keepLines w:val="0"/>
                    <w:pageBreakBefore w:val="0"/>
                    <w:tabs>
                      <w:tab w:val="left" w:pos="441"/>
                    </w:tabs>
                    <w:kinsoku/>
                    <w:wordWrap/>
                    <w:overflowPunct/>
                    <w:topLinePunct w:val="0"/>
                    <w:bidi w:val="0"/>
                    <w:spacing w:before="0" w:after="0" w:line="240" w:lineRule="auto"/>
                    <w:ind w:right="0" w:rightChars="0"/>
                    <w:jc w:val="center"/>
                    <w:textAlignment w:val="auto"/>
                    <w:outlineLvl w:val="9"/>
                    <w:rPr>
                      <w:sz w:val="21"/>
                      <w:szCs w:val="21"/>
                    </w:rPr>
                  </w:pPr>
                  <w:r>
                    <w:rPr>
                      <w:rFonts w:hint="eastAsia"/>
                      <w:kern w:val="2"/>
                      <w:sz w:val="21"/>
                      <w:szCs w:val="21"/>
                    </w:rPr>
                    <w:t>实验检验废物</w:t>
                  </w:r>
                </w:p>
              </w:tc>
              <w:tc>
                <w:tcPr>
                  <w:tcW w:w="504" w:type="pct"/>
                  <w:tcBorders>
                    <w:top w:val="single" w:color="auto" w:sz="4" w:space="0"/>
                    <w:left w:val="single" w:color="auto" w:sz="4" w:space="0"/>
                    <w:bottom w:val="single" w:color="auto" w:sz="4" w:space="0"/>
                    <w:right w:val="single" w:color="auto" w:sz="4" w:space="0"/>
                  </w:tcBorders>
                  <w:vAlign w:val="center"/>
                </w:tcPr>
                <w:p w14:paraId="639937A4">
                  <w:pPr>
                    <w:keepNext w:val="0"/>
                    <w:keepLines w:val="0"/>
                    <w:pageBreakBefore w:val="0"/>
                    <w:kinsoku/>
                    <w:wordWrap/>
                    <w:overflowPunct/>
                    <w:topLinePunct w:val="0"/>
                    <w:bidi w:val="0"/>
                    <w:ind w:right="0" w:rightChars="0"/>
                    <w:jc w:val="center"/>
                    <w:textAlignment w:val="auto"/>
                    <w:outlineLvl w:val="9"/>
                    <w:rPr>
                      <w:rFonts w:hint="default" w:eastAsia="宋体"/>
                      <w:sz w:val="21"/>
                      <w:szCs w:val="21"/>
                      <w:lang w:val="en-US" w:eastAsia="zh-CN" w:bidi="ar"/>
                    </w:rPr>
                  </w:pPr>
                  <w:r>
                    <w:rPr>
                      <w:rFonts w:hint="eastAsia"/>
                      <w:sz w:val="21"/>
                      <w:szCs w:val="21"/>
                    </w:rPr>
                    <w:t>HW49</w:t>
                  </w:r>
                </w:p>
              </w:tc>
              <w:tc>
                <w:tcPr>
                  <w:tcW w:w="734" w:type="pct"/>
                  <w:tcBorders>
                    <w:top w:val="single" w:color="auto" w:sz="4" w:space="0"/>
                    <w:left w:val="single" w:color="auto" w:sz="4" w:space="0"/>
                    <w:bottom w:val="single" w:color="auto" w:sz="4" w:space="0"/>
                    <w:right w:val="single" w:color="auto" w:sz="4" w:space="0"/>
                  </w:tcBorders>
                  <w:vAlign w:val="center"/>
                </w:tcPr>
                <w:p w14:paraId="182F04F2">
                  <w:pPr>
                    <w:keepNext w:val="0"/>
                    <w:keepLines w:val="0"/>
                    <w:pageBreakBefore w:val="0"/>
                    <w:kinsoku/>
                    <w:wordWrap/>
                    <w:overflowPunct/>
                    <w:topLinePunct w:val="0"/>
                    <w:bidi w:val="0"/>
                    <w:ind w:right="0" w:rightChars="0"/>
                    <w:jc w:val="center"/>
                    <w:textAlignment w:val="auto"/>
                    <w:outlineLvl w:val="9"/>
                    <w:rPr>
                      <w:sz w:val="21"/>
                      <w:szCs w:val="21"/>
                      <w:lang w:bidi="ar"/>
                    </w:rPr>
                  </w:pPr>
                  <w:r>
                    <w:rPr>
                      <w:sz w:val="21"/>
                      <w:szCs w:val="21"/>
                      <w:lang w:bidi="ar"/>
                    </w:rPr>
                    <w:t>900-</w:t>
                  </w:r>
                  <w:r>
                    <w:rPr>
                      <w:rFonts w:hint="eastAsia"/>
                      <w:sz w:val="21"/>
                      <w:szCs w:val="21"/>
                      <w:lang w:val="en-US" w:eastAsia="zh-CN" w:bidi="ar"/>
                    </w:rPr>
                    <w:t>047</w:t>
                  </w:r>
                  <w:r>
                    <w:rPr>
                      <w:rFonts w:hint="eastAsia"/>
                      <w:sz w:val="21"/>
                      <w:szCs w:val="21"/>
                      <w:lang w:bidi="ar"/>
                    </w:rPr>
                    <w:t>-</w:t>
                  </w:r>
                  <w:r>
                    <w:rPr>
                      <w:rFonts w:hint="eastAsia"/>
                      <w:sz w:val="21"/>
                      <w:szCs w:val="21"/>
                      <w:lang w:val="en-US" w:eastAsia="zh-CN" w:bidi="ar"/>
                    </w:rPr>
                    <w:t>49</w:t>
                  </w:r>
                </w:p>
              </w:tc>
              <w:tc>
                <w:tcPr>
                  <w:tcW w:w="472" w:type="pct"/>
                  <w:tcBorders>
                    <w:top w:val="single" w:color="auto" w:sz="4" w:space="0"/>
                    <w:left w:val="single" w:color="auto" w:sz="4" w:space="0"/>
                    <w:bottom w:val="single" w:color="auto" w:sz="4" w:space="0"/>
                    <w:right w:val="single" w:color="auto" w:sz="4" w:space="0"/>
                  </w:tcBorders>
                  <w:vAlign w:val="center"/>
                </w:tcPr>
                <w:p w14:paraId="3535A63A">
                  <w:pPr>
                    <w:keepNext w:val="0"/>
                    <w:keepLines w:val="0"/>
                    <w:pageBreakBefore w:val="0"/>
                    <w:kinsoku/>
                    <w:wordWrap/>
                    <w:overflowPunct/>
                    <w:topLinePunct w:val="0"/>
                    <w:bidi w:val="0"/>
                    <w:ind w:right="0" w:rightChars="0"/>
                    <w:jc w:val="center"/>
                    <w:textAlignment w:val="auto"/>
                    <w:outlineLvl w:val="9"/>
                    <w:rPr>
                      <w:rFonts w:hint="default" w:eastAsia="宋体"/>
                      <w:sz w:val="21"/>
                      <w:szCs w:val="21"/>
                      <w:lang w:val="en-US" w:eastAsia="zh-CN" w:bidi="ar"/>
                    </w:rPr>
                  </w:pPr>
                  <w:r>
                    <w:rPr>
                      <w:rFonts w:hint="eastAsia"/>
                      <w:sz w:val="21"/>
                      <w:szCs w:val="21"/>
                      <w:lang w:val="en-US" w:eastAsia="zh-CN" w:bidi="ar"/>
                    </w:rPr>
                    <w:t>0.01</w:t>
                  </w:r>
                </w:p>
              </w:tc>
              <w:tc>
                <w:tcPr>
                  <w:tcW w:w="468" w:type="pct"/>
                  <w:tcBorders>
                    <w:top w:val="single" w:color="auto" w:sz="4" w:space="0"/>
                    <w:left w:val="single" w:color="auto" w:sz="4" w:space="0"/>
                    <w:bottom w:val="single" w:color="auto" w:sz="4" w:space="0"/>
                    <w:right w:val="single" w:color="auto" w:sz="4" w:space="0"/>
                  </w:tcBorders>
                  <w:vAlign w:val="center"/>
                </w:tcPr>
                <w:p w14:paraId="7F7BBBA8">
                  <w:pPr>
                    <w:keepNext w:val="0"/>
                    <w:keepLines w:val="0"/>
                    <w:pageBreakBefore w:val="0"/>
                    <w:kinsoku/>
                    <w:wordWrap/>
                    <w:overflowPunct/>
                    <w:topLinePunct w:val="0"/>
                    <w:bidi w:val="0"/>
                    <w:ind w:right="0" w:rightChars="0"/>
                    <w:jc w:val="center"/>
                    <w:textAlignment w:val="auto"/>
                    <w:outlineLvl w:val="9"/>
                    <w:rPr>
                      <w:rFonts w:hint="default" w:eastAsia="宋体"/>
                      <w:sz w:val="21"/>
                      <w:szCs w:val="21"/>
                      <w:lang w:val="en-US" w:eastAsia="zh-CN"/>
                    </w:rPr>
                  </w:pPr>
                  <w:r>
                    <w:rPr>
                      <w:rFonts w:hint="eastAsia"/>
                      <w:sz w:val="21"/>
                      <w:szCs w:val="21"/>
                      <w:lang w:val="en-US" w:eastAsia="zh-CN"/>
                    </w:rPr>
                    <w:t>实验检测</w:t>
                  </w:r>
                </w:p>
              </w:tc>
              <w:tc>
                <w:tcPr>
                  <w:tcW w:w="388" w:type="pct"/>
                  <w:tcBorders>
                    <w:top w:val="single" w:color="auto" w:sz="4" w:space="0"/>
                    <w:left w:val="single" w:color="auto" w:sz="4" w:space="0"/>
                    <w:bottom w:val="single" w:color="auto" w:sz="4" w:space="0"/>
                    <w:right w:val="single" w:color="auto" w:sz="4" w:space="0"/>
                  </w:tcBorders>
                  <w:vAlign w:val="center"/>
                </w:tcPr>
                <w:p w14:paraId="4AD4F5BE">
                  <w:pPr>
                    <w:keepNext w:val="0"/>
                    <w:keepLines w:val="0"/>
                    <w:pageBreakBefore w:val="0"/>
                    <w:kinsoku/>
                    <w:wordWrap/>
                    <w:overflowPunct/>
                    <w:topLinePunct w:val="0"/>
                    <w:bidi w:val="0"/>
                    <w:ind w:right="0" w:rightChars="0"/>
                    <w:jc w:val="center"/>
                    <w:textAlignment w:val="auto"/>
                    <w:outlineLvl w:val="9"/>
                    <w:rPr>
                      <w:sz w:val="21"/>
                      <w:szCs w:val="21"/>
                    </w:rPr>
                  </w:pPr>
                  <w:r>
                    <w:rPr>
                      <w:sz w:val="21"/>
                      <w:szCs w:val="21"/>
                    </w:rPr>
                    <w:t>固</w:t>
                  </w:r>
                  <w:r>
                    <w:rPr>
                      <w:rFonts w:hint="eastAsia"/>
                      <w:sz w:val="21"/>
                      <w:szCs w:val="21"/>
                      <w:lang w:val="en-US" w:eastAsia="zh-CN"/>
                    </w:rPr>
                    <w:t>/液态</w:t>
                  </w:r>
                </w:p>
              </w:tc>
              <w:tc>
                <w:tcPr>
                  <w:tcW w:w="468" w:type="pct"/>
                  <w:tcBorders>
                    <w:top w:val="single" w:color="auto" w:sz="4" w:space="0"/>
                    <w:left w:val="single" w:color="auto" w:sz="4" w:space="0"/>
                    <w:bottom w:val="single" w:color="auto" w:sz="4" w:space="0"/>
                    <w:right w:val="single" w:color="auto" w:sz="4" w:space="0"/>
                  </w:tcBorders>
                  <w:vAlign w:val="center"/>
                </w:tcPr>
                <w:p w14:paraId="405B2526">
                  <w:pPr>
                    <w:keepNext w:val="0"/>
                    <w:keepLines w:val="0"/>
                    <w:pageBreakBefore w:val="0"/>
                    <w:kinsoku/>
                    <w:wordWrap/>
                    <w:overflowPunct/>
                    <w:topLinePunct w:val="0"/>
                    <w:bidi w:val="0"/>
                    <w:ind w:right="0" w:rightChars="0"/>
                    <w:jc w:val="center"/>
                    <w:textAlignment w:val="auto"/>
                    <w:outlineLvl w:val="9"/>
                    <w:rPr>
                      <w:sz w:val="21"/>
                      <w:szCs w:val="21"/>
                      <w:lang w:bidi="ar"/>
                    </w:rPr>
                  </w:pPr>
                  <w:r>
                    <w:rPr>
                      <w:sz w:val="21"/>
                      <w:szCs w:val="21"/>
                      <w:lang w:bidi="ar"/>
                    </w:rPr>
                    <w:t>按工况</w:t>
                  </w:r>
                </w:p>
              </w:tc>
              <w:tc>
                <w:tcPr>
                  <w:tcW w:w="518" w:type="pct"/>
                  <w:tcBorders>
                    <w:top w:val="single" w:color="auto" w:sz="4" w:space="0"/>
                    <w:left w:val="nil"/>
                    <w:bottom w:val="single" w:color="auto" w:sz="4" w:space="0"/>
                    <w:right w:val="single" w:color="auto" w:sz="4" w:space="0"/>
                  </w:tcBorders>
                  <w:vAlign w:val="center"/>
                </w:tcPr>
                <w:p w14:paraId="62331C2A">
                  <w:pPr>
                    <w:keepNext w:val="0"/>
                    <w:keepLines w:val="0"/>
                    <w:pageBreakBefore w:val="0"/>
                    <w:kinsoku/>
                    <w:wordWrap/>
                    <w:overflowPunct/>
                    <w:topLinePunct w:val="0"/>
                    <w:bidi w:val="0"/>
                    <w:ind w:right="0" w:rightChars="0"/>
                    <w:jc w:val="center"/>
                    <w:textAlignment w:val="auto"/>
                    <w:outlineLvl w:val="9"/>
                    <w:rPr>
                      <w:color w:val="auto"/>
                      <w:sz w:val="21"/>
                      <w:szCs w:val="21"/>
                      <w:lang w:bidi="ar"/>
                    </w:rPr>
                  </w:pPr>
                  <w:r>
                    <w:rPr>
                      <w:rFonts w:hint="eastAsia"/>
                      <w:color w:val="auto"/>
                      <w:sz w:val="21"/>
                      <w:szCs w:val="21"/>
                      <w:lang w:bidi="ar"/>
                    </w:rPr>
                    <w:t>T/C/I/R</w:t>
                  </w:r>
                </w:p>
              </w:tc>
              <w:tc>
                <w:tcPr>
                  <w:tcW w:w="540" w:type="pct"/>
                  <w:tcBorders>
                    <w:left w:val="nil"/>
                    <w:right w:val="single" w:color="auto" w:sz="4" w:space="0"/>
                  </w:tcBorders>
                  <w:vAlign w:val="center"/>
                </w:tcPr>
                <w:p w14:paraId="7A2CC99C">
                  <w:pPr>
                    <w:keepNext w:val="0"/>
                    <w:keepLines w:val="0"/>
                    <w:pageBreakBefore w:val="0"/>
                    <w:kinsoku/>
                    <w:wordWrap/>
                    <w:overflowPunct/>
                    <w:topLinePunct w:val="0"/>
                    <w:bidi w:val="0"/>
                    <w:ind w:right="0"/>
                    <w:jc w:val="center"/>
                    <w:textAlignment w:val="auto"/>
                    <w:outlineLvl w:val="9"/>
                    <w:rPr>
                      <w:sz w:val="21"/>
                      <w:szCs w:val="21"/>
                      <w:lang w:bidi="ar"/>
                    </w:rPr>
                  </w:pPr>
                  <w:r>
                    <w:rPr>
                      <w:rFonts w:hint="eastAsia"/>
                      <w:sz w:val="21"/>
                      <w:szCs w:val="21"/>
                      <w:lang w:val="en-US" w:eastAsia="zh-CN" w:bidi="ar"/>
                    </w:rPr>
                    <w:t>暂存在危废暂存间内，委托</w:t>
                  </w:r>
                  <w:r>
                    <w:rPr>
                      <w:sz w:val="21"/>
                      <w:szCs w:val="21"/>
                      <w:lang w:bidi="ar"/>
                    </w:rPr>
                    <w:t>有资质单位处理</w:t>
                  </w:r>
                </w:p>
              </w:tc>
            </w:tr>
          </w:tbl>
          <w:p w14:paraId="35AAD0F4">
            <w:pPr>
              <w:widowControl/>
              <w:wordWrap w:val="0"/>
              <w:spacing w:line="360" w:lineRule="auto"/>
              <w:ind w:firstLine="480" w:firstLineChars="200"/>
              <w:rPr>
                <w:rFonts w:hint="default" w:ascii="Times New Roman" w:hAnsi="Times New Roman" w:eastAsia="宋体" w:cs="Times New Roman"/>
                <w:kern w:val="0"/>
                <w:sz w:val="24"/>
                <w:szCs w:val="24"/>
                <w:lang w:bidi="ar"/>
              </w:rPr>
            </w:pPr>
            <w:r>
              <w:rPr>
                <w:rFonts w:hint="default" w:ascii="Times New Roman" w:hAnsi="Times New Roman" w:eastAsia="宋体" w:cs="Times New Roman"/>
                <w:kern w:val="0"/>
                <w:sz w:val="24"/>
                <w:szCs w:val="24"/>
                <w:lang w:bidi="ar"/>
              </w:rPr>
              <w:t>环境管理要求：</w:t>
            </w:r>
          </w:p>
          <w:p w14:paraId="0D276616">
            <w:pPr>
              <w:widowControl/>
              <w:wordWrap w:val="0"/>
              <w:spacing w:line="360" w:lineRule="auto"/>
              <w:ind w:firstLine="480" w:firstLineChars="200"/>
              <w:rPr>
                <w:rFonts w:hint="default" w:ascii="Times New Roman" w:hAnsi="Times New Roman" w:eastAsia="宋体" w:cs="Times New Roman"/>
                <w:kern w:val="0"/>
                <w:sz w:val="24"/>
                <w:szCs w:val="24"/>
                <w:lang w:bidi="ar"/>
              </w:rPr>
            </w:pPr>
            <w:r>
              <w:rPr>
                <w:rFonts w:hint="default" w:ascii="Times New Roman" w:hAnsi="Times New Roman" w:eastAsia="宋体" w:cs="Times New Roman"/>
                <w:kern w:val="0"/>
                <w:sz w:val="24"/>
                <w:szCs w:val="24"/>
                <w:lang w:bidi="ar"/>
              </w:rPr>
              <w:t>项目一般固体废物存放</w:t>
            </w:r>
            <w:r>
              <w:rPr>
                <w:rFonts w:hint="eastAsia" w:ascii="Times New Roman" w:hAnsi="Times New Roman" w:eastAsia="宋体" w:cs="Times New Roman"/>
                <w:kern w:val="0"/>
                <w:sz w:val="24"/>
                <w:szCs w:val="24"/>
                <w:lang w:val="en-US" w:eastAsia="zh-CN" w:bidi="ar"/>
              </w:rPr>
              <w:t>在</w:t>
            </w:r>
            <w:r>
              <w:rPr>
                <w:rFonts w:hint="default" w:ascii="Times New Roman" w:hAnsi="Times New Roman" w:eastAsia="宋体" w:cs="Times New Roman"/>
                <w:kern w:val="0"/>
                <w:sz w:val="24"/>
                <w:szCs w:val="24"/>
                <w:lang w:bidi="ar"/>
              </w:rPr>
              <w:t>一般固废暂存间，</w:t>
            </w:r>
            <w:r>
              <w:rPr>
                <w:rFonts w:hint="eastAsia" w:ascii="Times New Roman" w:hAnsi="Times New Roman" w:eastAsia="宋体" w:cs="Times New Roman"/>
                <w:kern w:val="0"/>
                <w:sz w:val="24"/>
                <w:szCs w:val="24"/>
                <w:lang w:bidi="ar"/>
              </w:rPr>
              <w:t>位于</w:t>
            </w:r>
            <w:r>
              <w:rPr>
                <w:rFonts w:hint="eastAsia" w:cs="Times New Roman"/>
                <w:kern w:val="0"/>
                <w:sz w:val="24"/>
                <w:szCs w:val="24"/>
                <w:lang w:val="en-US" w:eastAsia="zh-CN" w:bidi="ar"/>
              </w:rPr>
              <w:t>车间三</w:t>
            </w:r>
            <w:r>
              <w:rPr>
                <w:rFonts w:hint="eastAsia" w:ascii="Times New Roman" w:hAnsi="Times New Roman" w:eastAsia="宋体" w:cs="Times New Roman"/>
                <w:kern w:val="0"/>
                <w:sz w:val="24"/>
                <w:szCs w:val="24"/>
                <w:lang w:val="en-US" w:eastAsia="zh-CN" w:bidi="ar"/>
              </w:rPr>
              <w:t>一层北侧</w:t>
            </w:r>
            <w:r>
              <w:rPr>
                <w:rFonts w:hint="default" w:ascii="Times New Roman" w:hAnsi="Times New Roman" w:eastAsia="宋体" w:cs="Times New Roman"/>
                <w:kern w:val="0"/>
                <w:sz w:val="24"/>
                <w:szCs w:val="24"/>
                <w:lang w:bidi="ar"/>
              </w:rPr>
              <w:t>，建筑面积约</w:t>
            </w:r>
            <w:r>
              <w:rPr>
                <w:rFonts w:hint="eastAsia" w:cs="Times New Roman"/>
                <w:kern w:val="0"/>
                <w:sz w:val="24"/>
                <w:szCs w:val="24"/>
                <w:lang w:val="en-US" w:eastAsia="zh-CN" w:bidi="ar"/>
              </w:rPr>
              <w:t>15</w:t>
            </w:r>
            <w:r>
              <w:rPr>
                <w:rFonts w:hint="default" w:ascii="Times New Roman" w:hAnsi="Times New Roman" w:eastAsia="宋体" w:cs="Times New Roman"/>
                <w:kern w:val="0"/>
                <w:sz w:val="24"/>
                <w:szCs w:val="24"/>
                <w:lang w:bidi="ar"/>
              </w:rPr>
              <w:t>m</w:t>
            </w:r>
            <w:r>
              <w:rPr>
                <w:rFonts w:hint="default" w:ascii="Times New Roman" w:hAnsi="Times New Roman" w:eastAsia="宋体" w:cs="Times New Roman"/>
                <w:kern w:val="0"/>
                <w:sz w:val="24"/>
                <w:szCs w:val="24"/>
                <w:vertAlign w:val="superscript"/>
                <w:lang w:bidi="ar"/>
              </w:rPr>
              <w:t>2</w:t>
            </w:r>
            <w:r>
              <w:rPr>
                <w:rFonts w:hint="eastAsia" w:ascii="Times New Roman" w:hAnsi="Times New Roman" w:eastAsia="宋体" w:cs="Times New Roman"/>
                <w:kern w:val="0"/>
                <w:sz w:val="24"/>
                <w:szCs w:val="24"/>
                <w:lang w:bidi="ar"/>
              </w:rPr>
              <w:t>，一般固废收集后</w:t>
            </w:r>
            <w:r>
              <w:rPr>
                <w:rFonts w:hint="default" w:ascii="Times New Roman" w:hAnsi="Times New Roman" w:eastAsia="宋体" w:cs="Times New Roman"/>
                <w:kern w:val="0"/>
                <w:sz w:val="24"/>
                <w:szCs w:val="24"/>
                <w:lang w:bidi="ar"/>
              </w:rPr>
              <w:t>外售处理</w:t>
            </w:r>
            <w:r>
              <w:rPr>
                <w:rFonts w:hint="eastAsia" w:ascii="Times New Roman" w:hAnsi="Times New Roman" w:eastAsia="宋体" w:cs="Times New Roman"/>
                <w:kern w:val="0"/>
                <w:sz w:val="24"/>
                <w:szCs w:val="24"/>
                <w:lang w:eastAsia="zh-CN" w:bidi="ar"/>
              </w:rPr>
              <w:t>。</w:t>
            </w:r>
            <w:r>
              <w:rPr>
                <w:rFonts w:hint="default" w:ascii="Times New Roman" w:hAnsi="Times New Roman" w:eastAsia="宋体" w:cs="Times New Roman"/>
                <w:kern w:val="0"/>
                <w:sz w:val="24"/>
                <w:szCs w:val="24"/>
                <w:lang w:bidi="ar"/>
              </w:rPr>
              <w:t>暂存场地的设置应符合《一般工业固体废物贮存和填埋污染控制标准》（GB18599</w:t>
            </w:r>
            <w:r>
              <w:rPr>
                <w:rFonts w:hint="eastAsia" w:ascii="Times New Roman" w:hAnsi="Times New Roman" w:eastAsia="宋体" w:cs="Times New Roman"/>
                <w:kern w:val="0"/>
                <w:sz w:val="24"/>
                <w:szCs w:val="24"/>
                <w:lang w:val="en-US" w:eastAsia="zh-CN" w:bidi="ar"/>
              </w:rPr>
              <w:t>-</w:t>
            </w:r>
            <w:r>
              <w:rPr>
                <w:rFonts w:hint="default" w:ascii="Times New Roman" w:hAnsi="Times New Roman" w:eastAsia="宋体" w:cs="Times New Roman"/>
                <w:kern w:val="0"/>
                <w:sz w:val="24"/>
                <w:szCs w:val="24"/>
                <w:lang w:bidi="ar"/>
              </w:rPr>
              <w:t>2020）中的规定。一般固废暂存间设置要求做到以下几点：</w:t>
            </w:r>
          </w:p>
          <w:p w14:paraId="3A5C1B99">
            <w:pPr>
              <w:widowControl/>
              <w:wordWrap w:val="0"/>
              <w:spacing w:line="360" w:lineRule="auto"/>
              <w:ind w:firstLine="480" w:firstLineChars="200"/>
              <w:rPr>
                <w:rFonts w:hint="default" w:ascii="Times New Roman" w:hAnsi="Times New Roman" w:eastAsia="宋体" w:cs="Times New Roman"/>
                <w:kern w:val="0"/>
                <w:sz w:val="24"/>
                <w:szCs w:val="24"/>
                <w:lang w:bidi="ar"/>
              </w:rPr>
            </w:pPr>
            <w:r>
              <w:rPr>
                <w:rFonts w:hint="default" w:ascii="Times New Roman" w:hAnsi="Times New Roman" w:eastAsia="宋体" w:cs="Times New Roman"/>
                <w:kern w:val="0"/>
                <w:sz w:val="24"/>
                <w:szCs w:val="24"/>
                <w:lang w:bidi="ar"/>
              </w:rPr>
              <w:t>（1）应选在满足承载力要求的地基上，以避免地基下沉的影响，特别是不均匀或局部下沉的影响。</w:t>
            </w:r>
          </w:p>
          <w:p w14:paraId="16CC8FD8">
            <w:pPr>
              <w:widowControl/>
              <w:wordWrap w:val="0"/>
              <w:spacing w:line="360" w:lineRule="auto"/>
              <w:ind w:firstLine="480" w:firstLineChars="200"/>
              <w:rPr>
                <w:rFonts w:hint="default" w:ascii="Times New Roman" w:hAnsi="Times New Roman" w:eastAsia="宋体" w:cs="Times New Roman"/>
                <w:kern w:val="0"/>
                <w:sz w:val="24"/>
                <w:szCs w:val="24"/>
                <w:lang w:bidi="ar"/>
              </w:rPr>
            </w:pPr>
            <w:r>
              <w:rPr>
                <w:rFonts w:hint="default" w:ascii="Times New Roman" w:hAnsi="Times New Roman" w:eastAsia="宋体" w:cs="Times New Roman"/>
                <w:kern w:val="0"/>
                <w:sz w:val="24"/>
                <w:szCs w:val="24"/>
                <w:lang w:bidi="ar"/>
              </w:rPr>
              <w:t>（2）为防止雨水径流进入贮存、处置场内，避免渗滤液量增加和滑坡，贮存、</w:t>
            </w:r>
            <w:r>
              <w:rPr>
                <w:rFonts w:hint="default" w:ascii="Times New Roman" w:hAnsi="Times New Roman" w:eastAsia="宋体" w:cs="Times New Roman"/>
                <w:kern w:val="0"/>
                <w:sz w:val="24"/>
                <w:szCs w:val="24"/>
                <w:lang w:val="en-US" w:eastAsia="zh-CN" w:bidi="ar"/>
              </w:rPr>
              <w:t>处置</w:t>
            </w:r>
            <w:r>
              <w:rPr>
                <w:rFonts w:hint="default" w:ascii="Times New Roman" w:hAnsi="Times New Roman" w:eastAsia="宋体" w:cs="Times New Roman"/>
                <w:kern w:val="0"/>
                <w:sz w:val="24"/>
                <w:szCs w:val="24"/>
                <w:lang w:bidi="ar"/>
              </w:rPr>
              <w:t>场周边应设置导流渠。</w:t>
            </w:r>
          </w:p>
          <w:p w14:paraId="6C3632E3">
            <w:pPr>
              <w:widowControl/>
              <w:wordWrap w:val="0"/>
              <w:spacing w:line="360" w:lineRule="auto"/>
              <w:ind w:firstLine="480" w:firstLineChars="200"/>
              <w:rPr>
                <w:rFonts w:hint="default" w:ascii="Times New Roman" w:hAnsi="Times New Roman" w:eastAsia="宋体" w:cs="Times New Roman"/>
                <w:kern w:val="0"/>
                <w:sz w:val="24"/>
                <w:szCs w:val="24"/>
                <w:lang w:bidi="ar"/>
              </w:rPr>
            </w:pPr>
            <w:r>
              <w:rPr>
                <w:rFonts w:hint="default" w:ascii="Times New Roman" w:hAnsi="Times New Roman" w:eastAsia="宋体" w:cs="Times New Roman"/>
                <w:kern w:val="0"/>
                <w:sz w:val="24"/>
                <w:szCs w:val="24"/>
                <w:lang w:bidi="ar"/>
              </w:rPr>
              <w:t>（3）一般工业固体废物贮存、处置场，禁止危险废物和生活垃圾混入。</w:t>
            </w:r>
          </w:p>
          <w:p w14:paraId="31AEC78F">
            <w:pPr>
              <w:widowControl/>
              <w:wordWrap w:val="0"/>
              <w:spacing w:line="360" w:lineRule="auto"/>
              <w:ind w:firstLine="480" w:firstLineChars="200"/>
              <w:rPr>
                <w:rFonts w:hint="default" w:ascii="Times New Roman" w:hAnsi="Times New Roman" w:eastAsia="宋体" w:cs="Times New Roman"/>
                <w:kern w:val="0"/>
                <w:sz w:val="24"/>
                <w:szCs w:val="24"/>
                <w:lang w:bidi="ar"/>
              </w:rPr>
            </w:pPr>
            <w:r>
              <w:rPr>
                <w:rFonts w:hint="default" w:ascii="Times New Roman" w:hAnsi="Times New Roman" w:eastAsia="宋体" w:cs="Times New Roman"/>
                <w:kern w:val="0"/>
                <w:sz w:val="24"/>
                <w:szCs w:val="24"/>
                <w:lang w:bidi="ar"/>
              </w:rPr>
              <w:t>（4）贮存、处置场的环境保护图形标志，应按GB15562.2规定进行检查和维护。</w:t>
            </w:r>
          </w:p>
          <w:p w14:paraId="403E9F0A">
            <w:pPr>
              <w:spacing w:line="360" w:lineRule="auto"/>
              <w:ind w:firstLine="480" w:firstLineChars="200"/>
              <w:rPr>
                <w:rFonts w:hint="default" w:ascii="Times New Roman" w:hAnsi="Times New Roman" w:eastAsia="宋体" w:cs="Times New Roman"/>
                <w:kern w:val="0"/>
                <w:sz w:val="24"/>
                <w:szCs w:val="24"/>
                <w:lang w:bidi="ar"/>
              </w:rPr>
            </w:pPr>
            <w:r>
              <w:rPr>
                <w:rFonts w:hint="default" w:ascii="Times New Roman" w:hAnsi="Times New Roman" w:eastAsia="宋体" w:cs="Times New Roman"/>
                <w:kern w:val="0"/>
                <w:sz w:val="24"/>
                <w:szCs w:val="24"/>
                <w:lang w:bidi="ar"/>
              </w:rPr>
              <w:t>（5）</w:t>
            </w:r>
            <w:r>
              <w:rPr>
                <w:rFonts w:hint="default" w:ascii="Times New Roman" w:hAnsi="Times New Roman" w:eastAsia="宋体" w:cs="Times New Roman"/>
                <w:sz w:val="24"/>
                <w:szCs w:val="24"/>
              </w:rPr>
              <w:t>规范</w:t>
            </w:r>
            <w:r>
              <w:rPr>
                <w:rFonts w:hint="default" w:ascii="Times New Roman" w:hAnsi="Times New Roman" w:eastAsia="宋体" w:cs="Times New Roman"/>
                <w:kern w:val="0"/>
                <w:sz w:val="24"/>
                <w:szCs w:val="24"/>
                <w:lang w:bidi="ar"/>
              </w:rPr>
              <w:t>一般工业固体废物</w:t>
            </w:r>
            <w:r>
              <w:rPr>
                <w:rFonts w:hint="default" w:ascii="Times New Roman" w:hAnsi="Times New Roman" w:eastAsia="宋体" w:cs="Times New Roman"/>
                <w:sz w:val="24"/>
                <w:szCs w:val="24"/>
              </w:rPr>
              <w:t>台账记录、建立</w:t>
            </w:r>
            <w:r>
              <w:rPr>
                <w:rFonts w:hint="default" w:ascii="Times New Roman" w:hAnsi="Times New Roman" w:eastAsia="宋体" w:cs="Times New Roman"/>
                <w:kern w:val="0"/>
                <w:sz w:val="24"/>
                <w:szCs w:val="24"/>
                <w:lang w:bidi="ar"/>
              </w:rPr>
              <w:t>一般工业固体废物</w:t>
            </w:r>
            <w:r>
              <w:rPr>
                <w:rFonts w:hint="default" w:ascii="Times New Roman" w:hAnsi="Times New Roman" w:eastAsia="宋体" w:cs="Times New Roman"/>
                <w:sz w:val="24"/>
                <w:szCs w:val="24"/>
              </w:rPr>
              <w:t>收集及储运有关档案，</w:t>
            </w:r>
            <w:r>
              <w:rPr>
                <w:rFonts w:hint="default" w:ascii="Times New Roman" w:hAnsi="Times New Roman" w:eastAsia="宋体" w:cs="Times New Roman"/>
                <w:sz w:val="24"/>
                <w:szCs w:val="24"/>
                <w:lang w:val="en-US" w:eastAsia="zh-CN"/>
              </w:rPr>
              <w:t>做</w:t>
            </w:r>
            <w:r>
              <w:rPr>
                <w:rFonts w:hint="default" w:ascii="Times New Roman" w:hAnsi="Times New Roman" w:eastAsia="宋体" w:cs="Times New Roman"/>
                <w:sz w:val="24"/>
                <w:szCs w:val="24"/>
              </w:rPr>
              <w:t>好</w:t>
            </w:r>
            <w:r>
              <w:rPr>
                <w:rFonts w:hint="default" w:ascii="Times New Roman" w:hAnsi="Times New Roman" w:eastAsia="宋体" w:cs="Times New Roman"/>
                <w:kern w:val="0"/>
                <w:sz w:val="24"/>
                <w:szCs w:val="24"/>
                <w:lang w:bidi="ar"/>
              </w:rPr>
              <w:t>一般工业固体废物</w:t>
            </w:r>
            <w:r>
              <w:rPr>
                <w:rFonts w:hint="default" w:ascii="Times New Roman" w:hAnsi="Times New Roman" w:eastAsia="宋体" w:cs="Times New Roman"/>
                <w:sz w:val="24"/>
                <w:szCs w:val="24"/>
              </w:rPr>
              <w:t>台账的记录，并</w:t>
            </w:r>
            <w:r>
              <w:rPr>
                <w:rFonts w:hint="default" w:ascii="Times New Roman" w:hAnsi="Times New Roman" w:eastAsia="宋体" w:cs="Times New Roman"/>
                <w:sz w:val="24"/>
                <w:szCs w:val="24"/>
                <w:lang w:val="en-US" w:eastAsia="zh-CN"/>
              </w:rPr>
              <w:t>及</w:t>
            </w:r>
            <w:r>
              <w:rPr>
                <w:rFonts w:hint="default" w:ascii="Times New Roman" w:hAnsi="Times New Roman" w:eastAsia="宋体" w:cs="Times New Roman"/>
                <w:sz w:val="24"/>
                <w:szCs w:val="24"/>
              </w:rPr>
              <w:t>时存档以备查阅。</w:t>
            </w:r>
          </w:p>
          <w:p w14:paraId="72006828">
            <w:pPr>
              <w:widowControl/>
              <w:wordWrap w:val="0"/>
              <w:spacing w:line="360" w:lineRule="auto"/>
              <w:ind w:firstLine="480" w:firstLineChars="200"/>
              <w:rPr>
                <w:rFonts w:hint="default" w:ascii="Times New Roman" w:hAnsi="Times New Roman" w:eastAsia="宋体" w:cs="Times New Roman"/>
                <w:kern w:val="0"/>
                <w:sz w:val="24"/>
                <w:szCs w:val="24"/>
                <w:lang w:bidi="ar"/>
              </w:rPr>
            </w:pPr>
            <w:r>
              <w:rPr>
                <w:rFonts w:hint="default" w:ascii="Times New Roman" w:hAnsi="Times New Roman" w:eastAsia="宋体" w:cs="Times New Roman"/>
                <w:kern w:val="0"/>
                <w:sz w:val="24"/>
                <w:szCs w:val="24"/>
                <w:lang w:bidi="ar"/>
              </w:rPr>
              <w:t>项目</w:t>
            </w:r>
            <w:r>
              <w:rPr>
                <w:rFonts w:hint="default" w:ascii="Times New Roman" w:hAnsi="Times New Roman" w:eastAsia="宋体" w:cs="Times New Roman"/>
                <w:bCs/>
                <w:color w:val="000000"/>
                <w:sz w:val="24"/>
                <w:szCs w:val="24"/>
              </w:rPr>
              <w:t>危险</w:t>
            </w:r>
            <w:r>
              <w:rPr>
                <w:rFonts w:hint="default" w:ascii="Times New Roman" w:hAnsi="Times New Roman" w:eastAsia="宋体" w:cs="Times New Roman"/>
                <w:bCs/>
                <w:color w:val="000000"/>
                <w:sz w:val="24"/>
                <w:szCs w:val="24"/>
                <w:lang w:val="en-US" w:eastAsia="zh-CN"/>
              </w:rPr>
              <w:t>废物</w:t>
            </w:r>
            <w:r>
              <w:rPr>
                <w:rFonts w:hint="default" w:ascii="Times New Roman" w:hAnsi="Times New Roman" w:eastAsia="宋体" w:cs="Times New Roman"/>
                <w:bCs/>
                <w:color w:val="000000"/>
                <w:sz w:val="24"/>
                <w:szCs w:val="24"/>
              </w:rPr>
              <w:t>暂存间</w:t>
            </w:r>
            <w:r>
              <w:rPr>
                <w:rFonts w:hint="default" w:ascii="Times New Roman" w:hAnsi="Times New Roman" w:eastAsia="宋体" w:cs="Times New Roman"/>
                <w:kern w:val="0"/>
                <w:sz w:val="24"/>
                <w:szCs w:val="24"/>
                <w:lang w:bidi="ar"/>
              </w:rPr>
              <w:t>位于</w:t>
            </w:r>
            <w:r>
              <w:rPr>
                <w:rFonts w:hint="eastAsia" w:cs="Times New Roman"/>
                <w:kern w:val="0"/>
                <w:sz w:val="24"/>
                <w:szCs w:val="24"/>
                <w:lang w:val="en-US" w:eastAsia="zh-CN" w:bidi="ar"/>
              </w:rPr>
              <w:t>车间三</w:t>
            </w:r>
            <w:r>
              <w:rPr>
                <w:rFonts w:hint="eastAsia" w:ascii="Times New Roman" w:hAnsi="Times New Roman" w:eastAsia="宋体" w:cs="Times New Roman"/>
                <w:kern w:val="0"/>
                <w:sz w:val="24"/>
                <w:szCs w:val="24"/>
                <w:lang w:val="en-US" w:eastAsia="zh-CN" w:bidi="ar"/>
              </w:rPr>
              <w:t>一层北侧</w:t>
            </w:r>
            <w:r>
              <w:rPr>
                <w:rFonts w:hint="default" w:ascii="Times New Roman" w:hAnsi="Times New Roman" w:eastAsia="宋体" w:cs="Times New Roman"/>
                <w:kern w:val="0"/>
                <w:sz w:val="24"/>
                <w:szCs w:val="24"/>
                <w:lang w:bidi="ar"/>
              </w:rPr>
              <w:t>，建筑面积约</w:t>
            </w:r>
            <w:r>
              <w:rPr>
                <w:rFonts w:hint="eastAsia" w:cs="Times New Roman"/>
                <w:kern w:val="0"/>
                <w:sz w:val="24"/>
                <w:szCs w:val="24"/>
                <w:lang w:val="en-US" w:eastAsia="zh-CN" w:bidi="ar"/>
              </w:rPr>
              <w:t>15</w:t>
            </w:r>
            <w:r>
              <w:rPr>
                <w:rFonts w:hint="default" w:ascii="Times New Roman" w:hAnsi="Times New Roman" w:eastAsia="宋体" w:cs="Times New Roman"/>
                <w:kern w:val="0"/>
                <w:sz w:val="24"/>
                <w:szCs w:val="24"/>
                <w:lang w:bidi="ar"/>
              </w:rPr>
              <w:t>m</w:t>
            </w:r>
            <w:r>
              <w:rPr>
                <w:rFonts w:hint="default" w:ascii="Times New Roman" w:hAnsi="Times New Roman" w:eastAsia="宋体" w:cs="Times New Roman"/>
                <w:kern w:val="0"/>
                <w:sz w:val="24"/>
                <w:szCs w:val="24"/>
                <w:vertAlign w:val="superscript"/>
                <w:lang w:bidi="ar"/>
              </w:rPr>
              <w:t>2</w:t>
            </w:r>
            <w:r>
              <w:rPr>
                <w:rFonts w:hint="default" w:ascii="Times New Roman" w:hAnsi="Times New Roman" w:eastAsia="宋体" w:cs="Times New Roman"/>
                <w:kern w:val="0"/>
                <w:sz w:val="24"/>
                <w:szCs w:val="24"/>
                <w:lang w:bidi="ar"/>
              </w:rPr>
              <w:t>，危险废物收集后暂存于厂区的危废暂存间，定期委托有危险废物处理资质的单位处置。暂存场地的设置应符合《危险废物贮存污染控制标准》（GB18597-2023）。危废暂存场地设置要求做到以下几点：</w:t>
            </w:r>
          </w:p>
          <w:p w14:paraId="0F910EC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贮存设施污染控制要求</w:t>
            </w:r>
          </w:p>
          <w:p w14:paraId="160E14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贮存设施应根据危险废物的形态、物理化学性质、包装形式和污染物迁移途径，采取必要的防风、防晒、防雨、防漏、防渗、防腐以及其他环境污染防治措施，不应露天堆放危险废物。</w:t>
            </w:r>
          </w:p>
          <w:p w14:paraId="54EF6D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贮存设施应根据危险废物的类别、数量、形态、物理化学性质和污染防治等要求设置必要的贮存分区，避免不相容的危险废物接触、混合。</w:t>
            </w:r>
          </w:p>
          <w:p w14:paraId="127F05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贮存设施或贮存分区内地面、墙面裙脚、堵截泄漏的围堰、接触危险废物的隔板和墙体等应采用坚固的材料建造，表面无裂缝。</w:t>
            </w:r>
          </w:p>
          <w:p w14:paraId="63F5ED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1m厚黏土层（渗透系数不大于10</w:t>
            </w:r>
            <w:r>
              <w:rPr>
                <w:rFonts w:hint="default" w:ascii="Times New Roman" w:hAnsi="Times New Roman" w:eastAsia="宋体" w:cs="Times New Roman"/>
                <w:sz w:val="24"/>
                <w:szCs w:val="24"/>
                <w:vertAlign w:val="superscript"/>
              </w:rPr>
              <w:t>-7</w:t>
            </w:r>
            <w:r>
              <w:rPr>
                <w:rFonts w:hint="default" w:ascii="Times New Roman" w:hAnsi="Times New Roman" w:eastAsia="宋体" w:cs="Times New Roman"/>
                <w:sz w:val="24"/>
                <w:szCs w:val="24"/>
              </w:rPr>
              <w:t>cm/s），或至少2mm厚高密度聚乙烯膜等人工防渗材料（渗透系数不大于10</w:t>
            </w:r>
            <w:r>
              <w:rPr>
                <w:rFonts w:hint="default" w:ascii="Times New Roman" w:hAnsi="Times New Roman" w:eastAsia="宋体" w:cs="Times New Roman"/>
                <w:sz w:val="24"/>
                <w:szCs w:val="24"/>
                <w:vertAlign w:val="superscript"/>
              </w:rPr>
              <w:t>-10</w:t>
            </w:r>
            <w:r>
              <w:rPr>
                <w:rFonts w:hint="default" w:ascii="Times New Roman" w:hAnsi="Times New Roman" w:eastAsia="宋体" w:cs="Times New Roman"/>
                <w:sz w:val="24"/>
                <w:szCs w:val="24"/>
              </w:rPr>
              <w:t>cm/s），或其他防渗性能等效的材料。</w:t>
            </w:r>
          </w:p>
          <w:p w14:paraId="2FC0A8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同一贮存设施宜采用相同的防渗、防腐工艺（包括防渗、防腐结构或材料），防渗、防腐材料应覆盖所有可能与废物及其渗滤液、渗漏液等接触的构筑物表面；采用不同防渗、防腐工艺应分别建设贮存分区。</w:t>
            </w:r>
          </w:p>
          <w:p w14:paraId="62AF07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贮存设施应采取技术和管理措施防止无关人员进入。</w:t>
            </w:r>
          </w:p>
          <w:p w14:paraId="54A5A69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贮存库污染控制要求</w:t>
            </w:r>
          </w:p>
          <w:p w14:paraId="462180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贮存库内不同贮存分区之间应采取隔离措施。隔离措施可根据危险废物特性采用过道、隔板或隔墙等方式。</w:t>
            </w:r>
          </w:p>
          <w:p w14:paraId="1ECC2F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在贮存库内或通过贮存分区方式贮存液态危险废物的，应具有液体泄漏堵截设施，堵截设施最小容积不应低于对应贮存区域最大液态废物容器容积或液态废物总储量1/10（二者取较大者）；用于贮存可能产生渗滤液的危险废物的贮存库或贮存分区应设计渗滤液收集设施，收集设施容积应满足渗滤液的收集要求。</w:t>
            </w:r>
          </w:p>
          <w:p w14:paraId="180E3EB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容器和包装物污染控制要求</w:t>
            </w:r>
          </w:p>
          <w:p w14:paraId="7F6DE7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在常温常压下不易水解、不易挥发的固态危险废物可分类堆放贮存，其他固态危险废物应装入容器或包装物内贮存。</w:t>
            </w:r>
          </w:p>
          <w:p w14:paraId="363E70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液态危险废物应装入容器内贮存，或直接采用贮存池、贮存罐区贮存。</w:t>
            </w:r>
          </w:p>
          <w:p w14:paraId="0BA6E1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半固态危险废物应装入容器或包装袋内贮存，或直接采用贮存池贮存。</w:t>
            </w:r>
          </w:p>
          <w:p w14:paraId="1AF55F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具有热塑性的危险废物应装入容器或包装袋内进行贮存。</w:t>
            </w:r>
          </w:p>
          <w:p w14:paraId="04A82B4C">
            <w:pPr>
              <w:pStyle w:val="1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贮存设施运行环境管理要求</w:t>
            </w:r>
          </w:p>
          <w:p w14:paraId="3082DB5C">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危险废物存入贮存设施前应对危险废物类别和特性与危险废物标签等危险废物识别标志的一致性进行核验，不一致的或类别、特性不明的不应存入。</w:t>
            </w:r>
          </w:p>
          <w:p w14:paraId="0BF288DD">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应定期检查危险废物的贮存状况，及时清理贮存设施地面，更换破损泄漏的危险废物贮存容器和包装物，保证堆存危险废物的防雨、防风、防扬尘等设施功能完好。</w:t>
            </w:r>
          </w:p>
          <w:p w14:paraId="4391BB21">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作业设备及车辆等结束作业离开贮存设施时，应对其残留的危险废物进行清理，清理的废物或清洗废水应收集处理。</w:t>
            </w:r>
          </w:p>
          <w:p w14:paraId="418C2FFE">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贮存设施运行期间，应按国家有关标准和规定建立危险废物管理台账并保存。</w:t>
            </w:r>
          </w:p>
          <w:p w14:paraId="6BC1029D">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贮存设施所有者或运营者应建立贮存设施环境管理制度、管理人员岗位职责制度、设施运行操作制度、人员岗位培训制度等。</w:t>
            </w:r>
          </w:p>
          <w:p w14:paraId="1B06A2B8">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贮存设施所有者或运营者应依据国家土壤和地下水污染防治的有关规定，结合贮存设施特点建立土壤和地下水污染隐患排查制度，并定期开展隐患排查；发现隐患应及时采取措施消除隐患，并建立档案。</w:t>
            </w:r>
          </w:p>
          <w:p w14:paraId="54E2CE6D">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贮存设施所有者或运营者应建立贮存设施全部档案，包括设计、施工、验收、运行、监测和环境应急等，应按国家有关档案管理的法律法规进行整理和归档。</w:t>
            </w:r>
          </w:p>
          <w:p w14:paraId="7C8BE0CB">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lang w:eastAsia="zh-CN"/>
              </w:rPr>
              <w:t>）危险废物转移过程严格落实《危险废物转移管理办法》（部令第23号）的相关规定，规范危险废物转移，做好每次外运处置废物的运输登记。</w:t>
            </w:r>
          </w:p>
          <w:p w14:paraId="4F1A30B6">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lang w:eastAsia="zh-CN"/>
              </w:rPr>
              <w:t>）危险废物贮存设施必须按《危险废物识别标志设置技术规范》（HJ1276—2022）的规定设置警示标志。</w:t>
            </w:r>
          </w:p>
          <w:p w14:paraId="7F77AEDE">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项目固体废物处置符合《一般工业固体废物贮存和填埋污染控制标准》（GB18599</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eastAsia="zh-CN"/>
              </w:rPr>
              <w:t>2020）、《危险废物贮存污染控制标准》（GB18597-2023）相关要求，各固体废物均能得到妥善解决，对周围环境影响较小。</w:t>
            </w:r>
          </w:p>
          <w:p w14:paraId="7E58AB53">
            <w:pPr>
              <w:adjustRightInd w:val="0"/>
              <w:snapToGrid w:val="0"/>
              <w:spacing w:line="360" w:lineRule="auto"/>
              <w:ind w:firstLine="482" w:firstLineChars="200"/>
              <w:rPr>
                <w:b/>
                <w:bCs/>
                <w:color w:val="000000" w:themeColor="text1"/>
                <w:spacing w:val="-10"/>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五、</w:t>
            </w:r>
            <w:r>
              <w:rPr>
                <w:rFonts w:hint="eastAsia"/>
                <w:b/>
                <w:bCs/>
                <w:color w:val="000000" w:themeColor="text1"/>
                <w:spacing w:val="-10"/>
                <w:sz w:val="24"/>
                <w14:textFill>
                  <w14:solidFill>
                    <w14:schemeClr w14:val="tx1"/>
                  </w14:solidFill>
                </w14:textFill>
              </w:rPr>
              <w:t>地下水、土壤</w:t>
            </w:r>
          </w:p>
          <w:p w14:paraId="372192BA">
            <w:pPr>
              <w:adjustRightInd w:val="0"/>
              <w:snapToGrid w:val="0"/>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1、污染源及污染途径</w:t>
            </w:r>
          </w:p>
          <w:p w14:paraId="58A5DF4D">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w:t>
            </w:r>
            <w:r>
              <w:rPr>
                <w:color w:val="000000" w:themeColor="text1"/>
                <w:sz w:val="24"/>
                <w14:textFill>
                  <w14:solidFill>
                    <w14:schemeClr w14:val="tx1"/>
                  </w14:solidFill>
                </w14:textFill>
              </w:rPr>
              <w:t>厂界外500米范围内无地下水集中式饮用</w:t>
            </w:r>
            <w:r>
              <w:rPr>
                <w:rFonts w:hint="eastAsia" w:ascii="宋体" w:hAnsi="宋体" w:cs="宋体"/>
                <w:color w:val="000000" w:themeColor="text1"/>
                <w:sz w:val="24"/>
                <w14:textFill>
                  <w14:solidFill>
                    <w14:schemeClr w14:val="tx1"/>
                  </w14:solidFill>
                </w14:textFill>
              </w:rPr>
              <w:t>水水源和热水、矿泉水、温泉等特殊地下水资源，</w:t>
            </w:r>
            <w:r>
              <w:rPr>
                <w:rFonts w:ascii="宋体" w:hAnsi="宋体" w:cs="宋体"/>
                <w:color w:val="000000" w:themeColor="text1"/>
                <w:sz w:val="24"/>
                <w14:textFill>
                  <w14:solidFill>
                    <w14:schemeClr w14:val="tx1"/>
                  </w14:solidFill>
                </w14:textFill>
              </w:rPr>
              <w:t>并且本项目严格按照导则要求对厂区进行分区防控</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因此无需开展</w:t>
            </w:r>
            <w:r>
              <w:rPr>
                <w:rFonts w:hint="eastAsia" w:ascii="宋体" w:hAnsi="宋体" w:cs="宋体"/>
                <w:color w:val="000000" w:themeColor="text1"/>
                <w:sz w:val="24"/>
                <w14:textFill>
                  <w14:solidFill>
                    <w14:schemeClr w14:val="tx1"/>
                  </w14:solidFill>
                </w14:textFill>
              </w:rPr>
              <w:t>地下水、土壤</w:t>
            </w:r>
            <w:r>
              <w:rPr>
                <w:rFonts w:ascii="宋体" w:hAnsi="宋体" w:cs="宋体"/>
                <w:color w:val="000000" w:themeColor="text1"/>
                <w:sz w:val="24"/>
                <w14:textFill>
                  <w14:solidFill>
                    <w14:schemeClr w14:val="tx1"/>
                  </w14:solidFill>
                </w14:textFill>
              </w:rPr>
              <w:t>环境质量现状调查。</w:t>
            </w:r>
          </w:p>
          <w:p w14:paraId="46CD07E0">
            <w:pPr>
              <w:adjustRightInd w:val="0"/>
              <w:snapToGrid w:val="0"/>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2、防控措施</w:t>
            </w:r>
          </w:p>
          <w:p w14:paraId="50EE589F">
            <w:pPr>
              <w:adjustRightInd w:val="0"/>
              <w:snapToGrid w:val="0"/>
              <w:spacing w:line="360" w:lineRule="auto"/>
              <w:ind w:firstLine="480" w:firstLineChars="200"/>
              <w:rPr>
                <w:snapToGrid w:val="0"/>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生产区</w:t>
            </w:r>
            <w:r>
              <w:rPr>
                <w:bCs/>
                <w:color w:val="000000" w:themeColor="text1"/>
                <w:sz w:val="24"/>
                <w14:textFill>
                  <w14:solidFill>
                    <w14:schemeClr w14:val="tx1"/>
                  </w14:solidFill>
                </w14:textFill>
              </w:rPr>
              <w:t>如防渗措施不到位，将有可能污染土壤。</w:t>
            </w:r>
            <w:r>
              <w:rPr>
                <w:rFonts w:hint="eastAsia"/>
                <w:snapToGrid w:val="0"/>
                <w:color w:val="000000" w:themeColor="text1"/>
                <w:sz w:val="24"/>
                <w14:textFill>
                  <w14:solidFill>
                    <w14:schemeClr w14:val="tx1"/>
                  </w14:solidFill>
                </w14:textFill>
              </w:rPr>
              <w:t>重点防渗区、一般防渗区和简单防渗区防渗要求按照《环境影响评价技术导则 地下水环境》（HJ610-2016）执行。</w:t>
            </w:r>
            <w:r>
              <w:rPr>
                <w:snapToGrid w:val="0"/>
                <w:color w:val="000000" w:themeColor="text1"/>
                <w:sz w:val="24"/>
                <w14:textFill>
                  <w14:solidFill>
                    <w14:schemeClr w14:val="tx1"/>
                  </w14:solidFill>
                </w14:textFill>
              </w:rPr>
              <w:t>项目在建设过程中，将</w:t>
            </w:r>
            <w:r>
              <w:rPr>
                <w:rFonts w:hint="eastAsia"/>
                <w:color w:val="000000" w:themeColor="text1"/>
                <w:sz w:val="24"/>
                <w:lang w:val="en-US" w:eastAsia="zh-CN"/>
                <w14:textFill>
                  <w14:solidFill>
                    <w14:schemeClr w14:val="tx1"/>
                  </w14:solidFill>
                </w14:textFill>
              </w:rPr>
              <w:t>危废暂存间</w:t>
            </w:r>
            <w:r>
              <w:rPr>
                <w:snapToGrid w:val="0"/>
                <w:color w:val="000000" w:themeColor="text1"/>
                <w:sz w:val="24"/>
                <w14:textFill>
                  <w14:solidFill>
                    <w14:schemeClr w14:val="tx1"/>
                  </w14:solidFill>
                </w14:textFill>
              </w:rPr>
              <w:t>划分为重点防渗区。</w:t>
            </w:r>
          </w:p>
          <w:p w14:paraId="0DF1AF74">
            <w:pPr>
              <w:adjustRightInd w:val="0"/>
              <w:snapToGrid w:val="0"/>
              <w:spacing w:line="360" w:lineRule="auto"/>
              <w:ind w:firstLine="480" w:firstLineChars="200"/>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危废暂存间参照《危险废物贮存污染控制标准》（GB 18597-2023）中对防渗层的要求为“防渗层为至少1m厚黏土层（渗透系数不大于10</w:t>
            </w:r>
            <w:r>
              <w:rPr>
                <w:rFonts w:hint="eastAsia" w:ascii="Times New Roman" w:hAnsi="Times New Roman" w:eastAsia="宋体" w:cs="Times New Roman"/>
                <w:color w:val="000000" w:themeColor="text1"/>
                <w:sz w:val="24"/>
                <w:szCs w:val="24"/>
                <w:vertAlign w:val="superscript"/>
                <w:lang w:val="en-US" w:eastAsia="zh-CN"/>
                <w14:textFill>
                  <w14:solidFill>
                    <w14:schemeClr w14:val="tx1"/>
                  </w14:solidFill>
                </w14:textFill>
              </w:rPr>
              <w:t>-7</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cm/s），或至少2mm厚高密度聚乙烯膜等人工防渗材料（渗透系数不大于10</w:t>
            </w:r>
            <w:r>
              <w:rPr>
                <w:rFonts w:hint="eastAsia" w:ascii="Times New Roman" w:hAnsi="Times New Roman" w:eastAsia="宋体" w:cs="Times New Roman"/>
                <w:color w:val="000000" w:themeColor="text1"/>
                <w:sz w:val="24"/>
                <w:szCs w:val="24"/>
                <w:vertAlign w:val="superscript"/>
                <w:lang w:val="en-US" w:eastAsia="zh-CN"/>
                <w14:textFill>
                  <w14:solidFill>
                    <w14:schemeClr w14:val="tx1"/>
                  </w14:solidFill>
                </w14:textFill>
              </w:rPr>
              <w:t>-10</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cm/s），或其他防渗性能等效的材料。”。</w:t>
            </w:r>
          </w:p>
          <w:p w14:paraId="774DAFE0">
            <w:pPr>
              <w:adjustRightInd w:val="0"/>
              <w:snapToGrid w:val="0"/>
              <w:spacing w:line="360" w:lineRule="auto"/>
              <w:ind w:firstLine="480" w:firstLineChars="20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生产车间</w:t>
            </w:r>
            <w:r>
              <w:rPr>
                <w:rFonts w:hint="eastAsia"/>
                <w:snapToGrid w:val="0"/>
                <w:color w:val="000000" w:themeColor="text1"/>
                <w:sz w:val="24"/>
                <w:szCs w:val="24"/>
                <w:lang w:eastAsia="zh-CN"/>
                <w14:textFill>
                  <w14:solidFill>
                    <w14:schemeClr w14:val="tx1"/>
                  </w14:solidFill>
                </w14:textFill>
              </w:rPr>
              <w:t>、</w:t>
            </w:r>
            <w:r>
              <w:rPr>
                <w:rFonts w:hint="eastAsia"/>
                <w:snapToGrid w:val="0"/>
                <w:color w:val="000000" w:themeColor="text1"/>
                <w:sz w:val="24"/>
                <w:szCs w:val="24"/>
                <w:lang w:val="en-US" w:eastAsia="zh-CN"/>
                <w14:textFill>
                  <w14:solidFill>
                    <w14:schemeClr w14:val="tx1"/>
                  </w14:solidFill>
                </w14:textFill>
              </w:rPr>
              <w:t>仓库</w:t>
            </w:r>
            <w:r>
              <w:rPr>
                <w:snapToGrid w:val="0"/>
                <w:color w:val="000000" w:themeColor="text1"/>
                <w:sz w:val="24"/>
                <w:szCs w:val="24"/>
                <w14:textFill>
                  <w14:solidFill>
                    <w14:schemeClr w14:val="tx1"/>
                  </w14:solidFill>
                </w14:textFill>
              </w:rPr>
              <w:t>划分为一般防渗区，防渗层需满足等效黏土防水层Mb≥</w:t>
            </w:r>
            <w:r>
              <w:rPr>
                <w:rFonts w:hint="eastAsia"/>
                <w:snapToGrid w:val="0"/>
                <w:color w:val="000000" w:themeColor="text1"/>
                <w:sz w:val="24"/>
                <w:szCs w:val="24"/>
                <w:lang w:val="en-US" w:eastAsia="zh-CN"/>
                <w14:textFill>
                  <w14:solidFill>
                    <w14:schemeClr w14:val="tx1"/>
                  </w14:solidFill>
                </w14:textFill>
              </w:rPr>
              <w:t>1.5</w:t>
            </w:r>
            <w:r>
              <w:rPr>
                <w:snapToGrid w:val="0"/>
                <w:color w:val="000000" w:themeColor="text1"/>
                <w:sz w:val="24"/>
                <w:szCs w:val="24"/>
                <w14:textFill>
                  <w14:solidFill>
                    <w14:schemeClr w14:val="tx1"/>
                  </w14:solidFill>
                </w14:textFill>
              </w:rPr>
              <w:t>m，K≤1.0×10</w:t>
            </w:r>
            <w:r>
              <w:rPr>
                <w:snapToGrid w:val="0"/>
                <w:color w:val="000000" w:themeColor="text1"/>
                <w:sz w:val="24"/>
                <w:szCs w:val="24"/>
                <w:vertAlign w:val="superscript"/>
                <w14:textFill>
                  <w14:solidFill>
                    <w14:schemeClr w14:val="tx1"/>
                  </w14:solidFill>
                </w14:textFill>
              </w:rPr>
              <w:t>-7</w:t>
            </w:r>
            <w:r>
              <w:rPr>
                <w:snapToGrid w:val="0"/>
                <w:color w:val="000000" w:themeColor="text1"/>
                <w:sz w:val="24"/>
                <w:szCs w:val="24"/>
                <w14:textFill>
                  <w14:solidFill>
                    <w14:schemeClr w14:val="tx1"/>
                  </w14:solidFill>
                </w14:textFill>
              </w:rPr>
              <w:t>cm/s</w:t>
            </w:r>
            <w:r>
              <w:rPr>
                <w:rFonts w:hint="eastAsia"/>
                <w:snapToGrid w:val="0"/>
                <w:color w:val="000000" w:themeColor="text1"/>
                <w:sz w:val="24"/>
                <w:szCs w:val="24"/>
                <w:lang w:eastAsia="zh-CN"/>
                <w14:textFill>
                  <w14:solidFill>
                    <w14:schemeClr w14:val="tx1"/>
                  </w14:solidFill>
                </w14:textFill>
              </w:rPr>
              <w:t>，或参照GB 16889执行</w:t>
            </w:r>
            <w:r>
              <w:rPr>
                <w:snapToGrid w:val="0"/>
                <w:color w:val="000000" w:themeColor="text1"/>
                <w:sz w:val="24"/>
                <w:szCs w:val="24"/>
                <w14:textFill>
                  <w14:solidFill>
                    <w14:schemeClr w14:val="tx1"/>
                  </w14:solidFill>
                </w14:textFill>
              </w:rPr>
              <w:t>。</w:t>
            </w:r>
          </w:p>
          <w:p w14:paraId="123B8230">
            <w:pPr>
              <w:pStyle w:val="43"/>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根据以上分区情况，对本项目场区防渗分区见下表。</w:t>
            </w:r>
          </w:p>
          <w:p w14:paraId="5C451F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表4-</w:t>
            </w:r>
            <w:r>
              <w:rPr>
                <w:rFonts w:hint="eastAsia"/>
                <w:b/>
                <w:color w:val="000000" w:themeColor="text1"/>
                <w:sz w:val="24"/>
                <w:lang w:val="en-US" w:eastAsia="zh-CN"/>
                <w14:textFill>
                  <w14:solidFill>
                    <w14:schemeClr w14:val="tx1"/>
                  </w14:solidFill>
                </w14:textFill>
              </w:rPr>
              <w:t>22</w:t>
            </w:r>
            <w:r>
              <w:rPr>
                <w:rFonts w:hint="eastAsia"/>
                <w:b/>
                <w:color w:val="000000" w:themeColor="text1"/>
                <w:sz w:val="24"/>
                <w14:textFill>
                  <w14:solidFill>
                    <w14:schemeClr w14:val="tx1"/>
                  </w14:solidFill>
                </w14:textFill>
              </w:rPr>
              <w:t xml:space="preserve"> 厂区各工作区防渗要求</w:t>
            </w:r>
          </w:p>
          <w:tbl>
            <w:tblPr>
              <w:tblStyle w:val="23"/>
              <w:tblW w:w="49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1659"/>
              <w:gridCol w:w="5635"/>
            </w:tblGrid>
            <w:tr w14:paraId="5C0A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dxa"/>
                  <w:vAlign w:val="center"/>
                </w:tcPr>
                <w:p w14:paraId="6E93DD12">
                  <w:pPr>
                    <w:pStyle w:val="43"/>
                    <w:spacing w:line="240" w:lineRule="auto"/>
                    <w:ind w:firstLine="0" w:firstLineChars="0"/>
                    <w:jc w:val="center"/>
                    <w:rPr>
                      <w:rFonts w:hint="eastAsia" w:eastAsia="宋体"/>
                      <w:b/>
                      <w:bCs/>
                      <w:color w:val="000000" w:themeColor="text1"/>
                      <w:sz w:val="21"/>
                      <w:szCs w:val="21"/>
                      <w:lang w:eastAsia="zh-CN"/>
                      <w14:textFill>
                        <w14:solidFill>
                          <w14:schemeClr w14:val="tx1"/>
                        </w14:solidFill>
                      </w14:textFill>
                    </w:rPr>
                  </w:pPr>
                  <w:r>
                    <w:rPr>
                      <w:rFonts w:hint="eastAsia"/>
                      <w:b/>
                      <w:bCs/>
                      <w:color w:val="000000" w:themeColor="text1"/>
                      <w:sz w:val="21"/>
                      <w:szCs w:val="21"/>
                      <w14:textFill>
                        <w14:solidFill>
                          <w14:schemeClr w14:val="tx1"/>
                        </w14:solidFill>
                      </w14:textFill>
                    </w:rPr>
                    <w:t>防渗</w:t>
                  </w:r>
                  <w:r>
                    <w:rPr>
                      <w:rFonts w:hint="eastAsia"/>
                      <w:b/>
                      <w:bCs/>
                      <w:color w:val="000000" w:themeColor="text1"/>
                      <w:sz w:val="21"/>
                      <w:szCs w:val="21"/>
                      <w:lang w:val="en-US" w:eastAsia="zh-CN"/>
                      <w14:textFill>
                        <w14:solidFill>
                          <w14:schemeClr w14:val="tx1"/>
                        </w14:solidFill>
                      </w14:textFill>
                    </w:rPr>
                    <w:t>分区</w:t>
                  </w:r>
                </w:p>
              </w:tc>
              <w:tc>
                <w:tcPr>
                  <w:tcW w:w="1589" w:type="dxa"/>
                  <w:vAlign w:val="center"/>
                </w:tcPr>
                <w:p w14:paraId="05248779">
                  <w:pPr>
                    <w:pStyle w:val="43"/>
                    <w:spacing w:line="240" w:lineRule="auto"/>
                    <w:ind w:firstLine="0" w:firstLineChars="0"/>
                    <w:jc w:val="center"/>
                    <w:rPr>
                      <w:rFonts w:hint="eastAsia"/>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建构筑物</w:t>
                  </w:r>
                </w:p>
              </w:tc>
              <w:tc>
                <w:tcPr>
                  <w:tcW w:w="5397" w:type="dxa"/>
                  <w:vAlign w:val="center"/>
                </w:tcPr>
                <w:p w14:paraId="69A979F7">
                  <w:pPr>
                    <w:pStyle w:val="43"/>
                    <w:spacing w:line="240" w:lineRule="auto"/>
                    <w:ind w:firstLine="0" w:firstLineChars="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防渗要求</w:t>
                  </w:r>
                </w:p>
              </w:tc>
            </w:tr>
            <w:tr w14:paraId="2987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dxa"/>
                  <w:vAlign w:val="center"/>
                </w:tcPr>
                <w:p w14:paraId="2DA4813E">
                  <w:pPr>
                    <w:pStyle w:val="43"/>
                    <w:spacing w:line="240" w:lineRule="auto"/>
                    <w:ind w:firstLine="0" w:firstLineChars="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重点防渗</w:t>
                  </w:r>
                  <w:r>
                    <w:rPr>
                      <w:rFonts w:hint="eastAsia"/>
                      <w:color w:val="000000" w:themeColor="text1"/>
                      <w:sz w:val="21"/>
                      <w:szCs w:val="21"/>
                      <w:lang w:val="en-US" w:eastAsia="zh-CN"/>
                      <w14:textFill>
                        <w14:solidFill>
                          <w14:schemeClr w14:val="tx1"/>
                        </w14:solidFill>
                      </w14:textFill>
                    </w:rPr>
                    <w:t>区</w:t>
                  </w:r>
                </w:p>
              </w:tc>
              <w:tc>
                <w:tcPr>
                  <w:tcW w:w="1589" w:type="dxa"/>
                  <w:vAlign w:val="center"/>
                </w:tcPr>
                <w:p w14:paraId="1B795CEC">
                  <w:pPr>
                    <w:pStyle w:val="43"/>
                    <w:spacing w:line="240"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危废暂存间</w:t>
                  </w:r>
                </w:p>
              </w:tc>
              <w:tc>
                <w:tcPr>
                  <w:tcW w:w="5397" w:type="dxa"/>
                  <w:vAlign w:val="center"/>
                </w:tcPr>
                <w:p w14:paraId="53080754">
                  <w:pPr>
                    <w:pStyle w:val="43"/>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基础必须防渗，防渗层为至少1m厚黏土层（渗透系数不大于10</w:t>
                  </w:r>
                  <w:r>
                    <w:rPr>
                      <w:rFonts w:hint="eastAsia"/>
                      <w:color w:val="000000" w:themeColor="text1"/>
                      <w:sz w:val="21"/>
                      <w:szCs w:val="21"/>
                      <w:vertAlign w:val="superscript"/>
                      <w14:textFill>
                        <w14:solidFill>
                          <w14:schemeClr w14:val="tx1"/>
                        </w14:solidFill>
                      </w14:textFill>
                    </w:rPr>
                    <w:t>-7</w:t>
                  </w:r>
                  <w:r>
                    <w:rPr>
                      <w:rFonts w:hint="eastAsia"/>
                      <w:color w:val="000000" w:themeColor="text1"/>
                      <w:sz w:val="21"/>
                      <w:szCs w:val="21"/>
                      <w14:textFill>
                        <w14:solidFill>
                          <w14:schemeClr w14:val="tx1"/>
                        </w14:solidFill>
                      </w14:textFill>
                    </w:rPr>
                    <w:t>cm/s），或至少2mm厚高密度聚乙烯膜等人工防渗材料（渗透系数不大于10</w:t>
                  </w:r>
                  <w:r>
                    <w:rPr>
                      <w:rFonts w:hint="eastAsia"/>
                      <w:color w:val="000000" w:themeColor="text1"/>
                      <w:sz w:val="21"/>
                      <w:szCs w:val="21"/>
                      <w:vertAlign w:val="superscript"/>
                      <w14:textFill>
                        <w14:solidFill>
                          <w14:schemeClr w14:val="tx1"/>
                        </w14:solidFill>
                      </w14:textFill>
                    </w:rPr>
                    <w:t>-10</w:t>
                  </w:r>
                  <w:r>
                    <w:rPr>
                      <w:rFonts w:hint="eastAsia"/>
                      <w:color w:val="000000" w:themeColor="text1"/>
                      <w:sz w:val="21"/>
                      <w:szCs w:val="21"/>
                      <w14:textFill>
                        <w14:solidFill>
                          <w14:schemeClr w14:val="tx1"/>
                        </w14:solidFill>
                      </w14:textFill>
                    </w:rPr>
                    <w:t>cm/s），或其他防渗性能等效的材料。</w:t>
                  </w:r>
                </w:p>
              </w:tc>
            </w:tr>
            <w:tr w14:paraId="3D57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dxa"/>
                  <w:vAlign w:val="center"/>
                </w:tcPr>
                <w:p w14:paraId="3E4CEBB8">
                  <w:pPr>
                    <w:pStyle w:val="43"/>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一般防渗</w:t>
                  </w:r>
                </w:p>
              </w:tc>
              <w:tc>
                <w:tcPr>
                  <w:tcW w:w="1589" w:type="dxa"/>
                  <w:vAlign w:val="center"/>
                </w:tcPr>
                <w:p w14:paraId="3BCEC2DF">
                  <w:pPr>
                    <w:pStyle w:val="43"/>
                    <w:spacing w:line="240"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color w:val="000000" w:themeColor="text1"/>
                      <w:sz w:val="21"/>
                      <w:szCs w:val="21"/>
                      <w14:textFill>
                        <w14:solidFill>
                          <w14:schemeClr w14:val="tx1"/>
                        </w14:solidFill>
                      </w14:textFill>
                    </w:rPr>
                    <w:t>生产车间</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仓库</w:t>
                  </w:r>
                </w:p>
              </w:tc>
              <w:tc>
                <w:tcPr>
                  <w:tcW w:w="5397" w:type="dxa"/>
                  <w:vAlign w:val="center"/>
                </w:tcPr>
                <w:p w14:paraId="120455FB">
                  <w:pPr>
                    <w:pStyle w:val="43"/>
                    <w:spacing w:line="240" w:lineRule="auto"/>
                    <w:ind w:firstLine="0" w:firstLineChars="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等效黏土防水层Mb≥1.5m，K≤1.0×10</w:t>
                  </w:r>
                  <w:r>
                    <w:rPr>
                      <w:rFonts w:hint="eastAsia"/>
                      <w:color w:val="000000" w:themeColor="text1"/>
                      <w:sz w:val="21"/>
                      <w:szCs w:val="21"/>
                      <w:vertAlign w:val="superscript"/>
                      <w14:textFill>
                        <w14:solidFill>
                          <w14:schemeClr w14:val="tx1"/>
                        </w14:solidFill>
                      </w14:textFill>
                    </w:rPr>
                    <w:t>-7</w:t>
                  </w:r>
                  <w:r>
                    <w:rPr>
                      <w:rFonts w:hint="eastAsia"/>
                      <w:color w:val="000000" w:themeColor="text1"/>
                      <w:sz w:val="21"/>
                      <w:szCs w:val="21"/>
                      <w14:textFill>
                        <w14:solidFill>
                          <w14:schemeClr w14:val="tx1"/>
                        </w14:solidFill>
                      </w14:textFill>
                    </w:rPr>
                    <w:t>cm/s</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或参照GB 1</w:t>
                  </w:r>
                  <w:r>
                    <w:rPr>
                      <w:rFonts w:hint="eastAsia"/>
                      <w:color w:val="000000" w:themeColor="text1"/>
                      <w:sz w:val="21"/>
                      <w:szCs w:val="21"/>
                      <w:lang w:val="en-US" w:eastAsia="zh-CN"/>
                      <w14:textFill>
                        <w14:solidFill>
                          <w14:schemeClr w14:val="tx1"/>
                        </w14:solidFill>
                      </w14:textFill>
                    </w:rPr>
                    <w:t>6889</w:t>
                  </w:r>
                  <w:r>
                    <w:rPr>
                      <w:rFonts w:hint="eastAsia"/>
                      <w:color w:val="000000" w:themeColor="text1"/>
                      <w:sz w:val="21"/>
                      <w:szCs w:val="21"/>
                      <w14:textFill>
                        <w14:solidFill>
                          <w14:schemeClr w14:val="tx1"/>
                        </w14:solidFill>
                      </w14:textFill>
                    </w:rPr>
                    <w:t>执行</w:t>
                  </w:r>
                </w:p>
              </w:tc>
            </w:tr>
            <w:tr w14:paraId="0E02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dxa"/>
                  <w:vAlign w:val="center"/>
                </w:tcPr>
                <w:p w14:paraId="6A59C5F9">
                  <w:pPr>
                    <w:pStyle w:val="43"/>
                    <w:spacing w:line="240" w:lineRule="auto"/>
                    <w:ind w:firstLine="0" w:firstLineChars="0"/>
                    <w:jc w:val="center"/>
                    <w:rPr>
                      <w:rFonts w:hint="eastAsia"/>
                      <w:color w:val="000000" w:themeColor="text1"/>
                      <w:sz w:val="21"/>
                      <w:szCs w:val="21"/>
                      <w14:textFill>
                        <w14:solidFill>
                          <w14:schemeClr w14:val="tx1"/>
                        </w14:solidFill>
                      </w14:textFill>
                    </w:rPr>
                  </w:pPr>
                  <w:r>
                    <w:rPr>
                      <w:sz w:val="21"/>
                      <w:szCs w:val="21"/>
                    </w:rPr>
                    <w:t>简单防渗</w:t>
                  </w:r>
                </w:p>
              </w:tc>
              <w:tc>
                <w:tcPr>
                  <w:tcW w:w="1589" w:type="dxa"/>
                  <w:vAlign w:val="center"/>
                </w:tcPr>
                <w:p w14:paraId="482E039E">
                  <w:pPr>
                    <w:pStyle w:val="43"/>
                    <w:spacing w:line="240" w:lineRule="auto"/>
                    <w:ind w:firstLine="0" w:firstLineChars="0"/>
                    <w:jc w:val="center"/>
                    <w:rPr>
                      <w:rFonts w:hint="eastAsia" w:eastAsia="宋体"/>
                      <w:color w:val="000000" w:themeColor="text1"/>
                      <w:sz w:val="21"/>
                      <w:szCs w:val="21"/>
                      <w:lang w:eastAsia="zh-CN"/>
                      <w14:textFill>
                        <w14:solidFill>
                          <w14:schemeClr w14:val="tx1"/>
                        </w14:solidFill>
                      </w14:textFill>
                    </w:rPr>
                  </w:pPr>
                  <w:r>
                    <w:rPr>
                      <w:rFonts w:hint="eastAsia"/>
                      <w:sz w:val="21"/>
                      <w:szCs w:val="21"/>
                      <w:lang w:val="en-US" w:eastAsia="zh-CN"/>
                    </w:rPr>
                    <w:t>综合楼</w:t>
                  </w:r>
                </w:p>
              </w:tc>
              <w:tc>
                <w:tcPr>
                  <w:tcW w:w="5397" w:type="dxa"/>
                  <w:vAlign w:val="center"/>
                </w:tcPr>
                <w:p w14:paraId="6163D326">
                  <w:pPr>
                    <w:pStyle w:val="43"/>
                    <w:spacing w:line="240" w:lineRule="auto"/>
                    <w:ind w:firstLine="0" w:firstLineChars="0"/>
                    <w:jc w:val="center"/>
                    <w:rPr>
                      <w:rFonts w:hint="eastAsia"/>
                      <w:color w:val="000000" w:themeColor="text1"/>
                      <w:sz w:val="21"/>
                      <w:szCs w:val="21"/>
                      <w14:textFill>
                        <w14:solidFill>
                          <w14:schemeClr w14:val="tx1"/>
                        </w14:solidFill>
                      </w14:textFill>
                    </w:rPr>
                  </w:pPr>
                  <w:r>
                    <w:rPr>
                      <w:sz w:val="21"/>
                      <w:szCs w:val="21"/>
                    </w:rPr>
                    <w:t>一般地面硬化</w:t>
                  </w:r>
                </w:p>
              </w:tc>
            </w:tr>
          </w:tbl>
          <w:p w14:paraId="01880BAC">
            <w:pPr>
              <w:adjustRightInd w:val="0"/>
              <w:snapToGrid w:val="0"/>
              <w:spacing w:line="360" w:lineRule="auto"/>
              <w:ind w:firstLine="482" w:firstLineChars="200"/>
              <w:rPr>
                <w:b/>
                <w:bCs/>
                <w:color w:val="000000" w:themeColor="text1"/>
                <w:spacing w:val="-10"/>
                <w:sz w:val="24"/>
                <w14:textFill>
                  <w14:solidFill>
                    <w14:schemeClr w14:val="tx1"/>
                  </w14:solidFill>
                </w14:textFill>
              </w:rPr>
            </w:pPr>
            <w:r>
              <w:rPr>
                <w:rFonts w:hint="eastAsia"/>
                <w:b/>
                <w:bCs/>
                <w:color w:val="000000" w:themeColor="text1"/>
                <w:sz w:val="24"/>
                <w14:textFill>
                  <w14:solidFill>
                    <w14:schemeClr w14:val="tx1"/>
                  </w14:solidFill>
                </w14:textFill>
              </w:rPr>
              <w:t>六</w:t>
            </w:r>
            <w:r>
              <w:rPr>
                <w:b/>
                <w:bCs/>
                <w:color w:val="000000" w:themeColor="text1"/>
                <w:spacing w:val="-10"/>
                <w:sz w:val="24"/>
                <w14:textFill>
                  <w14:solidFill>
                    <w14:schemeClr w14:val="tx1"/>
                  </w14:solidFill>
                </w14:textFill>
              </w:rPr>
              <w:t>、生态</w:t>
            </w:r>
          </w:p>
          <w:p w14:paraId="28C5586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项目</w:t>
            </w:r>
            <w:r>
              <w:rPr>
                <w:rFonts w:hint="eastAsia" w:ascii="Times New Roman" w:hAnsi="Times New Roman" w:eastAsia="宋体" w:cs="Times New Roman"/>
                <w:color w:val="000000" w:themeColor="text1"/>
                <w:sz w:val="24"/>
                <w14:textFill>
                  <w14:solidFill>
                    <w14:schemeClr w14:val="tx1"/>
                  </w14:solidFill>
                </w14:textFill>
              </w:rPr>
              <w:t>位于虹城街道长三角绿色食品产业园</w:t>
            </w:r>
            <w:r>
              <w:rPr>
                <w:rFonts w:ascii="Times New Roman" w:hAnsi="Times New Roman" w:eastAsia="宋体" w:cs="Times New Roman"/>
                <w:color w:val="000000" w:themeColor="text1"/>
                <w:sz w:val="24"/>
                <w14:textFill>
                  <w14:solidFill>
                    <w14:schemeClr w14:val="tx1"/>
                  </w14:solidFill>
                </w14:textFill>
              </w:rPr>
              <w:t>，用地范围内不含生态环境保护目标。</w:t>
            </w:r>
          </w:p>
          <w:p w14:paraId="5E54317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Times New Roman"/>
                <w:b/>
                <w:bCs/>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sz w:val="24"/>
                <w:lang w:val="en-US" w:eastAsia="zh-CN"/>
                <w14:textFill>
                  <w14:solidFill>
                    <w14:schemeClr w14:val="tx1"/>
                  </w14:solidFill>
                </w14:textFill>
              </w:rPr>
              <w:t>七</w:t>
            </w:r>
            <w:r>
              <w:rPr>
                <w:rFonts w:hint="eastAsia" w:ascii="Times New Roman" w:hAnsi="Times New Roman" w:eastAsia="宋体" w:cs="Times New Roman"/>
                <w:b/>
                <w:bCs/>
                <w:color w:val="000000" w:themeColor="text1"/>
                <w:sz w:val="24"/>
                <w14:textFill>
                  <w14:solidFill>
                    <w14:schemeClr w14:val="tx1"/>
                  </w14:solidFill>
                </w14:textFill>
              </w:rPr>
              <w:t>、电磁辐射</w:t>
            </w:r>
          </w:p>
          <w:p w14:paraId="6E858B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bCs/>
                <w:color w:val="000000" w:themeColor="text1"/>
                <w:spacing w:val="-10"/>
                <w:szCs w:val="21"/>
                <w14:textFill>
                  <w14:solidFill>
                    <w14:schemeClr w14:val="tx1"/>
                  </w14:solidFill>
                </w14:textFill>
              </w:rPr>
            </w:pPr>
            <w:r>
              <w:rPr>
                <w:bCs/>
                <w:color w:val="000000" w:themeColor="text1"/>
                <w:sz w:val="24"/>
                <w14:textFill>
                  <w14:solidFill>
                    <w14:schemeClr w14:val="tx1"/>
                  </w14:solidFill>
                </w14:textFill>
              </w:rPr>
              <w:t>本项目不涉及电磁辐射，故不对该部分内容进行分析。</w:t>
            </w:r>
          </w:p>
          <w:p w14:paraId="4CFCA59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b/>
                <w:bCs/>
                <w:color w:val="000000" w:themeColor="text1"/>
                <w:spacing w:val="0"/>
                <w:sz w:val="24"/>
                <w14:textFill>
                  <w14:solidFill>
                    <w14:schemeClr w14:val="tx1"/>
                  </w14:solidFill>
                </w14:textFill>
              </w:rPr>
            </w:pPr>
            <w:r>
              <w:rPr>
                <w:rFonts w:hint="eastAsia"/>
                <w:b/>
                <w:bCs/>
                <w:color w:val="000000" w:themeColor="text1"/>
                <w:spacing w:val="0"/>
                <w:sz w:val="24"/>
                <w:lang w:val="en-US" w:eastAsia="zh-CN"/>
                <w14:textFill>
                  <w14:solidFill>
                    <w14:schemeClr w14:val="tx1"/>
                  </w14:solidFill>
                </w14:textFill>
              </w:rPr>
              <w:t>八</w:t>
            </w:r>
            <w:r>
              <w:rPr>
                <w:b/>
                <w:bCs/>
                <w:color w:val="000000" w:themeColor="text1"/>
                <w:spacing w:val="0"/>
                <w:sz w:val="24"/>
                <w14:textFill>
                  <w14:solidFill>
                    <w14:schemeClr w14:val="tx1"/>
                  </w14:solidFill>
                </w14:textFill>
              </w:rPr>
              <w:t>、环境风险</w:t>
            </w:r>
          </w:p>
          <w:p w14:paraId="2C8F8D35">
            <w:pPr>
              <w:adjustRightInd w:val="0"/>
              <w:snapToGrid w:val="0"/>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物质</w:t>
            </w:r>
            <w:r>
              <w:rPr>
                <w:bCs/>
                <w:color w:val="000000" w:themeColor="text1"/>
                <w:sz w:val="24"/>
                <w14:textFill>
                  <w14:solidFill>
                    <w14:schemeClr w14:val="tx1"/>
                  </w14:solidFill>
                </w14:textFill>
              </w:rPr>
              <w:t>风险识别</w:t>
            </w:r>
          </w:p>
          <w:p w14:paraId="1B0E776F">
            <w:pPr>
              <w:spacing w:line="360" w:lineRule="auto"/>
              <w:ind w:firstLine="480" w:firstLineChars="200"/>
              <w:rPr>
                <w:bCs/>
                <w:color w:val="000000" w:themeColor="text1"/>
                <w:sz w:val="24"/>
                <w14:textFill>
                  <w14:solidFill>
                    <w14:schemeClr w14:val="tx1"/>
                  </w14:solidFill>
                </w14:textFill>
              </w:rPr>
            </w:pPr>
            <w:r>
              <w:rPr>
                <w:color w:val="000000" w:themeColor="text1"/>
                <w:sz w:val="24"/>
                <w14:textFill>
                  <w14:solidFill>
                    <w14:schemeClr w14:val="tx1"/>
                  </w14:solidFill>
                </w14:textFill>
              </w:rPr>
              <w:t>按《建设项目环境风险评价技术导则》（HJ169-2018）</w:t>
            </w:r>
            <w:r>
              <w:rPr>
                <w:rFonts w:hint="eastAsia"/>
                <w:bCs/>
                <w:color w:val="000000" w:themeColor="text1"/>
                <w:sz w:val="24"/>
                <w14:textFill>
                  <w14:solidFill>
                    <w14:schemeClr w14:val="tx1"/>
                  </w14:solidFill>
                </w14:textFill>
              </w:rPr>
              <w:t>附录B.1</w:t>
            </w:r>
            <w:r>
              <w:rPr>
                <w:color w:val="000000" w:themeColor="text1"/>
                <w:sz w:val="24"/>
                <w14:textFill>
                  <w14:solidFill>
                    <w14:schemeClr w14:val="tx1"/>
                  </w14:solidFill>
                </w14:textFill>
              </w:rPr>
              <w:t>中“物质危险性标准”，对拟建项目涉及的物质进行危险性识别</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本</w:t>
            </w:r>
            <w:r>
              <w:rPr>
                <w:rFonts w:ascii="宋体" w:hAnsi="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风险物质主要为实验室药剂，硫酸、重铬酸钾、四苯硼钠等</w:t>
            </w:r>
            <w:r>
              <w:rPr>
                <w:color w:val="000000" w:themeColor="text1"/>
                <w:sz w:val="24"/>
                <w14:textFill>
                  <w14:solidFill>
                    <w14:schemeClr w14:val="tx1"/>
                  </w14:solidFill>
                </w14:textFill>
              </w:rPr>
              <w:t>。</w:t>
            </w:r>
          </w:p>
          <w:p w14:paraId="27EFE46B">
            <w:pPr>
              <w:pStyle w:val="47"/>
              <w:spacing w:before="2" w:line="360" w:lineRule="auto"/>
              <w:ind w:firstLine="452" w:firstLineChars="200"/>
              <w:jc w:val="both"/>
              <w:rPr>
                <w:rFonts w:ascii="Times New Roman" w:hAnsi="Times New Roman" w:cs="Times New Roman"/>
                <w:color w:val="000000" w:themeColor="text1"/>
                <w:spacing w:val="-7"/>
                <w:sz w:val="24"/>
                <w14:textFill>
                  <w14:solidFill>
                    <w14:schemeClr w14:val="tx1"/>
                  </w14:solidFill>
                </w14:textFill>
              </w:rPr>
            </w:pPr>
            <w:r>
              <w:rPr>
                <w:rFonts w:ascii="Times New Roman" w:hAnsi="Times New Roman" w:cs="Times New Roman"/>
                <w:color w:val="000000" w:themeColor="text1"/>
                <w:spacing w:val="-7"/>
                <w:sz w:val="24"/>
                <w14:textFill>
                  <w14:solidFill>
                    <w14:schemeClr w14:val="tx1"/>
                  </w14:solidFill>
                </w14:textFill>
              </w:rPr>
              <w:t>2、环境风险评价的依据</w:t>
            </w:r>
          </w:p>
          <w:p w14:paraId="7A4143C9">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对照《建设项目环境风险评价技术导则》（HJ169-2018）附录B</w:t>
            </w:r>
            <w:r>
              <w:rPr>
                <w:color w:val="000000" w:themeColor="text1"/>
                <w:sz w:val="24"/>
                <w14:textFill>
                  <w14:solidFill>
                    <w14:schemeClr w14:val="tx1"/>
                  </w14:solidFill>
                </w14:textFill>
              </w:rPr>
              <w:t>计算所涉及的每种危险物质在厂界内的最大存在总量与其在《建设项目环境风险评价技术导则》（HJ169-2018）附录B中对应临界量的比值Q。在不同厂区的同一种物质，按其在厂界内的最大存在总量计算。</w:t>
            </w:r>
          </w:p>
          <w:p w14:paraId="22957350">
            <w:pPr>
              <w:spacing w:line="360" w:lineRule="auto"/>
              <w:ind w:firstLine="452" w:firstLineChars="200"/>
              <w:rPr>
                <w:color w:val="000000" w:themeColor="text1"/>
                <w:spacing w:val="-7"/>
                <w:kern w:val="0"/>
                <w:sz w:val="24"/>
                <w14:textFill>
                  <w14:solidFill>
                    <w14:schemeClr w14:val="tx1"/>
                  </w14:solidFill>
                </w14:textFill>
              </w:rPr>
            </w:pPr>
            <w:r>
              <w:rPr>
                <w:color w:val="000000" w:themeColor="text1"/>
                <w:spacing w:val="-7"/>
                <w:kern w:val="0"/>
                <w:sz w:val="24"/>
                <w14:textFill>
                  <w14:solidFill>
                    <w14:schemeClr w14:val="tx1"/>
                  </w14:solidFill>
                </w14:textFill>
              </w:rPr>
              <w:t>当只涉及一种危险物质时，计算该物质的总量与其临界量比值，即为 Q；</w:t>
            </w:r>
          </w:p>
          <w:p w14:paraId="528AD4D0">
            <w:pPr>
              <w:spacing w:line="360" w:lineRule="auto"/>
              <w:ind w:firstLine="482"/>
              <w:rPr>
                <w:color w:val="000000" w:themeColor="text1"/>
                <w:sz w:val="24"/>
                <w14:textFill>
                  <w14:solidFill>
                    <w14:schemeClr w14:val="tx1"/>
                  </w14:solidFill>
                </w14:textFill>
              </w:rPr>
            </w:pPr>
            <w:r>
              <w:rPr>
                <w:color w:val="000000" w:themeColor="text1"/>
                <w:spacing w:val="-7"/>
                <w:kern w:val="0"/>
                <w:sz w:val="24"/>
                <w14:textFill>
                  <w14:solidFill>
                    <w14:schemeClr w14:val="tx1"/>
                  </w14:solidFill>
                </w14:textFill>
              </w:rPr>
              <w:t>当存在多种危险物质时，则按下式计算物质总量与其临界量比值（Q）：</w:t>
            </w:r>
          </w:p>
          <w:p w14:paraId="1C38F6AD">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drawing>
                <wp:inline distT="0" distB="0" distL="114300" distR="114300">
                  <wp:extent cx="2133600" cy="542925"/>
                  <wp:effectExtent l="0" t="0" r="0" b="0"/>
                  <wp:docPr id="1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2"/>
                          <pic:cNvPicPr>
                            <a:picLocks noChangeAspect="1"/>
                          </pic:cNvPicPr>
                        </pic:nvPicPr>
                        <pic:blipFill>
                          <a:blip r:embed="rId56"/>
                          <a:stretch>
                            <a:fillRect/>
                          </a:stretch>
                        </pic:blipFill>
                        <pic:spPr>
                          <a:xfrm>
                            <a:off x="0" y="0"/>
                            <a:ext cx="2133600" cy="542925"/>
                          </a:xfrm>
                          <a:prstGeom prst="rect">
                            <a:avLst/>
                          </a:prstGeom>
                          <a:noFill/>
                          <a:ln>
                            <a:noFill/>
                          </a:ln>
                        </pic:spPr>
                      </pic:pic>
                    </a:graphicData>
                  </a:graphic>
                </wp:inline>
              </w:drawing>
            </w:r>
          </w:p>
          <w:p w14:paraId="44FFB2E7">
            <w:pPr>
              <w:spacing w:line="360" w:lineRule="auto"/>
              <w:ind w:firstLine="480"/>
              <w:rPr>
                <w:color w:val="000000" w:themeColor="text1"/>
                <w:spacing w:val="-7"/>
                <w:kern w:val="0"/>
                <w:sz w:val="24"/>
                <w14:textFill>
                  <w14:solidFill>
                    <w14:schemeClr w14:val="tx1"/>
                  </w14:solidFill>
                </w14:textFill>
              </w:rPr>
            </w:pPr>
            <w:r>
              <w:rPr>
                <w:color w:val="000000" w:themeColor="text1"/>
                <w:spacing w:val="-7"/>
                <w:kern w:val="0"/>
                <w:sz w:val="24"/>
                <w14:textFill>
                  <w14:solidFill>
                    <w14:schemeClr w14:val="tx1"/>
                  </w14:solidFill>
                </w14:textFill>
              </w:rPr>
              <w:t>式中：</w:t>
            </w:r>
            <w:r>
              <w:rPr>
                <w:i/>
                <w:iCs/>
                <w:color w:val="000000" w:themeColor="text1"/>
                <w:spacing w:val="-7"/>
                <w:kern w:val="0"/>
                <w:sz w:val="24"/>
                <w14:textFill>
                  <w14:solidFill>
                    <w14:schemeClr w14:val="tx1"/>
                  </w14:solidFill>
                </w14:textFill>
              </w:rPr>
              <w:t>q</w:t>
            </w:r>
            <w:r>
              <w:rPr>
                <w:i/>
                <w:iCs/>
                <w:color w:val="000000" w:themeColor="text1"/>
                <w:spacing w:val="-7"/>
                <w:kern w:val="0"/>
                <w:sz w:val="24"/>
                <w:vertAlign w:val="subscript"/>
                <w14:textFill>
                  <w14:solidFill>
                    <w14:schemeClr w14:val="tx1"/>
                  </w14:solidFill>
                </w14:textFill>
              </w:rPr>
              <w:t>1</w:t>
            </w:r>
            <w:r>
              <w:rPr>
                <w:i/>
                <w:iCs/>
                <w:color w:val="000000" w:themeColor="text1"/>
                <w:spacing w:val="-7"/>
                <w:kern w:val="0"/>
                <w:sz w:val="24"/>
                <w14:textFill>
                  <w14:solidFill>
                    <w14:schemeClr w14:val="tx1"/>
                  </w14:solidFill>
                </w14:textFill>
              </w:rPr>
              <w:t>，q</w:t>
            </w:r>
            <w:r>
              <w:rPr>
                <w:i/>
                <w:iCs/>
                <w:color w:val="000000" w:themeColor="text1"/>
                <w:spacing w:val="-7"/>
                <w:kern w:val="0"/>
                <w:sz w:val="24"/>
                <w:vertAlign w:val="subscript"/>
                <w14:textFill>
                  <w14:solidFill>
                    <w14:schemeClr w14:val="tx1"/>
                  </w14:solidFill>
                </w14:textFill>
              </w:rPr>
              <w:t>2</w:t>
            </w:r>
            <w:r>
              <w:rPr>
                <w:i/>
                <w:iCs/>
                <w:color w:val="000000" w:themeColor="text1"/>
                <w:spacing w:val="-7"/>
                <w:kern w:val="0"/>
                <w:sz w:val="24"/>
                <w14:textFill>
                  <w14:solidFill>
                    <w14:schemeClr w14:val="tx1"/>
                  </w14:solidFill>
                </w14:textFill>
              </w:rPr>
              <w:t>，...，q</w:t>
            </w:r>
            <w:r>
              <w:rPr>
                <w:i/>
                <w:iCs/>
                <w:color w:val="000000" w:themeColor="text1"/>
                <w:spacing w:val="-7"/>
                <w:kern w:val="0"/>
                <w:sz w:val="24"/>
                <w:vertAlign w:val="subscript"/>
                <w14:textFill>
                  <w14:solidFill>
                    <w14:schemeClr w14:val="tx1"/>
                  </w14:solidFill>
                </w14:textFill>
              </w:rPr>
              <w:t>n</w:t>
            </w:r>
            <w:r>
              <w:rPr>
                <w:color w:val="000000" w:themeColor="text1"/>
                <w:spacing w:val="-7"/>
                <w:kern w:val="0"/>
                <w:sz w:val="24"/>
                <w14:textFill>
                  <w14:solidFill>
                    <w14:schemeClr w14:val="tx1"/>
                  </w14:solidFill>
                </w14:textFill>
              </w:rPr>
              <w:t>——每种危险物质的最大存在总量，t；</w:t>
            </w:r>
          </w:p>
          <w:p w14:paraId="4D9C74AB">
            <w:pPr>
              <w:spacing w:line="360" w:lineRule="auto"/>
              <w:ind w:firstLine="480"/>
              <w:rPr>
                <w:color w:val="000000" w:themeColor="text1"/>
                <w:spacing w:val="-7"/>
                <w:kern w:val="0"/>
                <w:sz w:val="24"/>
                <w14:textFill>
                  <w14:solidFill>
                    <w14:schemeClr w14:val="tx1"/>
                  </w14:solidFill>
                </w14:textFill>
              </w:rPr>
            </w:pPr>
            <w:r>
              <w:rPr>
                <w:i/>
                <w:iCs/>
                <w:color w:val="000000" w:themeColor="text1"/>
                <w:spacing w:val="-7"/>
                <w:kern w:val="0"/>
                <w:sz w:val="24"/>
                <w14:textFill>
                  <w14:solidFill>
                    <w14:schemeClr w14:val="tx1"/>
                  </w14:solidFill>
                </w14:textFill>
              </w:rPr>
              <w:t>Q</w:t>
            </w:r>
            <w:r>
              <w:rPr>
                <w:i/>
                <w:iCs/>
                <w:color w:val="000000" w:themeColor="text1"/>
                <w:spacing w:val="-7"/>
                <w:kern w:val="0"/>
                <w:sz w:val="24"/>
                <w:vertAlign w:val="subscript"/>
                <w14:textFill>
                  <w14:solidFill>
                    <w14:schemeClr w14:val="tx1"/>
                  </w14:solidFill>
                </w14:textFill>
              </w:rPr>
              <w:t>1</w:t>
            </w:r>
            <w:r>
              <w:rPr>
                <w:i/>
                <w:iCs/>
                <w:color w:val="000000" w:themeColor="text1"/>
                <w:spacing w:val="-7"/>
                <w:kern w:val="0"/>
                <w:sz w:val="24"/>
                <w14:textFill>
                  <w14:solidFill>
                    <w14:schemeClr w14:val="tx1"/>
                  </w14:solidFill>
                </w14:textFill>
              </w:rPr>
              <w:t>, Q</w:t>
            </w:r>
            <w:r>
              <w:rPr>
                <w:i/>
                <w:iCs/>
                <w:color w:val="000000" w:themeColor="text1"/>
                <w:spacing w:val="-7"/>
                <w:kern w:val="0"/>
                <w:sz w:val="24"/>
                <w:vertAlign w:val="subscript"/>
                <w14:textFill>
                  <w14:solidFill>
                    <w14:schemeClr w14:val="tx1"/>
                  </w14:solidFill>
                </w14:textFill>
              </w:rPr>
              <w:t>2</w:t>
            </w:r>
            <w:r>
              <w:rPr>
                <w:i/>
                <w:iCs/>
                <w:color w:val="000000" w:themeColor="text1"/>
                <w:spacing w:val="-7"/>
                <w:kern w:val="0"/>
                <w:sz w:val="24"/>
                <w14:textFill>
                  <w14:solidFill>
                    <w14:schemeClr w14:val="tx1"/>
                  </w14:solidFill>
                </w14:textFill>
              </w:rPr>
              <w:t>, ..., Q</w:t>
            </w:r>
            <w:r>
              <w:rPr>
                <w:i/>
                <w:iCs/>
                <w:color w:val="000000" w:themeColor="text1"/>
                <w:spacing w:val="-7"/>
                <w:kern w:val="0"/>
                <w:sz w:val="24"/>
                <w:vertAlign w:val="subscript"/>
                <w14:textFill>
                  <w14:solidFill>
                    <w14:schemeClr w14:val="tx1"/>
                  </w14:solidFill>
                </w14:textFill>
              </w:rPr>
              <w:t>n</w:t>
            </w:r>
            <w:r>
              <w:rPr>
                <w:color w:val="000000" w:themeColor="text1"/>
                <w:spacing w:val="-7"/>
                <w:kern w:val="0"/>
                <w:sz w:val="24"/>
                <w14:textFill>
                  <w14:solidFill>
                    <w14:schemeClr w14:val="tx1"/>
                  </w14:solidFill>
                </w14:textFill>
              </w:rPr>
              <w:t>——每种危险物质的临界量，t。</w:t>
            </w:r>
          </w:p>
          <w:p w14:paraId="68672C91">
            <w:pPr>
              <w:pStyle w:val="47"/>
              <w:spacing w:line="360" w:lineRule="auto"/>
              <w:ind w:firstLine="480" w:firstLineChars="200"/>
              <w:jc w:val="both"/>
              <w:rPr>
                <w:color w:val="000000"/>
                <w:sz w:val="24"/>
                <w:szCs w:val="24"/>
              </w:rPr>
            </w:pPr>
            <w:r>
              <w:rPr>
                <w:color w:val="000000"/>
                <w:sz w:val="24"/>
                <w:szCs w:val="24"/>
              </w:rPr>
              <w:t>本项目</w:t>
            </w:r>
            <w:r>
              <w:rPr>
                <w:rFonts w:hint="eastAsia"/>
                <w:color w:val="000000"/>
                <w:sz w:val="24"/>
                <w:szCs w:val="24"/>
                <w:lang w:val="en-US" w:eastAsia="zh-CN"/>
              </w:rPr>
              <w:t>风险物质识别</w:t>
            </w:r>
            <w:r>
              <w:rPr>
                <w:color w:val="000000"/>
                <w:sz w:val="24"/>
                <w:szCs w:val="24"/>
              </w:rPr>
              <w:t>结果见下表：</w:t>
            </w:r>
          </w:p>
          <w:p w14:paraId="70382F8D">
            <w:pPr>
              <w:pStyle w:val="43"/>
              <w:spacing w:line="240" w:lineRule="auto"/>
              <w:ind w:firstLine="0" w:firstLineChars="0"/>
              <w:jc w:val="center"/>
              <w:rPr>
                <w:b/>
                <w:bCs/>
              </w:rPr>
            </w:pPr>
            <w:r>
              <w:rPr>
                <w:b/>
                <w:bCs/>
              </w:rPr>
              <w:t>表4</w:t>
            </w:r>
            <w:r>
              <w:rPr>
                <w:rFonts w:hint="eastAsia"/>
                <w:b/>
                <w:bCs/>
              </w:rPr>
              <w:t>-</w:t>
            </w:r>
            <w:r>
              <w:rPr>
                <w:rFonts w:hint="eastAsia"/>
                <w:b/>
                <w:bCs/>
                <w:lang w:val="en-US" w:eastAsia="zh-CN"/>
              </w:rPr>
              <w:t>23</w:t>
            </w:r>
            <w:r>
              <w:rPr>
                <w:b/>
                <w:bCs/>
              </w:rPr>
              <w:t xml:space="preserve"> 项目危险物质数量与临界量分析</w:t>
            </w:r>
          </w:p>
          <w:tbl>
            <w:tblPr>
              <w:tblStyle w:val="23"/>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68"/>
              <w:gridCol w:w="1442"/>
              <w:gridCol w:w="1430"/>
              <w:gridCol w:w="1642"/>
              <w:gridCol w:w="2390"/>
            </w:tblGrid>
            <w:tr w14:paraId="25E4E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925" w:type="pct"/>
                  <w:tcBorders>
                    <w:bottom w:val="single" w:color="000000" w:sz="6" w:space="0"/>
                    <w:right w:val="single" w:color="000000" w:sz="6" w:space="0"/>
                  </w:tcBorders>
                  <w:vAlign w:val="center"/>
                </w:tcPr>
                <w:p w14:paraId="5E18DE94">
                  <w:pPr>
                    <w:pStyle w:val="47"/>
                    <w:rPr>
                      <w:b/>
                      <w:bCs/>
                      <w:color w:val="000000"/>
                    </w:rPr>
                  </w:pPr>
                  <w:r>
                    <w:rPr>
                      <w:b/>
                      <w:bCs/>
                      <w:color w:val="000000"/>
                    </w:rPr>
                    <w:t>所属单元</w:t>
                  </w:r>
                </w:p>
              </w:tc>
              <w:tc>
                <w:tcPr>
                  <w:tcW w:w="851" w:type="pct"/>
                  <w:tcBorders>
                    <w:left w:val="single" w:color="000000" w:sz="6" w:space="0"/>
                    <w:bottom w:val="single" w:color="000000" w:sz="6" w:space="0"/>
                    <w:right w:val="single" w:color="000000" w:sz="6" w:space="0"/>
                  </w:tcBorders>
                  <w:vAlign w:val="center"/>
                </w:tcPr>
                <w:p w14:paraId="5A5E2D28">
                  <w:pPr>
                    <w:pStyle w:val="47"/>
                    <w:rPr>
                      <w:b/>
                      <w:bCs/>
                      <w:color w:val="000000"/>
                    </w:rPr>
                  </w:pPr>
                  <w:r>
                    <w:rPr>
                      <w:b/>
                      <w:bCs/>
                      <w:color w:val="000000"/>
                    </w:rPr>
                    <w:t>物质名称</w:t>
                  </w:r>
                </w:p>
              </w:tc>
              <w:tc>
                <w:tcPr>
                  <w:tcW w:w="844" w:type="pct"/>
                  <w:tcBorders>
                    <w:left w:val="single" w:color="000000" w:sz="6" w:space="0"/>
                    <w:bottom w:val="single" w:color="000000" w:sz="6" w:space="0"/>
                    <w:right w:val="single" w:color="000000" w:sz="6" w:space="0"/>
                  </w:tcBorders>
                  <w:vAlign w:val="center"/>
                </w:tcPr>
                <w:p w14:paraId="060D0DCD">
                  <w:pPr>
                    <w:pStyle w:val="47"/>
                    <w:rPr>
                      <w:b/>
                      <w:bCs/>
                      <w:color w:val="000000"/>
                    </w:rPr>
                  </w:pPr>
                  <w:r>
                    <w:rPr>
                      <w:b/>
                      <w:bCs/>
                      <w:color w:val="000000"/>
                    </w:rPr>
                    <w:t>标准临界量</w:t>
                  </w:r>
                </w:p>
              </w:tc>
              <w:tc>
                <w:tcPr>
                  <w:tcW w:w="968" w:type="pct"/>
                  <w:tcBorders>
                    <w:left w:val="single" w:color="000000" w:sz="6" w:space="0"/>
                    <w:bottom w:val="single" w:color="000000" w:sz="6" w:space="0"/>
                    <w:right w:val="single" w:color="000000" w:sz="6" w:space="0"/>
                  </w:tcBorders>
                  <w:vAlign w:val="center"/>
                </w:tcPr>
                <w:p w14:paraId="1FE985D9">
                  <w:pPr>
                    <w:pStyle w:val="47"/>
                    <w:rPr>
                      <w:rFonts w:hint="eastAsia" w:eastAsia="宋体"/>
                      <w:b/>
                      <w:bCs/>
                      <w:color w:val="000000"/>
                      <w:lang w:val="en-US" w:eastAsia="zh-CN"/>
                    </w:rPr>
                  </w:pPr>
                  <w:r>
                    <w:rPr>
                      <w:b/>
                      <w:bCs/>
                      <w:color w:val="000000"/>
                    </w:rPr>
                    <w:t>最大储存量</w:t>
                  </w:r>
                  <w:r>
                    <w:rPr>
                      <w:rFonts w:hint="eastAsia"/>
                      <w:b/>
                      <w:bCs/>
                      <w:color w:val="000000"/>
                      <w:lang w:val="en-US" w:eastAsia="zh-CN"/>
                    </w:rPr>
                    <w:t>t</w:t>
                  </w:r>
                </w:p>
              </w:tc>
              <w:tc>
                <w:tcPr>
                  <w:tcW w:w="1410" w:type="pct"/>
                  <w:tcBorders>
                    <w:left w:val="single" w:color="000000" w:sz="6" w:space="0"/>
                    <w:bottom w:val="single" w:color="000000" w:sz="6" w:space="0"/>
                    <w:right w:val="single" w:color="000000" w:sz="6" w:space="0"/>
                  </w:tcBorders>
                  <w:vAlign w:val="center"/>
                </w:tcPr>
                <w:p w14:paraId="607264FE">
                  <w:pPr>
                    <w:pStyle w:val="47"/>
                    <w:rPr>
                      <w:b/>
                      <w:bCs/>
                      <w:color w:val="000000"/>
                    </w:rPr>
                  </w:pPr>
                  <w:r>
                    <w:rPr>
                      <w:b/>
                      <w:bCs/>
                      <w:color w:val="000000"/>
                      <w:position w:val="2"/>
                    </w:rPr>
                    <w:t>q</w:t>
                  </w:r>
                  <w:r>
                    <w:rPr>
                      <w:b/>
                      <w:bCs/>
                      <w:color w:val="000000"/>
                      <w:position w:val="2"/>
                      <w:vertAlign w:val="subscript"/>
                    </w:rPr>
                    <w:t>n</w:t>
                  </w:r>
                  <w:r>
                    <w:rPr>
                      <w:b/>
                      <w:bCs/>
                      <w:color w:val="000000"/>
                      <w:position w:val="2"/>
                    </w:rPr>
                    <w:t>/Q</w:t>
                  </w:r>
                  <w:r>
                    <w:rPr>
                      <w:b/>
                      <w:bCs/>
                      <w:color w:val="000000"/>
                      <w:position w:val="2"/>
                      <w:vertAlign w:val="subscript"/>
                    </w:rPr>
                    <w:t>n</w:t>
                  </w:r>
                </w:p>
              </w:tc>
            </w:tr>
            <w:tr w14:paraId="5F222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925" w:type="pct"/>
                  <w:vMerge w:val="restart"/>
                  <w:tcBorders>
                    <w:right w:val="single" w:color="000000" w:sz="6" w:space="0"/>
                  </w:tcBorders>
                  <w:vAlign w:val="center"/>
                </w:tcPr>
                <w:p w14:paraId="53DD896A">
                  <w:pPr>
                    <w:pStyle w:val="47"/>
                    <w:rPr>
                      <w:rFonts w:hint="default" w:eastAsia="宋体"/>
                      <w:color w:val="000000"/>
                      <w:lang w:val="en-US" w:eastAsia="zh-CN"/>
                    </w:rPr>
                  </w:pPr>
                  <w:r>
                    <w:rPr>
                      <w:rFonts w:hint="eastAsia"/>
                      <w:color w:val="000000"/>
                      <w:lang w:val="en-US" w:eastAsia="zh-CN"/>
                    </w:rPr>
                    <w:t>实验室</w:t>
                  </w:r>
                </w:p>
              </w:tc>
              <w:tc>
                <w:tcPr>
                  <w:tcW w:w="851" w:type="pct"/>
                  <w:tcBorders>
                    <w:left w:val="single" w:color="000000" w:sz="6" w:space="0"/>
                    <w:bottom w:val="single" w:color="000000" w:sz="6" w:space="0"/>
                    <w:right w:val="single" w:color="000000" w:sz="6" w:space="0"/>
                  </w:tcBorders>
                  <w:vAlign w:val="center"/>
                </w:tcPr>
                <w:p w14:paraId="4C23B1EA">
                  <w:pPr>
                    <w:pStyle w:val="33"/>
                    <w:spacing w:line="320" w:lineRule="exact"/>
                    <w:rPr>
                      <w:rFonts w:hint="eastAsia" w:eastAsia="宋体"/>
                      <w:b/>
                      <w:bCs/>
                      <w:color w:val="000000"/>
                      <w:sz w:val="21"/>
                      <w:szCs w:val="21"/>
                      <w:lang w:eastAsia="zh-CN"/>
                    </w:rPr>
                  </w:pPr>
                  <w:r>
                    <w:rPr>
                      <w:rFonts w:hint="eastAsia"/>
                      <w:b w:val="0"/>
                      <w:bCs/>
                      <w:kern w:val="0"/>
                      <w:sz w:val="21"/>
                      <w:szCs w:val="21"/>
                      <w:lang w:val="en-US" w:eastAsia="zh-CN"/>
                    </w:rPr>
                    <w:t>浓硫酸</w:t>
                  </w:r>
                </w:p>
              </w:tc>
              <w:tc>
                <w:tcPr>
                  <w:tcW w:w="844" w:type="pct"/>
                  <w:tcBorders>
                    <w:left w:val="single" w:color="000000" w:sz="6" w:space="0"/>
                    <w:bottom w:val="single" w:color="000000" w:sz="6" w:space="0"/>
                    <w:right w:val="single" w:color="000000" w:sz="6" w:space="0"/>
                  </w:tcBorders>
                  <w:vAlign w:val="center"/>
                </w:tcPr>
                <w:p w14:paraId="220749B9">
                  <w:pPr>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10</w:t>
                  </w:r>
                </w:p>
              </w:tc>
              <w:tc>
                <w:tcPr>
                  <w:tcW w:w="968" w:type="pct"/>
                  <w:tcBorders>
                    <w:left w:val="single" w:color="000000" w:sz="6" w:space="0"/>
                    <w:bottom w:val="single" w:color="000000" w:sz="6" w:space="0"/>
                    <w:right w:val="single" w:color="000000" w:sz="6" w:space="0"/>
                  </w:tcBorders>
                  <w:vAlign w:val="center"/>
                </w:tcPr>
                <w:p w14:paraId="08842041">
                  <w:pPr>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0.00092</w:t>
                  </w:r>
                </w:p>
              </w:tc>
              <w:tc>
                <w:tcPr>
                  <w:tcW w:w="2369" w:type="dxa"/>
                  <w:tcBorders>
                    <w:left w:val="single" w:color="000000" w:sz="6" w:space="0"/>
                    <w:bottom w:val="single" w:color="000000" w:sz="6" w:space="0"/>
                    <w:right w:val="single" w:color="000000" w:sz="6" w:space="0"/>
                  </w:tcBorders>
                  <w:vAlign w:val="center"/>
                </w:tcPr>
                <w:p w14:paraId="4742A4AA">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0.000092</w:t>
                  </w:r>
                </w:p>
              </w:tc>
            </w:tr>
            <w:tr w14:paraId="237D6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925" w:type="pct"/>
                  <w:vMerge w:val="continue"/>
                  <w:tcBorders>
                    <w:right w:val="single" w:color="000000" w:sz="6" w:space="0"/>
                  </w:tcBorders>
                  <w:vAlign w:val="center"/>
                </w:tcPr>
                <w:p w14:paraId="370C5F8A">
                  <w:pPr>
                    <w:pStyle w:val="47"/>
                    <w:rPr>
                      <w:rFonts w:hint="eastAsia"/>
                      <w:color w:val="000000"/>
                      <w:lang w:val="en-US" w:eastAsia="zh-CN"/>
                    </w:rPr>
                  </w:pPr>
                </w:p>
              </w:tc>
              <w:tc>
                <w:tcPr>
                  <w:tcW w:w="851" w:type="pct"/>
                  <w:tcBorders>
                    <w:left w:val="single" w:color="000000" w:sz="6" w:space="0"/>
                    <w:bottom w:val="single" w:color="000000" w:sz="6" w:space="0"/>
                    <w:right w:val="single" w:color="000000" w:sz="6" w:space="0"/>
                  </w:tcBorders>
                  <w:vAlign w:val="center"/>
                </w:tcPr>
                <w:p w14:paraId="3BF782A8">
                  <w:pPr>
                    <w:pStyle w:val="33"/>
                    <w:spacing w:line="320" w:lineRule="exact"/>
                    <w:rPr>
                      <w:rFonts w:hint="default"/>
                      <w:b w:val="0"/>
                      <w:bCs/>
                      <w:kern w:val="0"/>
                      <w:sz w:val="21"/>
                      <w:szCs w:val="21"/>
                      <w:lang w:val="en-US" w:eastAsia="zh-CN"/>
                    </w:rPr>
                  </w:pPr>
                  <w:r>
                    <w:rPr>
                      <w:rFonts w:hint="eastAsia"/>
                      <w:b w:val="0"/>
                      <w:bCs/>
                      <w:kern w:val="0"/>
                      <w:sz w:val="21"/>
                      <w:szCs w:val="21"/>
                      <w:lang w:val="en-US" w:eastAsia="zh-CN"/>
                    </w:rPr>
                    <w:t>盐酸(≥37%)</w:t>
                  </w:r>
                </w:p>
              </w:tc>
              <w:tc>
                <w:tcPr>
                  <w:tcW w:w="844" w:type="pct"/>
                  <w:tcBorders>
                    <w:left w:val="single" w:color="000000" w:sz="6" w:space="0"/>
                    <w:bottom w:val="single" w:color="000000" w:sz="6" w:space="0"/>
                    <w:right w:val="single" w:color="000000" w:sz="6" w:space="0"/>
                  </w:tcBorders>
                  <w:vAlign w:val="center"/>
                </w:tcPr>
                <w:p w14:paraId="1BF21683">
                  <w:pPr>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7.5</w:t>
                  </w:r>
                </w:p>
              </w:tc>
              <w:tc>
                <w:tcPr>
                  <w:tcW w:w="968" w:type="pct"/>
                  <w:tcBorders>
                    <w:left w:val="single" w:color="000000" w:sz="6" w:space="0"/>
                    <w:bottom w:val="single" w:color="000000" w:sz="6" w:space="0"/>
                    <w:right w:val="single" w:color="000000" w:sz="6" w:space="0"/>
                  </w:tcBorders>
                  <w:vAlign w:val="center"/>
                </w:tcPr>
                <w:p w14:paraId="0F71CF9A">
                  <w:pPr>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0.001</w:t>
                  </w:r>
                </w:p>
              </w:tc>
              <w:tc>
                <w:tcPr>
                  <w:tcW w:w="2369" w:type="dxa"/>
                  <w:tcBorders>
                    <w:left w:val="single" w:color="000000" w:sz="6" w:space="0"/>
                    <w:bottom w:val="single" w:color="000000" w:sz="6" w:space="0"/>
                    <w:right w:val="single" w:color="000000" w:sz="6" w:space="0"/>
                  </w:tcBorders>
                  <w:vAlign w:val="center"/>
                </w:tcPr>
                <w:p w14:paraId="22475B61">
                  <w:pPr>
                    <w:keepNext w:val="0"/>
                    <w:keepLines w:val="0"/>
                    <w:widowControl/>
                    <w:suppressLineNumbers w:val="0"/>
                    <w:jc w:val="center"/>
                    <w:textAlignment w:val="center"/>
                    <w:rPr>
                      <w:rFonts w:hint="eastAsia" w:ascii="Times New Roman" w:hAnsi="Times New Roman" w:eastAsia="宋体"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0.00013</w:t>
                  </w:r>
                </w:p>
              </w:tc>
            </w:tr>
            <w:tr w14:paraId="43361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925" w:type="pct"/>
                  <w:vMerge w:val="continue"/>
                  <w:tcBorders>
                    <w:right w:val="single" w:color="000000" w:sz="6" w:space="0"/>
                  </w:tcBorders>
                  <w:vAlign w:val="center"/>
                </w:tcPr>
                <w:p w14:paraId="3C2EDED2">
                  <w:pPr>
                    <w:pStyle w:val="47"/>
                    <w:rPr>
                      <w:rFonts w:hint="eastAsia"/>
                      <w:color w:val="000000"/>
                      <w:lang w:val="en-US" w:eastAsia="zh-CN"/>
                    </w:rPr>
                  </w:pPr>
                </w:p>
              </w:tc>
              <w:tc>
                <w:tcPr>
                  <w:tcW w:w="851" w:type="pct"/>
                  <w:tcBorders>
                    <w:left w:val="single" w:color="000000" w:sz="6" w:space="0"/>
                    <w:bottom w:val="single" w:color="000000" w:sz="6" w:space="0"/>
                    <w:right w:val="single" w:color="000000" w:sz="6" w:space="0"/>
                  </w:tcBorders>
                  <w:vAlign w:val="center"/>
                </w:tcPr>
                <w:p w14:paraId="75AB3EE3">
                  <w:pPr>
                    <w:pStyle w:val="33"/>
                    <w:spacing w:line="320" w:lineRule="exact"/>
                    <w:rPr>
                      <w:rFonts w:hint="eastAsia"/>
                      <w:b w:val="0"/>
                      <w:bCs/>
                      <w:kern w:val="0"/>
                      <w:sz w:val="21"/>
                      <w:szCs w:val="21"/>
                      <w:lang w:val="en-US" w:eastAsia="zh-CN"/>
                    </w:rPr>
                  </w:pPr>
                  <w:r>
                    <w:rPr>
                      <w:rFonts w:hint="eastAsia"/>
                      <w:b w:val="0"/>
                      <w:bCs/>
                      <w:kern w:val="0"/>
                      <w:sz w:val="21"/>
                      <w:szCs w:val="21"/>
                      <w:lang w:val="en-US" w:eastAsia="zh-CN"/>
                    </w:rPr>
                    <w:t>四苯硼钠</w:t>
                  </w:r>
                </w:p>
              </w:tc>
              <w:tc>
                <w:tcPr>
                  <w:tcW w:w="844" w:type="pct"/>
                  <w:tcBorders>
                    <w:left w:val="single" w:color="000000" w:sz="6" w:space="0"/>
                    <w:bottom w:val="single" w:color="000000" w:sz="6" w:space="0"/>
                    <w:right w:val="single" w:color="000000" w:sz="6" w:space="0"/>
                  </w:tcBorders>
                  <w:vAlign w:val="center"/>
                </w:tcPr>
                <w:p w14:paraId="5F9B1256">
                  <w:pPr>
                    <w:adjustRightInd w:val="0"/>
                    <w:snapToGrid w:val="0"/>
                    <w:jc w:val="center"/>
                    <w:rPr>
                      <w:rFonts w:hint="eastAsia" w:cs="Times New Roman"/>
                      <w:kern w:val="0"/>
                      <w:sz w:val="21"/>
                      <w:szCs w:val="21"/>
                      <w:lang w:val="en-US" w:eastAsia="zh-CN"/>
                    </w:rPr>
                  </w:pPr>
                  <w:r>
                    <w:rPr>
                      <w:rFonts w:hint="eastAsia" w:cs="Times New Roman"/>
                      <w:kern w:val="0"/>
                      <w:sz w:val="21"/>
                      <w:szCs w:val="21"/>
                      <w:lang w:val="en-US" w:eastAsia="zh-CN"/>
                    </w:rPr>
                    <w:t>50</w:t>
                  </w:r>
                </w:p>
              </w:tc>
              <w:tc>
                <w:tcPr>
                  <w:tcW w:w="968" w:type="pct"/>
                  <w:tcBorders>
                    <w:left w:val="single" w:color="000000" w:sz="6" w:space="0"/>
                    <w:bottom w:val="single" w:color="000000" w:sz="6" w:space="0"/>
                    <w:right w:val="single" w:color="000000" w:sz="6" w:space="0"/>
                  </w:tcBorders>
                  <w:vAlign w:val="center"/>
                </w:tcPr>
                <w:p w14:paraId="125B43B4">
                  <w:pPr>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0.0001</w:t>
                  </w:r>
                </w:p>
              </w:tc>
              <w:tc>
                <w:tcPr>
                  <w:tcW w:w="2369" w:type="dxa"/>
                  <w:tcBorders>
                    <w:left w:val="single" w:color="000000" w:sz="6" w:space="0"/>
                    <w:bottom w:val="single" w:color="000000" w:sz="6" w:space="0"/>
                    <w:right w:val="single" w:color="000000" w:sz="6" w:space="0"/>
                  </w:tcBorders>
                  <w:vAlign w:val="center"/>
                </w:tcPr>
                <w:p w14:paraId="6EC4408A">
                  <w:pPr>
                    <w:keepNext w:val="0"/>
                    <w:keepLines w:val="0"/>
                    <w:widowControl/>
                    <w:suppressLineNumbers w:val="0"/>
                    <w:jc w:val="center"/>
                    <w:textAlignment w:val="center"/>
                    <w:rPr>
                      <w:rFonts w:hint="eastAsia" w:ascii="Times New Roman" w:hAnsi="Times New Roman" w:eastAsia="宋体"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0.000002</w:t>
                  </w:r>
                </w:p>
              </w:tc>
            </w:tr>
            <w:tr w14:paraId="1005E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925" w:type="pct"/>
                  <w:vMerge w:val="continue"/>
                  <w:tcBorders>
                    <w:right w:val="single" w:color="000000" w:sz="6" w:space="0"/>
                  </w:tcBorders>
                  <w:vAlign w:val="center"/>
                </w:tcPr>
                <w:p w14:paraId="1E0A6B85">
                  <w:pPr>
                    <w:pStyle w:val="47"/>
                    <w:rPr>
                      <w:rFonts w:hint="eastAsia"/>
                      <w:color w:val="000000"/>
                      <w:lang w:val="en-US" w:eastAsia="zh-CN"/>
                    </w:rPr>
                  </w:pPr>
                </w:p>
              </w:tc>
              <w:tc>
                <w:tcPr>
                  <w:tcW w:w="851" w:type="pct"/>
                  <w:tcBorders>
                    <w:left w:val="single" w:color="000000" w:sz="6" w:space="0"/>
                    <w:bottom w:val="single" w:color="000000" w:sz="6" w:space="0"/>
                    <w:right w:val="single" w:color="000000" w:sz="6" w:space="0"/>
                  </w:tcBorders>
                  <w:vAlign w:val="center"/>
                </w:tcPr>
                <w:p w14:paraId="56DD6169">
                  <w:pPr>
                    <w:pStyle w:val="33"/>
                    <w:spacing w:line="320" w:lineRule="exact"/>
                    <w:rPr>
                      <w:rFonts w:hint="eastAsia"/>
                      <w:b w:val="0"/>
                      <w:bCs/>
                      <w:kern w:val="0"/>
                      <w:sz w:val="21"/>
                      <w:szCs w:val="21"/>
                      <w:lang w:val="en-US" w:eastAsia="zh-CN"/>
                    </w:rPr>
                  </w:pPr>
                  <w:r>
                    <w:rPr>
                      <w:rFonts w:hint="eastAsia"/>
                      <w:b w:val="0"/>
                      <w:bCs/>
                      <w:kern w:val="0"/>
                      <w:sz w:val="21"/>
                      <w:szCs w:val="21"/>
                      <w:lang w:val="en-US" w:eastAsia="zh-CN"/>
                    </w:rPr>
                    <w:t>钒钼酸铵显色剂</w:t>
                  </w:r>
                </w:p>
              </w:tc>
              <w:tc>
                <w:tcPr>
                  <w:tcW w:w="844" w:type="pct"/>
                  <w:tcBorders>
                    <w:left w:val="single" w:color="000000" w:sz="6" w:space="0"/>
                    <w:bottom w:val="single" w:color="000000" w:sz="6" w:space="0"/>
                    <w:right w:val="single" w:color="000000" w:sz="6" w:space="0"/>
                  </w:tcBorders>
                  <w:vAlign w:val="center"/>
                </w:tcPr>
                <w:p w14:paraId="0A4A0EF5">
                  <w:pPr>
                    <w:adjustRightInd w:val="0"/>
                    <w:snapToGrid w:val="0"/>
                    <w:jc w:val="center"/>
                    <w:rPr>
                      <w:rFonts w:hint="eastAsia" w:cs="Times New Roman"/>
                      <w:kern w:val="0"/>
                      <w:sz w:val="21"/>
                      <w:szCs w:val="21"/>
                      <w:lang w:val="en-US" w:eastAsia="zh-CN"/>
                    </w:rPr>
                  </w:pPr>
                  <w:r>
                    <w:rPr>
                      <w:rFonts w:hint="eastAsia" w:cs="Times New Roman"/>
                      <w:kern w:val="0"/>
                      <w:sz w:val="21"/>
                      <w:szCs w:val="21"/>
                      <w:lang w:val="en-US" w:eastAsia="zh-CN"/>
                    </w:rPr>
                    <w:t>50</w:t>
                  </w:r>
                </w:p>
              </w:tc>
              <w:tc>
                <w:tcPr>
                  <w:tcW w:w="968" w:type="pct"/>
                  <w:tcBorders>
                    <w:left w:val="single" w:color="000000" w:sz="6" w:space="0"/>
                    <w:bottom w:val="single" w:color="000000" w:sz="6" w:space="0"/>
                    <w:right w:val="single" w:color="000000" w:sz="6" w:space="0"/>
                  </w:tcBorders>
                  <w:vAlign w:val="center"/>
                </w:tcPr>
                <w:p w14:paraId="50541387">
                  <w:pPr>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0.001</w:t>
                  </w:r>
                </w:p>
              </w:tc>
              <w:tc>
                <w:tcPr>
                  <w:tcW w:w="2369" w:type="dxa"/>
                  <w:tcBorders>
                    <w:left w:val="single" w:color="000000" w:sz="6" w:space="0"/>
                    <w:bottom w:val="single" w:color="000000" w:sz="6" w:space="0"/>
                    <w:right w:val="single" w:color="000000" w:sz="6" w:space="0"/>
                  </w:tcBorders>
                  <w:vAlign w:val="center"/>
                </w:tcPr>
                <w:p w14:paraId="27AE2CC8">
                  <w:pPr>
                    <w:keepNext w:val="0"/>
                    <w:keepLines w:val="0"/>
                    <w:widowControl/>
                    <w:suppressLineNumbers w:val="0"/>
                    <w:jc w:val="center"/>
                    <w:textAlignment w:val="center"/>
                    <w:rPr>
                      <w:rFonts w:hint="eastAsia" w:ascii="Times New Roman" w:hAnsi="Times New Roman" w:eastAsia="宋体"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0.00002</w:t>
                  </w:r>
                </w:p>
              </w:tc>
            </w:tr>
            <w:tr w14:paraId="2151D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925" w:type="pct"/>
                  <w:vMerge w:val="continue"/>
                  <w:tcBorders>
                    <w:right w:val="single" w:color="000000" w:sz="6" w:space="0"/>
                  </w:tcBorders>
                  <w:vAlign w:val="center"/>
                </w:tcPr>
                <w:p w14:paraId="54EB46D6">
                  <w:pPr>
                    <w:pStyle w:val="47"/>
                    <w:rPr>
                      <w:rFonts w:hint="eastAsia"/>
                      <w:color w:val="000000"/>
                      <w:lang w:val="en-US" w:eastAsia="zh-CN"/>
                    </w:rPr>
                  </w:pPr>
                </w:p>
              </w:tc>
              <w:tc>
                <w:tcPr>
                  <w:tcW w:w="851" w:type="pct"/>
                  <w:tcBorders>
                    <w:left w:val="single" w:color="000000" w:sz="6" w:space="0"/>
                    <w:bottom w:val="single" w:color="000000" w:sz="6" w:space="0"/>
                    <w:right w:val="single" w:color="000000" w:sz="6" w:space="0"/>
                  </w:tcBorders>
                  <w:vAlign w:val="center"/>
                </w:tcPr>
                <w:p w14:paraId="5CD68564">
                  <w:pPr>
                    <w:pStyle w:val="33"/>
                    <w:spacing w:line="320" w:lineRule="exact"/>
                    <w:rPr>
                      <w:rFonts w:hint="default"/>
                      <w:b w:val="0"/>
                      <w:bCs/>
                      <w:kern w:val="0"/>
                      <w:sz w:val="21"/>
                      <w:szCs w:val="21"/>
                      <w:lang w:val="en-US" w:eastAsia="zh-CN"/>
                    </w:rPr>
                  </w:pPr>
                  <w:r>
                    <w:rPr>
                      <w:rFonts w:hint="eastAsia"/>
                      <w:b w:val="0"/>
                      <w:bCs/>
                      <w:kern w:val="0"/>
                      <w:sz w:val="21"/>
                      <w:szCs w:val="21"/>
                      <w:lang w:val="en-US" w:eastAsia="zh-CN"/>
                    </w:rPr>
                    <w:t>重铬酸钾</w:t>
                  </w:r>
                </w:p>
              </w:tc>
              <w:tc>
                <w:tcPr>
                  <w:tcW w:w="844" w:type="pct"/>
                  <w:tcBorders>
                    <w:left w:val="single" w:color="000000" w:sz="6" w:space="0"/>
                    <w:bottom w:val="single" w:color="000000" w:sz="6" w:space="0"/>
                    <w:right w:val="single" w:color="000000" w:sz="6" w:space="0"/>
                  </w:tcBorders>
                  <w:vAlign w:val="center"/>
                </w:tcPr>
                <w:p w14:paraId="09727F45">
                  <w:pPr>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50</w:t>
                  </w:r>
                </w:p>
              </w:tc>
              <w:tc>
                <w:tcPr>
                  <w:tcW w:w="968" w:type="pct"/>
                  <w:tcBorders>
                    <w:left w:val="single" w:color="000000" w:sz="6" w:space="0"/>
                    <w:bottom w:val="single" w:color="000000" w:sz="6" w:space="0"/>
                    <w:right w:val="single" w:color="000000" w:sz="6" w:space="0"/>
                  </w:tcBorders>
                  <w:vAlign w:val="center"/>
                </w:tcPr>
                <w:p w14:paraId="7AE493AC">
                  <w:pPr>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0.0005</w:t>
                  </w:r>
                </w:p>
              </w:tc>
              <w:tc>
                <w:tcPr>
                  <w:tcW w:w="2369" w:type="dxa"/>
                  <w:tcBorders>
                    <w:left w:val="single" w:color="000000" w:sz="6" w:space="0"/>
                    <w:bottom w:val="single" w:color="000000" w:sz="6" w:space="0"/>
                    <w:right w:val="single" w:color="000000" w:sz="6" w:space="0"/>
                  </w:tcBorders>
                  <w:vAlign w:val="center"/>
                </w:tcPr>
                <w:p w14:paraId="393F09B0">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0.00001</w:t>
                  </w:r>
                </w:p>
              </w:tc>
            </w:tr>
            <w:tr w14:paraId="62049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3589" w:type="pct"/>
                  <w:gridSpan w:val="4"/>
                  <w:tcBorders>
                    <w:bottom w:val="single" w:color="000000" w:sz="6" w:space="0"/>
                    <w:right w:val="single" w:color="000000" w:sz="6" w:space="0"/>
                  </w:tcBorders>
                  <w:vAlign w:val="center"/>
                </w:tcPr>
                <w:p w14:paraId="5453A9E4">
                  <w:pPr>
                    <w:pStyle w:val="47"/>
                    <w:rPr>
                      <w:b/>
                      <w:bCs/>
                      <w:color w:val="000000"/>
                    </w:rPr>
                  </w:pPr>
                  <w:r>
                    <w:rPr>
                      <w:rFonts w:hint="eastAsia"/>
                      <w:color w:val="000000"/>
                    </w:rPr>
                    <w:t>合计</w:t>
                  </w:r>
                </w:p>
              </w:tc>
              <w:tc>
                <w:tcPr>
                  <w:tcW w:w="2369" w:type="dxa"/>
                  <w:tcBorders>
                    <w:left w:val="single" w:color="000000" w:sz="6" w:space="0"/>
                    <w:bottom w:val="single" w:color="000000" w:sz="6" w:space="0"/>
                    <w:right w:val="single" w:color="000000" w:sz="6" w:space="0"/>
                  </w:tcBorders>
                  <w:vAlign w:val="center"/>
                </w:tcPr>
                <w:p w14:paraId="4E73C826">
                  <w:pPr>
                    <w:keepNext w:val="0"/>
                    <w:keepLines w:val="0"/>
                    <w:widowControl/>
                    <w:suppressLineNumbers w:val="0"/>
                    <w:jc w:val="center"/>
                    <w:textAlignment w:val="center"/>
                    <w:rPr>
                      <w:rFonts w:hint="default" w:ascii="Times New Roman" w:hAnsi="Times New Roman"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0.0003</w:t>
                  </w:r>
                </w:p>
              </w:tc>
            </w:tr>
          </w:tbl>
          <w:p w14:paraId="00469F80">
            <w:pPr>
              <w:spacing w:line="360" w:lineRule="auto"/>
              <w:ind w:firstLine="459"/>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由上表得：风险物质数量与临界量比值Q=</w:t>
            </w:r>
            <w:r>
              <w:rPr>
                <w:rFonts w:hint="eastAsia" w:ascii="Times New Roman" w:hAnsi="Times New Roman" w:eastAsia="宋体" w:cs="Times New Roman"/>
                <w:color w:val="000000" w:themeColor="text1"/>
                <w:sz w:val="24"/>
                <w14:textFill>
                  <w14:solidFill>
                    <w14:schemeClr w14:val="tx1"/>
                  </w14:solidFill>
                </w14:textFill>
              </w:rPr>
              <w:t>0.000</w:t>
            </w:r>
            <w:r>
              <w:rPr>
                <w:rFonts w:hint="eastAsia" w:cs="Times New Roman"/>
                <w:color w:val="000000" w:themeColor="text1"/>
                <w:sz w:val="24"/>
                <w:lang w:val="en-US" w:eastAsia="zh-CN"/>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＜1，则本项目环境风险潜势为</w:t>
            </w:r>
            <w:r>
              <w:rPr>
                <w:rFonts w:ascii="Times New Roman" w:hAnsi="Times New Roman" w:eastAsia="宋体" w:cs="Times New Roman"/>
                <w:color w:val="000000" w:themeColor="text1"/>
                <w:sz w:val="24"/>
                <w14:textFill>
                  <w14:solidFill>
                    <w14:schemeClr w14:val="tx1"/>
                  </w14:solidFill>
                </w14:textFill>
              </w:rPr>
              <w:fldChar w:fldCharType="begin"/>
            </w:r>
            <w:r>
              <w:rPr>
                <w:rFonts w:ascii="Times New Roman" w:hAnsi="Times New Roman" w:eastAsia="宋体" w:cs="Times New Roman"/>
                <w:color w:val="000000" w:themeColor="text1"/>
                <w:sz w:val="24"/>
                <w14:textFill>
                  <w14:solidFill>
                    <w14:schemeClr w14:val="tx1"/>
                  </w14:solidFill>
                </w14:textFill>
              </w:rPr>
              <w:instrText xml:space="preserve"> = 1 \* ROMAN \* MERGEFORMAT </w:instrText>
            </w:r>
            <w:r>
              <w:rPr>
                <w:rFonts w:ascii="Times New Roman" w:hAnsi="Times New Roman" w:eastAsia="宋体" w:cs="Times New Roman"/>
                <w:color w:val="000000" w:themeColor="text1"/>
                <w:sz w:val="24"/>
                <w14:textFill>
                  <w14:solidFill>
                    <w14:schemeClr w14:val="tx1"/>
                  </w14:solidFill>
                </w14:textFill>
              </w:rPr>
              <w:fldChar w:fldCharType="separate"/>
            </w:r>
            <w:r>
              <w:rPr>
                <w:rFonts w:ascii="Times New Roman" w:hAnsi="Times New Roman" w:eastAsia="宋体" w:cs="Times New Roman"/>
                <w:color w:val="000000" w:themeColor="text1"/>
                <w:sz w:val="24"/>
                <w14:textFill>
                  <w14:solidFill>
                    <w14:schemeClr w14:val="tx1"/>
                  </w14:solidFill>
                </w14:textFill>
              </w:rPr>
              <w:t>I</w:t>
            </w:r>
            <w:r>
              <w:rPr>
                <w:rFonts w:ascii="Times New Roman" w:hAnsi="Times New Roman" w:eastAsia="宋体" w:cs="Times New Roman"/>
                <w:color w:val="000000" w:themeColor="text1"/>
                <w:sz w:val="24"/>
                <w14:textFill>
                  <w14:solidFill>
                    <w14:schemeClr w14:val="tx1"/>
                  </w14:solidFill>
                </w14:textFill>
              </w:rPr>
              <w:fldChar w:fldCharType="end"/>
            </w:r>
            <w:r>
              <w:rPr>
                <w:rFonts w:ascii="Times New Roman" w:hAnsi="Times New Roman" w:eastAsia="宋体" w:cs="Times New Roman"/>
                <w:color w:val="000000" w:themeColor="text1"/>
                <w:sz w:val="24"/>
                <w14:textFill>
                  <w14:solidFill>
                    <w14:schemeClr w14:val="tx1"/>
                  </w14:solidFill>
                </w14:textFill>
              </w:rPr>
              <w:t>，可只开展简单分析。</w:t>
            </w:r>
          </w:p>
          <w:p w14:paraId="39DB0BBE">
            <w:pPr>
              <w:adjustRightInd w:val="0"/>
              <w:snapToGrid w:val="0"/>
              <w:spacing w:line="360" w:lineRule="auto"/>
              <w:ind w:firstLine="480" w:firstLineChars="200"/>
              <w:rPr>
                <w:rFonts w:hint="default" w:ascii="Times New Roman" w:hAnsi="Times New Roman" w:eastAsia="宋体" w:cs="Times New Roman"/>
                <w:bCs/>
                <w:color w:val="000000" w:themeColor="text1"/>
                <w:spacing w:val="0"/>
                <w:sz w:val="24"/>
                <w14:textFill>
                  <w14:solidFill>
                    <w14:schemeClr w14:val="tx1"/>
                  </w14:solidFill>
                </w14:textFill>
              </w:rPr>
            </w:pPr>
            <w:r>
              <w:rPr>
                <w:rFonts w:hint="eastAsia" w:ascii="Times New Roman" w:hAnsi="Times New Roman" w:eastAsia="宋体" w:cs="Times New Roman"/>
                <w:bCs/>
                <w:color w:val="000000" w:themeColor="text1"/>
                <w:spacing w:val="0"/>
                <w:sz w:val="24"/>
                <w:lang w:val="en-US" w:eastAsia="zh-CN"/>
                <w14:textFill>
                  <w14:solidFill>
                    <w14:schemeClr w14:val="tx1"/>
                  </w14:solidFill>
                </w14:textFill>
              </w:rPr>
              <w:t>2、</w:t>
            </w:r>
            <w:r>
              <w:rPr>
                <w:rFonts w:hint="default" w:ascii="Times New Roman" w:hAnsi="Times New Roman" w:eastAsia="宋体" w:cs="Times New Roman"/>
                <w:bCs/>
                <w:color w:val="000000" w:themeColor="text1"/>
                <w:spacing w:val="0"/>
                <w:sz w:val="24"/>
                <w14:textFill>
                  <w14:solidFill>
                    <w14:schemeClr w14:val="tx1"/>
                  </w14:solidFill>
                </w14:textFill>
              </w:rPr>
              <w:t>风险影响分析</w:t>
            </w:r>
          </w:p>
          <w:p w14:paraId="3F8A1919">
            <w:pPr>
              <w:adjustRightInd w:val="0"/>
              <w:snapToGrid w:val="0"/>
              <w:spacing w:line="360" w:lineRule="auto"/>
              <w:ind w:firstLine="480" w:firstLineChars="200"/>
              <w:rPr>
                <w:rFonts w:hint="eastAsia" w:ascii="Times New Roman" w:hAnsi="Times New Roman" w:eastAsia="宋体" w:cs="Times New Roman"/>
                <w:bCs/>
                <w:color w:val="000000" w:themeColor="text1"/>
                <w:spacing w:val="0"/>
                <w:sz w:val="24"/>
                <w:lang w:eastAsia="zh-CN"/>
                <w14:textFill>
                  <w14:solidFill>
                    <w14:schemeClr w14:val="tx1"/>
                  </w14:solidFill>
                </w14:textFill>
              </w:rPr>
            </w:pPr>
            <w:r>
              <w:rPr>
                <w:rFonts w:hint="eastAsia" w:ascii="Times New Roman" w:hAnsi="Times New Roman" w:eastAsia="宋体" w:cs="Times New Roman"/>
                <w:bCs/>
                <w:color w:val="000000" w:themeColor="text1"/>
                <w:spacing w:val="0"/>
                <w:sz w:val="24"/>
                <w:lang w:eastAsia="zh-CN"/>
                <w14:textFill>
                  <w14:solidFill>
                    <w14:schemeClr w14:val="tx1"/>
                  </w14:solidFill>
                </w14:textFill>
              </w:rPr>
              <w:t>（1）液体泄</w:t>
            </w:r>
            <w:r>
              <w:rPr>
                <w:rFonts w:hint="eastAsia" w:ascii="Times New Roman" w:hAnsi="Times New Roman" w:eastAsia="宋体" w:cs="Times New Roman"/>
                <w:bCs/>
                <w:color w:val="000000" w:themeColor="text1"/>
                <w:spacing w:val="0"/>
                <w:sz w:val="24"/>
                <w:lang w:val="en-US" w:eastAsia="zh-CN"/>
                <w14:textFill>
                  <w14:solidFill>
                    <w14:schemeClr w14:val="tx1"/>
                  </w14:solidFill>
                </w14:textFill>
              </w:rPr>
              <w:t>漏</w:t>
            </w:r>
            <w:r>
              <w:rPr>
                <w:rFonts w:hint="eastAsia" w:ascii="Times New Roman" w:hAnsi="Times New Roman" w:eastAsia="宋体" w:cs="Times New Roman"/>
                <w:bCs/>
                <w:color w:val="000000" w:themeColor="text1"/>
                <w:spacing w:val="0"/>
                <w:sz w:val="24"/>
                <w:lang w:eastAsia="zh-CN"/>
                <w14:textFill>
                  <w14:solidFill>
                    <w14:schemeClr w14:val="tx1"/>
                  </w14:solidFill>
                </w14:textFill>
              </w:rPr>
              <w:t>事故风险影响分析</w:t>
            </w:r>
          </w:p>
          <w:p w14:paraId="022C6ECA">
            <w:pPr>
              <w:adjustRightInd w:val="0"/>
              <w:snapToGrid w:val="0"/>
              <w:spacing w:line="360" w:lineRule="auto"/>
              <w:ind w:firstLine="480" w:firstLineChars="200"/>
              <w:rPr>
                <w:rFonts w:hint="eastAsia" w:ascii="Times New Roman" w:hAnsi="Times New Roman" w:eastAsia="宋体" w:cs="Times New Roman"/>
                <w:bCs/>
                <w:color w:val="000000" w:themeColor="text1"/>
                <w:spacing w:val="0"/>
                <w:sz w:val="24"/>
                <w:lang w:eastAsia="zh-CN"/>
                <w14:textFill>
                  <w14:solidFill>
                    <w14:schemeClr w14:val="tx1"/>
                  </w14:solidFill>
                </w14:textFill>
              </w:rPr>
            </w:pPr>
            <w:r>
              <w:rPr>
                <w:rFonts w:hint="eastAsia" w:ascii="Times New Roman" w:hAnsi="Times New Roman" w:eastAsia="宋体" w:cs="Times New Roman"/>
                <w:bCs/>
                <w:color w:val="000000" w:themeColor="text1"/>
                <w:spacing w:val="0"/>
                <w:sz w:val="24"/>
                <w:lang w:eastAsia="zh-CN"/>
                <w14:textFill>
                  <w14:solidFill>
                    <w14:schemeClr w14:val="tx1"/>
                  </w14:solidFill>
                </w14:textFill>
              </w:rPr>
              <w:t>厂区</w:t>
            </w:r>
            <w:r>
              <w:rPr>
                <w:rFonts w:hint="eastAsia" w:ascii="Times New Roman" w:hAnsi="Times New Roman" w:eastAsia="宋体" w:cs="Times New Roman"/>
                <w:bCs/>
                <w:color w:val="000000" w:themeColor="text1"/>
                <w:spacing w:val="0"/>
                <w:sz w:val="24"/>
                <w:lang w:val="en-US" w:eastAsia="zh-CN"/>
                <w14:textFill>
                  <w14:solidFill>
                    <w14:schemeClr w14:val="tx1"/>
                  </w14:solidFill>
                </w14:textFill>
              </w:rPr>
              <w:t>实验试剂</w:t>
            </w:r>
            <w:r>
              <w:rPr>
                <w:rFonts w:hint="eastAsia" w:ascii="Times New Roman" w:hAnsi="Times New Roman" w:eastAsia="宋体" w:cs="Times New Roman"/>
                <w:bCs/>
                <w:color w:val="000000" w:themeColor="text1"/>
                <w:spacing w:val="0"/>
                <w:sz w:val="24"/>
                <w:lang w:eastAsia="zh-CN"/>
                <w14:textFill>
                  <w14:solidFill>
                    <w14:schemeClr w14:val="tx1"/>
                  </w14:solidFill>
                </w14:textFill>
              </w:rPr>
              <w:t>在储存过程中，由于</w:t>
            </w:r>
            <w:r>
              <w:rPr>
                <w:rFonts w:hint="eastAsia" w:ascii="Times New Roman" w:hAnsi="Times New Roman" w:eastAsia="宋体" w:cs="Times New Roman"/>
                <w:bCs/>
                <w:color w:val="000000" w:themeColor="text1"/>
                <w:spacing w:val="0"/>
                <w:sz w:val="24"/>
                <w:lang w:val="en-US" w:eastAsia="zh-CN"/>
                <w14:textFill>
                  <w14:solidFill>
                    <w14:schemeClr w14:val="tx1"/>
                  </w14:solidFill>
                </w14:textFill>
              </w:rPr>
              <w:t>人为原因导致试剂瓶破碎，</w:t>
            </w:r>
            <w:r>
              <w:rPr>
                <w:rFonts w:hint="eastAsia" w:ascii="Times New Roman" w:hAnsi="Times New Roman" w:eastAsia="宋体" w:cs="Times New Roman"/>
                <w:bCs/>
                <w:color w:val="000000" w:themeColor="text1"/>
                <w:spacing w:val="0"/>
                <w:sz w:val="24"/>
                <w:lang w:eastAsia="zh-CN"/>
                <w14:textFill>
                  <w14:solidFill>
                    <w14:schemeClr w14:val="tx1"/>
                  </w14:solidFill>
                </w14:textFill>
              </w:rPr>
              <w:t>可能导致物料泄漏，应进行防渗、防泄漏措施，避免因泄</w:t>
            </w:r>
            <w:r>
              <w:rPr>
                <w:rFonts w:hint="eastAsia" w:ascii="Times New Roman" w:hAnsi="Times New Roman" w:eastAsia="宋体" w:cs="Times New Roman"/>
                <w:bCs/>
                <w:color w:val="000000" w:themeColor="text1"/>
                <w:spacing w:val="0"/>
                <w:sz w:val="24"/>
                <w:lang w:val="en-US" w:eastAsia="zh-CN"/>
                <w14:textFill>
                  <w14:solidFill>
                    <w14:schemeClr w14:val="tx1"/>
                  </w14:solidFill>
                </w14:textFill>
              </w:rPr>
              <w:t>漏</w:t>
            </w:r>
            <w:r>
              <w:rPr>
                <w:rFonts w:hint="eastAsia" w:ascii="Times New Roman" w:hAnsi="Times New Roman" w:eastAsia="宋体" w:cs="Times New Roman"/>
                <w:bCs/>
                <w:color w:val="000000" w:themeColor="text1"/>
                <w:spacing w:val="0"/>
                <w:sz w:val="24"/>
                <w:lang w:eastAsia="zh-CN"/>
                <w14:textFill>
                  <w14:solidFill>
                    <w14:schemeClr w14:val="tx1"/>
                  </w14:solidFill>
                </w14:textFill>
              </w:rPr>
              <w:t>导致水污染和土壤污染。</w:t>
            </w:r>
          </w:p>
          <w:p w14:paraId="3E8029FF">
            <w:pPr>
              <w:adjustRightInd w:val="0"/>
              <w:snapToGrid w:val="0"/>
              <w:spacing w:line="360" w:lineRule="auto"/>
              <w:ind w:firstLine="480" w:firstLineChars="200"/>
              <w:rPr>
                <w:rFonts w:hint="default" w:ascii="Times New Roman" w:hAnsi="Times New Roman" w:eastAsia="宋体" w:cs="Times New Roman"/>
                <w:bCs/>
                <w:color w:val="000000" w:themeColor="text1"/>
                <w:spacing w:val="0"/>
                <w:sz w:val="24"/>
                <w:lang w:val="en-US" w:eastAsia="zh-CN"/>
                <w14:textFill>
                  <w14:solidFill>
                    <w14:schemeClr w14:val="tx1"/>
                  </w14:solidFill>
                </w14:textFill>
              </w:rPr>
            </w:pPr>
            <w:r>
              <w:rPr>
                <w:rFonts w:hint="eastAsia" w:ascii="Times New Roman" w:hAnsi="Times New Roman" w:eastAsia="宋体" w:cs="Times New Roman"/>
                <w:bCs/>
                <w:color w:val="000000" w:themeColor="text1"/>
                <w:spacing w:val="0"/>
                <w:sz w:val="24"/>
                <w:lang w:val="en-US" w:eastAsia="zh-CN"/>
                <w14:textFill>
                  <w14:solidFill>
                    <w14:schemeClr w14:val="tx1"/>
                  </w14:solidFill>
                </w14:textFill>
              </w:rPr>
              <w:t>3、</w:t>
            </w:r>
            <w:r>
              <w:rPr>
                <w:rFonts w:hint="default" w:ascii="Times New Roman" w:hAnsi="Times New Roman" w:eastAsia="宋体" w:cs="Times New Roman"/>
                <w:bCs/>
                <w:color w:val="000000" w:themeColor="text1"/>
                <w:spacing w:val="0"/>
                <w:sz w:val="24"/>
                <w:lang w:val="en-US" w:eastAsia="zh-CN"/>
                <w14:textFill>
                  <w14:solidFill>
                    <w14:schemeClr w14:val="tx1"/>
                  </w14:solidFill>
                </w14:textFill>
              </w:rPr>
              <w:t>风险防范措施</w:t>
            </w:r>
          </w:p>
          <w:p w14:paraId="6CDBCC80">
            <w:pPr>
              <w:adjustRightInd w:val="0"/>
              <w:snapToGrid w:val="0"/>
              <w:spacing w:line="360" w:lineRule="auto"/>
              <w:ind w:firstLine="480" w:firstLineChars="200"/>
              <w:rPr>
                <w:rFonts w:hint="eastAsia" w:ascii="Times New Roman" w:hAnsi="Times New Roman" w:eastAsia="宋体" w:cs="Times New Roman"/>
                <w:bCs/>
                <w:color w:val="000000" w:themeColor="text1"/>
                <w:spacing w:val="0"/>
                <w:sz w:val="24"/>
                <w:lang w:val="en-US" w:eastAsia="zh-CN"/>
                <w14:textFill>
                  <w14:solidFill>
                    <w14:schemeClr w14:val="tx1"/>
                  </w14:solidFill>
                </w14:textFill>
              </w:rPr>
            </w:pPr>
            <w:r>
              <w:rPr>
                <w:rFonts w:hint="eastAsia" w:ascii="Times New Roman" w:hAnsi="Times New Roman" w:eastAsia="宋体" w:cs="Times New Roman"/>
                <w:bCs/>
                <w:color w:val="000000" w:themeColor="text1"/>
                <w:spacing w:val="0"/>
                <w:sz w:val="24"/>
                <w:lang w:val="en-US" w:eastAsia="zh-CN"/>
                <w14:textFill>
                  <w14:solidFill>
                    <w14:schemeClr w14:val="tx1"/>
                  </w14:solidFill>
                </w14:textFill>
              </w:rPr>
              <w:t>（1）储存过程风险防范措施</w:t>
            </w:r>
          </w:p>
          <w:p w14:paraId="0B8ACE1B">
            <w:pPr>
              <w:adjustRightInd w:val="0"/>
              <w:snapToGrid w:val="0"/>
              <w:spacing w:line="360" w:lineRule="auto"/>
              <w:ind w:firstLine="480" w:firstLineChars="200"/>
              <w:rPr>
                <w:rFonts w:hint="eastAsia" w:ascii="Times New Roman" w:hAnsi="Times New Roman" w:eastAsia="宋体" w:cs="Times New Roman"/>
                <w:bCs/>
                <w:color w:val="000000" w:themeColor="text1"/>
                <w:spacing w:val="0"/>
                <w:sz w:val="24"/>
                <w:lang w:val="en-US" w:eastAsia="zh-CN"/>
                <w14:textFill>
                  <w14:solidFill>
                    <w14:schemeClr w14:val="tx1"/>
                  </w14:solidFill>
                </w14:textFill>
              </w:rPr>
            </w:pPr>
            <w:r>
              <w:rPr>
                <w:rFonts w:hint="eastAsia" w:ascii="Times New Roman" w:hAnsi="Times New Roman" w:eastAsia="宋体" w:cs="Times New Roman"/>
                <w:bCs/>
                <w:color w:val="000000" w:themeColor="text1"/>
                <w:spacing w:val="0"/>
                <w:sz w:val="24"/>
                <w:lang w:val="en-US" w:eastAsia="zh-CN"/>
                <w14:textFill>
                  <w14:solidFill>
                    <w14:schemeClr w14:val="tx1"/>
                  </w14:solidFill>
                </w14:textFill>
              </w:rPr>
              <w:t>①化学试剂瓶暂存在</w:t>
            </w:r>
            <w:r>
              <w:rPr>
                <w:rFonts w:hint="eastAsia" w:cs="Times New Roman"/>
                <w:bCs/>
                <w:color w:val="000000" w:themeColor="text1"/>
                <w:spacing w:val="0"/>
                <w:sz w:val="24"/>
                <w:lang w:val="en-US" w:eastAsia="zh-CN"/>
                <w14:textFill>
                  <w14:solidFill>
                    <w14:schemeClr w14:val="tx1"/>
                  </w14:solidFill>
                </w14:textFill>
              </w:rPr>
              <w:t>实验室</w:t>
            </w:r>
            <w:r>
              <w:rPr>
                <w:rFonts w:hint="eastAsia" w:ascii="Times New Roman" w:hAnsi="Times New Roman" w:eastAsia="宋体" w:cs="Times New Roman"/>
                <w:bCs/>
                <w:color w:val="000000" w:themeColor="text1"/>
                <w:spacing w:val="0"/>
                <w:sz w:val="24"/>
                <w:lang w:val="en-US" w:eastAsia="zh-CN"/>
                <w14:textFill>
                  <w14:solidFill>
                    <w14:schemeClr w14:val="tx1"/>
                  </w14:solidFill>
                </w14:textFill>
              </w:rPr>
              <w:t>内，</w:t>
            </w:r>
            <w:r>
              <w:rPr>
                <w:rFonts w:hint="eastAsia" w:cs="Times New Roman"/>
                <w:bCs/>
                <w:color w:val="000000" w:themeColor="text1"/>
                <w:spacing w:val="0"/>
                <w:sz w:val="24"/>
                <w:lang w:val="en-US" w:eastAsia="zh-CN"/>
                <w14:textFill>
                  <w14:solidFill>
                    <w14:schemeClr w14:val="tx1"/>
                  </w14:solidFill>
                </w14:textFill>
              </w:rPr>
              <w:t>实验室</w:t>
            </w:r>
            <w:r>
              <w:rPr>
                <w:rFonts w:hint="eastAsia" w:ascii="Times New Roman" w:hAnsi="Times New Roman" w:eastAsia="宋体" w:cs="Times New Roman"/>
                <w:bCs/>
                <w:color w:val="000000" w:themeColor="text1"/>
                <w:spacing w:val="0"/>
                <w:sz w:val="24"/>
                <w:lang w:val="en-US" w:eastAsia="zh-CN"/>
                <w14:textFill>
                  <w14:solidFill>
                    <w14:schemeClr w14:val="tx1"/>
                  </w14:solidFill>
                </w14:textFill>
              </w:rPr>
              <w:t>地面设置防渗、防泄漏措施。</w:t>
            </w:r>
          </w:p>
          <w:p w14:paraId="320AD899">
            <w:pPr>
              <w:adjustRightInd w:val="0"/>
              <w:snapToGrid w:val="0"/>
              <w:spacing w:line="360" w:lineRule="auto"/>
              <w:ind w:firstLine="480" w:firstLineChars="200"/>
              <w:rPr>
                <w:rFonts w:hint="eastAsia" w:ascii="Times New Roman" w:hAnsi="Times New Roman" w:eastAsia="宋体" w:cs="Times New Roman"/>
                <w:bCs/>
                <w:color w:val="000000" w:themeColor="text1"/>
                <w:spacing w:val="0"/>
                <w:sz w:val="24"/>
                <w:lang w:val="en-US" w:eastAsia="zh-CN"/>
                <w14:textFill>
                  <w14:solidFill>
                    <w14:schemeClr w14:val="tx1"/>
                  </w14:solidFill>
                </w14:textFill>
              </w:rPr>
            </w:pPr>
            <w:r>
              <w:rPr>
                <w:rFonts w:hint="eastAsia" w:ascii="Times New Roman" w:hAnsi="Times New Roman" w:eastAsia="宋体" w:cs="Times New Roman"/>
                <w:bCs/>
                <w:color w:val="000000" w:themeColor="text1"/>
                <w:spacing w:val="0"/>
                <w:sz w:val="24"/>
                <w:lang w:val="en-US" w:eastAsia="zh-CN"/>
                <w14:textFill>
                  <w14:solidFill>
                    <w14:schemeClr w14:val="tx1"/>
                  </w14:solidFill>
                </w14:textFill>
              </w:rPr>
              <w:t>②定期对存储场所的用电设备、通风设备、防火器具进行检查，发现问题及时处理。</w:t>
            </w:r>
          </w:p>
          <w:p w14:paraId="125774E8">
            <w:pPr>
              <w:adjustRightInd w:val="0"/>
              <w:snapToGrid w:val="0"/>
              <w:spacing w:line="360" w:lineRule="auto"/>
              <w:ind w:firstLine="480" w:firstLineChars="200"/>
              <w:rPr>
                <w:rFonts w:hint="eastAsia" w:ascii="Times New Roman" w:hAnsi="Times New Roman" w:eastAsia="宋体" w:cs="Times New Roman"/>
                <w:bCs/>
                <w:color w:val="000000" w:themeColor="text1"/>
                <w:spacing w:val="0"/>
                <w:sz w:val="24"/>
                <w:lang w:val="en-US" w:eastAsia="zh-CN"/>
                <w14:textFill>
                  <w14:solidFill>
                    <w14:schemeClr w14:val="tx1"/>
                  </w14:solidFill>
                </w14:textFill>
              </w:rPr>
            </w:pPr>
            <w:r>
              <w:rPr>
                <w:rFonts w:hint="eastAsia" w:ascii="Times New Roman" w:hAnsi="Times New Roman" w:eastAsia="宋体" w:cs="Times New Roman"/>
                <w:bCs/>
                <w:color w:val="000000" w:themeColor="text1"/>
                <w:spacing w:val="0"/>
                <w:sz w:val="24"/>
                <w:lang w:val="en-US" w:eastAsia="zh-CN"/>
                <w14:textFill>
                  <w14:solidFill>
                    <w14:schemeClr w14:val="tx1"/>
                  </w14:solidFill>
                </w14:textFill>
              </w:rPr>
              <w:t>③各危险化学品按相关要求贮存，明确贮存注意事项。专人负责看管。</w:t>
            </w:r>
          </w:p>
          <w:p w14:paraId="48A2D0B1">
            <w:pPr>
              <w:adjustRightInd w:val="0"/>
              <w:snapToGrid w:val="0"/>
              <w:spacing w:line="360" w:lineRule="auto"/>
              <w:ind w:firstLine="480" w:firstLineChars="200"/>
              <w:rPr>
                <w:rFonts w:hint="eastAsia" w:ascii="Times New Roman" w:hAnsi="Times New Roman" w:eastAsia="宋体" w:cs="Times New Roman"/>
                <w:bCs/>
                <w:color w:val="000000" w:themeColor="text1"/>
                <w:spacing w:val="0"/>
                <w:sz w:val="24"/>
                <w:lang w:val="en-US" w:eastAsia="zh-CN"/>
                <w14:textFill>
                  <w14:solidFill>
                    <w14:schemeClr w14:val="tx1"/>
                  </w14:solidFill>
                </w14:textFill>
              </w:rPr>
            </w:pPr>
            <w:r>
              <w:rPr>
                <w:rFonts w:hint="eastAsia" w:ascii="Times New Roman" w:hAnsi="Times New Roman" w:eastAsia="宋体" w:cs="Times New Roman"/>
                <w:bCs/>
                <w:color w:val="000000" w:themeColor="text1"/>
                <w:spacing w:val="0"/>
                <w:sz w:val="24"/>
                <w:lang w:val="en-US" w:eastAsia="zh-CN"/>
                <w14:textFill>
                  <w14:solidFill>
                    <w14:schemeClr w14:val="tx1"/>
                  </w14:solidFill>
                </w14:textFill>
              </w:rPr>
              <w:t>④储存场所应配备足够的消防器材，并应装设消防通讯和报警设备。</w:t>
            </w:r>
          </w:p>
          <w:p w14:paraId="6589B2B8">
            <w:pPr>
              <w:adjustRightInd w:val="0"/>
              <w:snapToGrid w:val="0"/>
              <w:spacing w:line="360" w:lineRule="auto"/>
              <w:ind w:firstLine="480" w:firstLineChars="200"/>
              <w:rPr>
                <w:rFonts w:hint="eastAsia" w:ascii="Times New Roman" w:hAnsi="Times New Roman" w:eastAsia="宋体" w:cs="Times New Roman"/>
                <w:bCs/>
                <w:color w:val="000000" w:themeColor="text1"/>
                <w:spacing w:val="0"/>
                <w:sz w:val="24"/>
                <w:lang w:val="en-US" w:eastAsia="zh-CN"/>
                <w14:textFill>
                  <w14:solidFill>
                    <w14:schemeClr w14:val="tx1"/>
                  </w14:solidFill>
                </w14:textFill>
              </w:rPr>
            </w:pPr>
            <w:r>
              <w:rPr>
                <w:rFonts w:hint="eastAsia" w:ascii="Times New Roman" w:hAnsi="Times New Roman" w:eastAsia="宋体" w:cs="Times New Roman"/>
                <w:bCs/>
                <w:color w:val="000000" w:themeColor="text1"/>
                <w:spacing w:val="0"/>
                <w:sz w:val="24"/>
                <w:lang w:val="en-US" w:eastAsia="zh-CN"/>
                <w14:textFill>
                  <w14:solidFill>
                    <w14:schemeClr w14:val="tx1"/>
                  </w14:solidFill>
                </w14:textFill>
              </w:rPr>
              <w:t>⑤必须加强管理，建立健全岗位防火责任制度，火源电源管理制度、门卫制度、值班巡回制度和各项操作制度，做好防火，防窃等工作。</w:t>
            </w:r>
          </w:p>
          <w:p w14:paraId="1CCBAF3F">
            <w:pPr>
              <w:adjustRightInd w:val="0"/>
              <w:snapToGrid w:val="0"/>
              <w:spacing w:line="360" w:lineRule="auto"/>
              <w:ind w:firstLine="480" w:firstLineChars="200"/>
              <w:rPr>
                <w:rFonts w:hint="default" w:ascii="Times New Roman" w:hAnsi="Times New Roman" w:eastAsia="宋体" w:cs="Times New Roman"/>
                <w:bCs/>
                <w:color w:val="000000" w:themeColor="text1"/>
                <w:spacing w:val="0"/>
                <w:sz w:val="24"/>
                <w:lang w:val="en-US" w:eastAsia="zh-CN"/>
                <w14:textFill>
                  <w14:solidFill>
                    <w14:schemeClr w14:val="tx1"/>
                  </w14:solidFill>
                </w14:textFill>
              </w:rPr>
            </w:pPr>
            <w:r>
              <w:rPr>
                <w:rFonts w:hint="eastAsia" w:ascii="Times New Roman" w:hAnsi="Times New Roman" w:eastAsia="宋体" w:cs="Times New Roman"/>
                <w:bCs/>
                <w:color w:val="000000" w:themeColor="text1"/>
                <w:spacing w:val="0"/>
                <w:sz w:val="24"/>
                <w:lang w:val="en-US" w:eastAsia="zh-CN"/>
                <w14:textFill>
                  <w14:solidFill>
                    <w14:schemeClr w14:val="tx1"/>
                  </w14:solidFill>
                </w14:textFill>
              </w:rPr>
              <w:t>（</w:t>
            </w:r>
            <w:r>
              <w:rPr>
                <w:rFonts w:hint="eastAsia" w:cs="Times New Roman"/>
                <w:bCs/>
                <w:color w:val="000000" w:themeColor="text1"/>
                <w:spacing w:val="0"/>
                <w:sz w:val="24"/>
                <w:lang w:val="en-US" w:eastAsia="zh-CN"/>
                <w14:textFill>
                  <w14:solidFill>
                    <w14:schemeClr w14:val="tx1"/>
                  </w14:solidFill>
                </w14:textFill>
              </w:rPr>
              <w:t>2</w:t>
            </w:r>
            <w:r>
              <w:rPr>
                <w:rFonts w:hint="eastAsia" w:ascii="Times New Roman" w:hAnsi="Times New Roman" w:eastAsia="宋体" w:cs="Times New Roman"/>
                <w:bCs/>
                <w:color w:val="000000" w:themeColor="text1"/>
                <w:spacing w:val="0"/>
                <w:sz w:val="24"/>
                <w:lang w:val="en-US" w:eastAsia="zh-CN"/>
                <w14:textFill>
                  <w14:solidFill>
                    <w14:schemeClr w14:val="tx1"/>
                  </w14:solidFill>
                </w14:textFill>
              </w:rPr>
              <w:t>）</w:t>
            </w:r>
            <w:r>
              <w:rPr>
                <w:rFonts w:hint="default" w:ascii="Times New Roman" w:hAnsi="Times New Roman" w:eastAsia="宋体" w:cs="Times New Roman"/>
                <w:bCs/>
                <w:color w:val="000000" w:themeColor="text1"/>
                <w:spacing w:val="0"/>
                <w:sz w:val="24"/>
                <w:lang w:val="en-US" w:eastAsia="zh-CN"/>
                <w14:textFill>
                  <w14:solidFill>
                    <w14:schemeClr w14:val="tx1"/>
                  </w14:solidFill>
                </w14:textFill>
              </w:rPr>
              <w:t>运输漏事故防范措施</w:t>
            </w:r>
          </w:p>
          <w:p w14:paraId="46E6C9E7">
            <w:pPr>
              <w:adjustRightInd w:val="0"/>
              <w:snapToGrid w:val="0"/>
              <w:spacing w:line="360" w:lineRule="auto"/>
              <w:ind w:firstLine="480" w:firstLineChars="200"/>
              <w:rPr>
                <w:rFonts w:hint="default" w:ascii="Times New Roman" w:hAnsi="Times New Roman" w:eastAsia="宋体" w:cs="Times New Roman"/>
                <w:bCs/>
                <w:color w:val="000000" w:themeColor="text1"/>
                <w:spacing w:val="0"/>
                <w:sz w:val="24"/>
                <w:lang w:val="en-US" w:eastAsia="zh-CN"/>
                <w14:textFill>
                  <w14:solidFill>
                    <w14:schemeClr w14:val="tx1"/>
                  </w14:solidFill>
                </w14:textFill>
              </w:rPr>
            </w:pPr>
            <w:r>
              <w:rPr>
                <w:rFonts w:hint="default" w:ascii="Times New Roman" w:hAnsi="Times New Roman" w:eastAsia="宋体" w:cs="Times New Roman"/>
                <w:bCs/>
                <w:color w:val="000000" w:themeColor="text1"/>
                <w:spacing w:val="0"/>
                <w:sz w:val="24"/>
                <w:lang w:val="en-US" w:eastAsia="zh-CN"/>
                <w14:textFill>
                  <w14:solidFill>
                    <w14:schemeClr w14:val="tx1"/>
                  </w14:solidFill>
                </w14:textFill>
              </w:rPr>
              <w:t>在运载前，应对司乘人员进行安全操作指导，对运输车辆、罐车车箱、阀门等均要作运行前安全检查，车辆还要定期送厂检测。</w:t>
            </w:r>
          </w:p>
          <w:p w14:paraId="556B9293">
            <w:pPr>
              <w:adjustRightInd w:val="0"/>
              <w:snapToGrid w:val="0"/>
              <w:spacing w:line="360" w:lineRule="auto"/>
              <w:ind w:firstLine="480" w:firstLineChars="200"/>
              <w:rPr>
                <w:rFonts w:hint="default" w:ascii="Times New Roman" w:hAnsi="Times New Roman" w:eastAsia="宋体" w:cs="Times New Roman"/>
                <w:bCs/>
                <w:color w:val="000000" w:themeColor="text1"/>
                <w:spacing w:val="0"/>
                <w:sz w:val="24"/>
                <w:lang w:val="en-US" w:eastAsia="zh-CN"/>
                <w14:textFill>
                  <w14:solidFill>
                    <w14:schemeClr w14:val="tx1"/>
                  </w14:solidFill>
                </w14:textFill>
              </w:rPr>
            </w:pPr>
            <w:r>
              <w:rPr>
                <w:rFonts w:hint="default" w:ascii="Times New Roman" w:hAnsi="Times New Roman" w:eastAsia="宋体" w:cs="Times New Roman"/>
                <w:bCs/>
                <w:color w:val="000000" w:themeColor="text1"/>
                <w:spacing w:val="0"/>
                <w:sz w:val="24"/>
                <w:lang w:val="en-US" w:eastAsia="zh-CN"/>
                <w14:textFill>
                  <w14:solidFill>
                    <w14:schemeClr w14:val="tx1"/>
                  </w14:solidFill>
                </w14:textFill>
              </w:rPr>
              <w:t>运输过程应采用专用合格车辆进行运输，运输人员需持证上岗，车辆不得超装、超载，严守交通规则和运输安全，车辆的明显位置上要悬挂的警示标记，尽可能地选择远离居民集中区的运输路线。不得进入运输车辆禁止通行的区域，确需进入禁止通行区域的，应当事先向当地公安部门报告，并按公安部门指定的行车时间和路线进行运输，并做到文明行车。不断加强对运输人员的技能培训。</w:t>
            </w:r>
          </w:p>
          <w:p w14:paraId="06B9471F">
            <w:pPr>
              <w:adjustRightInd w:val="0"/>
              <w:snapToGrid w:val="0"/>
              <w:spacing w:line="360" w:lineRule="auto"/>
              <w:ind w:firstLine="480" w:firstLineChars="200"/>
              <w:rPr>
                <w:rFonts w:hint="default" w:ascii="Times New Roman" w:hAnsi="Times New Roman" w:eastAsia="宋体" w:cs="Times New Roman"/>
                <w:bCs/>
                <w:color w:val="000000" w:themeColor="text1"/>
                <w:spacing w:val="0"/>
                <w:sz w:val="24"/>
                <w:lang w:val="en-US" w:eastAsia="zh-CN"/>
                <w14:textFill>
                  <w14:solidFill>
                    <w14:schemeClr w14:val="tx1"/>
                  </w14:solidFill>
                </w14:textFill>
              </w:rPr>
            </w:pPr>
            <w:r>
              <w:rPr>
                <w:rFonts w:hint="default" w:ascii="Times New Roman" w:hAnsi="Times New Roman" w:eastAsia="宋体" w:cs="Times New Roman"/>
                <w:bCs/>
                <w:color w:val="000000" w:themeColor="text1"/>
                <w:spacing w:val="0"/>
                <w:sz w:val="24"/>
                <w:lang w:val="en-US" w:eastAsia="zh-CN"/>
                <w14:textFill>
                  <w14:solidFill>
                    <w14:schemeClr w14:val="tx1"/>
                  </w14:solidFill>
                </w14:textFill>
              </w:rPr>
              <w:t>加强装卸作业管理，装卸作业人员必须具备合格的专业技能，装卸作业机械设备的性能必须符合要求，不得野蛮装卸作业。</w:t>
            </w:r>
          </w:p>
          <w:p w14:paraId="1D437706">
            <w:pPr>
              <w:spacing w:line="360" w:lineRule="auto"/>
              <w:ind w:firstLine="480"/>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、结论分析</w:t>
            </w:r>
          </w:p>
          <w:p w14:paraId="1BD4E1D3">
            <w:pPr>
              <w:spacing w:line="360" w:lineRule="auto"/>
              <w:ind w:firstLine="480"/>
              <w:rPr>
                <w:b/>
                <w:bCs/>
                <w:color w:val="000000" w:themeColor="text1"/>
                <w:sz w:val="24"/>
                <w14:textFill>
                  <w14:solidFill>
                    <w14:schemeClr w14:val="tx1"/>
                  </w14:solidFill>
                </w14:textFill>
              </w:rPr>
            </w:pPr>
            <w:r>
              <w:rPr>
                <w:color w:val="000000" w:themeColor="text1"/>
                <w:sz w:val="24"/>
                <w14:textFill>
                  <w14:solidFill>
                    <w14:schemeClr w14:val="tx1"/>
                  </w14:solidFill>
                </w14:textFill>
              </w:rPr>
              <w:t>综上所述，本项目运营期存在一定潜在事故风险，要加强风险管理，在项目建设过程中认真落实各种风险防范措施，通过相应的技术手段降低风险发生概率，并在风险事故发生后，及时采取风险防范措施及应急预案，可以使风险事故对环境的危害得到有效控制，将事故风险控制在可以接受的范围内，故该项目事故风险水平是可以接受的。</w:t>
            </w:r>
          </w:p>
          <w:p w14:paraId="1DC8DF3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14:textFill>
                  <w14:solidFill>
                    <w14:schemeClr w14:val="tx1"/>
                  </w14:solidFill>
                </w14:textFill>
              </w:rPr>
              <w:t>表4</w:t>
            </w:r>
            <w:r>
              <w:rPr>
                <w:rFonts w:hint="default" w:ascii="Times New Roman" w:hAnsi="Times New Roman" w:eastAsia="宋体" w:cs="Times New Roman"/>
                <w:b/>
                <w:bCs/>
                <w:color w:val="000000" w:themeColor="text1"/>
                <w:sz w:val="24"/>
                <w:lang w:val="en-US" w:eastAsia="zh-CN"/>
                <w14:textFill>
                  <w14:solidFill>
                    <w14:schemeClr w14:val="tx1"/>
                  </w14:solidFill>
                </w14:textFill>
              </w:rPr>
              <w:t>-</w:t>
            </w:r>
            <w:r>
              <w:rPr>
                <w:rFonts w:hint="eastAsia" w:cs="Times New Roman"/>
                <w:b/>
                <w:bCs/>
                <w:color w:val="000000" w:themeColor="text1"/>
                <w:sz w:val="24"/>
                <w:lang w:val="en-US" w:eastAsia="zh-CN"/>
                <w14:textFill>
                  <w14:solidFill>
                    <w14:schemeClr w14:val="tx1"/>
                  </w14:solidFill>
                </w14:textFill>
              </w:rPr>
              <w:t>24</w:t>
            </w:r>
            <w:r>
              <w:rPr>
                <w:rFonts w:hint="default" w:ascii="Times New Roman" w:hAnsi="Times New Roman" w:eastAsia="宋体" w:cs="Times New Roman"/>
                <w:b/>
                <w:bCs/>
                <w:color w:val="000000" w:themeColor="text1"/>
                <w:sz w:val="24"/>
                <w14:textFill>
                  <w14:solidFill>
                    <w14:schemeClr w14:val="tx1"/>
                  </w14:solidFill>
                </w14:textFill>
              </w:rPr>
              <w:t xml:space="preserve"> 建设项目环境风险简单分析内容表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1030"/>
              <w:gridCol w:w="1850"/>
              <w:gridCol w:w="1080"/>
              <w:gridCol w:w="2325"/>
            </w:tblGrid>
            <w:tr w14:paraId="4C06E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8" w:type="pct"/>
                  <w:noWrap w:val="0"/>
                  <w:vAlign w:val="center"/>
                </w:tcPr>
                <w:p w14:paraId="46F7D0EA">
                  <w:pPr>
                    <w:pStyle w:val="67"/>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sz w:val="21"/>
                      <w:szCs w:val="21"/>
                    </w:rPr>
                  </w:pPr>
                  <w:r>
                    <w:rPr>
                      <w:rFonts w:hint="default"/>
                      <w:sz w:val="21"/>
                      <w:szCs w:val="21"/>
                    </w:rPr>
                    <w:t>建设项目名称</w:t>
                  </w:r>
                </w:p>
              </w:tc>
              <w:tc>
                <w:tcPr>
                  <w:tcW w:w="3681" w:type="pct"/>
                  <w:gridSpan w:val="4"/>
                  <w:noWrap w:val="0"/>
                  <w:vAlign w:val="center"/>
                </w:tcPr>
                <w:p w14:paraId="541C77BF">
                  <w:pPr>
                    <w:pStyle w:val="67"/>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sz w:val="21"/>
                      <w:szCs w:val="21"/>
                      <w:lang w:eastAsia="zh-CN"/>
                    </w:rPr>
                  </w:pPr>
                  <w:r>
                    <w:rPr>
                      <w:rFonts w:hint="eastAsia"/>
                      <w:sz w:val="21"/>
                      <w:szCs w:val="21"/>
                      <w:lang w:eastAsia="zh-CN"/>
                    </w:rPr>
                    <w:t>蚯蚓生态循环产业示范园项目(二期)</w:t>
                  </w:r>
                </w:p>
              </w:tc>
            </w:tr>
            <w:tr w14:paraId="7EE4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8" w:type="pct"/>
                  <w:noWrap w:val="0"/>
                  <w:vAlign w:val="center"/>
                </w:tcPr>
                <w:p w14:paraId="32A93040">
                  <w:pPr>
                    <w:pStyle w:val="67"/>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sz w:val="21"/>
                      <w:szCs w:val="21"/>
                    </w:rPr>
                  </w:pPr>
                  <w:r>
                    <w:rPr>
                      <w:rFonts w:hint="default"/>
                      <w:sz w:val="21"/>
                      <w:szCs w:val="21"/>
                    </w:rPr>
                    <w:t>建设地点</w:t>
                  </w:r>
                </w:p>
              </w:tc>
              <w:tc>
                <w:tcPr>
                  <w:tcW w:w="3681" w:type="pct"/>
                  <w:gridSpan w:val="4"/>
                  <w:noWrap w:val="0"/>
                  <w:vAlign w:val="center"/>
                </w:tcPr>
                <w:p w14:paraId="5798CF8E">
                  <w:pPr>
                    <w:pStyle w:val="67"/>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sz w:val="21"/>
                      <w:szCs w:val="21"/>
                    </w:rPr>
                  </w:pPr>
                  <w:r>
                    <w:rPr>
                      <w:rFonts w:hint="eastAsia"/>
                      <w:sz w:val="21"/>
                      <w:szCs w:val="21"/>
                    </w:rPr>
                    <w:t>泗县虹城街道长三角绿色食品产业园</w:t>
                  </w:r>
                </w:p>
              </w:tc>
            </w:tr>
            <w:tr w14:paraId="30DE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8" w:type="pct"/>
                  <w:noWrap w:val="0"/>
                  <w:vAlign w:val="center"/>
                </w:tcPr>
                <w:p w14:paraId="3BF9C3F6">
                  <w:pPr>
                    <w:pStyle w:val="67"/>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sz w:val="21"/>
                      <w:szCs w:val="21"/>
                    </w:rPr>
                  </w:pPr>
                  <w:r>
                    <w:rPr>
                      <w:rFonts w:hint="default"/>
                      <w:sz w:val="21"/>
                      <w:szCs w:val="21"/>
                    </w:rPr>
                    <w:t>地理坐标</w:t>
                  </w:r>
                </w:p>
              </w:tc>
              <w:tc>
                <w:tcPr>
                  <w:tcW w:w="636" w:type="pct"/>
                  <w:noWrap w:val="0"/>
                  <w:vAlign w:val="center"/>
                </w:tcPr>
                <w:p w14:paraId="7E78E51F">
                  <w:pPr>
                    <w:pStyle w:val="67"/>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经度</w:t>
                  </w:r>
                </w:p>
              </w:tc>
              <w:tc>
                <w:tcPr>
                  <w:tcW w:w="980" w:type="pct"/>
                  <w:noWrap w:val="0"/>
                  <w:vAlign w:val="center"/>
                </w:tcPr>
                <w:p w14:paraId="08132B34">
                  <w:pPr>
                    <w:pStyle w:val="67"/>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117°50′43.301″</w:t>
                  </w:r>
                </w:p>
              </w:tc>
              <w:tc>
                <w:tcPr>
                  <w:tcW w:w="665" w:type="pct"/>
                  <w:noWrap w:val="0"/>
                  <w:vAlign w:val="center"/>
                </w:tcPr>
                <w:p w14:paraId="1DF19888">
                  <w:pPr>
                    <w:pStyle w:val="67"/>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纬度</w:t>
                  </w:r>
                </w:p>
              </w:tc>
              <w:tc>
                <w:tcPr>
                  <w:tcW w:w="1400" w:type="pct"/>
                  <w:noWrap w:val="0"/>
                  <w:vAlign w:val="center"/>
                </w:tcPr>
                <w:p w14:paraId="17AADBEE">
                  <w:pPr>
                    <w:pStyle w:val="67"/>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33°31′42.894″</w:t>
                  </w:r>
                </w:p>
              </w:tc>
            </w:tr>
            <w:tr w14:paraId="246E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8" w:type="pct"/>
                  <w:noWrap w:val="0"/>
                  <w:vAlign w:val="center"/>
                </w:tcPr>
                <w:p w14:paraId="1A3B4D38">
                  <w:pPr>
                    <w:pStyle w:val="67"/>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sz w:val="21"/>
                      <w:szCs w:val="21"/>
                    </w:rPr>
                  </w:pPr>
                  <w:r>
                    <w:rPr>
                      <w:rFonts w:hint="default"/>
                      <w:sz w:val="21"/>
                      <w:szCs w:val="21"/>
                    </w:rPr>
                    <w:t>主要危险物质及分布</w:t>
                  </w:r>
                </w:p>
              </w:tc>
              <w:tc>
                <w:tcPr>
                  <w:tcW w:w="3681" w:type="pct"/>
                  <w:gridSpan w:val="4"/>
                  <w:noWrap w:val="0"/>
                  <w:vAlign w:val="center"/>
                </w:tcPr>
                <w:p w14:paraId="791E0F08">
                  <w:pPr>
                    <w:pStyle w:val="67"/>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sz w:val="21"/>
                      <w:szCs w:val="21"/>
                      <w:lang w:val="en-US"/>
                    </w:rPr>
                  </w:pPr>
                  <w:r>
                    <w:rPr>
                      <w:rFonts w:hint="eastAsia"/>
                      <w:sz w:val="21"/>
                      <w:szCs w:val="21"/>
                      <w:lang w:val="en-US" w:eastAsia="zh-CN"/>
                    </w:rPr>
                    <w:t>浓硫酸等，位于实验室试剂柜</w:t>
                  </w:r>
                </w:p>
              </w:tc>
            </w:tr>
            <w:tr w14:paraId="30DA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8" w:type="pct"/>
                  <w:noWrap w:val="0"/>
                  <w:vAlign w:val="center"/>
                </w:tcPr>
                <w:p w14:paraId="73185896">
                  <w:pPr>
                    <w:pStyle w:val="67"/>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sz w:val="21"/>
                      <w:szCs w:val="21"/>
                    </w:rPr>
                  </w:pPr>
                  <w:r>
                    <w:rPr>
                      <w:rFonts w:hint="default"/>
                      <w:sz w:val="21"/>
                      <w:szCs w:val="21"/>
                    </w:rPr>
                    <w:t>环境影响途径及危害后果</w:t>
                  </w:r>
                </w:p>
              </w:tc>
              <w:tc>
                <w:tcPr>
                  <w:tcW w:w="3681" w:type="pct"/>
                  <w:gridSpan w:val="4"/>
                  <w:noWrap w:val="0"/>
                  <w:vAlign w:val="center"/>
                </w:tcPr>
                <w:p w14:paraId="7FC60A5A">
                  <w:pPr>
                    <w:pStyle w:val="67"/>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sz w:val="21"/>
                      <w:szCs w:val="21"/>
                    </w:rPr>
                  </w:pPr>
                  <w:r>
                    <w:rPr>
                      <w:rFonts w:hint="default"/>
                      <w:sz w:val="21"/>
                      <w:szCs w:val="21"/>
                    </w:rPr>
                    <w:t>①原料运输途中泄漏对陆生生态环境、水生生态环境和人体健康造成危害</w:t>
                  </w:r>
                </w:p>
              </w:tc>
            </w:tr>
            <w:tr w14:paraId="6891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8" w:type="pct"/>
                  <w:noWrap w:val="0"/>
                  <w:vAlign w:val="center"/>
                </w:tcPr>
                <w:p w14:paraId="34D62250">
                  <w:pPr>
                    <w:pStyle w:val="67"/>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sz w:val="21"/>
                      <w:szCs w:val="21"/>
                    </w:rPr>
                  </w:pPr>
                  <w:r>
                    <w:rPr>
                      <w:rFonts w:hint="default"/>
                      <w:sz w:val="21"/>
                      <w:szCs w:val="21"/>
                    </w:rPr>
                    <w:t>风险防范措施要求</w:t>
                  </w:r>
                </w:p>
              </w:tc>
              <w:tc>
                <w:tcPr>
                  <w:tcW w:w="3681" w:type="pct"/>
                  <w:gridSpan w:val="4"/>
                  <w:noWrap w:val="0"/>
                  <w:vAlign w:val="center"/>
                </w:tcPr>
                <w:p w14:paraId="5BFD948E">
                  <w:pPr>
                    <w:pStyle w:val="67"/>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sz w:val="21"/>
                      <w:szCs w:val="21"/>
                    </w:rPr>
                  </w:pPr>
                  <w:r>
                    <w:rPr>
                      <w:sz w:val="21"/>
                      <w:szCs w:val="21"/>
                    </w:rPr>
                    <w:t>①</w:t>
                  </w:r>
                  <w:r>
                    <w:rPr>
                      <w:rFonts w:hint="default"/>
                      <w:sz w:val="21"/>
                      <w:szCs w:val="21"/>
                    </w:rPr>
                    <w:t>运输过程应采用专用合格车辆进行运输，运输人员需持证上岗，车辆不得超装、超载，严守交通规则和运输安全，车辆的明显位置上要悬挂的警示标记，尽可能地选择远离居民集中区的运输路线。不得进入运输车辆禁止通行的区域，确需进入禁止通行区域的，应当事先向当地公安部门报告，并按公安部门指定的行车时间和路线进行运输，并做到文明行车</w:t>
                  </w:r>
                </w:p>
              </w:tc>
            </w:tr>
            <w:tr w14:paraId="7D95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8" w:type="pct"/>
                  <w:noWrap w:val="0"/>
                  <w:vAlign w:val="center"/>
                </w:tcPr>
                <w:p w14:paraId="10C2BDAB">
                  <w:pPr>
                    <w:pStyle w:val="67"/>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sz w:val="21"/>
                      <w:szCs w:val="21"/>
                    </w:rPr>
                  </w:pPr>
                  <w:r>
                    <w:rPr>
                      <w:rFonts w:hint="default"/>
                      <w:sz w:val="21"/>
                      <w:szCs w:val="21"/>
                    </w:rPr>
                    <w:t>填表说明（列出项目相关信息及评价说明）</w:t>
                  </w:r>
                </w:p>
              </w:tc>
              <w:tc>
                <w:tcPr>
                  <w:tcW w:w="3681" w:type="pct"/>
                  <w:gridSpan w:val="4"/>
                  <w:noWrap w:val="0"/>
                  <w:vAlign w:val="center"/>
                </w:tcPr>
                <w:p w14:paraId="64FE974F">
                  <w:pPr>
                    <w:pStyle w:val="67"/>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sz w:val="21"/>
                      <w:szCs w:val="21"/>
                    </w:rPr>
                  </w:pPr>
                  <w:r>
                    <w:rPr>
                      <w:rFonts w:hint="default"/>
                      <w:sz w:val="21"/>
                      <w:szCs w:val="21"/>
                    </w:rPr>
                    <w:t>本项目具有潜在的事故风险，在加强风险防范意识，采取严格的防范措施后，事故发生概率较小，对人群健康及周围环境风险危害在可控范围之内。</w:t>
                  </w:r>
                </w:p>
              </w:tc>
            </w:tr>
          </w:tbl>
          <w:p w14:paraId="3B277745">
            <w:pPr>
              <w:pStyle w:val="6"/>
              <w:spacing w:line="360" w:lineRule="auto"/>
              <w:ind w:firstLine="482"/>
              <w:rPr>
                <w:b/>
                <w:bCs/>
                <w:color w:val="000000" w:themeColor="text1"/>
                <w:sz w:val="24"/>
                <w14:textFill>
                  <w14:solidFill>
                    <w14:schemeClr w14:val="tx1"/>
                  </w14:solidFill>
                </w14:textFill>
              </w:rPr>
            </w:pPr>
            <w:r>
              <w:rPr>
                <w:rFonts w:hint="eastAsia"/>
                <w:b/>
                <w:bCs/>
                <w:color w:val="000000" w:themeColor="text1"/>
                <w:sz w:val="24"/>
                <w:lang w:val="en-US" w:eastAsia="zh-CN"/>
                <w14:textFill>
                  <w14:solidFill>
                    <w14:schemeClr w14:val="tx1"/>
                  </w14:solidFill>
                </w14:textFill>
              </w:rPr>
              <w:t>九</w:t>
            </w:r>
            <w:r>
              <w:rPr>
                <w:b/>
                <w:bCs/>
                <w:color w:val="000000" w:themeColor="text1"/>
                <w:sz w:val="24"/>
                <w14:textFill>
                  <w14:solidFill>
                    <w14:schemeClr w14:val="tx1"/>
                  </w14:solidFill>
                </w14:textFill>
              </w:rPr>
              <w:t>、相关环境管理要求</w:t>
            </w:r>
          </w:p>
          <w:p w14:paraId="3717709D">
            <w:pPr>
              <w:autoSpaceDE w:val="0"/>
              <w:autoSpaceDN w:val="0"/>
              <w:adjustRightInd w:val="0"/>
              <w:spacing w:line="360" w:lineRule="auto"/>
              <w:ind w:firstLine="482" w:firstLineChars="200"/>
              <w:rPr>
                <w:b/>
                <w:bCs w:val="0"/>
                <w:color w:val="000000" w:themeColor="text1"/>
                <w:kern w:val="0"/>
                <w:sz w:val="24"/>
                <w14:textFill>
                  <w14:solidFill>
                    <w14:schemeClr w14:val="tx1"/>
                  </w14:solidFill>
                </w14:textFill>
              </w:rPr>
            </w:pPr>
            <w:r>
              <w:rPr>
                <w:b/>
                <w:bCs w:val="0"/>
                <w:color w:val="000000" w:themeColor="text1"/>
                <w:kern w:val="0"/>
                <w:sz w:val="24"/>
                <w:lang w:bidi="ar"/>
                <w14:textFill>
                  <w14:solidFill>
                    <w14:schemeClr w14:val="tx1"/>
                  </w14:solidFill>
                </w14:textFill>
              </w:rPr>
              <w:t>1</w:t>
            </w:r>
            <w:r>
              <w:rPr>
                <w:rFonts w:hint="eastAsia"/>
                <w:b/>
                <w:bCs w:val="0"/>
                <w:color w:val="000000" w:themeColor="text1"/>
                <w:kern w:val="0"/>
                <w:sz w:val="24"/>
                <w:lang w:bidi="ar"/>
                <w14:textFill>
                  <w14:solidFill>
                    <w14:schemeClr w14:val="tx1"/>
                  </w14:solidFill>
                </w14:textFill>
              </w:rPr>
              <w:t>、</w:t>
            </w:r>
            <w:r>
              <w:rPr>
                <w:b/>
                <w:bCs w:val="0"/>
                <w:color w:val="000000" w:themeColor="text1"/>
                <w:kern w:val="0"/>
                <w:sz w:val="24"/>
                <w:lang w:bidi="ar"/>
                <w14:textFill>
                  <w14:solidFill>
                    <w14:schemeClr w14:val="tx1"/>
                  </w14:solidFill>
                </w14:textFill>
              </w:rPr>
              <w:t>环境管理</w:t>
            </w:r>
          </w:p>
          <w:p w14:paraId="5D32E796">
            <w:pPr>
              <w:spacing w:line="360" w:lineRule="auto"/>
              <w:ind w:firstLine="480" w:firstLineChars="200"/>
              <w:jc w:val="left"/>
              <w:rPr>
                <w:b/>
                <w:bCs/>
                <w:color w:val="000000" w:themeColor="text1"/>
                <w:sz w:val="24"/>
                <w14:textFill>
                  <w14:solidFill>
                    <w14:schemeClr w14:val="tx1"/>
                  </w14:solidFill>
                </w14:textFill>
              </w:rPr>
            </w:pPr>
            <w:r>
              <w:rPr>
                <w:color w:val="000000" w:themeColor="text1"/>
                <w:sz w:val="24"/>
                <w14:textFill>
                  <w14:solidFill>
                    <w14:schemeClr w14:val="tx1"/>
                  </w14:solidFill>
                </w14:textFill>
              </w:rPr>
              <w:t>企业工程投入运营后，应设置环境管理机构，为公司的生产管理和环境管理提供保证，确保建设项目经济、环境和社会效益协调发展；</w:t>
            </w:r>
            <w:r>
              <w:rPr>
                <w:color w:val="000000" w:themeColor="text1"/>
                <w:kern w:val="0"/>
                <w:sz w:val="24"/>
                <w14:textFill>
                  <w14:solidFill>
                    <w14:schemeClr w14:val="tx1"/>
                  </w14:solidFill>
                </w14:textFill>
              </w:rPr>
              <w:t>环境管理机构负责项目运行期的环境管理与环境监测工作，掌握公司各污染源治理措施工艺、设备、运行及维护等资料，检查公司各环保设备的运行情况，领导和组织公司内部的环境监测工作。制定应急防范措施，一旦发生非正常污染应及时组织做好污染监测工作，并分析原因总结经验教训，杜绝污染事故的再次发生；监督拟建工程环保设备的安装调试等工作，坚持</w:t>
            </w:r>
            <w:r>
              <w:rPr>
                <w:rFonts w:hint="eastAsia"/>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三同时</w:t>
            </w:r>
            <w:r>
              <w:rPr>
                <w:rFonts w:hint="eastAsia"/>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原则，保障环保设施的设计、施工、运行与主体工程同时进行。</w:t>
            </w:r>
            <w:r>
              <w:rPr>
                <w:color w:val="000000" w:themeColor="text1"/>
                <w:sz w:val="24"/>
                <w14:textFill>
                  <w14:solidFill>
                    <w14:schemeClr w14:val="tx1"/>
                  </w14:solidFill>
                </w14:textFill>
              </w:rPr>
              <w:t>编制主要生产设施和污染防治设施的环境管理台账等</w:t>
            </w:r>
            <w:r>
              <w:rPr>
                <w:color w:val="000000" w:themeColor="text1"/>
                <w:sz w:val="24"/>
                <w:lang w:bidi="ar"/>
                <w14:textFill>
                  <w14:solidFill>
                    <w14:schemeClr w14:val="tx1"/>
                  </w14:solidFill>
                </w14:textFill>
              </w:rPr>
              <w:t>。</w:t>
            </w:r>
          </w:p>
          <w:p w14:paraId="64B6B49D">
            <w:pPr>
              <w:pStyle w:val="6"/>
              <w:spacing w:line="360" w:lineRule="auto"/>
              <w:ind w:firstLine="48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2</w:t>
            </w:r>
            <w:r>
              <w:rPr>
                <w:b/>
                <w:bCs/>
                <w:color w:val="000000" w:themeColor="text1"/>
                <w:sz w:val="24"/>
                <w14:textFill>
                  <w14:solidFill>
                    <w14:schemeClr w14:val="tx1"/>
                  </w14:solidFill>
                </w14:textFill>
              </w:rPr>
              <w:t>、排污口规范化设置</w:t>
            </w:r>
          </w:p>
          <w:p w14:paraId="43C02367">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废气排放口</w:t>
            </w:r>
          </w:p>
          <w:p w14:paraId="3C1F6478">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建成后，在排气筒附近地面醒目处设置环保图形标志牌，标明排气筒高度﹑出口内径﹑排放污染物种类等。废气排放口必须符合规定的高度和按《污染源监测技术规范》便于采样﹑监测的要求，排气筒应设置永久采样孔，并安装采样监测平台，其采样口由授权的环境监察支队和环境监测中心站共同确认。</w:t>
            </w:r>
          </w:p>
          <w:p w14:paraId="41447F60">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固定噪声排放源</w:t>
            </w:r>
          </w:p>
          <w:p w14:paraId="5EFB02CA">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按规定对固定噪声进行治理，并在边界噪声敏感点且对外界影响最大处设置标志牌。</w:t>
            </w:r>
          </w:p>
          <w:p w14:paraId="5D0A58FB">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固</w:t>
            </w:r>
            <w:r>
              <w:rPr>
                <w:rFonts w:hint="eastAsia"/>
                <w:color w:val="000000" w:themeColor="text1"/>
                <w:sz w:val="24"/>
                <w:lang w:val="en-US" w:eastAsia="zh-CN"/>
                <w14:textFill>
                  <w14:solidFill>
                    <w14:schemeClr w14:val="tx1"/>
                  </w14:solidFill>
                </w14:textFill>
              </w:rPr>
              <w:t>体</w:t>
            </w:r>
            <w:r>
              <w:rPr>
                <w:color w:val="000000" w:themeColor="text1"/>
                <w:sz w:val="24"/>
                <w14:textFill>
                  <w14:solidFill>
                    <w14:schemeClr w14:val="tx1"/>
                  </w14:solidFill>
                </w14:textFill>
              </w:rPr>
              <w:t>废物贮存场</w:t>
            </w:r>
          </w:p>
          <w:p w14:paraId="21DE2E09">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对各种固体废物应分别收集﹑贮存和运输，设置专用危险废物暂存场所，有防止雨淋﹑防扬散﹑防流失﹑防渗漏等措施，并设置标志牌。</w:t>
            </w:r>
          </w:p>
          <w:p w14:paraId="500BC1B0">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排污口图形符号见下表</w:t>
            </w:r>
            <w:r>
              <w:rPr>
                <w:color w:val="000000" w:themeColor="text1"/>
                <w:sz w:val="24"/>
                <w:lang w:bidi="ar"/>
                <w14:textFill>
                  <w14:solidFill>
                    <w14:schemeClr w14:val="tx1"/>
                  </w14:solidFill>
                </w14:textFill>
              </w:rPr>
              <w:t>。</w:t>
            </w:r>
          </w:p>
          <w:p w14:paraId="6CD3FD6D">
            <w:pPr>
              <w:pStyle w:val="6"/>
              <w:ind w:firstLine="0" w:firstLineChars="0"/>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表4-</w:t>
            </w:r>
            <w:r>
              <w:rPr>
                <w:rFonts w:hint="eastAsia"/>
                <w:b/>
                <w:bCs/>
                <w:color w:val="000000" w:themeColor="text1"/>
                <w:sz w:val="24"/>
                <w:lang w:val="en-US" w:eastAsia="zh-CN"/>
                <w14:textFill>
                  <w14:solidFill>
                    <w14:schemeClr w14:val="tx1"/>
                  </w14:solidFill>
                </w14:textFill>
              </w:rPr>
              <w:t>25</w:t>
            </w:r>
            <w:r>
              <w:rPr>
                <w:b/>
                <w:bCs/>
                <w:color w:val="000000" w:themeColor="text1"/>
                <w:sz w:val="24"/>
                <w14:textFill>
                  <w14:solidFill>
                    <w14:schemeClr w14:val="tx1"/>
                  </w14:solidFill>
                </w14:textFill>
              </w:rPr>
              <w:t xml:space="preserve"> 排污口图形符号（提示标志）一览表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1922"/>
              <w:gridCol w:w="1863"/>
              <w:gridCol w:w="1742"/>
              <w:gridCol w:w="2329"/>
            </w:tblGrid>
            <w:tr w14:paraId="4C30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2" w:type="pct"/>
                  <w:vAlign w:val="center"/>
                </w:tcPr>
                <w:p w14:paraId="35AD440A">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序号</w:t>
                  </w:r>
                </w:p>
              </w:tc>
              <w:tc>
                <w:tcPr>
                  <w:tcW w:w="1134" w:type="pct"/>
                  <w:vAlign w:val="center"/>
                </w:tcPr>
                <w:p w14:paraId="760A369A">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提示图形符号</w:t>
                  </w:r>
                </w:p>
              </w:tc>
              <w:tc>
                <w:tcPr>
                  <w:tcW w:w="1099" w:type="pct"/>
                  <w:vAlign w:val="center"/>
                </w:tcPr>
                <w:p w14:paraId="7A478D39">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警告图形符号</w:t>
                  </w:r>
                </w:p>
              </w:tc>
              <w:tc>
                <w:tcPr>
                  <w:tcW w:w="1028" w:type="pct"/>
                  <w:vAlign w:val="center"/>
                </w:tcPr>
                <w:p w14:paraId="21ABA8C8">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名称</w:t>
                  </w:r>
                </w:p>
              </w:tc>
              <w:tc>
                <w:tcPr>
                  <w:tcW w:w="1374" w:type="pct"/>
                  <w:vAlign w:val="center"/>
                </w:tcPr>
                <w:p w14:paraId="7E2DE780">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功能</w:t>
                  </w:r>
                </w:p>
              </w:tc>
            </w:tr>
            <w:tr w14:paraId="6E311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2" w:type="pct"/>
                  <w:vAlign w:val="center"/>
                </w:tcPr>
                <w:p w14:paraId="270B1F23">
                  <w:pPr>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w:t>
                  </w:r>
                </w:p>
              </w:tc>
              <w:tc>
                <w:tcPr>
                  <w:tcW w:w="1134" w:type="pct"/>
                  <w:vAlign w:val="center"/>
                </w:tcPr>
                <w:p w14:paraId="758BC796">
                  <w:pPr>
                    <w:jc w:val="center"/>
                    <w:rPr>
                      <w:color w:val="000000" w:themeColor="text1"/>
                      <w:szCs w:val="21"/>
                      <w14:textFill>
                        <w14:solidFill>
                          <w14:schemeClr w14:val="tx1"/>
                        </w14:solidFill>
                      </w14:textFill>
                    </w:rPr>
                  </w:pPr>
                  <w:r>
                    <w:rPr>
                      <w:color w:val="000000" w:themeColor="text1"/>
                      <w14:textFill>
                        <w14:solidFill>
                          <w14:schemeClr w14:val="tx1"/>
                        </w14:solidFill>
                      </w14:textFill>
                    </w:rPr>
                    <w:drawing>
                      <wp:inline distT="0" distB="0" distL="114300" distR="114300">
                        <wp:extent cx="571500" cy="569595"/>
                        <wp:effectExtent l="0" t="0" r="0" b="1905"/>
                        <wp:docPr id="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3"/>
                                <pic:cNvPicPr>
                                  <a:picLocks noChangeAspect="1"/>
                                </pic:cNvPicPr>
                              </pic:nvPicPr>
                              <pic:blipFill>
                                <a:blip r:embed="rId57"/>
                                <a:stretch>
                                  <a:fillRect/>
                                </a:stretch>
                              </pic:blipFill>
                              <pic:spPr>
                                <a:xfrm>
                                  <a:off x="0" y="0"/>
                                  <a:ext cx="571500" cy="569595"/>
                                </a:xfrm>
                                <a:prstGeom prst="rect">
                                  <a:avLst/>
                                </a:prstGeom>
                                <a:noFill/>
                                <a:ln>
                                  <a:noFill/>
                                </a:ln>
                              </pic:spPr>
                            </pic:pic>
                          </a:graphicData>
                        </a:graphic>
                      </wp:inline>
                    </w:drawing>
                  </w:r>
                </w:p>
              </w:tc>
              <w:tc>
                <w:tcPr>
                  <w:tcW w:w="1099" w:type="pct"/>
                  <w:vAlign w:val="center"/>
                </w:tcPr>
                <w:p w14:paraId="100ED81F">
                  <w:pPr>
                    <w:jc w:val="center"/>
                    <w:rPr>
                      <w:color w:val="000000" w:themeColor="text1"/>
                      <w:szCs w:val="21"/>
                      <w14:textFill>
                        <w14:solidFill>
                          <w14:schemeClr w14:val="tx1"/>
                        </w14:solidFill>
                      </w14:textFill>
                    </w:rPr>
                  </w:pPr>
                  <w:r>
                    <w:rPr>
                      <w:color w:val="000000" w:themeColor="text1"/>
                      <w14:textFill>
                        <w14:solidFill>
                          <w14:schemeClr w14:val="tx1"/>
                        </w14:solidFill>
                      </w14:textFill>
                    </w:rPr>
                    <w:drawing>
                      <wp:inline distT="0" distB="0" distL="114300" distR="114300">
                        <wp:extent cx="621030" cy="543560"/>
                        <wp:effectExtent l="0" t="0" r="7620" b="8890"/>
                        <wp:docPr id="8"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4"/>
                                <pic:cNvPicPr>
                                  <a:picLocks noChangeAspect="1"/>
                                </pic:cNvPicPr>
                              </pic:nvPicPr>
                              <pic:blipFill>
                                <a:blip r:embed="rId58"/>
                                <a:stretch>
                                  <a:fillRect/>
                                </a:stretch>
                              </pic:blipFill>
                              <pic:spPr>
                                <a:xfrm>
                                  <a:off x="0" y="0"/>
                                  <a:ext cx="621030" cy="543560"/>
                                </a:xfrm>
                                <a:prstGeom prst="rect">
                                  <a:avLst/>
                                </a:prstGeom>
                                <a:noFill/>
                                <a:ln>
                                  <a:noFill/>
                                </a:ln>
                              </pic:spPr>
                            </pic:pic>
                          </a:graphicData>
                        </a:graphic>
                      </wp:inline>
                    </w:drawing>
                  </w:r>
                </w:p>
              </w:tc>
              <w:tc>
                <w:tcPr>
                  <w:tcW w:w="1028" w:type="pct"/>
                  <w:vAlign w:val="center"/>
                </w:tcPr>
                <w:p w14:paraId="0959594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废气排放口</w:t>
                  </w:r>
                </w:p>
              </w:tc>
              <w:tc>
                <w:tcPr>
                  <w:tcW w:w="1374" w:type="pct"/>
                  <w:vAlign w:val="center"/>
                </w:tcPr>
                <w:p w14:paraId="22FDCE6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废气向大气环境排放</w:t>
                  </w:r>
                </w:p>
              </w:tc>
            </w:tr>
            <w:tr w14:paraId="6708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2" w:type="pct"/>
                  <w:vAlign w:val="center"/>
                </w:tcPr>
                <w:p w14:paraId="0D592503">
                  <w:pPr>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w:t>
                  </w:r>
                </w:p>
              </w:tc>
              <w:tc>
                <w:tcPr>
                  <w:tcW w:w="1134" w:type="pct"/>
                  <w:vAlign w:val="center"/>
                </w:tcPr>
                <w:p w14:paraId="47CEE083">
                  <w:pPr>
                    <w:jc w:val="center"/>
                    <w:rPr>
                      <w:color w:val="000000" w:themeColor="text1"/>
                      <w:szCs w:val="21"/>
                      <w14:textFill>
                        <w14:solidFill>
                          <w14:schemeClr w14:val="tx1"/>
                        </w14:solidFill>
                      </w14:textFill>
                    </w:rPr>
                  </w:pPr>
                  <w:r>
                    <w:rPr>
                      <w:color w:val="000000" w:themeColor="text1"/>
                      <w14:textFill>
                        <w14:solidFill>
                          <w14:schemeClr w14:val="tx1"/>
                        </w14:solidFill>
                      </w14:textFill>
                    </w:rPr>
                    <w:drawing>
                      <wp:inline distT="0" distB="0" distL="114300" distR="114300">
                        <wp:extent cx="573405" cy="551815"/>
                        <wp:effectExtent l="0" t="0" r="17145" b="635"/>
                        <wp:docPr id="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5"/>
                                <pic:cNvPicPr>
                                  <a:picLocks noChangeAspect="1"/>
                                </pic:cNvPicPr>
                              </pic:nvPicPr>
                              <pic:blipFill>
                                <a:blip r:embed="rId59"/>
                                <a:stretch>
                                  <a:fillRect/>
                                </a:stretch>
                              </pic:blipFill>
                              <pic:spPr>
                                <a:xfrm>
                                  <a:off x="0" y="0"/>
                                  <a:ext cx="573405" cy="551815"/>
                                </a:xfrm>
                                <a:prstGeom prst="rect">
                                  <a:avLst/>
                                </a:prstGeom>
                                <a:noFill/>
                                <a:ln>
                                  <a:noFill/>
                                </a:ln>
                              </pic:spPr>
                            </pic:pic>
                          </a:graphicData>
                        </a:graphic>
                      </wp:inline>
                    </w:drawing>
                  </w:r>
                </w:p>
              </w:tc>
              <w:tc>
                <w:tcPr>
                  <w:tcW w:w="1099" w:type="pct"/>
                  <w:vAlign w:val="center"/>
                </w:tcPr>
                <w:p w14:paraId="565B9F8A">
                  <w:pPr>
                    <w:jc w:val="center"/>
                    <w:rPr>
                      <w:color w:val="000000" w:themeColor="text1"/>
                      <w:szCs w:val="21"/>
                      <w14:textFill>
                        <w14:solidFill>
                          <w14:schemeClr w14:val="tx1"/>
                        </w14:solidFill>
                      </w14:textFill>
                    </w:rPr>
                  </w:pPr>
                  <w:r>
                    <w:rPr>
                      <w:color w:val="000000" w:themeColor="text1"/>
                      <w14:textFill>
                        <w14:solidFill>
                          <w14:schemeClr w14:val="tx1"/>
                        </w14:solidFill>
                      </w14:textFill>
                    </w:rPr>
                    <w:drawing>
                      <wp:inline distT="0" distB="0" distL="114300" distR="114300">
                        <wp:extent cx="640715" cy="555625"/>
                        <wp:effectExtent l="0" t="0" r="6985" b="15875"/>
                        <wp:docPr id="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6"/>
                                <pic:cNvPicPr>
                                  <a:picLocks noChangeAspect="1"/>
                                </pic:cNvPicPr>
                              </pic:nvPicPr>
                              <pic:blipFill>
                                <a:blip r:embed="rId60"/>
                                <a:stretch>
                                  <a:fillRect/>
                                </a:stretch>
                              </pic:blipFill>
                              <pic:spPr>
                                <a:xfrm>
                                  <a:off x="0" y="0"/>
                                  <a:ext cx="640715" cy="555625"/>
                                </a:xfrm>
                                <a:prstGeom prst="rect">
                                  <a:avLst/>
                                </a:prstGeom>
                                <a:noFill/>
                                <a:ln>
                                  <a:noFill/>
                                </a:ln>
                              </pic:spPr>
                            </pic:pic>
                          </a:graphicData>
                        </a:graphic>
                      </wp:inline>
                    </w:drawing>
                  </w:r>
                </w:p>
              </w:tc>
              <w:tc>
                <w:tcPr>
                  <w:tcW w:w="1028" w:type="pct"/>
                  <w:vAlign w:val="center"/>
                </w:tcPr>
                <w:p w14:paraId="571FDB8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一般固体废物</w:t>
                  </w:r>
                </w:p>
              </w:tc>
              <w:tc>
                <w:tcPr>
                  <w:tcW w:w="1374" w:type="pct"/>
                  <w:vAlign w:val="center"/>
                </w:tcPr>
                <w:p w14:paraId="2D22F22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一般固体废物贮存、</w:t>
                  </w:r>
                  <w:r>
                    <w:rPr>
                      <w:rFonts w:hint="eastAsia"/>
                      <w:color w:val="000000" w:themeColor="text1"/>
                      <w:szCs w:val="21"/>
                      <w14:textFill>
                        <w14:solidFill>
                          <w14:schemeClr w14:val="tx1"/>
                        </w14:solidFill>
                      </w14:textFill>
                    </w:rPr>
                    <w:t>处置场</w:t>
                  </w:r>
                </w:p>
              </w:tc>
            </w:tr>
            <w:tr w14:paraId="1F96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2" w:type="pct"/>
                  <w:vAlign w:val="center"/>
                </w:tcPr>
                <w:p w14:paraId="4B740FA4">
                  <w:pPr>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3</w:t>
                  </w:r>
                </w:p>
              </w:tc>
              <w:tc>
                <w:tcPr>
                  <w:tcW w:w="1134" w:type="pct"/>
                  <w:vAlign w:val="center"/>
                </w:tcPr>
                <w:p w14:paraId="4FF62C27">
                  <w:pPr>
                    <w:jc w:val="center"/>
                    <w:rPr>
                      <w:color w:val="000000" w:themeColor="text1"/>
                      <w:szCs w:val="21"/>
                      <w14:textFill>
                        <w14:solidFill>
                          <w14:schemeClr w14:val="tx1"/>
                        </w14:solidFill>
                      </w14:textFill>
                    </w:rPr>
                  </w:pPr>
                  <w:r>
                    <w:rPr>
                      <w:color w:val="000000" w:themeColor="text1"/>
                      <w14:textFill>
                        <w14:solidFill>
                          <w14:schemeClr w14:val="tx1"/>
                        </w14:solidFill>
                      </w14:textFill>
                    </w:rPr>
                    <w:drawing>
                      <wp:inline distT="0" distB="0" distL="114300" distR="114300">
                        <wp:extent cx="565150" cy="567690"/>
                        <wp:effectExtent l="0" t="0" r="6350" b="3810"/>
                        <wp:docPr id="1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7"/>
                                <pic:cNvPicPr>
                                  <a:picLocks noChangeAspect="1"/>
                                </pic:cNvPicPr>
                              </pic:nvPicPr>
                              <pic:blipFill>
                                <a:blip r:embed="rId61"/>
                                <a:stretch>
                                  <a:fillRect/>
                                </a:stretch>
                              </pic:blipFill>
                              <pic:spPr>
                                <a:xfrm>
                                  <a:off x="0" y="0"/>
                                  <a:ext cx="565150" cy="567690"/>
                                </a:xfrm>
                                <a:prstGeom prst="rect">
                                  <a:avLst/>
                                </a:prstGeom>
                                <a:noFill/>
                                <a:ln>
                                  <a:noFill/>
                                </a:ln>
                              </pic:spPr>
                            </pic:pic>
                          </a:graphicData>
                        </a:graphic>
                      </wp:inline>
                    </w:drawing>
                  </w:r>
                </w:p>
              </w:tc>
              <w:tc>
                <w:tcPr>
                  <w:tcW w:w="1099" w:type="pct"/>
                  <w:vAlign w:val="center"/>
                </w:tcPr>
                <w:p w14:paraId="6FC98B3E">
                  <w:pPr>
                    <w:jc w:val="center"/>
                    <w:rPr>
                      <w:color w:val="000000" w:themeColor="text1"/>
                      <w:szCs w:val="21"/>
                      <w14:textFill>
                        <w14:solidFill>
                          <w14:schemeClr w14:val="tx1"/>
                        </w14:solidFill>
                      </w14:textFill>
                    </w:rPr>
                  </w:pPr>
                  <w:r>
                    <w:rPr>
                      <w:color w:val="000000" w:themeColor="text1"/>
                      <w14:textFill>
                        <w14:solidFill>
                          <w14:schemeClr w14:val="tx1"/>
                        </w14:solidFill>
                      </w14:textFill>
                    </w:rPr>
                    <w:drawing>
                      <wp:inline distT="0" distB="0" distL="114300" distR="114300">
                        <wp:extent cx="650240" cy="565785"/>
                        <wp:effectExtent l="0" t="0" r="16510" b="5715"/>
                        <wp:docPr id="19"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8"/>
                                <pic:cNvPicPr>
                                  <a:picLocks noChangeAspect="1"/>
                                </pic:cNvPicPr>
                              </pic:nvPicPr>
                              <pic:blipFill>
                                <a:blip r:embed="rId62"/>
                                <a:stretch>
                                  <a:fillRect/>
                                </a:stretch>
                              </pic:blipFill>
                              <pic:spPr>
                                <a:xfrm>
                                  <a:off x="0" y="0"/>
                                  <a:ext cx="650240" cy="565785"/>
                                </a:xfrm>
                                <a:prstGeom prst="rect">
                                  <a:avLst/>
                                </a:prstGeom>
                                <a:noFill/>
                                <a:ln>
                                  <a:noFill/>
                                </a:ln>
                              </pic:spPr>
                            </pic:pic>
                          </a:graphicData>
                        </a:graphic>
                      </wp:inline>
                    </w:drawing>
                  </w:r>
                </w:p>
              </w:tc>
              <w:tc>
                <w:tcPr>
                  <w:tcW w:w="1028" w:type="pct"/>
                  <w:vAlign w:val="center"/>
                </w:tcPr>
                <w:p w14:paraId="31958A9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噪声排放源</w:t>
                  </w:r>
                </w:p>
              </w:tc>
              <w:tc>
                <w:tcPr>
                  <w:tcW w:w="1374" w:type="pct"/>
                  <w:vAlign w:val="center"/>
                </w:tcPr>
                <w:p w14:paraId="17323E2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噪声向外环境排放</w:t>
                  </w:r>
                </w:p>
              </w:tc>
            </w:tr>
            <w:tr w14:paraId="7E76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13" w:type="dxa"/>
                  <w:vAlign w:val="center"/>
                </w:tcPr>
                <w:p w14:paraId="0413507F">
                  <w:pPr>
                    <w:jc w:val="center"/>
                    <w:rPr>
                      <w:rFonts w:hint="eastAsia" w:eastAsia="宋体"/>
                      <w:color w:val="000000" w:themeColor="text1"/>
                      <w:szCs w:val="21"/>
                      <w:lang w:val="en-US" w:eastAsia="zh-CN"/>
                      <w14:textFill>
                        <w14:solidFill>
                          <w14:schemeClr w14:val="tx1"/>
                        </w14:solidFill>
                      </w14:textFill>
                    </w:rPr>
                  </w:pPr>
                  <w:r>
                    <w:rPr>
                      <w:rFonts w:hint="eastAsia"/>
                      <w:sz w:val="21"/>
                      <w:szCs w:val="21"/>
                      <w:lang w:val="en-US" w:eastAsia="zh-CN"/>
                    </w:rPr>
                    <w:t>4</w:t>
                  </w:r>
                </w:p>
              </w:tc>
              <w:tc>
                <w:tcPr>
                  <w:tcW w:w="1920" w:type="dxa"/>
                  <w:vAlign w:val="center"/>
                </w:tcPr>
                <w:p w14:paraId="67C8064E">
                  <w:pPr>
                    <w:jc w:val="center"/>
                    <w:rPr>
                      <w:color w:val="000000" w:themeColor="text1"/>
                      <w14:textFill>
                        <w14:solidFill>
                          <w14:schemeClr w14:val="tx1"/>
                        </w14:solidFill>
                      </w14:textFill>
                    </w:rPr>
                  </w:pPr>
                </w:p>
              </w:tc>
              <w:tc>
                <w:tcPr>
                  <w:tcW w:w="1860" w:type="dxa"/>
                  <w:vAlign w:val="center"/>
                </w:tcPr>
                <w:p w14:paraId="41CB35C6">
                  <w:pPr>
                    <w:jc w:val="center"/>
                    <w:rPr>
                      <w:color w:val="000000" w:themeColor="text1"/>
                      <w14:textFill>
                        <w14:solidFill>
                          <w14:schemeClr w14:val="tx1"/>
                        </w14:solidFill>
                      </w14:textFill>
                    </w:rPr>
                  </w:pPr>
                  <w:r>
                    <w:drawing>
                      <wp:inline distT="0" distB="0" distL="114300" distR="114300">
                        <wp:extent cx="659765" cy="732790"/>
                        <wp:effectExtent l="0" t="0" r="6985" b="10160"/>
                        <wp:docPr id="2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4"/>
                                <pic:cNvPicPr>
                                  <a:picLocks noChangeAspect="1"/>
                                </pic:cNvPicPr>
                              </pic:nvPicPr>
                              <pic:blipFill>
                                <a:blip r:embed="rId63"/>
                                <a:srcRect l="47814" t="3881" r="2534" b="5045"/>
                                <a:stretch>
                                  <a:fillRect/>
                                </a:stretch>
                              </pic:blipFill>
                              <pic:spPr>
                                <a:xfrm>
                                  <a:off x="0" y="0"/>
                                  <a:ext cx="659765" cy="732790"/>
                                </a:xfrm>
                                <a:prstGeom prst="rect">
                                  <a:avLst/>
                                </a:prstGeom>
                                <a:noFill/>
                                <a:ln>
                                  <a:noFill/>
                                </a:ln>
                              </pic:spPr>
                            </pic:pic>
                          </a:graphicData>
                        </a:graphic>
                      </wp:inline>
                    </w:drawing>
                  </w:r>
                </w:p>
              </w:tc>
              <w:tc>
                <w:tcPr>
                  <w:tcW w:w="1740" w:type="dxa"/>
                  <w:vAlign w:val="center"/>
                </w:tcPr>
                <w:p w14:paraId="2C7FAC66">
                  <w:pPr>
                    <w:jc w:val="center"/>
                    <w:rPr>
                      <w:color w:val="000000" w:themeColor="text1"/>
                      <w:szCs w:val="21"/>
                      <w14:textFill>
                        <w14:solidFill>
                          <w14:schemeClr w14:val="tx1"/>
                        </w14:solidFill>
                      </w14:textFill>
                    </w:rPr>
                  </w:pPr>
                  <w:r>
                    <w:rPr>
                      <w:sz w:val="21"/>
                      <w:szCs w:val="21"/>
                    </w:rPr>
                    <w:t>危险废物</w:t>
                  </w:r>
                </w:p>
              </w:tc>
              <w:tc>
                <w:tcPr>
                  <w:tcW w:w="2326" w:type="dxa"/>
                  <w:vAlign w:val="center"/>
                </w:tcPr>
                <w:p w14:paraId="01C531F8">
                  <w:pPr>
                    <w:jc w:val="center"/>
                    <w:rPr>
                      <w:color w:val="000000" w:themeColor="text1"/>
                      <w:szCs w:val="21"/>
                      <w14:textFill>
                        <w14:solidFill>
                          <w14:schemeClr w14:val="tx1"/>
                        </w14:solidFill>
                      </w14:textFill>
                    </w:rPr>
                  </w:pPr>
                  <w:r>
                    <w:rPr>
                      <w:sz w:val="21"/>
                      <w:szCs w:val="21"/>
                    </w:rPr>
                    <w:t>危险废物贮存、处置场</w:t>
                  </w:r>
                </w:p>
              </w:tc>
            </w:tr>
          </w:tbl>
          <w:p w14:paraId="1FEAD092">
            <w:pPr>
              <w:spacing w:line="360" w:lineRule="auto"/>
              <w:ind w:firstLine="482" w:firstLineChars="200"/>
              <w:rPr>
                <w:rFonts w:ascii="Times New Roman" w:hAnsi="Times New Roman"/>
                <w:b/>
                <w:color w:val="000000"/>
                <w:sz w:val="24"/>
              </w:rPr>
            </w:pPr>
            <w:r>
              <w:rPr>
                <w:rFonts w:hint="eastAsia"/>
                <w:b/>
                <w:color w:val="000000"/>
                <w:sz w:val="24"/>
                <w:lang w:val="en-US" w:eastAsia="zh-CN"/>
              </w:rPr>
              <w:t>3、</w:t>
            </w:r>
            <w:r>
              <w:rPr>
                <w:rFonts w:hint="eastAsia" w:ascii="Times New Roman" w:hAnsi="Times New Roman"/>
                <w:b/>
                <w:color w:val="000000"/>
                <w:sz w:val="24"/>
              </w:rPr>
              <w:t>监测计划</w:t>
            </w:r>
          </w:p>
          <w:p w14:paraId="6D239C03">
            <w:pPr>
              <w:autoSpaceDE w:val="0"/>
              <w:autoSpaceDN w:val="0"/>
              <w:adjustRightInd w:val="0"/>
              <w:jc w:val="center"/>
              <w:rPr>
                <w:rFonts w:ascii="Times New Roman" w:hAnsi="Times New Roman"/>
                <w:b/>
                <w:bCs/>
                <w:color w:val="000000"/>
                <w:kern w:val="0"/>
                <w:sz w:val="24"/>
              </w:rPr>
            </w:pPr>
            <w:r>
              <w:rPr>
                <w:rFonts w:ascii="Times New Roman" w:hAnsi="Times New Roman"/>
                <w:b/>
                <w:bCs/>
                <w:color w:val="000000"/>
                <w:kern w:val="0"/>
                <w:sz w:val="24"/>
                <w:lang w:bidi="ar"/>
              </w:rPr>
              <w:t>表4-</w:t>
            </w:r>
            <w:r>
              <w:rPr>
                <w:rFonts w:hint="eastAsia" w:ascii="Times New Roman" w:hAnsi="Times New Roman"/>
                <w:b/>
                <w:bCs/>
                <w:color w:val="000000"/>
                <w:kern w:val="0"/>
                <w:sz w:val="24"/>
                <w:lang w:bidi="ar"/>
              </w:rPr>
              <w:t>2</w:t>
            </w:r>
            <w:r>
              <w:rPr>
                <w:rFonts w:hint="eastAsia"/>
                <w:b/>
                <w:bCs/>
                <w:color w:val="000000"/>
                <w:kern w:val="0"/>
                <w:sz w:val="24"/>
                <w:lang w:val="en-US" w:eastAsia="zh-CN" w:bidi="ar"/>
              </w:rPr>
              <w:t>6</w:t>
            </w:r>
            <w:r>
              <w:rPr>
                <w:rFonts w:hint="eastAsia" w:ascii="Times New Roman" w:hAnsi="Times New Roman"/>
                <w:b/>
                <w:bCs/>
                <w:color w:val="000000"/>
                <w:kern w:val="0"/>
                <w:sz w:val="24"/>
                <w:lang w:bidi="ar"/>
              </w:rPr>
              <w:t>污染物</w:t>
            </w:r>
            <w:r>
              <w:rPr>
                <w:rFonts w:ascii="Times New Roman" w:hAnsi="Times New Roman"/>
                <w:b/>
                <w:bCs/>
                <w:color w:val="000000"/>
                <w:kern w:val="0"/>
                <w:sz w:val="24"/>
                <w:lang w:bidi="ar"/>
              </w:rPr>
              <w:t>监测计划表</w:t>
            </w:r>
          </w:p>
          <w:tbl>
            <w:tblPr>
              <w:tblStyle w:val="23"/>
              <w:tblW w:w="8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1096"/>
              <w:gridCol w:w="1339"/>
              <w:gridCol w:w="1327"/>
              <w:gridCol w:w="1142"/>
              <w:gridCol w:w="1373"/>
              <w:gridCol w:w="1128"/>
            </w:tblGrid>
            <w:tr w14:paraId="7E3A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noWrap w:val="0"/>
                  <w:vAlign w:val="center"/>
                </w:tcPr>
                <w:p w14:paraId="1EABB003">
                  <w:pPr>
                    <w:jc w:val="center"/>
                    <w:rPr>
                      <w:b/>
                      <w:bCs/>
                      <w:color w:val="000000"/>
                      <w:szCs w:val="21"/>
                    </w:rPr>
                  </w:pPr>
                  <w:r>
                    <w:rPr>
                      <w:b/>
                      <w:bCs/>
                      <w:color w:val="000000"/>
                      <w:szCs w:val="21"/>
                    </w:rPr>
                    <w:t>排放口编号/点位</w:t>
                  </w:r>
                </w:p>
              </w:tc>
              <w:tc>
                <w:tcPr>
                  <w:tcW w:w="1096" w:type="dxa"/>
                  <w:noWrap w:val="0"/>
                  <w:vAlign w:val="center"/>
                </w:tcPr>
                <w:p w14:paraId="2789F4CA">
                  <w:pPr>
                    <w:jc w:val="center"/>
                    <w:rPr>
                      <w:b/>
                      <w:bCs/>
                      <w:color w:val="000000"/>
                      <w:szCs w:val="21"/>
                    </w:rPr>
                  </w:pPr>
                  <w:r>
                    <w:rPr>
                      <w:b/>
                      <w:bCs/>
                      <w:color w:val="000000"/>
                      <w:szCs w:val="21"/>
                    </w:rPr>
                    <w:t>排放口名称</w:t>
                  </w:r>
                </w:p>
              </w:tc>
              <w:tc>
                <w:tcPr>
                  <w:tcW w:w="1339" w:type="dxa"/>
                  <w:noWrap w:val="0"/>
                  <w:vAlign w:val="center"/>
                </w:tcPr>
                <w:p w14:paraId="1B970DA9">
                  <w:pPr>
                    <w:jc w:val="center"/>
                    <w:rPr>
                      <w:b/>
                      <w:bCs/>
                      <w:color w:val="000000"/>
                      <w:szCs w:val="21"/>
                    </w:rPr>
                  </w:pPr>
                  <w:r>
                    <w:rPr>
                      <w:b/>
                      <w:bCs/>
                      <w:color w:val="000000"/>
                      <w:szCs w:val="21"/>
                    </w:rPr>
                    <w:t>监测内容</w:t>
                  </w:r>
                </w:p>
              </w:tc>
              <w:tc>
                <w:tcPr>
                  <w:tcW w:w="1327" w:type="dxa"/>
                  <w:noWrap w:val="0"/>
                  <w:vAlign w:val="center"/>
                </w:tcPr>
                <w:p w14:paraId="3AAAE105">
                  <w:pPr>
                    <w:jc w:val="center"/>
                    <w:rPr>
                      <w:b/>
                      <w:bCs/>
                      <w:color w:val="000000"/>
                      <w:szCs w:val="21"/>
                    </w:rPr>
                  </w:pPr>
                  <w:r>
                    <w:rPr>
                      <w:rFonts w:ascii="Times New Roman" w:hAnsi="Times New Roman"/>
                      <w:b/>
                      <w:bCs/>
                      <w:color w:val="auto"/>
                      <w:sz w:val="21"/>
                    </w:rPr>
                    <w:t>监测指标</w:t>
                  </w:r>
                </w:p>
              </w:tc>
              <w:tc>
                <w:tcPr>
                  <w:tcW w:w="1142" w:type="dxa"/>
                  <w:noWrap w:val="0"/>
                  <w:vAlign w:val="center"/>
                </w:tcPr>
                <w:p w14:paraId="69C07D1E">
                  <w:pPr>
                    <w:jc w:val="center"/>
                    <w:rPr>
                      <w:rFonts w:hint="default" w:eastAsia="宋体"/>
                      <w:b/>
                      <w:bCs/>
                      <w:color w:val="000000"/>
                      <w:szCs w:val="21"/>
                      <w:lang w:val="en-US" w:eastAsia="zh-CN"/>
                    </w:rPr>
                  </w:pPr>
                  <w:r>
                    <w:rPr>
                      <w:rFonts w:hint="eastAsia"/>
                      <w:b/>
                      <w:bCs/>
                      <w:color w:val="000000"/>
                      <w:szCs w:val="21"/>
                      <w:lang w:val="en-US" w:eastAsia="zh-CN"/>
                    </w:rPr>
                    <w:t>监测方式</w:t>
                  </w:r>
                </w:p>
              </w:tc>
              <w:tc>
                <w:tcPr>
                  <w:tcW w:w="1373" w:type="dxa"/>
                  <w:noWrap w:val="0"/>
                  <w:vAlign w:val="center"/>
                </w:tcPr>
                <w:p w14:paraId="090DF555">
                  <w:pPr>
                    <w:jc w:val="center"/>
                    <w:rPr>
                      <w:b/>
                      <w:bCs/>
                      <w:color w:val="000000"/>
                      <w:szCs w:val="21"/>
                    </w:rPr>
                  </w:pPr>
                  <w:r>
                    <w:rPr>
                      <w:b/>
                      <w:bCs/>
                      <w:color w:val="000000"/>
                      <w:szCs w:val="21"/>
                    </w:rPr>
                    <w:t>监测采样方法及个数</w:t>
                  </w:r>
                </w:p>
              </w:tc>
              <w:tc>
                <w:tcPr>
                  <w:tcW w:w="1128" w:type="dxa"/>
                  <w:noWrap w:val="0"/>
                  <w:vAlign w:val="center"/>
                </w:tcPr>
                <w:p w14:paraId="191B58DC">
                  <w:pPr>
                    <w:jc w:val="center"/>
                    <w:rPr>
                      <w:b/>
                      <w:bCs/>
                      <w:color w:val="000000"/>
                      <w:szCs w:val="21"/>
                    </w:rPr>
                  </w:pPr>
                  <w:r>
                    <w:rPr>
                      <w:b/>
                      <w:bCs/>
                      <w:color w:val="000000"/>
                      <w:szCs w:val="21"/>
                    </w:rPr>
                    <w:t>监测频次</w:t>
                  </w:r>
                </w:p>
              </w:tc>
            </w:tr>
            <w:tr w14:paraId="31BC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Merge w:val="restart"/>
                  <w:noWrap w:val="0"/>
                  <w:vAlign w:val="center"/>
                </w:tcPr>
                <w:p w14:paraId="220EB207">
                  <w:pPr>
                    <w:jc w:val="center"/>
                    <w:rPr>
                      <w:rFonts w:hint="eastAsia"/>
                      <w:color w:val="000000"/>
                      <w:szCs w:val="21"/>
                      <w:lang w:val="en-US" w:eastAsia="zh-CN"/>
                    </w:rPr>
                  </w:pPr>
                  <w:r>
                    <w:rPr>
                      <w:rFonts w:hint="eastAsia"/>
                      <w:color w:val="000000"/>
                      <w:szCs w:val="21"/>
                      <w:lang w:val="en-US" w:eastAsia="zh-CN"/>
                    </w:rPr>
                    <w:t>DA001</w:t>
                  </w:r>
                </w:p>
              </w:tc>
              <w:tc>
                <w:tcPr>
                  <w:tcW w:w="1096" w:type="dxa"/>
                  <w:vMerge w:val="restart"/>
                  <w:noWrap w:val="0"/>
                  <w:vAlign w:val="center"/>
                </w:tcPr>
                <w:p w14:paraId="015F3D75">
                  <w:pPr>
                    <w:jc w:val="center"/>
                    <w:rPr>
                      <w:rFonts w:hint="eastAsia"/>
                      <w:color w:val="000000"/>
                      <w:szCs w:val="21"/>
                      <w:lang w:val="en-US" w:eastAsia="zh-CN"/>
                    </w:rPr>
                  </w:pPr>
                  <w:r>
                    <w:rPr>
                      <w:rFonts w:hint="eastAsia"/>
                      <w:color w:val="000000"/>
                      <w:szCs w:val="21"/>
                      <w:lang w:val="en-US" w:eastAsia="zh-CN"/>
                    </w:rPr>
                    <w:t>水解废气排放口</w:t>
                  </w:r>
                </w:p>
              </w:tc>
              <w:tc>
                <w:tcPr>
                  <w:tcW w:w="1339" w:type="dxa"/>
                  <w:vMerge w:val="restart"/>
                  <w:noWrap w:val="0"/>
                  <w:vAlign w:val="center"/>
                </w:tcPr>
                <w:p w14:paraId="04705557">
                  <w:pPr>
                    <w:jc w:val="center"/>
                    <w:rPr>
                      <w:color w:val="000000"/>
                      <w:szCs w:val="21"/>
                    </w:rPr>
                  </w:pPr>
                  <w:r>
                    <w:rPr>
                      <w:color w:val="000000"/>
                      <w:szCs w:val="21"/>
                    </w:rPr>
                    <w:t>烟气温度、烟气量、烟气流速、烟气压力</w:t>
                  </w:r>
                </w:p>
              </w:tc>
              <w:tc>
                <w:tcPr>
                  <w:tcW w:w="1327" w:type="dxa"/>
                  <w:noWrap w:val="0"/>
                  <w:vAlign w:val="center"/>
                </w:tcPr>
                <w:p w14:paraId="5BD5B044">
                  <w:pPr>
                    <w:jc w:val="center"/>
                    <w:rPr>
                      <w:rFonts w:hint="default"/>
                      <w:color w:val="000000"/>
                      <w:szCs w:val="21"/>
                      <w:lang w:val="en-US" w:eastAsia="zh-CN"/>
                    </w:rPr>
                  </w:pPr>
                  <w:r>
                    <w:rPr>
                      <w:rFonts w:hint="eastAsia"/>
                      <w:color w:val="000000"/>
                      <w:szCs w:val="21"/>
                      <w:lang w:val="en-US" w:eastAsia="zh-CN"/>
                    </w:rPr>
                    <w:t>氨</w:t>
                  </w:r>
                </w:p>
              </w:tc>
              <w:tc>
                <w:tcPr>
                  <w:tcW w:w="1142" w:type="dxa"/>
                  <w:noWrap w:val="0"/>
                  <w:vAlign w:val="center"/>
                </w:tcPr>
                <w:p w14:paraId="3F4101DF">
                  <w:pPr>
                    <w:jc w:val="center"/>
                    <w:rPr>
                      <w:rFonts w:hint="eastAsia"/>
                      <w:color w:val="000000"/>
                      <w:szCs w:val="21"/>
                      <w:lang w:val="en-US" w:eastAsia="zh-CN"/>
                    </w:rPr>
                  </w:pPr>
                  <w:r>
                    <w:rPr>
                      <w:rFonts w:hint="eastAsia"/>
                      <w:color w:val="000000"/>
                      <w:szCs w:val="21"/>
                      <w:lang w:val="en-US" w:eastAsia="zh-CN"/>
                    </w:rPr>
                    <w:t>手工监测</w:t>
                  </w:r>
                </w:p>
              </w:tc>
              <w:tc>
                <w:tcPr>
                  <w:tcW w:w="1373" w:type="dxa"/>
                  <w:noWrap w:val="0"/>
                  <w:vAlign w:val="center"/>
                </w:tcPr>
                <w:p w14:paraId="61250657">
                  <w:pPr>
                    <w:jc w:val="center"/>
                    <w:rPr>
                      <w:rFonts w:hint="eastAsia"/>
                      <w:color w:val="000000"/>
                      <w:szCs w:val="21"/>
                      <w:lang w:val="en-US" w:eastAsia="zh-CN"/>
                    </w:rPr>
                  </w:pPr>
                  <w:r>
                    <w:rPr>
                      <w:color w:val="000000"/>
                      <w:szCs w:val="21"/>
                    </w:rPr>
                    <w:t>连续采样</w:t>
                  </w:r>
                </w:p>
              </w:tc>
              <w:tc>
                <w:tcPr>
                  <w:tcW w:w="1128" w:type="dxa"/>
                  <w:noWrap w:val="0"/>
                  <w:vAlign w:val="center"/>
                </w:tcPr>
                <w:p w14:paraId="6AE760B3">
                  <w:pPr>
                    <w:jc w:val="center"/>
                    <w:rPr>
                      <w:color w:val="000000"/>
                      <w:szCs w:val="21"/>
                    </w:rPr>
                  </w:pPr>
                  <w:r>
                    <w:rPr>
                      <w:color w:val="000000"/>
                      <w:szCs w:val="21"/>
                    </w:rPr>
                    <w:t>1次/</w:t>
                  </w:r>
                  <w:r>
                    <w:rPr>
                      <w:rFonts w:hint="eastAsia"/>
                      <w:color w:val="000000"/>
                      <w:szCs w:val="21"/>
                      <w:lang w:val="en-US" w:eastAsia="zh-CN"/>
                    </w:rPr>
                    <w:t>半</w:t>
                  </w:r>
                  <w:r>
                    <w:rPr>
                      <w:color w:val="000000"/>
                      <w:szCs w:val="21"/>
                    </w:rPr>
                    <w:t>年</w:t>
                  </w:r>
                </w:p>
              </w:tc>
            </w:tr>
            <w:tr w14:paraId="255D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Merge w:val="continue"/>
                  <w:noWrap w:val="0"/>
                  <w:vAlign w:val="center"/>
                </w:tcPr>
                <w:p w14:paraId="030D7027">
                  <w:pPr>
                    <w:jc w:val="center"/>
                    <w:rPr>
                      <w:rFonts w:hint="eastAsia"/>
                      <w:color w:val="000000"/>
                      <w:szCs w:val="21"/>
                      <w:lang w:val="en-US" w:eastAsia="zh-CN"/>
                    </w:rPr>
                  </w:pPr>
                </w:p>
              </w:tc>
              <w:tc>
                <w:tcPr>
                  <w:tcW w:w="1096" w:type="dxa"/>
                  <w:vMerge w:val="continue"/>
                  <w:noWrap w:val="0"/>
                  <w:vAlign w:val="center"/>
                </w:tcPr>
                <w:p w14:paraId="26F53E4E">
                  <w:pPr>
                    <w:jc w:val="center"/>
                    <w:rPr>
                      <w:rFonts w:hint="eastAsia"/>
                      <w:color w:val="000000"/>
                      <w:szCs w:val="21"/>
                      <w:lang w:val="en-US" w:eastAsia="zh-CN"/>
                    </w:rPr>
                  </w:pPr>
                </w:p>
              </w:tc>
              <w:tc>
                <w:tcPr>
                  <w:tcW w:w="1339" w:type="dxa"/>
                  <w:vMerge w:val="continue"/>
                  <w:noWrap w:val="0"/>
                  <w:vAlign w:val="center"/>
                </w:tcPr>
                <w:p w14:paraId="35A94802">
                  <w:pPr>
                    <w:jc w:val="center"/>
                    <w:rPr>
                      <w:color w:val="000000"/>
                      <w:szCs w:val="21"/>
                    </w:rPr>
                  </w:pPr>
                </w:p>
              </w:tc>
              <w:tc>
                <w:tcPr>
                  <w:tcW w:w="1327" w:type="dxa"/>
                  <w:noWrap w:val="0"/>
                  <w:vAlign w:val="center"/>
                </w:tcPr>
                <w:p w14:paraId="4FE26B81">
                  <w:pPr>
                    <w:jc w:val="center"/>
                    <w:rPr>
                      <w:rFonts w:hint="default"/>
                      <w:color w:val="000000"/>
                      <w:szCs w:val="21"/>
                      <w:lang w:val="en-US" w:eastAsia="zh-CN"/>
                    </w:rPr>
                  </w:pPr>
                  <w:r>
                    <w:rPr>
                      <w:rFonts w:hint="eastAsia"/>
                      <w:color w:val="000000"/>
                      <w:szCs w:val="21"/>
                      <w:lang w:val="en-US" w:eastAsia="zh-CN"/>
                    </w:rPr>
                    <w:t>硫化氢</w:t>
                  </w:r>
                </w:p>
              </w:tc>
              <w:tc>
                <w:tcPr>
                  <w:tcW w:w="1142" w:type="dxa"/>
                  <w:noWrap w:val="0"/>
                  <w:vAlign w:val="center"/>
                </w:tcPr>
                <w:p w14:paraId="55D7D975">
                  <w:pPr>
                    <w:jc w:val="center"/>
                    <w:rPr>
                      <w:rFonts w:hint="eastAsia"/>
                      <w:color w:val="000000"/>
                      <w:szCs w:val="21"/>
                      <w:lang w:val="en-US" w:eastAsia="zh-CN"/>
                    </w:rPr>
                  </w:pPr>
                  <w:r>
                    <w:rPr>
                      <w:rFonts w:hint="eastAsia"/>
                      <w:color w:val="000000"/>
                      <w:szCs w:val="21"/>
                      <w:lang w:val="en-US" w:eastAsia="zh-CN"/>
                    </w:rPr>
                    <w:t>手工监测</w:t>
                  </w:r>
                </w:p>
              </w:tc>
              <w:tc>
                <w:tcPr>
                  <w:tcW w:w="1373" w:type="dxa"/>
                  <w:noWrap w:val="0"/>
                  <w:vAlign w:val="center"/>
                </w:tcPr>
                <w:p w14:paraId="40C4BFD1">
                  <w:pPr>
                    <w:jc w:val="center"/>
                    <w:rPr>
                      <w:color w:val="000000"/>
                      <w:szCs w:val="21"/>
                    </w:rPr>
                  </w:pPr>
                  <w:r>
                    <w:rPr>
                      <w:color w:val="000000"/>
                      <w:szCs w:val="21"/>
                    </w:rPr>
                    <w:t>连续采样</w:t>
                  </w:r>
                </w:p>
              </w:tc>
              <w:tc>
                <w:tcPr>
                  <w:tcW w:w="1128" w:type="dxa"/>
                  <w:noWrap w:val="0"/>
                  <w:vAlign w:val="center"/>
                </w:tcPr>
                <w:p w14:paraId="54C65572">
                  <w:pPr>
                    <w:jc w:val="center"/>
                    <w:rPr>
                      <w:color w:val="000000"/>
                      <w:szCs w:val="21"/>
                    </w:rPr>
                  </w:pPr>
                  <w:r>
                    <w:rPr>
                      <w:color w:val="000000"/>
                      <w:szCs w:val="21"/>
                    </w:rPr>
                    <w:t>1次/</w:t>
                  </w:r>
                  <w:r>
                    <w:rPr>
                      <w:rFonts w:hint="eastAsia"/>
                      <w:color w:val="000000"/>
                      <w:szCs w:val="21"/>
                      <w:lang w:val="en-US" w:eastAsia="zh-CN"/>
                    </w:rPr>
                    <w:t>半</w:t>
                  </w:r>
                  <w:r>
                    <w:rPr>
                      <w:color w:val="000000"/>
                      <w:szCs w:val="21"/>
                    </w:rPr>
                    <w:t>年</w:t>
                  </w:r>
                </w:p>
              </w:tc>
            </w:tr>
            <w:tr w14:paraId="6D36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6" w:type="dxa"/>
                  <w:vMerge w:val="continue"/>
                  <w:noWrap w:val="0"/>
                  <w:vAlign w:val="center"/>
                </w:tcPr>
                <w:p w14:paraId="03966933">
                  <w:pPr>
                    <w:jc w:val="center"/>
                    <w:rPr>
                      <w:rFonts w:hint="eastAsia"/>
                      <w:color w:val="000000"/>
                      <w:szCs w:val="21"/>
                      <w:lang w:val="en-US" w:eastAsia="zh-CN"/>
                    </w:rPr>
                  </w:pPr>
                </w:p>
              </w:tc>
              <w:tc>
                <w:tcPr>
                  <w:tcW w:w="1096" w:type="dxa"/>
                  <w:vMerge w:val="continue"/>
                  <w:noWrap w:val="0"/>
                  <w:vAlign w:val="center"/>
                </w:tcPr>
                <w:p w14:paraId="7444E5CC">
                  <w:pPr>
                    <w:jc w:val="center"/>
                    <w:rPr>
                      <w:rFonts w:hint="eastAsia"/>
                      <w:color w:val="000000"/>
                      <w:szCs w:val="21"/>
                      <w:lang w:val="en-US" w:eastAsia="zh-CN"/>
                    </w:rPr>
                  </w:pPr>
                </w:p>
              </w:tc>
              <w:tc>
                <w:tcPr>
                  <w:tcW w:w="1339" w:type="dxa"/>
                  <w:vMerge w:val="continue"/>
                  <w:noWrap w:val="0"/>
                  <w:vAlign w:val="center"/>
                </w:tcPr>
                <w:p w14:paraId="0A49EAE5">
                  <w:pPr>
                    <w:jc w:val="center"/>
                    <w:rPr>
                      <w:color w:val="000000"/>
                      <w:szCs w:val="21"/>
                    </w:rPr>
                  </w:pPr>
                </w:p>
              </w:tc>
              <w:tc>
                <w:tcPr>
                  <w:tcW w:w="1327" w:type="dxa"/>
                  <w:noWrap w:val="0"/>
                  <w:vAlign w:val="center"/>
                </w:tcPr>
                <w:p w14:paraId="0CA4BB84">
                  <w:pPr>
                    <w:jc w:val="center"/>
                    <w:rPr>
                      <w:rFonts w:hint="default"/>
                      <w:color w:val="000000"/>
                      <w:szCs w:val="21"/>
                      <w:lang w:val="en-US" w:eastAsia="zh-CN"/>
                    </w:rPr>
                  </w:pPr>
                  <w:r>
                    <w:rPr>
                      <w:rFonts w:hint="eastAsia"/>
                      <w:color w:val="000000"/>
                      <w:szCs w:val="21"/>
                      <w:lang w:val="en-US" w:eastAsia="zh-CN"/>
                    </w:rPr>
                    <w:t>臭气浓度</w:t>
                  </w:r>
                </w:p>
              </w:tc>
              <w:tc>
                <w:tcPr>
                  <w:tcW w:w="1142" w:type="dxa"/>
                  <w:noWrap w:val="0"/>
                  <w:vAlign w:val="center"/>
                </w:tcPr>
                <w:p w14:paraId="362771D2">
                  <w:pPr>
                    <w:jc w:val="center"/>
                    <w:rPr>
                      <w:rFonts w:hint="eastAsia"/>
                      <w:color w:val="000000"/>
                      <w:szCs w:val="21"/>
                      <w:lang w:val="en-US" w:eastAsia="zh-CN"/>
                    </w:rPr>
                  </w:pPr>
                  <w:r>
                    <w:rPr>
                      <w:rFonts w:hint="eastAsia"/>
                      <w:color w:val="000000"/>
                      <w:szCs w:val="21"/>
                      <w:lang w:val="en-US" w:eastAsia="zh-CN"/>
                    </w:rPr>
                    <w:t>手工监测</w:t>
                  </w:r>
                </w:p>
              </w:tc>
              <w:tc>
                <w:tcPr>
                  <w:tcW w:w="1373" w:type="dxa"/>
                  <w:noWrap w:val="0"/>
                  <w:vAlign w:val="center"/>
                </w:tcPr>
                <w:p w14:paraId="0810A577">
                  <w:pPr>
                    <w:jc w:val="center"/>
                    <w:rPr>
                      <w:rFonts w:hint="eastAsia"/>
                      <w:color w:val="000000"/>
                      <w:szCs w:val="21"/>
                      <w:lang w:val="en-US" w:eastAsia="zh-CN"/>
                    </w:rPr>
                  </w:pPr>
                  <w:r>
                    <w:rPr>
                      <w:color w:val="000000"/>
                      <w:szCs w:val="21"/>
                    </w:rPr>
                    <w:t>连续采样</w:t>
                  </w:r>
                </w:p>
              </w:tc>
              <w:tc>
                <w:tcPr>
                  <w:tcW w:w="1128" w:type="dxa"/>
                  <w:noWrap w:val="0"/>
                  <w:vAlign w:val="center"/>
                </w:tcPr>
                <w:p w14:paraId="348DFAB3">
                  <w:pPr>
                    <w:jc w:val="center"/>
                    <w:rPr>
                      <w:color w:val="000000"/>
                      <w:szCs w:val="21"/>
                    </w:rPr>
                  </w:pPr>
                  <w:r>
                    <w:rPr>
                      <w:color w:val="000000"/>
                      <w:szCs w:val="21"/>
                    </w:rPr>
                    <w:t>1次/</w:t>
                  </w:r>
                  <w:r>
                    <w:rPr>
                      <w:rFonts w:hint="eastAsia"/>
                      <w:color w:val="000000"/>
                      <w:szCs w:val="21"/>
                      <w:lang w:val="en-US" w:eastAsia="zh-CN"/>
                    </w:rPr>
                    <w:t>半</w:t>
                  </w:r>
                  <w:r>
                    <w:rPr>
                      <w:color w:val="000000"/>
                      <w:szCs w:val="21"/>
                    </w:rPr>
                    <w:t>年</w:t>
                  </w:r>
                </w:p>
              </w:tc>
            </w:tr>
            <w:tr w14:paraId="2302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Merge w:val="restart"/>
                  <w:noWrap w:val="0"/>
                  <w:vAlign w:val="center"/>
                </w:tcPr>
                <w:p w14:paraId="526040C3">
                  <w:pPr>
                    <w:jc w:val="center"/>
                    <w:rPr>
                      <w:color w:val="000000"/>
                      <w:szCs w:val="21"/>
                    </w:rPr>
                  </w:pPr>
                  <w:r>
                    <w:rPr>
                      <w:rFonts w:hint="default" w:ascii="Times New Roman" w:hAnsi="Times New Roman" w:eastAsia="宋体" w:cs="Times New Roman"/>
                      <w:sz w:val="21"/>
                      <w:szCs w:val="21"/>
                    </w:rPr>
                    <w:t>厂界</w:t>
                  </w:r>
                </w:p>
              </w:tc>
              <w:tc>
                <w:tcPr>
                  <w:tcW w:w="1096" w:type="dxa"/>
                  <w:vMerge w:val="restart"/>
                  <w:noWrap w:val="0"/>
                  <w:vAlign w:val="center"/>
                </w:tcPr>
                <w:p w14:paraId="421EB879">
                  <w:pPr>
                    <w:jc w:val="center"/>
                    <w:rPr>
                      <w:rFonts w:hint="eastAsia" w:eastAsia="宋体"/>
                      <w:color w:val="000000"/>
                      <w:szCs w:val="21"/>
                      <w:lang w:val="en-US" w:eastAsia="zh-CN"/>
                    </w:rPr>
                  </w:pPr>
                  <w:r>
                    <w:rPr>
                      <w:rFonts w:hint="eastAsia"/>
                      <w:color w:val="000000"/>
                      <w:szCs w:val="21"/>
                      <w:lang w:val="en-US" w:eastAsia="zh-CN"/>
                    </w:rPr>
                    <w:t>/</w:t>
                  </w:r>
                </w:p>
              </w:tc>
              <w:tc>
                <w:tcPr>
                  <w:tcW w:w="1339" w:type="dxa"/>
                  <w:vMerge w:val="restart"/>
                  <w:noWrap w:val="0"/>
                  <w:vAlign w:val="center"/>
                </w:tcPr>
                <w:p w14:paraId="6C98DB6D">
                  <w:pPr>
                    <w:jc w:val="center"/>
                    <w:rPr>
                      <w:rFonts w:hint="default" w:eastAsia="宋体"/>
                      <w:color w:val="000000"/>
                      <w:szCs w:val="21"/>
                      <w:lang w:val="en-US" w:eastAsia="zh-CN"/>
                    </w:rPr>
                  </w:pPr>
                  <w:r>
                    <w:rPr>
                      <w:rFonts w:hint="eastAsia"/>
                      <w:color w:val="000000"/>
                      <w:szCs w:val="21"/>
                      <w:lang w:val="en-US" w:eastAsia="zh-CN"/>
                    </w:rPr>
                    <w:t>温度、湿度、风速、压力</w:t>
                  </w:r>
                </w:p>
              </w:tc>
              <w:tc>
                <w:tcPr>
                  <w:tcW w:w="1327" w:type="dxa"/>
                  <w:noWrap w:val="0"/>
                  <w:vAlign w:val="center"/>
                </w:tcPr>
                <w:p w14:paraId="3F0A932B">
                  <w:pPr>
                    <w:jc w:val="center"/>
                    <w:rPr>
                      <w:rFonts w:hint="eastAsia"/>
                      <w:color w:val="000000"/>
                      <w:szCs w:val="21"/>
                      <w:lang w:val="en-US" w:eastAsia="zh-CN"/>
                    </w:rPr>
                  </w:pPr>
                  <w:r>
                    <w:rPr>
                      <w:rFonts w:hint="eastAsia"/>
                      <w:color w:val="000000"/>
                      <w:szCs w:val="21"/>
                      <w:lang w:val="en-US" w:eastAsia="zh-CN"/>
                    </w:rPr>
                    <w:t>氨</w:t>
                  </w:r>
                </w:p>
              </w:tc>
              <w:tc>
                <w:tcPr>
                  <w:tcW w:w="1142" w:type="dxa"/>
                  <w:noWrap w:val="0"/>
                  <w:vAlign w:val="center"/>
                </w:tcPr>
                <w:p w14:paraId="23E2000D">
                  <w:pPr>
                    <w:jc w:val="center"/>
                    <w:rPr>
                      <w:rFonts w:hint="eastAsia"/>
                      <w:color w:val="000000"/>
                      <w:szCs w:val="21"/>
                      <w:lang w:val="en-US" w:eastAsia="zh-CN"/>
                    </w:rPr>
                  </w:pPr>
                  <w:r>
                    <w:rPr>
                      <w:rFonts w:hint="eastAsia"/>
                      <w:color w:val="000000"/>
                      <w:szCs w:val="21"/>
                      <w:lang w:val="en-US" w:eastAsia="zh-CN"/>
                    </w:rPr>
                    <w:t>手工监测</w:t>
                  </w:r>
                </w:p>
              </w:tc>
              <w:tc>
                <w:tcPr>
                  <w:tcW w:w="1373" w:type="dxa"/>
                  <w:noWrap w:val="0"/>
                  <w:vAlign w:val="center"/>
                </w:tcPr>
                <w:p w14:paraId="29454F76">
                  <w:pPr>
                    <w:jc w:val="center"/>
                    <w:rPr>
                      <w:rFonts w:hint="eastAsia"/>
                      <w:color w:val="000000"/>
                      <w:szCs w:val="21"/>
                      <w:lang w:val="en-US" w:eastAsia="zh-CN"/>
                    </w:rPr>
                  </w:pPr>
                  <w:r>
                    <w:rPr>
                      <w:color w:val="000000"/>
                      <w:szCs w:val="21"/>
                    </w:rPr>
                    <w:t>连续采样</w:t>
                  </w:r>
                </w:p>
              </w:tc>
              <w:tc>
                <w:tcPr>
                  <w:tcW w:w="1128" w:type="dxa"/>
                  <w:noWrap w:val="0"/>
                  <w:vAlign w:val="center"/>
                </w:tcPr>
                <w:p w14:paraId="28002798">
                  <w:pPr>
                    <w:jc w:val="center"/>
                    <w:rPr>
                      <w:color w:val="000000"/>
                      <w:szCs w:val="21"/>
                    </w:rPr>
                  </w:pPr>
                  <w:r>
                    <w:rPr>
                      <w:color w:val="000000"/>
                      <w:szCs w:val="21"/>
                    </w:rPr>
                    <w:t>1次/</w:t>
                  </w:r>
                  <w:r>
                    <w:rPr>
                      <w:rFonts w:hint="eastAsia"/>
                      <w:color w:val="000000"/>
                      <w:szCs w:val="21"/>
                      <w:lang w:val="en-US" w:eastAsia="zh-CN"/>
                    </w:rPr>
                    <w:t>半</w:t>
                  </w:r>
                  <w:r>
                    <w:rPr>
                      <w:color w:val="000000"/>
                      <w:szCs w:val="21"/>
                    </w:rPr>
                    <w:t>年</w:t>
                  </w:r>
                </w:p>
              </w:tc>
            </w:tr>
            <w:tr w14:paraId="4776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Merge w:val="continue"/>
                  <w:noWrap w:val="0"/>
                  <w:vAlign w:val="center"/>
                </w:tcPr>
                <w:p w14:paraId="0901B997">
                  <w:pPr>
                    <w:jc w:val="center"/>
                    <w:rPr>
                      <w:rFonts w:hint="default" w:ascii="Times New Roman" w:hAnsi="Times New Roman" w:eastAsia="宋体" w:cs="Times New Roman"/>
                      <w:sz w:val="21"/>
                      <w:szCs w:val="21"/>
                    </w:rPr>
                  </w:pPr>
                </w:p>
              </w:tc>
              <w:tc>
                <w:tcPr>
                  <w:tcW w:w="1096" w:type="dxa"/>
                  <w:vMerge w:val="continue"/>
                  <w:noWrap w:val="0"/>
                  <w:vAlign w:val="center"/>
                </w:tcPr>
                <w:p w14:paraId="5C227DB8">
                  <w:pPr>
                    <w:jc w:val="center"/>
                    <w:rPr>
                      <w:rFonts w:hint="eastAsia"/>
                      <w:color w:val="000000"/>
                      <w:szCs w:val="21"/>
                      <w:lang w:val="en-US" w:eastAsia="zh-CN"/>
                    </w:rPr>
                  </w:pPr>
                </w:p>
              </w:tc>
              <w:tc>
                <w:tcPr>
                  <w:tcW w:w="1339" w:type="dxa"/>
                  <w:vMerge w:val="continue"/>
                  <w:noWrap w:val="0"/>
                  <w:vAlign w:val="center"/>
                </w:tcPr>
                <w:p w14:paraId="37FDB295">
                  <w:pPr>
                    <w:jc w:val="center"/>
                    <w:rPr>
                      <w:rFonts w:hint="eastAsia"/>
                      <w:color w:val="000000"/>
                      <w:szCs w:val="21"/>
                      <w:lang w:val="en-US" w:eastAsia="zh-CN"/>
                    </w:rPr>
                  </w:pPr>
                </w:p>
              </w:tc>
              <w:tc>
                <w:tcPr>
                  <w:tcW w:w="1327" w:type="dxa"/>
                  <w:noWrap w:val="0"/>
                  <w:vAlign w:val="center"/>
                </w:tcPr>
                <w:p w14:paraId="4750D8A7">
                  <w:pPr>
                    <w:jc w:val="center"/>
                    <w:rPr>
                      <w:rFonts w:hint="eastAsia"/>
                      <w:color w:val="000000"/>
                      <w:szCs w:val="21"/>
                      <w:lang w:val="en-US" w:eastAsia="zh-CN"/>
                    </w:rPr>
                  </w:pPr>
                  <w:r>
                    <w:rPr>
                      <w:rFonts w:hint="eastAsia"/>
                      <w:color w:val="000000"/>
                      <w:szCs w:val="21"/>
                      <w:lang w:val="en-US" w:eastAsia="zh-CN"/>
                    </w:rPr>
                    <w:t>硫化氢</w:t>
                  </w:r>
                </w:p>
              </w:tc>
              <w:tc>
                <w:tcPr>
                  <w:tcW w:w="1142" w:type="dxa"/>
                  <w:noWrap w:val="0"/>
                  <w:vAlign w:val="center"/>
                </w:tcPr>
                <w:p w14:paraId="7317C856">
                  <w:pPr>
                    <w:jc w:val="center"/>
                    <w:rPr>
                      <w:rFonts w:hint="eastAsia"/>
                      <w:color w:val="000000"/>
                      <w:szCs w:val="21"/>
                      <w:lang w:val="en-US" w:eastAsia="zh-CN"/>
                    </w:rPr>
                  </w:pPr>
                  <w:r>
                    <w:rPr>
                      <w:rFonts w:hint="eastAsia"/>
                      <w:color w:val="000000"/>
                      <w:szCs w:val="21"/>
                      <w:lang w:val="en-US" w:eastAsia="zh-CN"/>
                    </w:rPr>
                    <w:t>手工监测</w:t>
                  </w:r>
                </w:p>
              </w:tc>
              <w:tc>
                <w:tcPr>
                  <w:tcW w:w="1373" w:type="dxa"/>
                  <w:noWrap w:val="0"/>
                  <w:vAlign w:val="center"/>
                </w:tcPr>
                <w:p w14:paraId="086122E0">
                  <w:pPr>
                    <w:jc w:val="center"/>
                    <w:rPr>
                      <w:color w:val="000000"/>
                      <w:szCs w:val="21"/>
                    </w:rPr>
                  </w:pPr>
                  <w:r>
                    <w:rPr>
                      <w:color w:val="000000"/>
                      <w:szCs w:val="21"/>
                    </w:rPr>
                    <w:t>连续采样</w:t>
                  </w:r>
                </w:p>
              </w:tc>
              <w:tc>
                <w:tcPr>
                  <w:tcW w:w="1128" w:type="dxa"/>
                  <w:noWrap w:val="0"/>
                  <w:vAlign w:val="center"/>
                </w:tcPr>
                <w:p w14:paraId="7D38C00B">
                  <w:pPr>
                    <w:jc w:val="center"/>
                    <w:rPr>
                      <w:color w:val="000000"/>
                      <w:szCs w:val="21"/>
                    </w:rPr>
                  </w:pPr>
                  <w:r>
                    <w:rPr>
                      <w:color w:val="000000"/>
                      <w:szCs w:val="21"/>
                    </w:rPr>
                    <w:t>1次/</w:t>
                  </w:r>
                  <w:r>
                    <w:rPr>
                      <w:rFonts w:hint="eastAsia"/>
                      <w:color w:val="000000"/>
                      <w:szCs w:val="21"/>
                      <w:lang w:val="en-US" w:eastAsia="zh-CN"/>
                    </w:rPr>
                    <w:t>半</w:t>
                  </w:r>
                  <w:r>
                    <w:rPr>
                      <w:color w:val="000000"/>
                      <w:szCs w:val="21"/>
                    </w:rPr>
                    <w:t>年</w:t>
                  </w:r>
                </w:p>
              </w:tc>
            </w:tr>
            <w:tr w14:paraId="28E8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Merge w:val="continue"/>
                  <w:noWrap w:val="0"/>
                  <w:vAlign w:val="center"/>
                </w:tcPr>
                <w:p w14:paraId="1A85E5FA">
                  <w:pPr>
                    <w:jc w:val="center"/>
                    <w:rPr>
                      <w:color w:val="000000"/>
                      <w:szCs w:val="21"/>
                    </w:rPr>
                  </w:pPr>
                </w:p>
              </w:tc>
              <w:tc>
                <w:tcPr>
                  <w:tcW w:w="1096" w:type="dxa"/>
                  <w:vMerge w:val="continue"/>
                  <w:noWrap w:val="0"/>
                  <w:vAlign w:val="center"/>
                </w:tcPr>
                <w:p w14:paraId="49EB06C3">
                  <w:pPr>
                    <w:jc w:val="center"/>
                    <w:rPr>
                      <w:color w:val="000000"/>
                      <w:szCs w:val="21"/>
                    </w:rPr>
                  </w:pPr>
                </w:p>
              </w:tc>
              <w:tc>
                <w:tcPr>
                  <w:tcW w:w="1339" w:type="dxa"/>
                  <w:vMerge w:val="continue"/>
                  <w:noWrap w:val="0"/>
                  <w:vAlign w:val="center"/>
                </w:tcPr>
                <w:p w14:paraId="35319042">
                  <w:pPr>
                    <w:jc w:val="center"/>
                    <w:rPr>
                      <w:color w:val="000000"/>
                      <w:szCs w:val="21"/>
                    </w:rPr>
                  </w:pPr>
                </w:p>
              </w:tc>
              <w:tc>
                <w:tcPr>
                  <w:tcW w:w="1327" w:type="dxa"/>
                  <w:noWrap w:val="0"/>
                  <w:vAlign w:val="center"/>
                </w:tcPr>
                <w:p w14:paraId="5137502D">
                  <w:pPr>
                    <w:jc w:val="center"/>
                    <w:rPr>
                      <w:rFonts w:hint="eastAsia"/>
                      <w:color w:val="000000"/>
                      <w:szCs w:val="21"/>
                      <w:lang w:val="en-US" w:eastAsia="zh-CN"/>
                    </w:rPr>
                  </w:pPr>
                  <w:r>
                    <w:rPr>
                      <w:rFonts w:hint="eastAsia"/>
                      <w:color w:val="000000"/>
                      <w:szCs w:val="21"/>
                      <w:lang w:val="en-US" w:eastAsia="zh-CN"/>
                    </w:rPr>
                    <w:t>臭气浓度</w:t>
                  </w:r>
                </w:p>
              </w:tc>
              <w:tc>
                <w:tcPr>
                  <w:tcW w:w="1142" w:type="dxa"/>
                  <w:noWrap w:val="0"/>
                  <w:vAlign w:val="center"/>
                </w:tcPr>
                <w:p w14:paraId="32A927DA">
                  <w:pPr>
                    <w:jc w:val="center"/>
                    <w:rPr>
                      <w:rFonts w:hint="eastAsia"/>
                      <w:color w:val="000000"/>
                      <w:szCs w:val="21"/>
                      <w:lang w:val="en-US" w:eastAsia="zh-CN"/>
                    </w:rPr>
                  </w:pPr>
                  <w:r>
                    <w:rPr>
                      <w:rFonts w:hint="eastAsia"/>
                      <w:color w:val="000000"/>
                      <w:szCs w:val="21"/>
                      <w:lang w:val="en-US" w:eastAsia="zh-CN"/>
                    </w:rPr>
                    <w:t>手工监测</w:t>
                  </w:r>
                </w:p>
              </w:tc>
              <w:tc>
                <w:tcPr>
                  <w:tcW w:w="1373" w:type="dxa"/>
                  <w:noWrap w:val="0"/>
                  <w:vAlign w:val="center"/>
                </w:tcPr>
                <w:p w14:paraId="28FF4CBC">
                  <w:pPr>
                    <w:jc w:val="center"/>
                    <w:rPr>
                      <w:rFonts w:hint="eastAsia"/>
                      <w:color w:val="000000"/>
                      <w:szCs w:val="21"/>
                      <w:lang w:val="en-US" w:eastAsia="zh-CN"/>
                    </w:rPr>
                  </w:pPr>
                  <w:r>
                    <w:rPr>
                      <w:color w:val="000000"/>
                      <w:szCs w:val="21"/>
                    </w:rPr>
                    <w:t>连续采样</w:t>
                  </w:r>
                </w:p>
              </w:tc>
              <w:tc>
                <w:tcPr>
                  <w:tcW w:w="1128" w:type="dxa"/>
                  <w:noWrap w:val="0"/>
                  <w:vAlign w:val="center"/>
                </w:tcPr>
                <w:p w14:paraId="4A885935">
                  <w:pPr>
                    <w:jc w:val="center"/>
                    <w:rPr>
                      <w:color w:val="000000"/>
                      <w:szCs w:val="21"/>
                    </w:rPr>
                  </w:pPr>
                  <w:r>
                    <w:rPr>
                      <w:color w:val="000000"/>
                      <w:szCs w:val="21"/>
                    </w:rPr>
                    <w:t>1次/</w:t>
                  </w:r>
                  <w:r>
                    <w:rPr>
                      <w:rFonts w:hint="eastAsia"/>
                      <w:color w:val="000000"/>
                      <w:szCs w:val="21"/>
                      <w:lang w:val="en-US" w:eastAsia="zh-CN"/>
                    </w:rPr>
                    <w:t>半</w:t>
                  </w:r>
                  <w:r>
                    <w:rPr>
                      <w:color w:val="000000"/>
                      <w:szCs w:val="21"/>
                    </w:rPr>
                    <w:t>年</w:t>
                  </w:r>
                </w:p>
              </w:tc>
            </w:tr>
            <w:tr w14:paraId="3578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6" w:type="dxa"/>
                  <w:noWrap w:val="0"/>
                  <w:vAlign w:val="center"/>
                </w:tcPr>
                <w:p w14:paraId="1C97D702">
                  <w:pPr>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DW001</w:t>
                  </w:r>
                </w:p>
              </w:tc>
              <w:tc>
                <w:tcPr>
                  <w:tcW w:w="1096" w:type="dxa"/>
                  <w:noWrap w:val="0"/>
                  <w:vAlign w:val="center"/>
                </w:tcPr>
                <w:p w14:paraId="31B8B74C">
                  <w:pPr>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厂区废水综合排放口</w:t>
                  </w:r>
                </w:p>
              </w:tc>
              <w:tc>
                <w:tcPr>
                  <w:tcW w:w="1339" w:type="dxa"/>
                  <w:noWrap w:val="0"/>
                  <w:vAlign w:val="center"/>
                </w:tcPr>
                <w:p w14:paraId="34E54BB3">
                  <w:pPr>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流量、水温</w:t>
                  </w:r>
                </w:p>
              </w:tc>
              <w:tc>
                <w:tcPr>
                  <w:tcW w:w="1327" w:type="dxa"/>
                  <w:noWrap w:val="0"/>
                  <w:vAlign w:val="center"/>
                </w:tcPr>
                <w:p w14:paraId="7C732BD2">
                  <w:pPr>
                    <w:jc w:val="center"/>
                    <w:rPr>
                      <w:rFonts w:hint="eastAsia" w:ascii="Times New Roman" w:hAnsi="Times New Roman" w:eastAsia="宋体" w:cs="Times New Roman"/>
                      <w:color w:val="000000"/>
                      <w:szCs w:val="21"/>
                      <w:lang w:val="en-US" w:eastAsia="zh-CN"/>
                    </w:rPr>
                  </w:pPr>
                  <w:r>
                    <w:rPr>
                      <w:rFonts w:hint="default" w:ascii="Times New Roman" w:hAnsi="Times New Roman" w:cs="Times New Roman"/>
                      <w:sz w:val="21"/>
                      <w:szCs w:val="21"/>
                      <w:lang w:val="en-US" w:eastAsia="zh-CN"/>
                    </w:rPr>
                    <w:t>pH、COD</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BOD</w:t>
                  </w:r>
                  <w:r>
                    <w:rPr>
                      <w:rFonts w:hint="default" w:ascii="Times New Roman" w:hAnsi="Times New Roman" w:cs="Times New Roman"/>
                      <w:sz w:val="21"/>
                      <w:szCs w:val="21"/>
                      <w:vertAlign w:val="subscript"/>
                      <w:lang w:val="en-US" w:eastAsia="zh-CN"/>
                    </w:rPr>
                    <w:t>5</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SS</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NH</w:t>
                  </w:r>
                  <w:r>
                    <w:rPr>
                      <w:rFonts w:hint="default" w:ascii="Times New Roman" w:hAnsi="Times New Roman" w:cs="Times New Roman"/>
                      <w:sz w:val="21"/>
                      <w:szCs w:val="21"/>
                      <w:vertAlign w:val="subscript"/>
                      <w:lang w:val="en-US" w:eastAsia="zh-CN"/>
                    </w:rPr>
                    <w:t>3</w:t>
                  </w:r>
                  <w:r>
                    <w:rPr>
                      <w:rFonts w:hint="default" w:ascii="Times New Roman" w:hAnsi="Times New Roman" w:cs="Times New Roman"/>
                      <w:sz w:val="21"/>
                      <w:szCs w:val="21"/>
                      <w:lang w:val="en-US" w:eastAsia="zh-CN"/>
                    </w:rPr>
                    <w:t>-N</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TN</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TP</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全盐量</w:t>
                  </w:r>
                </w:p>
              </w:tc>
              <w:tc>
                <w:tcPr>
                  <w:tcW w:w="1142" w:type="dxa"/>
                  <w:noWrap w:val="0"/>
                  <w:vAlign w:val="center"/>
                </w:tcPr>
                <w:p w14:paraId="293FADD8">
                  <w:pPr>
                    <w:jc w:val="center"/>
                    <w:rPr>
                      <w:rFonts w:hint="eastAsia" w:ascii="Times New Roman" w:hAnsi="Times New Roman" w:eastAsia="宋体" w:cs="Times New Roman"/>
                      <w:color w:val="000000"/>
                      <w:szCs w:val="21"/>
                      <w:lang w:val="en-US" w:eastAsia="zh-CN"/>
                    </w:rPr>
                  </w:pPr>
                  <w:r>
                    <w:rPr>
                      <w:rFonts w:hint="eastAsia"/>
                      <w:color w:val="000000"/>
                      <w:szCs w:val="21"/>
                      <w:lang w:val="en-US" w:eastAsia="zh-CN"/>
                    </w:rPr>
                    <w:t>手工监测</w:t>
                  </w:r>
                </w:p>
              </w:tc>
              <w:tc>
                <w:tcPr>
                  <w:tcW w:w="1373" w:type="dxa"/>
                  <w:noWrap w:val="0"/>
                  <w:vAlign w:val="center"/>
                </w:tcPr>
                <w:p w14:paraId="6622EC15">
                  <w:pPr>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sz w:val="21"/>
                      <w:szCs w:val="21"/>
                      <w:lang w:val="en-US" w:eastAsia="zh-CN"/>
                    </w:rPr>
                    <w:t>混合采样至少3个混合样</w:t>
                  </w:r>
                </w:p>
              </w:tc>
              <w:tc>
                <w:tcPr>
                  <w:tcW w:w="1128" w:type="dxa"/>
                  <w:noWrap w:val="0"/>
                  <w:vAlign w:val="center"/>
                </w:tcPr>
                <w:p w14:paraId="38405508">
                  <w:pPr>
                    <w:jc w:val="center"/>
                    <w:rPr>
                      <w:rFonts w:hint="eastAsia" w:ascii="Times New Roman" w:hAnsi="Times New Roman" w:eastAsia="宋体" w:cs="Times New Roman"/>
                      <w:color w:val="000000"/>
                      <w:szCs w:val="21"/>
                      <w:lang w:val="en-US" w:eastAsia="zh-CN"/>
                    </w:rPr>
                  </w:pPr>
                  <w:r>
                    <w:rPr>
                      <w:color w:val="000000"/>
                      <w:szCs w:val="21"/>
                    </w:rPr>
                    <w:t>1次/</w:t>
                  </w:r>
                  <w:r>
                    <w:rPr>
                      <w:rFonts w:hint="eastAsia"/>
                      <w:color w:val="000000"/>
                      <w:szCs w:val="21"/>
                      <w:lang w:val="en-US" w:eastAsia="zh-CN"/>
                    </w:rPr>
                    <w:t>半</w:t>
                  </w:r>
                  <w:r>
                    <w:rPr>
                      <w:color w:val="000000"/>
                      <w:szCs w:val="21"/>
                    </w:rPr>
                    <w:t>年</w:t>
                  </w:r>
                </w:p>
              </w:tc>
            </w:tr>
            <w:tr w14:paraId="0B32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noWrap w:val="0"/>
                  <w:vAlign w:val="center"/>
                </w:tcPr>
                <w:p w14:paraId="7B98FEF9">
                  <w:pPr>
                    <w:jc w:val="center"/>
                    <w:rPr>
                      <w:color w:val="000000"/>
                      <w:szCs w:val="21"/>
                    </w:rPr>
                  </w:pPr>
                  <w:r>
                    <w:rPr>
                      <w:rFonts w:hint="eastAsia" w:ascii="Times New Roman" w:hAnsi="Times New Roman"/>
                      <w:color w:val="000000"/>
                      <w:szCs w:val="21"/>
                    </w:rPr>
                    <w:t>噪声</w:t>
                  </w:r>
                </w:p>
              </w:tc>
              <w:tc>
                <w:tcPr>
                  <w:tcW w:w="1096" w:type="dxa"/>
                  <w:noWrap w:val="0"/>
                  <w:vAlign w:val="center"/>
                </w:tcPr>
                <w:p w14:paraId="4039EC81">
                  <w:pPr>
                    <w:pStyle w:val="46"/>
                    <w:spacing w:line="240" w:lineRule="auto"/>
                    <w:rPr>
                      <w:color w:val="000000"/>
                      <w:szCs w:val="21"/>
                    </w:rPr>
                  </w:pPr>
                  <w:r>
                    <w:rPr>
                      <w:rFonts w:ascii="Times New Roman" w:hAnsi="Times New Roman"/>
                      <w:color w:val="000000"/>
                      <w:sz w:val="21"/>
                    </w:rPr>
                    <w:t>厂界</w:t>
                  </w:r>
                </w:p>
              </w:tc>
              <w:tc>
                <w:tcPr>
                  <w:tcW w:w="1339" w:type="dxa"/>
                  <w:noWrap w:val="0"/>
                  <w:vAlign w:val="center"/>
                </w:tcPr>
                <w:p w14:paraId="396436B8">
                  <w:pPr>
                    <w:pStyle w:val="46"/>
                    <w:spacing w:line="240" w:lineRule="auto"/>
                    <w:rPr>
                      <w:color w:val="000000"/>
                      <w:szCs w:val="21"/>
                    </w:rPr>
                  </w:pPr>
                  <w:r>
                    <w:rPr>
                      <w:rFonts w:hint="eastAsia" w:ascii="Times New Roman" w:hAnsi="Times New Roman"/>
                      <w:color w:val="000000"/>
                      <w:sz w:val="21"/>
                    </w:rPr>
                    <w:t>/</w:t>
                  </w:r>
                </w:p>
              </w:tc>
              <w:tc>
                <w:tcPr>
                  <w:tcW w:w="1327" w:type="dxa"/>
                  <w:noWrap w:val="0"/>
                  <w:vAlign w:val="center"/>
                </w:tcPr>
                <w:p w14:paraId="329933C4">
                  <w:pPr>
                    <w:pStyle w:val="46"/>
                    <w:spacing w:line="240" w:lineRule="auto"/>
                    <w:rPr>
                      <w:rFonts w:hint="eastAsia"/>
                      <w:color w:val="000000"/>
                      <w:szCs w:val="21"/>
                      <w:lang w:val="en-US" w:eastAsia="zh-CN"/>
                    </w:rPr>
                  </w:pPr>
                  <w:r>
                    <w:rPr>
                      <w:rFonts w:hint="eastAsia"/>
                      <w:szCs w:val="21"/>
                    </w:rPr>
                    <w:t>L</w:t>
                  </w:r>
                  <w:r>
                    <w:rPr>
                      <w:rFonts w:hint="eastAsia"/>
                      <w:szCs w:val="21"/>
                      <w:vertAlign w:val="subscript"/>
                    </w:rPr>
                    <w:t>eq</w:t>
                  </w:r>
                </w:p>
              </w:tc>
              <w:tc>
                <w:tcPr>
                  <w:tcW w:w="1142" w:type="dxa"/>
                  <w:noWrap w:val="0"/>
                  <w:vAlign w:val="center"/>
                </w:tcPr>
                <w:p w14:paraId="7BC7C2D0">
                  <w:pPr>
                    <w:pStyle w:val="46"/>
                    <w:spacing w:line="240" w:lineRule="auto"/>
                    <w:rPr>
                      <w:rFonts w:hint="eastAsia"/>
                      <w:color w:val="000000"/>
                      <w:szCs w:val="21"/>
                      <w:lang w:val="en-US" w:eastAsia="zh-CN"/>
                    </w:rPr>
                  </w:pPr>
                  <w:r>
                    <w:rPr>
                      <w:rFonts w:hint="eastAsia" w:ascii="Times New Roman" w:hAnsi="Times New Roman"/>
                      <w:color w:val="000000"/>
                      <w:sz w:val="21"/>
                    </w:rPr>
                    <w:t>手工监测</w:t>
                  </w:r>
                </w:p>
              </w:tc>
              <w:tc>
                <w:tcPr>
                  <w:tcW w:w="1373" w:type="dxa"/>
                  <w:noWrap w:val="0"/>
                  <w:vAlign w:val="center"/>
                </w:tcPr>
                <w:p w14:paraId="225A9F93">
                  <w:pPr>
                    <w:jc w:val="center"/>
                    <w:rPr>
                      <w:rFonts w:hint="eastAsia" w:eastAsia="宋体"/>
                      <w:color w:val="000000"/>
                      <w:szCs w:val="21"/>
                      <w:lang w:val="en-US" w:eastAsia="zh-CN"/>
                    </w:rPr>
                  </w:pPr>
                  <w:r>
                    <w:rPr>
                      <w:rFonts w:hint="eastAsia"/>
                      <w:color w:val="000000"/>
                      <w:szCs w:val="21"/>
                      <w:lang w:val="en-US" w:eastAsia="zh-CN"/>
                    </w:rPr>
                    <w:t>/</w:t>
                  </w:r>
                </w:p>
              </w:tc>
              <w:tc>
                <w:tcPr>
                  <w:tcW w:w="1128" w:type="dxa"/>
                  <w:noWrap w:val="0"/>
                  <w:vAlign w:val="center"/>
                </w:tcPr>
                <w:p w14:paraId="0543F164">
                  <w:pPr>
                    <w:jc w:val="center"/>
                    <w:rPr>
                      <w:color w:val="000000"/>
                      <w:szCs w:val="21"/>
                    </w:rPr>
                  </w:pPr>
                  <w:r>
                    <w:rPr>
                      <w:color w:val="000000"/>
                      <w:szCs w:val="21"/>
                    </w:rPr>
                    <w:t>1次</w:t>
                  </w:r>
                  <w:r>
                    <w:rPr>
                      <w:rFonts w:hint="eastAsia" w:ascii="Times New Roman" w:hAnsi="Times New Roman"/>
                      <w:color w:val="000000"/>
                      <w:szCs w:val="21"/>
                    </w:rPr>
                    <w:t>/季度</w:t>
                  </w:r>
                </w:p>
              </w:tc>
            </w:tr>
          </w:tbl>
          <w:p w14:paraId="2727FFE9">
            <w:pPr>
              <w:autoSpaceDE w:val="0"/>
              <w:autoSpaceDN w:val="0"/>
              <w:adjustRightInd w:val="0"/>
              <w:spacing w:line="360" w:lineRule="auto"/>
              <w:ind w:firstLine="482" w:firstLineChars="200"/>
              <w:rPr>
                <w:rFonts w:hint="eastAsia" w:eastAsia="宋体"/>
                <w:b/>
                <w:color w:val="000000"/>
                <w:kern w:val="0"/>
                <w:sz w:val="24"/>
                <w:lang w:val="en-US" w:eastAsia="zh-CN"/>
              </w:rPr>
            </w:pPr>
            <w:r>
              <w:rPr>
                <w:rFonts w:hint="eastAsia"/>
                <w:b/>
                <w:color w:val="000000"/>
                <w:kern w:val="0"/>
                <w:sz w:val="24"/>
                <w:lang w:val="en-US" w:eastAsia="zh-CN"/>
              </w:rPr>
              <w:t>4、</w:t>
            </w:r>
            <w:r>
              <w:rPr>
                <w:b/>
                <w:color w:val="000000"/>
                <w:kern w:val="0"/>
                <w:sz w:val="24"/>
              </w:rPr>
              <w:t>与排污许可衔接</w:t>
            </w:r>
            <w:r>
              <w:rPr>
                <w:rFonts w:hint="eastAsia"/>
                <w:b/>
                <w:color w:val="000000"/>
                <w:kern w:val="0"/>
                <w:sz w:val="24"/>
                <w:lang w:val="en-US" w:eastAsia="zh-CN"/>
              </w:rPr>
              <w:t>内容</w:t>
            </w:r>
          </w:p>
          <w:p w14:paraId="64FF7309">
            <w:pPr>
              <w:spacing w:line="360" w:lineRule="auto"/>
              <w:ind w:firstLine="482"/>
              <w:rPr>
                <w:rFonts w:ascii="Times New Roman" w:hAnsi="Times New Roman"/>
                <w:b/>
                <w:bCs/>
                <w:sz w:val="24"/>
              </w:rPr>
            </w:pPr>
            <w:r>
              <w:rPr>
                <w:rFonts w:hint="eastAsia" w:ascii="Times New Roman" w:hAnsi="Times New Roman"/>
                <w:sz w:val="24"/>
              </w:rPr>
              <w:t>根据《排污许可管理条例》（中华人民共和国国务院令第736号）中第二条“依照法律规定实行排污许可管理的企业事业单位和其他生产经营者（以下称排污单位），应当依照本条例规定申请取得排污许可证；未取得排污许可证的，不得排放污染物。”</w:t>
            </w:r>
          </w:p>
          <w:p w14:paraId="0BE06576">
            <w:pPr>
              <w:adjustRightInd w:val="0"/>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000000" w:themeColor="text1"/>
                <w:sz w:val="24"/>
                <w14:textFill>
                  <w14:solidFill>
                    <w14:schemeClr w14:val="tx1"/>
                  </w14:solidFill>
                </w14:textFill>
              </w:rPr>
              <w:t>本项目产品为</w:t>
            </w:r>
            <w:r>
              <w:rPr>
                <w:rFonts w:hint="eastAsia" w:cs="Times New Roman"/>
                <w:color w:val="000000" w:themeColor="text1"/>
                <w:sz w:val="24"/>
                <w:lang w:val="en-US" w:eastAsia="zh-CN"/>
                <w14:textFill>
                  <w14:solidFill>
                    <w14:schemeClr w14:val="tx1"/>
                  </w14:solidFill>
                </w14:textFill>
              </w:rPr>
              <w:t>饲料添加剂</w:t>
            </w:r>
            <w:r>
              <w:rPr>
                <w:rFonts w:hint="eastAsia" w:ascii="Times New Roman" w:hAnsi="Times New Roman"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根据</w:t>
            </w:r>
            <w:r>
              <w:rPr>
                <w:rFonts w:hint="eastAsia" w:ascii="Times New Roman" w:hAnsi="Times New Roman" w:eastAsia="宋体" w:cs="Times New Roman"/>
                <w:color w:val="000000" w:themeColor="text1"/>
                <w:sz w:val="24"/>
                <w14:textFill>
                  <w14:solidFill>
                    <w14:schemeClr w14:val="tx1"/>
                  </w14:solidFill>
                </w14:textFill>
              </w:rPr>
              <w:t>《固定污染源排污许可分类管理名录》（2019年版）</w:t>
            </w:r>
            <w:r>
              <w:rPr>
                <w:rFonts w:hint="eastAsia" w:ascii="Times New Roman" w:hAnsi="Times New Roman" w:eastAsia="宋体" w:cs="Times New Roman"/>
                <w:color w:val="000000" w:themeColor="text1"/>
                <w:sz w:val="24"/>
                <w:lang w:val="en-US" w:eastAsia="zh-CN"/>
                <w14:textFill>
                  <w14:solidFill>
                    <w14:schemeClr w14:val="tx1"/>
                  </w14:solidFill>
                </w14:textFill>
              </w:rPr>
              <w:t>“九、食品制造业14，方便食品制造143，其他食品制造149”中</w:t>
            </w:r>
            <w:r>
              <w:rPr>
                <w:rFonts w:hint="eastAsia" w:ascii="Times New Roman" w:hAnsi="Times New Roman" w:eastAsia="宋体" w:cs="Times New Roman"/>
                <w:color w:val="000000" w:themeColor="text1"/>
                <w:sz w:val="24"/>
                <w:lang w:eastAsia="zh-CN"/>
                <w14:textFill>
                  <w14:solidFill>
                    <w14:schemeClr w14:val="tx1"/>
                  </w14:solidFill>
                </w14:textFill>
              </w:rPr>
              <w:t>“食品及饲料添加剂制造1495*，以上均不含手工制作、单纯混合或者分装的”</w:t>
            </w:r>
            <w:r>
              <w:rPr>
                <w:rFonts w:hint="eastAsia" w:ascii="Times New Roman" w:hAnsi="Times New Roman" w:eastAsia="宋体" w:cs="Times New Roman"/>
                <w:color w:val="000000" w:themeColor="text1"/>
                <w:sz w:val="24"/>
                <w:lang w:val="en-US" w:eastAsia="zh-CN"/>
                <w14:textFill>
                  <w14:solidFill>
                    <w14:schemeClr w14:val="tx1"/>
                  </w14:solidFill>
                </w14:textFill>
              </w:rPr>
              <w:t>可知，项目属于简化管理</w:t>
            </w:r>
            <w:r>
              <w:rPr>
                <w:rFonts w:hint="eastAsia" w:ascii="Times New Roman" w:hAnsi="Times New Roman" w:eastAsia="宋体" w:cs="Times New Roman"/>
                <w:sz w:val="24"/>
                <w:lang w:eastAsia="zh-CN"/>
              </w:rPr>
              <w:t>。</w:t>
            </w:r>
          </w:p>
          <w:p w14:paraId="4226908D">
            <w:pPr>
              <w:spacing w:line="360" w:lineRule="auto"/>
              <w:ind w:firstLine="482"/>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本项目建成后，应当在全国排污许可证管理信息平台填报排污许可，填报基本信息、污染物产生及排放去向、执行的污染物排放标准以及采取的污染防治措施等信息</w:t>
            </w:r>
            <w:r>
              <w:rPr>
                <w:rFonts w:hint="eastAsia" w:ascii="Times New Roman" w:hAnsi="Times New Roman" w:eastAsia="宋体" w:cs="Times New Roman"/>
                <w:sz w:val="24"/>
              </w:rPr>
              <w:t>。排污许可联动表见附件。</w:t>
            </w:r>
          </w:p>
          <w:p w14:paraId="2F545643">
            <w:pPr>
              <w:spacing w:line="360" w:lineRule="auto"/>
              <w:ind w:firstLine="482" w:firstLineChars="200"/>
              <w:rPr>
                <w:b/>
                <w:bCs/>
                <w:color w:val="000000" w:themeColor="text1"/>
                <w:sz w:val="24"/>
                <w14:textFill>
                  <w14:solidFill>
                    <w14:schemeClr w14:val="tx1"/>
                  </w14:solidFill>
                </w14:textFill>
              </w:rPr>
            </w:pPr>
            <w:r>
              <w:rPr>
                <w:rFonts w:hint="eastAsia"/>
                <w:b/>
                <w:bCs/>
                <w:color w:val="000000" w:themeColor="text1"/>
                <w:sz w:val="24"/>
                <w:lang w:val="en-US" w:eastAsia="zh-CN"/>
                <w14:textFill>
                  <w14:solidFill>
                    <w14:schemeClr w14:val="tx1"/>
                  </w14:solidFill>
                </w14:textFill>
              </w:rPr>
              <w:t>5</w:t>
            </w:r>
            <w:r>
              <w:rPr>
                <w:rFonts w:hint="eastAsia"/>
                <w:b/>
                <w:bCs/>
                <w:color w:val="000000" w:themeColor="text1"/>
                <w:sz w:val="24"/>
                <w14:textFill>
                  <w14:solidFill>
                    <w14:schemeClr w14:val="tx1"/>
                  </w14:solidFill>
                </w14:textFill>
              </w:rPr>
              <w:t>、</w:t>
            </w:r>
            <w:r>
              <w:rPr>
                <w:b/>
                <w:bCs/>
                <w:color w:val="000000" w:themeColor="text1"/>
                <w:sz w:val="24"/>
                <w14:textFill>
                  <w14:solidFill>
                    <w14:schemeClr w14:val="tx1"/>
                  </w14:solidFill>
                </w14:textFill>
              </w:rPr>
              <w:t>项目环保治理投资估算</w:t>
            </w:r>
          </w:p>
          <w:p w14:paraId="74F99813">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本项目总投资为</w:t>
            </w:r>
            <w:r>
              <w:rPr>
                <w:rFonts w:hint="eastAsia"/>
                <w:bCs/>
                <w:color w:val="000000" w:themeColor="text1"/>
                <w:sz w:val="24"/>
                <w:lang w:val="en-US" w:eastAsia="zh-CN"/>
                <w14:textFill>
                  <w14:solidFill>
                    <w14:schemeClr w14:val="tx1"/>
                  </w14:solidFill>
                </w14:textFill>
              </w:rPr>
              <w:t>11000</w:t>
            </w:r>
            <w:r>
              <w:rPr>
                <w:bCs/>
                <w:color w:val="000000" w:themeColor="text1"/>
                <w:sz w:val="24"/>
                <w14:textFill>
                  <w14:solidFill>
                    <w14:schemeClr w14:val="tx1"/>
                  </w14:solidFill>
                </w14:textFill>
              </w:rPr>
              <w:t>万元，其中环保投资为</w:t>
            </w:r>
            <w:r>
              <w:rPr>
                <w:rFonts w:hint="eastAsia"/>
                <w:bCs/>
                <w:color w:val="000000" w:themeColor="text1"/>
                <w:sz w:val="24"/>
                <w:lang w:val="en-US" w:eastAsia="zh-CN"/>
                <w14:textFill>
                  <w14:solidFill>
                    <w14:schemeClr w14:val="tx1"/>
                  </w14:solidFill>
                </w14:textFill>
              </w:rPr>
              <w:t>73</w:t>
            </w:r>
            <w:r>
              <w:rPr>
                <w:bCs/>
                <w:color w:val="000000" w:themeColor="text1"/>
                <w:sz w:val="24"/>
                <w14:textFill>
                  <w14:solidFill>
                    <w14:schemeClr w14:val="tx1"/>
                  </w14:solidFill>
                </w14:textFill>
              </w:rPr>
              <w:t>万元，占总投资的</w:t>
            </w:r>
            <w:r>
              <w:rPr>
                <w:rFonts w:hint="eastAsia"/>
                <w:bCs/>
                <w:color w:val="000000" w:themeColor="text1"/>
                <w:sz w:val="24"/>
                <w:lang w:val="en-US" w:eastAsia="zh-CN"/>
                <w14:textFill>
                  <w14:solidFill>
                    <w14:schemeClr w14:val="tx1"/>
                  </w14:solidFill>
                </w14:textFill>
              </w:rPr>
              <w:t>0.66</w:t>
            </w:r>
            <w:r>
              <w:rPr>
                <w:bCs/>
                <w:color w:val="000000" w:themeColor="text1"/>
                <w:sz w:val="24"/>
                <w14:textFill>
                  <w14:solidFill>
                    <w14:schemeClr w14:val="tx1"/>
                  </w14:solidFill>
                </w14:textFill>
              </w:rPr>
              <w:t>%，环保投资明细详见下表。</w:t>
            </w:r>
          </w:p>
          <w:p w14:paraId="292F7B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sz w:val="24"/>
                <w14:textFill>
                  <w14:solidFill>
                    <w14:schemeClr w14:val="tx1"/>
                  </w14:solidFill>
                </w14:textFill>
              </w:rPr>
            </w:pPr>
            <w:r>
              <w:rPr>
                <w:b/>
                <w:bCs/>
                <w:color w:val="000000" w:themeColor="text1"/>
                <w:sz w:val="24"/>
                <w14:textFill>
                  <w14:solidFill>
                    <w14:schemeClr w14:val="tx1"/>
                  </w14:solidFill>
                </w14:textFill>
              </w:rPr>
              <w:t>表</w:t>
            </w:r>
            <w:r>
              <w:rPr>
                <w:rFonts w:hint="eastAsia"/>
                <w:b/>
                <w:bCs/>
                <w:color w:val="000000" w:themeColor="text1"/>
                <w:sz w:val="24"/>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26</w:t>
            </w:r>
            <w:r>
              <w:rPr>
                <w:b/>
                <w:bCs/>
                <w:color w:val="000000" w:themeColor="text1"/>
                <w:sz w:val="24"/>
                <w14:textFill>
                  <w14:solidFill>
                    <w14:schemeClr w14:val="tx1"/>
                  </w14:solidFill>
                </w14:textFill>
              </w:rPr>
              <w:t xml:space="preserve"> 本项目环保措施及投资表  单位：万元</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021"/>
              <w:gridCol w:w="1740"/>
              <w:gridCol w:w="4258"/>
              <w:gridCol w:w="740"/>
            </w:tblGrid>
            <w:tr w14:paraId="47D6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14:paraId="025326A3">
                  <w:pPr>
                    <w:autoSpaceDE w:val="0"/>
                    <w:autoSpaceDN w:val="0"/>
                    <w:adjustRightInd w:val="0"/>
                    <w:jc w:val="center"/>
                    <w:rPr>
                      <w:b/>
                      <w:bCs/>
                      <w:color w:val="000000" w:themeColor="text1"/>
                      <w:szCs w:val="21"/>
                      <w14:textFill>
                        <w14:solidFill>
                          <w14:schemeClr w14:val="tx1"/>
                        </w14:solidFill>
                      </w14:textFill>
                    </w:rPr>
                  </w:pPr>
                  <w:r>
                    <w:rPr>
                      <w:rFonts w:hint="eastAsia"/>
                      <w:b/>
                      <w:color w:val="000000" w:themeColor="text1"/>
                      <w:kern w:val="0"/>
                      <w:szCs w:val="21"/>
                      <w:lang w:bidi="ar"/>
                      <w14:textFill>
                        <w14:solidFill>
                          <w14:schemeClr w14:val="tx1"/>
                        </w14:solidFill>
                      </w14:textFill>
                    </w:rPr>
                    <w:t>序号</w:t>
                  </w:r>
                </w:p>
              </w:tc>
              <w:tc>
                <w:tcPr>
                  <w:tcW w:w="603" w:type="pct"/>
                  <w:vAlign w:val="center"/>
                </w:tcPr>
                <w:p w14:paraId="31A89E2F">
                  <w:pPr>
                    <w:autoSpaceDE w:val="0"/>
                    <w:autoSpaceDN w:val="0"/>
                    <w:adjustRightInd w:val="0"/>
                    <w:jc w:val="center"/>
                    <w:rPr>
                      <w:b/>
                      <w:bCs/>
                      <w:color w:val="000000" w:themeColor="text1"/>
                      <w:szCs w:val="21"/>
                      <w14:textFill>
                        <w14:solidFill>
                          <w14:schemeClr w14:val="tx1"/>
                        </w14:solidFill>
                      </w14:textFill>
                    </w:rPr>
                  </w:pPr>
                  <w:r>
                    <w:rPr>
                      <w:rFonts w:hint="eastAsia"/>
                      <w:b/>
                      <w:color w:val="000000" w:themeColor="text1"/>
                      <w:kern w:val="0"/>
                      <w:szCs w:val="21"/>
                      <w:lang w:bidi="ar"/>
                      <w14:textFill>
                        <w14:solidFill>
                          <w14:schemeClr w14:val="tx1"/>
                        </w14:solidFill>
                      </w14:textFill>
                    </w:rPr>
                    <w:t>类型</w:t>
                  </w:r>
                </w:p>
              </w:tc>
              <w:tc>
                <w:tcPr>
                  <w:tcW w:w="1027" w:type="pct"/>
                  <w:vAlign w:val="center"/>
                </w:tcPr>
                <w:p w14:paraId="03EDC8DB">
                  <w:pPr>
                    <w:autoSpaceDE w:val="0"/>
                    <w:autoSpaceDN w:val="0"/>
                    <w:adjustRightInd w:val="0"/>
                    <w:jc w:val="center"/>
                    <w:rPr>
                      <w:b/>
                      <w:bCs/>
                      <w:color w:val="000000" w:themeColor="text1"/>
                      <w:szCs w:val="21"/>
                      <w14:textFill>
                        <w14:solidFill>
                          <w14:schemeClr w14:val="tx1"/>
                        </w14:solidFill>
                      </w14:textFill>
                    </w:rPr>
                  </w:pPr>
                  <w:r>
                    <w:rPr>
                      <w:rFonts w:hint="eastAsia"/>
                      <w:b/>
                      <w:color w:val="000000" w:themeColor="text1"/>
                      <w:kern w:val="0"/>
                      <w:szCs w:val="21"/>
                      <w:lang w:bidi="ar"/>
                      <w14:textFill>
                        <w14:solidFill>
                          <w14:schemeClr w14:val="tx1"/>
                        </w14:solidFill>
                      </w14:textFill>
                    </w:rPr>
                    <w:t>项目</w:t>
                  </w:r>
                </w:p>
              </w:tc>
              <w:tc>
                <w:tcPr>
                  <w:tcW w:w="2513" w:type="pct"/>
                  <w:vAlign w:val="center"/>
                </w:tcPr>
                <w:p w14:paraId="45843634">
                  <w:pPr>
                    <w:autoSpaceDE w:val="0"/>
                    <w:autoSpaceDN w:val="0"/>
                    <w:adjustRightInd w:val="0"/>
                    <w:jc w:val="center"/>
                    <w:rPr>
                      <w:b/>
                      <w:bCs/>
                      <w:color w:val="000000" w:themeColor="text1"/>
                      <w:szCs w:val="21"/>
                      <w14:textFill>
                        <w14:solidFill>
                          <w14:schemeClr w14:val="tx1"/>
                        </w14:solidFill>
                      </w14:textFill>
                    </w:rPr>
                  </w:pPr>
                  <w:r>
                    <w:rPr>
                      <w:rFonts w:hint="eastAsia"/>
                      <w:b/>
                      <w:color w:val="000000" w:themeColor="text1"/>
                      <w:kern w:val="0"/>
                      <w:szCs w:val="21"/>
                      <w:lang w:bidi="ar"/>
                      <w14:textFill>
                        <w14:solidFill>
                          <w14:schemeClr w14:val="tx1"/>
                        </w14:solidFill>
                      </w14:textFill>
                    </w:rPr>
                    <w:t>建设内容</w:t>
                  </w:r>
                </w:p>
              </w:tc>
              <w:tc>
                <w:tcPr>
                  <w:tcW w:w="437" w:type="pct"/>
                  <w:vAlign w:val="center"/>
                </w:tcPr>
                <w:p w14:paraId="3F20BDCB">
                  <w:pPr>
                    <w:autoSpaceDE w:val="0"/>
                    <w:autoSpaceDN w:val="0"/>
                    <w:adjustRightInd w:val="0"/>
                    <w:jc w:val="center"/>
                    <w:rPr>
                      <w:b/>
                      <w:bCs/>
                      <w:color w:val="000000" w:themeColor="text1"/>
                      <w:szCs w:val="21"/>
                      <w14:textFill>
                        <w14:solidFill>
                          <w14:schemeClr w14:val="tx1"/>
                        </w14:solidFill>
                      </w14:textFill>
                    </w:rPr>
                  </w:pPr>
                  <w:r>
                    <w:rPr>
                      <w:rFonts w:hint="eastAsia"/>
                      <w:b/>
                      <w:color w:val="000000" w:themeColor="text1"/>
                      <w:kern w:val="0"/>
                      <w:szCs w:val="21"/>
                      <w:lang w:bidi="ar"/>
                      <w14:textFill>
                        <w14:solidFill>
                          <w14:schemeClr w14:val="tx1"/>
                        </w14:solidFill>
                      </w14:textFill>
                    </w:rPr>
                    <w:t>投资</w:t>
                  </w:r>
                </w:p>
              </w:tc>
            </w:tr>
            <w:tr w14:paraId="35E6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Merge w:val="restart"/>
                  <w:vAlign w:val="center"/>
                </w:tcPr>
                <w:p w14:paraId="776D4518">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603" w:type="pct"/>
                  <w:vMerge w:val="restart"/>
                  <w:vAlign w:val="center"/>
                </w:tcPr>
                <w:p w14:paraId="54EBE148">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废气</w:t>
                  </w:r>
                </w:p>
              </w:tc>
              <w:tc>
                <w:tcPr>
                  <w:tcW w:w="1027" w:type="pct"/>
                  <w:vMerge w:val="restart"/>
                  <w:vAlign w:val="center"/>
                </w:tcPr>
                <w:p w14:paraId="68FB1A78">
                  <w:pPr>
                    <w:adjustRightInd w:val="0"/>
                    <w:snapToGrid w:val="0"/>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恶臭气体（NH</w:t>
                  </w:r>
                  <w:r>
                    <w:rPr>
                      <w:color w:val="000000" w:themeColor="text1"/>
                      <w:szCs w:val="21"/>
                      <w:vertAlign w:val="subscript"/>
                      <w14:textFill>
                        <w14:solidFill>
                          <w14:schemeClr w14:val="tx1"/>
                        </w14:solidFill>
                      </w14:textFill>
                    </w:rPr>
                    <w:t>3</w:t>
                  </w:r>
                  <w:r>
                    <w:rPr>
                      <w:color w:val="000000" w:themeColor="text1"/>
                      <w:szCs w:val="21"/>
                      <w14:textFill>
                        <w14:solidFill>
                          <w14:schemeClr w14:val="tx1"/>
                        </w14:solidFill>
                      </w14:textFill>
                    </w:rPr>
                    <w:t>、H</w:t>
                  </w:r>
                  <w:r>
                    <w:rPr>
                      <w:color w:val="000000" w:themeColor="text1"/>
                      <w:szCs w:val="21"/>
                      <w:vertAlign w:val="subscript"/>
                      <w14:textFill>
                        <w14:solidFill>
                          <w14:schemeClr w14:val="tx1"/>
                        </w14:solidFill>
                      </w14:textFill>
                    </w:rPr>
                    <w:t>2</w:t>
                  </w:r>
                  <w:r>
                    <w:rPr>
                      <w:color w:val="000000" w:themeColor="text1"/>
                      <w:szCs w:val="21"/>
                      <w14:textFill>
                        <w14:solidFill>
                          <w14:schemeClr w14:val="tx1"/>
                        </w14:solidFill>
                      </w14:textFill>
                    </w:rPr>
                    <w:t>S</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臭气浓度</w:t>
                  </w:r>
                  <w:r>
                    <w:rPr>
                      <w:color w:val="000000" w:themeColor="text1"/>
                      <w:szCs w:val="21"/>
                      <w14:textFill>
                        <w14:solidFill>
                          <w14:schemeClr w14:val="tx1"/>
                        </w14:solidFill>
                      </w14:textFill>
                    </w:rPr>
                    <w:t>）</w:t>
                  </w:r>
                </w:p>
              </w:tc>
              <w:tc>
                <w:tcPr>
                  <w:tcW w:w="2513" w:type="pct"/>
                  <w:vAlign w:val="center"/>
                </w:tcPr>
                <w:p w14:paraId="1B0B3E6D">
                  <w:pPr>
                    <w:adjustRightInd w:val="0"/>
                    <w:snapToGrid w:val="0"/>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恶臭气体</w:t>
                  </w:r>
                  <w:r>
                    <w:rPr>
                      <w:rFonts w:hint="eastAsia"/>
                      <w:color w:val="000000" w:themeColor="text1"/>
                      <w:kern w:val="0"/>
                      <w:szCs w:val="21"/>
                      <w:lang w:val="en-US" w:eastAsia="zh-CN"/>
                      <w14:textFill>
                        <w14:solidFill>
                          <w14:schemeClr w14:val="tx1"/>
                        </w14:solidFill>
                      </w14:textFill>
                    </w:rPr>
                    <w:t>经管道</w:t>
                  </w:r>
                  <w:r>
                    <w:rPr>
                      <w:rFonts w:hint="eastAsia"/>
                      <w:color w:val="000000" w:themeColor="text1"/>
                      <w:kern w:val="0"/>
                      <w:szCs w:val="21"/>
                      <w14:textFill>
                        <w14:solidFill>
                          <w14:schemeClr w14:val="tx1"/>
                        </w14:solidFill>
                      </w14:textFill>
                    </w:rPr>
                    <w:t>收集后经一套生物除臭塔处理后经15m高排气筒（DA001）排放</w:t>
                  </w:r>
                </w:p>
              </w:tc>
              <w:tc>
                <w:tcPr>
                  <w:tcW w:w="437" w:type="pct"/>
                  <w:vAlign w:val="center"/>
                </w:tcPr>
                <w:p w14:paraId="61AE3983">
                  <w:pPr>
                    <w:adjustRightInd w:val="0"/>
                    <w:snapToGrid w:val="0"/>
                    <w:jc w:val="center"/>
                    <w:rPr>
                      <w:rFonts w:hint="default"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10</w:t>
                  </w:r>
                </w:p>
              </w:tc>
            </w:tr>
            <w:tr w14:paraId="5A0B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Merge w:val="continue"/>
                  <w:vAlign w:val="center"/>
                </w:tcPr>
                <w:p w14:paraId="186467F1">
                  <w:pPr>
                    <w:adjustRightInd w:val="0"/>
                    <w:snapToGrid w:val="0"/>
                    <w:jc w:val="center"/>
                    <w:rPr>
                      <w:rFonts w:hint="eastAsia"/>
                      <w:color w:val="000000" w:themeColor="text1"/>
                      <w:szCs w:val="21"/>
                      <w14:textFill>
                        <w14:solidFill>
                          <w14:schemeClr w14:val="tx1"/>
                        </w14:solidFill>
                      </w14:textFill>
                    </w:rPr>
                  </w:pPr>
                </w:p>
              </w:tc>
              <w:tc>
                <w:tcPr>
                  <w:tcW w:w="603" w:type="pct"/>
                  <w:vMerge w:val="continue"/>
                  <w:vAlign w:val="center"/>
                </w:tcPr>
                <w:p w14:paraId="13C996E1">
                  <w:pPr>
                    <w:jc w:val="center"/>
                    <w:rPr>
                      <w:rFonts w:hint="eastAsia"/>
                      <w:color w:val="000000" w:themeColor="text1"/>
                      <w:kern w:val="0"/>
                      <w:szCs w:val="21"/>
                      <w14:textFill>
                        <w14:solidFill>
                          <w14:schemeClr w14:val="tx1"/>
                        </w14:solidFill>
                      </w14:textFill>
                    </w:rPr>
                  </w:pPr>
                </w:p>
              </w:tc>
              <w:tc>
                <w:tcPr>
                  <w:tcW w:w="1027" w:type="pct"/>
                  <w:vMerge w:val="continue"/>
                  <w:vAlign w:val="center"/>
                </w:tcPr>
                <w:p w14:paraId="11F0663C">
                  <w:pPr>
                    <w:adjustRightInd w:val="0"/>
                    <w:snapToGrid w:val="0"/>
                    <w:jc w:val="center"/>
                    <w:rPr>
                      <w:color w:val="000000" w:themeColor="text1"/>
                      <w:szCs w:val="21"/>
                      <w14:textFill>
                        <w14:solidFill>
                          <w14:schemeClr w14:val="tx1"/>
                        </w14:solidFill>
                      </w14:textFill>
                    </w:rPr>
                  </w:pPr>
                </w:p>
              </w:tc>
              <w:tc>
                <w:tcPr>
                  <w:tcW w:w="2513" w:type="pct"/>
                  <w:vAlign w:val="center"/>
                </w:tcPr>
                <w:p w14:paraId="237725BA">
                  <w:pPr>
                    <w:adjustRightInd w:val="0"/>
                    <w:snapToGrid w:val="0"/>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厂界定期喷洒除臭剂等</w:t>
                  </w:r>
                </w:p>
              </w:tc>
              <w:tc>
                <w:tcPr>
                  <w:tcW w:w="437" w:type="pct"/>
                  <w:vAlign w:val="center"/>
                </w:tcPr>
                <w:p w14:paraId="6EFC57CA">
                  <w:pPr>
                    <w:adjustRightInd w:val="0"/>
                    <w:snapToGrid w:val="0"/>
                    <w:jc w:val="center"/>
                    <w:rPr>
                      <w:rFonts w:hint="eastAsia"/>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1</w:t>
                  </w:r>
                </w:p>
              </w:tc>
            </w:tr>
            <w:tr w14:paraId="1920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18" w:type="pct"/>
                  <w:vAlign w:val="center"/>
                </w:tcPr>
                <w:p w14:paraId="3E6804B6">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603" w:type="pct"/>
                  <w:vAlign w:val="center"/>
                </w:tcPr>
                <w:p w14:paraId="4A8610A8">
                  <w:pPr>
                    <w:jc w:val="center"/>
                    <w:rPr>
                      <w:rFonts w:hint="eastAsia"/>
                      <w:color w:val="000000" w:themeColor="text1"/>
                      <w:szCs w:val="21"/>
                      <w:lang w:val="en-US" w:eastAsia="zh-CN" w:bidi="ar"/>
                      <w14:textFill>
                        <w14:solidFill>
                          <w14:schemeClr w14:val="tx1"/>
                        </w14:solidFill>
                      </w14:textFill>
                    </w:rPr>
                  </w:pPr>
                  <w:r>
                    <w:rPr>
                      <w:rFonts w:hint="eastAsia"/>
                      <w:color w:val="000000" w:themeColor="text1"/>
                      <w:szCs w:val="21"/>
                      <w:lang w:val="en-US" w:eastAsia="zh-CN" w:bidi="ar"/>
                      <w14:textFill>
                        <w14:solidFill>
                          <w14:schemeClr w14:val="tx1"/>
                        </w14:solidFill>
                      </w14:textFill>
                    </w:rPr>
                    <w:t>废水</w:t>
                  </w:r>
                </w:p>
              </w:tc>
              <w:tc>
                <w:tcPr>
                  <w:tcW w:w="1027" w:type="pct"/>
                  <w:vAlign w:val="center"/>
                </w:tcPr>
                <w:p w14:paraId="48477B00">
                  <w:pPr>
                    <w:jc w:val="center"/>
                    <w:rPr>
                      <w:rFonts w:hint="default"/>
                      <w:color w:val="000000" w:themeColor="text1"/>
                      <w:szCs w:val="21"/>
                      <w:lang w:val="en-US" w:eastAsia="zh-CN" w:bidi="ar"/>
                      <w14:textFill>
                        <w14:solidFill>
                          <w14:schemeClr w14:val="tx1"/>
                        </w14:solidFill>
                      </w14:textFill>
                    </w:rPr>
                  </w:pPr>
                  <w:r>
                    <w:rPr>
                      <w:rFonts w:hint="eastAsia"/>
                      <w:color w:val="000000" w:themeColor="text1"/>
                      <w:szCs w:val="21"/>
                      <w:lang w:val="en-US" w:eastAsia="zh-CN" w:bidi="ar"/>
                      <w14:textFill>
                        <w14:solidFill>
                          <w14:schemeClr w14:val="tx1"/>
                        </w14:solidFill>
                      </w14:textFill>
                    </w:rPr>
                    <w:t>生活污水、生产废水</w:t>
                  </w:r>
                </w:p>
              </w:tc>
              <w:tc>
                <w:tcPr>
                  <w:tcW w:w="2513" w:type="pct"/>
                  <w:vAlign w:val="center"/>
                </w:tcPr>
                <w:p w14:paraId="1033CFB1">
                  <w:pPr>
                    <w:jc w:val="center"/>
                    <w:rPr>
                      <w:rFonts w:hint="default"/>
                      <w:color w:val="000000" w:themeColor="text1"/>
                      <w:szCs w:val="21"/>
                      <w:lang w:val="en-US" w:eastAsia="zh-CN" w:bidi="ar"/>
                      <w14:textFill>
                        <w14:solidFill>
                          <w14:schemeClr w14:val="tx1"/>
                        </w14:solidFill>
                      </w14:textFill>
                    </w:rPr>
                  </w:pPr>
                  <w:r>
                    <w:rPr>
                      <w:rFonts w:hint="eastAsia"/>
                      <w:color w:val="000000" w:themeColor="text1"/>
                      <w:szCs w:val="21"/>
                      <w:lang w:val="en-US" w:eastAsia="zh-CN" w:bidi="ar"/>
                      <w14:textFill>
                        <w14:solidFill>
                          <w14:schemeClr w14:val="tx1"/>
                        </w14:solidFill>
                      </w14:textFill>
                    </w:rPr>
                    <w:t>化粪池、厂区污水处理设施</w:t>
                  </w:r>
                </w:p>
              </w:tc>
              <w:tc>
                <w:tcPr>
                  <w:tcW w:w="437" w:type="pct"/>
                  <w:vAlign w:val="center"/>
                </w:tcPr>
                <w:p w14:paraId="7275552E">
                  <w:pPr>
                    <w:adjustRightInd w:val="0"/>
                    <w:snapToGrid w:val="0"/>
                    <w:jc w:val="center"/>
                    <w:rPr>
                      <w:rFonts w:hint="default"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30</w:t>
                  </w:r>
                </w:p>
              </w:tc>
            </w:tr>
            <w:tr w14:paraId="730F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14:paraId="3BD64F5E">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603" w:type="pct"/>
                  <w:vAlign w:val="center"/>
                </w:tcPr>
                <w:p w14:paraId="7D658B29">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噪声</w:t>
                  </w:r>
                </w:p>
              </w:tc>
              <w:tc>
                <w:tcPr>
                  <w:tcW w:w="1027" w:type="pct"/>
                  <w:vAlign w:val="center"/>
                </w:tcPr>
                <w:p w14:paraId="5A455DC7">
                  <w:pPr>
                    <w:jc w:val="center"/>
                    <w:rPr>
                      <w:b/>
                      <w:bCs/>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设备运转、噪声</w:t>
                  </w:r>
                </w:p>
              </w:tc>
              <w:tc>
                <w:tcPr>
                  <w:tcW w:w="2513" w:type="pct"/>
                  <w:vAlign w:val="center"/>
                </w:tcPr>
                <w:p w14:paraId="525B94E8">
                  <w:pPr>
                    <w:adjustRightInd w:val="0"/>
                    <w:snapToGrid w:val="0"/>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减振</w:t>
                  </w:r>
                </w:p>
              </w:tc>
              <w:tc>
                <w:tcPr>
                  <w:tcW w:w="437" w:type="pct"/>
                  <w:vAlign w:val="center"/>
                </w:tcPr>
                <w:p w14:paraId="2FB521A7">
                  <w:pPr>
                    <w:adjustRightInd w:val="0"/>
                    <w:snapToGrid w:val="0"/>
                    <w:jc w:val="center"/>
                    <w:rPr>
                      <w:rFonts w:hint="eastAsia" w:eastAsia="宋体"/>
                      <w:color w:val="000000" w:themeColor="text1"/>
                      <w:kern w:val="0"/>
                      <w:szCs w:val="21"/>
                      <w:lang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1</w:t>
                  </w:r>
                </w:p>
              </w:tc>
            </w:tr>
            <w:tr w14:paraId="14EC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Merge w:val="restart"/>
                  <w:vAlign w:val="center"/>
                </w:tcPr>
                <w:p w14:paraId="3AAAB6A2">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603" w:type="pct"/>
                  <w:vMerge w:val="restart"/>
                  <w:vAlign w:val="center"/>
                </w:tcPr>
                <w:p w14:paraId="5B15FF9B">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固废</w:t>
                  </w:r>
                </w:p>
              </w:tc>
              <w:tc>
                <w:tcPr>
                  <w:tcW w:w="1027" w:type="pct"/>
                  <w:vAlign w:val="center"/>
                </w:tcPr>
                <w:p w14:paraId="5A4D557D">
                  <w:pPr>
                    <w:jc w:val="center"/>
                    <w:outlineLvl w:val="0"/>
                    <w:rPr>
                      <w:rFonts w:hint="default" w:eastAsia="宋体"/>
                      <w:color w:val="000000" w:themeColor="text1"/>
                      <w:kern w:val="0"/>
                      <w:szCs w:val="21"/>
                      <w:lang w:val="en-US" w:eastAsia="zh-CN"/>
                      <w14:textFill>
                        <w14:solidFill>
                          <w14:schemeClr w14:val="tx1"/>
                        </w14:solidFill>
                      </w14:textFill>
                    </w:rPr>
                  </w:pPr>
                  <w:r>
                    <w:rPr>
                      <w:rFonts w:hint="eastAsia"/>
                      <w:color w:val="000000" w:themeColor="text1"/>
                      <w:szCs w:val="21"/>
                      <w:lang w:val="en-US" w:eastAsia="zh-CN" w:bidi="ar"/>
                      <w14:textFill>
                        <w14:solidFill>
                          <w14:schemeClr w14:val="tx1"/>
                        </w14:solidFill>
                      </w14:textFill>
                    </w:rPr>
                    <w:t>泥沙等一般固废</w:t>
                  </w:r>
                </w:p>
              </w:tc>
              <w:tc>
                <w:tcPr>
                  <w:tcW w:w="2513" w:type="pct"/>
                  <w:vAlign w:val="center"/>
                </w:tcPr>
                <w:p w14:paraId="052511D3">
                  <w:pPr>
                    <w:jc w:val="center"/>
                    <w:rPr>
                      <w:color w:val="000000" w:themeColor="text1"/>
                      <w:kern w:val="0"/>
                      <w:szCs w:val="21"/>
                      <w14:textFill>
                        <w14:solidFill>
                          <w14:schemeClr w14:val="tx1"/>
                        </w14:solidFill>
                      </w14:textFill>
                    </w:rPr>
                  </w:pPr>
                  <w:r>
                    <w:rPr>
                      <w:rFonts w:hint="eastAsia"/>
                      <w:color w:val="000000" w:themeColor="text1"/>
                      <w:szCs w:val="21"/>
                      <w:lang w:val="en-US" w:eastAsia="zh-CN" w:bidi="ar"/>
                      <w14:textFill>
                        <w14:solidFill>
                          <w14:schemeClr w14:val="tx1"/>
                        </w14:solidFill>
                      </w14:textFill>
                    </w:rPr>
                    <w:t>暂存在一般固废暂存区</w:t>
                  </w:r>
                </w:p>
              </w:tc>
              <w:tc>
                <w:tcPr>
                  <w:tcW w:w="437" w:type="pct"/>
                  <w:vAlign w:val="center"/>
                </w:tcPr>
                <w:p w14:paraId="0A4836C7">
                  <w:pPr>
                    <w:adjustRightInd w:val="0"/>
                    <w:snapToGrid w:val="0"/>
                    <w:jc w:val="center"/>
                    <w:rPr>
                      <w:rFonts w:hint="default"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1</w:t>
                  </w:r>
                </w:p>
              </w:tc>
            </w:tr>
            <w:tr w14:paraId="498B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Merge w:val="continue"/>
                  <w:vAlign w:val="center"/>
                </w:tcPr>
                <w:p w14:paraId="1EBB24A2">
                  <w:pPr>
                    <w:adjustRightInd w:val="0"/>
                    <w:snapToGrid w:val="0"/>
                    <w:jc w:val="center"/>
                    <w:rPr>
                      <w:rFonts w:hint="eastAsia"/>
                      <w:color w:val="000000" w:themeColor="text1"/>
                      <w:szCs w:val="21"/>
                      <w14:textFill>
                        <w14:solidFill>
                          <w14:schemeClr w14:val="tx1"/>
                        </w14:solidFill>
                      </w14:textFill>
                    </w:rPr>
                  </w:pPr>
                </w:p>
              </w:tc>
              <w:tc>
                <w:tcPr>
                  <w:tcW w:w="603" w:type="pct"/>
                  <w:vMerge w:val="continue"/>
                  <w:vAlign w:val="center"/>
                </w:tcPr>
                <w:p w14:paraId="0B9E9415">
                  <w:pPr>
                    <w:jc w:val="center"/>
                    <w:rPr>
                      <w:rFonts w:hint="eastAsia"/>
                      <w:color w:val="000000" w:themeColor="text1"/>
                      <w:kern w:val="0"/>
                      <w:szCs w:val="21"/>
                      <w14:textFill>
                        <w14:solidFill>
                          <w14:schemeClr w14:val="tx1"/>
                        </w14:solidFill>
                      </w14:textFill>
                    </w:rPr>
                  </w:pPr>
                </w:p>
              </w:tc>
              <w:tc>
                <w:tcPr>
                  <w:tcW w:w="1027" w:type="pct"/>
                  <w:vAlign w:val="center"/>
                </w:tcPr>
                <w:p w14:paraId="2CE0096D">
                  <w:pPr>
                    <w:jc w:val="center"/>
                    <w:outlineLvl w:val="0"/>
                    <w:rPr>
                      <w:rFonts w:hint="eastAsia"/>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废试剂瓶及实验废液</w:t>
                  </w:r>
                </w:p>
              </w:tc>
              <w:tc>
                <w:tcPr>
                  <w:tcW w:w="2513" w:type="pct"/>
                  <w:vAlign w:val="center"/>
                </w:tcPr>
                <w:p w14:paraId="48682330">
                  <w:pPr>
                    <w:jc w:val="center"/>
                    <w:rPr>
                      <w:rFonts w:hint="default"/>
                      <w:color w:val="000000" w:themeColor="text1"/>
                      <w:szCs w:val="21"/>
                      <w:lang w:val="en-US" w:eastAsia="zh-CN" w:bidi="ar"/>
                      <w14:textFill>
                        <w14:solidFill>
                          <w14:schemeClr w14:val="tx1"/>
                        </w14:solidFill>
                      </w14:textFill>
                    </w:rPr>
                  </w:pPr>
                  <w:r>
                    <w:rPr>
                      <w:rFonts w:hint="eastAsia"/>
                      <w:color w:val="000000" w:themeColor="text1"/>
                      <w:szCs w:val="21"/>
                      <w:lang w:val="en-US" w:eastAsia="zh-CN" w:bidi="ar"/>
                      <w14:textFill>
                        <w14:solidFill>
                          <w14:schemeClr w14:val="tx1"/>
                        </w14:solidFill>
                      </w14:textFill>
                    </w:rPr>
                    <w:t>暂存在危废暂存间，定期委托有资质单位处理</w:t>
                  </w:r>
                </w:p>
              </w:tc>
              <w:tc>
                <w:tcPr>
                  <w:tcW w:w="437" w:type="pct"/>
                  <w:vAlign w:val="center"/>
                </w:tcPr>
                <w:p w14:paraId="70B84EAB">
                  <w:pPr>
                    <w:adjustRightInd w:val="0"/>
                    <w:snapToGrid w:val="0"/>
                    <w:jc w:val="center"/>
                    <w:rPr>
                      <w:rFonts w:hint="default"/>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5</w:t>
                  </w:r>
                </w:p>
              </w:tc>
            </w:tr>
            <w:tr w14:paraId="457D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8" w:type="pct"/>
                  <w:vAlign w:val="center"/>
                </w:tcPr>
                <w:p w14:paraId="17C0B748">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p>
              </w:tc>
              <w:tc>
                <w:tcPr>
                  <w:tcW w:w="603" w:type="pct"/>
                  <w:vAlign w:val="center"/>
                </w:tcPr>
                <w:p w14:paraId="306027E1">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地下水、土壤防渗</w:t>
                  </w:r>
                </w:p>
              </w:tc>
              <w:tc>
                <w:tcPr>
                  <w:tcW w:w="1027" w:type="pct"/>
                  <w:vAlign w:val="center"/>
                </w:tcPr>
                <w:p w14:paraId="46E2CCAF">
                  <w:pPr>
                    <w:adjustRightInd w:val="0"/>
                    <w:snapToGrid w:val="0"/>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w:t>
                  </w:r>
                </w:p>
              </w:tc>
              <w:tc>
                <w:tcPr>
                  <w:tcW w:w="2513" w:type="pct"/>
                  <w:vAlign w:val="center"/>
                </w:tcPr>
                <w:p w14:paraId="42E18C5C">
                  <w:pPr>
                    <w:adjustRightInd w:val="0"/>
                    <w:snapToGrid w:val="0"/>
                    <w:jc w:val="center"/>
                    <w:rPr>
                      <w:rFonts w:hint="default" w:eastAsia="宋体"/>
                      <w:color w:val="000000" w:themeColor="text1"/>
                      <w:kern w:val="0"/>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危废暂存间</w:t>
                  </w:r>
                  <w:r>
                    <w:rPr>
                      <w:rFonts w:hint="eastAsia"/>
                      <w:color w:val="000000" w:themeColor="text1"/>
                      <w:kern w:val="0"/>
                      <w:szCs w:val="21"/>
                      <w14:textFill>
                        <w14:solidFill>
                          <w14:schemeClr w14:val="tx1"/>
                        </w14:solidFill>
                      </w14:textFill>
                    </w:rPr>
                    <w:t>设重点防渗；生产车间</w:t>
                  </w:r>
                  <w:r>
                    <w:rPr>
                      <w:rFonts w:hint="eastAsia"/>
                      <w:color w:val="000000" w:themeColor="text1"/>
                      <w:kern w:val="0"/>
                      <w:szCs w:val="21"/>
                      <w:lang w:eastAsia="zh-CN"/>
                      <w14:textFill>
                        <w14:solidFill>
                          <w14:schemeClr w14:val="tx1"/>
                        </w14:solidFill>
                      </w14:textFill>
                    </w:rPr>
                    <w:t>、</w:t>
                  </w:r>
                  <w:r>
                    <w:rPr>
                      <w:rFonts w:hint="eastAsia"/>
                      <w:color w:val="000000" w:themeColor="text1"/>
                      <w:kern w:val="0"/>
                      <w:szCs w:val="21"/>
                      <w:lang w:val="en-US" w:eastAsia="zh-CN"/>
                      <w14:textFill>
                        <w14:solidFill>
                          <w14:schemeClr w14:val="tx1"/>
                        </w14:solidFill>
                      </w14:textFill>
                    </w:rPr>
                    <w:t>仓库</w:t>
                  </w:r>
                  <w:r>
                    <w:rPr>
                      <w:rFonts w:hint="eastAsia"/>
                      <w:color w:val="000000" w:themeColor="text1"/>
                      <w:kern w:val="0"/>
                      <w:szCs w:val="21"/>
                      <w14:textFill>
                        <w14:solidFill>
                          <w14:schemeClr w14:val="tx1"/>
                        </w14:solidFill>
                      </w14:textFill>
                    </w:rPr>
                    <w:t>设一般防渗</w:t>
                  </w:r>
                  <w:r>
                    <w:rPr>
                      <w:rFonts w:hint="eastAsia"/>
                      <w:color w:val="000000" w:themeColor="text1"/>
                      <w:kern w:val="0"/>
                      <w:szCs w:val="21"/>
                      <w:lang w:eastAsia="zh-CN"/>
                      <w14:textFill>
                        <w14:solidFill>
                          <w14:schemeClr w14:val="tx1"/>
                        </w14:solidFill>
                      </w14:textFill>
                    </w:rPr>
                    <w:t>、</w:t>
                  </w:r>
                  <w:r>
                    <w:rPr>
                      <w:rFonts w:hint="eastAsia"/>
                      <w:color w:val="000000" w:themeColor="text1"/>
                      <w:kern w:val="0"/>
                      <w:szCs w:val="21"/>
                      <w:lang w:val="en-US" w:eastAsia="zh-CN"/>
                      <w14:textFill>
                        <w14:solidFill>
                          <w14:schemeClr w14:val="tx1"/>
                        </w14:solidFill>
                      </w14:textFill>
                    </w:rPr>
                    <w:t>综合楼简单防渗</w:t>
                  </w:r>
                </w:p>
              </w:tc>
              <w:tc>
                <w:tcPr>
                  <w:tcW w:w="437" w:type="pct"/>
                  <w:vAlign w:val="center"/>
                </w:tcPr>
                <w:p w14:paraId="0B9B19FC">
                  <w:pPr>
                    <w:adjustRightInd w:val="0"/>
                    <w:snapToGrid w:val="0"/>
                    <w:jc w:val="center"/>
                    <w:rPr>
                      <w:rFonts w:hint="default"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10</w:t>
                  </w:r>
                </w:p>
              </w:tc>
            </w:tr>
            <w:tr w14:paraId="1A02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8" w:type="pct"/>
                  <w:vAlign w:val="center"/>
                </w:tcPr>
                <w:p w14:paraId="20640984">
                  <w:pPr>
                    <w:adjustRightInd w:val="0"/>
                    <w:snapToGrid w:val="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6</w:t>
                  </w:r>
                </w:p>
              </w:tc>
              <w:tc>
                <w:tcPr>
                  <w:tcW w:w="1012" w:type="dxa"/>
                  <w:vAlign w:val="center"/>
                </w:tcPr>
                <w:p w14:paraId="28D55A25">
                  <w:pPr>
                    <w:jc w:val="center"/>
                    <w:rPr>
                      <w:rFonts w:hint="eastAsia"/>
                      <w:color w:val="000000" w:themeColor="text1"/>
                      <w:szCs w:val="21"/>
                      <w14:textFill>
                        <w14:solidFill>
                          <w14:schemeClr w14:val="tx1"/>
                        </w14:solidFill>
                      </w14:textFill>
                    </w:rPr>
                  </w:pPr>
                  <w:r>
                    <w:rPr>
                      <w:color w:val="000000"/>
                      <w:sz w:val="21"/>
                      <w:szCs w:val="21"/>
                    </w:rPr>
                    <w:t>风险防范措施</w:t>
                  </w:r>
                </w:p>
              </w:tc>
              <w:tc>
                <w:tcPr>
                  <w:tcW w:w="1725" w:type="dxa"/>
                  <w:vAlign w:val="center"/>
                </w:tcPr>
                <w:p w14:paraId="63B592DD">
                  <w:pPr>
                    <w:adjustRightInd w:val="0"/>
                    <w:snapToGrid w:val="0"/>
                    <w:jc w:val="center"/>
                    <w:rPr>
                      <w:rFonts w:hint="eastAsia"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w:t>
                  </w:r>
                </w:p>
              </w:tc>
              <w:tc>
                <w:tcPr>
                  <w:tcW w:w="4222" w:type="dxa"/>
                  <w:vAlign w:val="center"/>
                </w:tcPr>
                <w:p w14:paraId="0218869F">
                  <w:pPr>
                    <w:adjustRightInd w:val="0"/>
                    <w:snapToGrid w:val="0"/>
                    <w:jc w:val="center"/>
                    <w:rPr>
                      <w:kern w:val="0"/>
                      <w:sz w:val="21"/>
                      <w:szCs w:val="21"/>
                    </w:rPr>
                  </w:pPr>
                  <w:r>
                    <w:rPr>
                      <w:rFonts w:hint="eastAsia"/>
                      <w:kern w:val="0"/>
                      <w:sz w:val="21"/>
                      <w:szCs w:val="21"/>
                    </w:rPr>
                    <w:t>①本项目使用的</w:t>
                  </w:r>
                  <w:r>
                    <w:rPr>
                      <w:rFonts w:hint="eastAsia"/>
                      <w:kern w:val="0"/>
                      <w:sz w:val="21"/>
                      <w:szCs w:val="21"/>
                      <w:lang w:val="en-US" w:eastAsia="zh-CN"/>
                    </w:rPr>
                    <w:t>实验室试剂</w:t>
                  </w:r>
                  <w:r>
                    <w:rPr>
                      <w:rFonts w:hint="eastAsia"/>
                      <w:kern w:val="0"/>
                      <w:sz w:val="21"/>
                      <w:szCs w:val="21"/>
                    </w:rPr>
                    <w:t>等液体泄漏可能会对土壤造成影响，建设单位须设单独的</w:t>
                  </w:r>
                  <w:r>
                    <w:rPr>
                      <w:rFonts w:hint="eastAsia"/>
                      <w:kern w:val="0"/>
                      <w:sz w:val="21"/>
                      <w:szCs w:val="21"/>
                      <w:lang w:val="en-US" w:eastAsia="zh-CN"/>
                    </w:rPr>
                    <w:t>化学品柜</w:t>
                  </w:r>
                  <w:r>
                    <w:rPr>
                      <w:rFonts w:hint="eastAsia"/>
                      <w:kern w:val="0"/>
                      <w:sz w:val="21"/>
                      <w:szCs w:val="21"/>
                    </w:rPr>
                    <w:t>，做好地面防渗并进行管理记录。</w:t>
                  </w:r>
                </w:p>
                <w:p w14:paraId="6711B03D">
                  <w:pPr>
                    <w:adjustRightInd w:val="0"/>
                    <w:snapToGrid w:val="0"/>
                    <w:jc w:val="center"/>
                    <w:rPr>
                      <w:kern w:val="0"/>
                      <w:sz w:val="21"/>
                      <w:szCs w:val="21"/>
                    </w:rPr>
                  </w:pPr>
                  <w:r>
                    <w:rPr>
                      <w:rFonts w:hint="eastAsia"/>
                      <w:kern w:val="0"/>
                      <w:sz w:val="21"/>
                      <w:szCs w:val="21"/>
                    </w:rPr>
                    <w:t>②</w:t>
                  </w:r>
                  <w:r>
                    <w:rPr>
                      <w:rFonts w:hint="eastAsia"/>
                      <w:kern w:val="0"/>
                      <w:sz w:val="21"/>
                      <w:szCs w:val="21"/>
                      <w:lang w:val="en-US" w:eastAsia="zh-CN"/>
                    </w:rPr>
                    <w:t>生产车间</w:t>
                  </w:r>
                  <w:r>
                    <w:rPr>
                      <w:rFonts w:hint="eastAsia"/>
                      <w:kern w:val="0"/>
                      <w:sz w:val="21"/>
                      <w:szCs w:val="21"/>
                    </w:rPr>
                    <w:t>设置灭火器以防止火灾。</w:t>
                  </w:r>
                </w:p>
                <w:p w14:paraId="731028BF">
                  <w:pPr>
                    <w:jc w:val="center"/>
                    <w:rPr>
                      <w:rFonts w:hint="eastAsia"/>
                      <w:color w:val="000000" w:themeColor="text1"/>
                      <w:szCs w:val="21"/>
                      <w:lang w:val="en-US" w:eastAsia="zh-CN"/>
                      <w14:textFill>
                        <w14:solidFill>
                          <w14:schemeClr w14:val="tx1"/>
                        </w14:solidFill>
                      </w14:textFill>
                    </w:rPr>
                  </w:pPr>
                  <w:r>
                    <w:rPr>
                      <w:rFonts w:hint="eastAsia"/>
                      <w:kern w:val="0"/>
                      <w:sz w:val="21"/>
                      <w:szCs w:val="21"/>
                    </w:rPr>
                    <w:t>③建设单位须制订环境突发事故应急预案，一旦突发环境风险事故，必须立即按应急预案提到的紧急处理、救援、监测方案等进行紧急救援，救援人员采取相应的防护措施，以避免造成人员伤亡事故。</w:t>
                  </w:r>
                </w:p>
              </w:tc>
              <w:tc>
                <w:tcPr>
                  <w:tcW w:w="734" w:type="dxa"/>
                  <w:vAlign w:val="center"/>
                </w:tcPr>
                <w:p w14:paraId="3792D269">
                  <w:pPr>
                    <w:jc w:val="center"/>
                    <w:rPr>
                      <w:rFonts w:hint="default" w:eastAsia="宋体"/>
                      <w:color w:val="000000" w:themeColor="text1"/>
                      <w:kern w:val="0"/>
                      <w:szCs w:val="21"/>
                      <w:lang w:val="en-US" w:eastAsia="zh-CN"/>
                      <w14:textFill>
                        <w14:solidFill>
                          <w14:schemeClr w14:val="tx1"/>
                        </w14:solidFill>
                      </w14:textFill>
                    </w:rPr>
                  </w:pPr>
                  <w:r>
                    <w:rPr>
                      <w:rFonts w:hint="eastAsia"/>
                      <w:color w:val="000000"/>
                      <w:sz w:val="21"/>
                      <w:szCs w:val="21"/>
                      <w:lang w:val="en-US" w:eastAsia="zh-CN"/>
                    </w:rPr>
                    <w:t>15</w:t>
                  </w:r>
                </w:p>
              </w:tc>
            </w:tr>
            <w:tr w14:paraId="11D9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8" w:type="pct"/>
                  <w:vAlign w:val="center"/>
                </w:tcPr>
                <w:p w14:paraId="20C18008">
                  <w:pPr>
                    <w:adjustRightInd w:val="0"/>
                    <w:snapToGrid w:val="0"/>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7</w:t>
                  </w:r>
                </w:p>
              </w:tc>
              <w:tc>
                <w:tcPr>
                  <w:tcW w:w="4144" w:type="pct"/>
                  <w:gridSpan w:val="3"/>
                  <w:vAlign w:val="center"/>
                </w:tcPr>
                <w:p w14:paraId="518922C0">
                  <w:pPr>
                    <w:adjustRightInd w:val="0"/>
                    <w:snapToGrid w:val="0"/>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合计</w:t>
                  </w:r>
                </w:p>
              </w:tc>
              <w:tc>
                <w:tcPr>
                  <w:tcW w:w="437" w:type="pct"/>
                </w:tcPr>
                <w:p w14:paraId="1EB577B4">
                  <w:pPr>
                    <w:adjustRightInd w:val="0"/>
                    <w:snapToGrid w:val="0"/>
                    <w:jc w:val="center"/>
                    <w:rPr>
                      <w:rFonts w:hint="default"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73</w:t>
                  </w:r>
                </w:p>
              </w:tc>
            </w:tr>
          </w:tbl>
          <w:p w14:paraId="094833B7">
            <w:pPr>
              <w:adjustRightInd w:val="0"/>
              <w:snapToGrid w:val="0"/>
              <w:rPr>
                <w:rFonts w:ascii="宋体" w:hAnsi="宋体" w:cs="宋体"/>
                <w:bCs/>
                <w:color w:val="000000" w:themeColor="text1"/>
                <w:spacing w:val="-10"/>
                <w:szCs w:val="21"/>
                <w14:textFill>
                  <w14:solidFill>
                    <w14:schemeClr w14:val="tx1"/>
                  </w14:solidFill>
                </w14:textFill>
              </w:rPr>
            </w:pPr>
          </w:p>
        </w:tc>
      </w:tr>
    </w:tbl>
    <w:p w14:paraId="5B9F76D9">
      <w:pPr>
        <w:adjustRightInd w:val="0"/>
        <w:snapToGrid w:val="0"/>
        <w:spacing w:line="360" w:lineRule="auto"/>
        <w:rPr>
          <w:rFonts w:ascii="宋体" w:hAnsi="宋体" w:cs="宋体"/>
          <w:b/>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4C46406E">
      <w:pPr>
        <w:pStyle w:val="19"/>
        <w:jc w:val="center"/>
        <w:outlineLvl w:val="0"/>
        <w:rPr>
          <w:rFonts w:cs="宋体"/>
          <w:snapToGrid w:val="0"/>
          <w:sz w:val="30"/>
          <w:szCs w:val="30"/>
        </w:rPr>
      </w:pPr>
      <w:r>
        <w:rPr>
          <w:rFonts w:hint="eastAsia" w:cs="宋体"/>
          <w:b/>
          <w:bCs/>
          <w:snapToGrid w:val="0"/>
          <w:sz w:val="30"/>
          <w:szCs w:val="30"/>
        </w:rPr>
        <w:t>五、</w:t>
      </w:r>
      <w:bookmarkStart w:id="4" w:name="_Hlk54167917"/>
      <w:r>
        <w:rPr>
          <w:rFonts w:hint="eastAsia" w:cs="宋体"/>
          <w:b/>
          <w:bCs/>
          <w:snapToGrid w:val="0"/>
          <w:sz w:val="30"/>
          <w:szCs w:val="30"/>
        </w:rPr>
        <w:t>环境保护措施监督检查清单</w:t>
      </w:r>
      <w:bookmarkEnd w:id="4"/>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755"/>
        <w:gridCol w:w="1755"/>
        <w:gridCol w:w="1755"/>
        <w:gridCol w:w="1757"/>
      </w:tblGrid>
      <w:tr w14:paraId="1B7C23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single" w:color="auto" w:sz="4" w:space="0"/>
            </w:tcBorders>
          </w:tcPr>
          <w:p w14:paraId="635BA1D1">
            <w:pPr>
              <w:adjustRightInd w:val="0"/>
              <w:snapToGrid w:val="0"/>
              <w:ind w:firstLine="84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内容</w:t>
            </w:r>
          </w:p>
          <w:p w14:paraId="3570E171">
            <w:pPr>
              <w:adjustRightInd w:val="0"/>
              <w:snapToGrid w:val="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要素</w:t>
            </w:r>
          </w:p>
        </w:tc>
        <w:tc>
          <w:tcPr>
            <w:tcW w:w="1755" w:type="dxa"/>
            <w:vAlign w:val="center"/>
          </w:tcPr>
          <w:p w14:paraId="174C7AE1">
            <w:pPr>
              <w:adjustRightInd w:val="0"/>
              <w:snapToGrid w:val="0"/>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排放口(编号、</w:t>
            </w:r>
          </w:p>
          <w:p w14:paraId="22DC0009">
            <w:pPr>
              <w:adjustRightInd w:val="0"/>
              <w:snapToGrid w:val="0"/>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名称)/污染源</w:t>
            </w:r>
          </w:p>
        </w:tc>
        <w:tc>
          <w:tcPr>
            <w:tcW w:w="1755" w:type="dxa"/>
            <w:vAlign w:val="center"/>
          </w:tcPr>
          <w:p w14:paraId="259C5B91">
            <w:pPr>
              <w:adjustRightInd w:val="0"/>
              <w:snapToGrid w:val="0"/>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污染物项目</w:t>
            </w:r>
          </w:p>
        </w:tc>
        <w:tc>
          <w:tcPr>
            <w:tcW w:w="1755" w:type="dxa"/>
            <w:vAlign w:val="center"/>
          </w:tcPr>
          <w:p w14:paraId="3DACF032">
            <w:pPr>
              <w:adjustRightInd w:val="0"/>
              <w:snapToGrid w:val="0"/>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环境保护措施</w:t>
            </w:r>
          </w:p>
        </w:tc>
        <w:tc>
          <w:tcPr>
            <w:tcW w:w="1757" w:type="dxa"/>
            <w:vAlign w:val="center"/>
          </w:tcPr>
          <w:p w14:paraId="1103C7B9">
            <w:pPr>
              <w:adjustRightInd w:val="0"/>
              <w:snapToGrid w:val="0"/>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执行标准</w:t>
            </w:r>
          </w:p>
        </w:tc>
      </w:tr>
      <w:tr w14:paraId="021560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778" w:type="dxa"/>
            <w:vMerge w:val="restart"/>
            <w:vAlign w:val="center"/>
          </w:tcPr>
          <w:p w14:paraId="4B75A84C">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大气环境</w:t>
            </w:r>
          </w:p>
        </w:tc>
        <w:tc>
          <w:tcPr>
            <w:tcW w:w="1755" w:type="dxa"/>
            <w:vAlign w:val="center"/>
          </w:tcPr>
          <w:p w14:paraId="092BC12C">
            <w:pPr>
              <w:adjustRightInd w:val="0"/>
              <w:snapToGrid w:val="0"/>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DA001</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水解</w:t>
            </w:r>
          </w:p>
        </w:tc>
        <w:tc>
          <w:tcPr>
            <w:tcW w:w="1755" w:type="dxa"/>
            <w:vAlign w:val="center"/>
          </w:tcPr>
          <w:p w14:paraId="145541BE">
            <w:pPr>
              <w:adjustRightInd w:val="0"/>
              <w:snapToGrid w:val="0"/>
              <w:jc w:val="center"/>
              <w:rPr>
                <w:rFonts w:ascii="宋体" w:hAnsi="宋体" w:cs="宋体"/>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恶臭气体（NH</w:t>
            </w:r>
            <w:r>
              <w:rPr>
                <w:color w:val="000000" w:themeColor="text1"/>
                <w:sz w:val="24"/>
                <w:szCs w:val="24"/>
                <w:vertAlign w:val="subscript"/>
                <w14:textFill>
                  <w14:solidFill>
                    <w14:schemeClr w14:val="tx1"/>
                  </w14:solidFill>
                </w14:textFill>
              </w:rPr>
              <w:t>3</w:t>
            </w:r>
            <w:r>
              <w:rPr>
                <w:color w:val="000000" w:themeColor="text1"/>
                <w:sz w:val="24"/>
                <w:szCs w:val="24"/>
                <w14:textFill>
                  <w14:solidFill>
                    <w14:schemeClr w14:val="tx1"/>
                  </w14:solidFill>
                </w14:textFill>
              </w:rPr>
              <w:t>、H</w:t>
            </w:r>
            <w:r>
              <w:rPr>
                <w:color w:val="000000" w:themeColor="text1"/>
                <w:sz w:val="24"/>
                <w:szCs w:val="24"/>
                <w:vertAlign w:val="subscript"/>
                <w14:textFill>
                  <w14:solidFill>
                    <w14:schemeClr w14:val="tx1"/>
                  </w14:solidFill>
                </w14:textFill>
              </w:rPr>
              <w:t>2</w:t>
            </w:r>
            <w:r>
              <w:rPr>
                <w:color w:val="000000" w:themeColor="text1"/>
                <w:sz w:val="24"/>
                <w:szCs w:val="24"/>
                <w14:textFill>
                  <w14:solidFill>
                    <w14:schemeClr w14:val="tx1"/>
                  </w14:solidFill>
                </w14:textFill>
              </w:rPr>
              <w:t>S</w:t>
            </w:r>
            <w:r>
              <w:rPr>
                <w:rFonts w:hint="eastAsia"/>
                <w:sz w:val="24"/>
                <w:szCs w:val="24"/>
                <w:lang w:eastAsia="zh-CN"/>
              </w:rPr>
              <w:t>、</w:t>
            </w:r>
            <w:r>
              <w:rPr>
                <w:rFonts w:hint="eastAsia"/>
                <w:sz w:val="24"/>
                <w:szCs w:val="24"/>
                <w:lang w:val="en-US" w:eastAsia="zh-CN"/>
              </w:rPr>
              <w:t>臭气浓度</w:t>
            </w:r>
            <w:r>
              <w:rPr>
                <w:color w:val="000000" w:themeColor="text1"/>
                <w:sz w:val="24"/>
                <w:szCs w:val="24"/>
                <w14:textFill>
                  <w14:solidFill>
                    <w14:schemeClr w14:val="tx1"/>
                  </w14:solidFill>
                </w14:textFill>
              </w:rPr>
              <w:t>）</w:t>
            </w:r>
          </w:p>
        </w:tc>
        <w:tc>
          <w:tcPr>
            <w:tcW w:w="1755" w:type="dxa"/>
            <w:vAlign w:val="center"/>
          </w:tcPr>
          <w:p w14:paraId="550B840B">
            <w:pPr>
              <w:adjustRightInd w:val="0"/>
              <w:snapToGrid w:val="0"/>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恶臭气体经管道收集后</w:t>
            </w:r>
            <w:r>
              <w:rPr>
                <w:color w:val="000000" w:themeColor="text1"/>
                <w:sz w:val="24"/>
                <w14:textFill>
                  <w14:solidFill>
                    <w14:schemeClr w14:val="tx1"/>
                  </w14:solidFill>
                </w14:textFill>
              </w:rPr>
              <w:t>经一套生物除臭</w:t>
            </w:r>
            <w:r>
              <w:rPr>
                <w:rFonts w:hint="eastAsia"/>
                <w:color w:val="000000" w:themeColor="text1"/>
                <w:sz w:val="24"/>
                <w14:textFill>
                  <w14:solidFill>
                    <w14:schemeClr w14:val="tx1"/>
                  </w14:solidFill>
                </w14:textFill>
              </w:rPr>
              <w:t>塔</w:t>
            </w:r>
            <w:r>
              <w:rPr>
                <w:color w:val="000000" w:themeColor="text1"/>
                <w:sz w:val="24"/>
                <w14:textFill>
                  <w14:solidFill>
                    <w14:schemeClr w14:val="tx1"/>
                  </w14:solidFill>
                </w14:textFill>
              </w:rPr>
              <w:t>处理后经15m高排气筒（DA001）排放</w:t>
            </w:r>
          </w:p>
        </w:tc>
        <w:tc>
          <w:tcPr>
            <w:tcW w:w="1757" w:type="dxa"/>
            <w:vMerge w:val="restart"/>
            <w:vAlign w:val="center"/>
          </w:tcPr>
          <w:p w14:paraId="68B65457">
            <w:pPr>
              <w:adjustRightInd w:val="0"/>
              <w:snapToGrid w:val="0"/>
              <w:jc w:val="center"/>
              <w:rPr>
                <w:rFonts w:ascii="宋体" w:hAnsi="宋体" w:cs="宋体"/>
                <w:color w:val="000000" w:themeColor="text1"/>
                <w:sz w:val="24"/>
                <w14:textFill>
                  <w14:solidFill>
                    <w14:schemeClr w14:val="tx1"/>
                  </w14:solidFill>
                </w14:textFill>
              </w:rPr>
            </w:pPr>
            <w:r>
              <w:rPr>
                <w:color w:val="000000" w:themeColor="text1"/>
                <w:sz w:val="24"/>
                <w14:textFill>
                  <w14:solidFill>
                    <w14:schemeClr w14:val="tx1"/>
                  </w14:solidFill>
                </w14:textFill>
              </w:rPr>
              <w:t>《恶臭污染物排放标准》(GB14554-93)中恶臭污染物排放标准</w:t>
            </w:r>
          </w:p>
        </w:tc>
      </w:tr>
      <w:tr w14:paraId="3A90F7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778" w:type="dxa"/>
            <w:vMerge w:val="continue"/>
            <w:vAlign w:val="center"/>
          </w:tcPr>
          <w:p w14:paraId="12B6F60D">
            <w:pPr>
              <w:adjustRightInd w:val="0"/>
              <w:snapToGrid w:val="0"/>
              <w:jc w:val="center"/>
              <w:rPr>
                <w:rFonts w:hint="eastAsia" w:ascii="宋体" w:hAnsi="宋体" w:cs="宋体"/>
                <w:color w:val="000000" w:themeColor="text1"/>
                <w:sz w:val="24"/>
                <w14:textFill>
                  <w14:solidFill>
                    <w14:schemeClr w14:val="tx1"/>
                  </w14:solidFill>
                </w14:textFill>
              </w:rPr>
            </w:pPr>
          </w:p>
        </w:tc>
        <w:tc>
          <w:tcPr>
            <w:tcW w:w="1755" w:type="dxa"/>
            <w:vAlign w:val="center"/>
          </w:tcPr>
          <w:p w14:paraId="715F9CA7">
            <w:pPr>
              <w:adjustRightInd w:val="0"/>
              <w:snapToGrid w:val="0"/>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厂界</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污水处理</w:t>
            </w:r>
          </w:p>
        </w:tc>
        <w:tc>
          <w:tcPr>
            <w:tcW w:w="1755" w:type="dxa"/>
            <w:vAlign w:val="center"/>
          </w:tcPr>
          <w:p w14:paraId="6D0BDDE3">
            <w:pPr>
              <w:adjustRightInd w:val="0"/>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恶臭气体（NH</w:t>
            </w:r>
            <w:r>
              <w:rPr>
                <w:color w:val="000000" w:themeColor="text1"/>
                <w:sz w:val="24"/>
                <w:szCs w:val="24"/>
                <w:vertAlign w:val="subscript"/>
                <w14:textFill>
                  <w14:solidFill>
                    <w14:schemeClr w14:val="tx1"/>
                  </w14:solidFill>
                </w14:textFill>
              </w:rPr>
              <w:t>3</w:t>
            </w:r>
            <w:r>
              <w:rPr>
                <w:color w:val="000000" w:themeColor="text1"/>
                <w:sz w:val="24"/>
                <w:szCs w:val="24"/>
                <w14:textFill>
                  <w14:solidFill>
                    <w14:schemeClr w14:val="tx1"/>
                  </w14:solidFill>
                </w14:textFill>
              </w:rPr>
              <w:t>、H</w:t>
            </w:r>
            <w:r>
              <w:rPr>
                <w:color w:val="000000" w:themeColor="text1"/>
                <w:sz w:val="24"/>
                <w:szCs w:val="24"/>
                <w:vertAlign w:val="subscript"/>
                <w14:textFill>
                  <w14:solidFill>
                    <w14:schemeClr w14:val="tx1"/>
                  </w14:solidFill>
                </w14:textFill>
              </w:rPr>
              <w:t>2</w:t>
            </w:r>
            <w:r>
              <w:rPr>
                <w:color w:val="000000" w:themeColor="text1"/>
                <w:sz w:val="24"/>
                <w:szCs w:val="24"/>
                <w14:textFill>
                  <w14:solidFill>
                    <w14:schemeClr w14:val="tx1"/>
                  </w14:solidFill>
                </w14:textFill>
              </w:rPr>
              <w:t>S</w:t>
            </w:r>
            <w:r>
              <w:rPr>
                <w:rFonts w:hint="eastAsia"/>
                <w:sz w:val="24"/>
                <w:szCs w:val="24"/>
                <w:lang w:eastAsia="zh-CN"/>
              </w:rPr>
              <w:t>、</w:t>
            </w:r>
            <w:r>
              <w:rPr>
                <w:rFonts w:hint="eastAsia"/>
                <w:sz w:val="24"/>
                <w:szCs w:val="24"/>
                <w:lang w:val="en-US" w:eastAsia="zh-CN"/>
              </w:rPr>
              <w:t>臭气浓度</w:t>
            </w:r>
            <w:r>
              <w:rPr>
                <w:color w:val="000000" w:themeColor="text1"/>
                <w:sz w:val="24"/>
                <w:szCs w:val="24"/>
                <w14:textFill>
                  <w14:solidFill>
                    <w14:schemeClr w14:val="tx1"/>
                  </w14:solidFill>
                </w14:textFill>
              </w:rPr>
              <w:t>）</w:t>
            </w:r>
          </w:p>
        </w:tc>
        <w:tc>
          <w:tcPr>
            <w:tcW w:w="1755" w:type="dxa"/>
            <w:vAlign w:val="center"/>
          </w:tcPr>
          <w:p w14:paraId="23E327D1">
            <w:pPr>
              <w:adjustRightInd w:val="0"/>
              <w:snapToGrid w:val="0"/>
              <w:jc w:val="center"/>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定期喷洒除臭剂</w:t>
            </w:r>
          </w:p>
        </w:tc>
        <w:tc>
          <w:tcPr>
            <w:tcW w:w="1757" w:type="dxa"/>
            <w:vMerge w:val="continue"/>
            <w:vAlign w:val="center"/>
          </w:tcPr>
          <w:p w14:paraId="5F829FA8">
            <w:pPr>
              <w:adjustRightInd w:val="0"/>
              <w:snapToGrid w:val="0"/>
              <w:jc w:val="center"/>
              <w:rPr>
                <w:color w:val="000000" w:themeColor="text1"/>
                <w:sz w:val="24"/>
                <w14:textFill>
                  <w14:solidFill>
                    <w14:schemeClr w14:val="tx1"/>
                  </w14:solidFill>
                </w14:textFill>
              </w:rPr>
            </w:pPr>
          </w:p>
        </w:tc>
      </w:tr>
      <w:tr w14:paraId="136455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778" w:type="dxa"/>
            <w:vAlign w:val="center"/>
          </w:tcPr>
          <w:p w14:paraId="4F2A176D">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地表水环境</w:t>
            </w:r>
          </w:p>
        </w:tc>
        <w:tc>
          <w:tcPr>
            <w:tcW w:w="1755" w:type="dxa"/>
            <w:vAlign w:val="center"/>
          </w:tcPr>
          <w:p w14:paraId="593E6FC5">
            <w:pPr>
              <w:adjustRightInd w:val="0"/>
              <w:snapToGrid w:val="0"/>
              <w:jc w:val="center"/>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厂区废水总排放口DW001/生活污水、清洗废水</w:t>
            </w:r>
            <w:r>
              <w:rPr>
                <w:rFonts w:hint="eastAsia" w:cs="Times New Roman"/>
                <w:color w:val="000000" w:themeColor="text1"/>
                <w:sz w:val="24"/>
                <w:lang w:val="en-US" w:eastAsia="zh-CN"/>
                <w14:textFill>
                  <w14:solidFill>
                    <w14:schemeClr w14:val="tx1"/>
                  </w14:solidFill>
                </w14:textFill>
              </w:rPr>
              <w:t>、废气处理装置定期排污水、纯水制备浓水</w:t>
            </w:r>
          </w:p>
        </w:tc>
        <w:tc>
          <w:tcPr>
            <w:tcW w:w="1755" w:type="dxa"/>
            <w:vAlign w:val="center"/>
          </w:tcPr>
          <w:p w14:paraId="4BFEA61B">
            <w:pPr>
              <w:adjustRightInd w:val="0"/>
              <w:snapToGrid w:val="0"/>
              <w:jc w:val="center"/>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pH、COD、BOD</w:t>
            </w:r>
            <w:r>
              <w:rPr>
                <w:rFonts w:hint="eastAsia" w:ascii="Times New Roman" w:hAnsi="Times New Roman" w:eastAsia="宋体" w:cs="Times New Roman"/>
                <w:color w:val="000000" w:themeColor="text1"/>
                <w:sz w:val="24"/>
                <w:vertAlign w:val="subscript"/>
                <w:lang w:val="en-US" w:eastAsia="zh-CN"/>
                <w14:textFill>
                  <w14:solidFill>
                    <w14:schemeClr w14:val="tx1"/>
                  </w14:solidFill>
                </w14:textFill>
              </w:rPr>
              <w:t>5</w:t>
            </w:r>
            <w:r>
              <w:rPr>
                <w:rFonts w:hint="eastAsia" w:ascii="Times New Roman" w:hAnsi="Times New Roman" w:eastAsia="宋体" w:cs="Times New Roman"/>
                <w:color w:val="000000" w:themeColor="text1"/>
                <w:sz w:val="24"/>
                <w:lang w:val="en-US" w:eastAsia="zh-CN"/>
                <w14:textFill>
                  <w14:solidFill>
                    <w14:schemeClr w14:val="tx1"/>
                  </w14:solidFill>
                </w14:textFill>
              </w:rPr>
              <w:t>、SS、NH3-N</w:t>
            </w:r>
            <w:r>
              <w:rPr>
                <w:rFonts w:hint="eastAsia" w:cs="Times New Roman"/>
                <w:color w:val="000000" w:themeColor="text1"/>
                <w:sz w:val="24"/>
                <w:lang w:val="en-US" w:eastAsia="zh-CN"/>
                <w14:textFill>
                  <w14:solidFill>
                    <w14:schemeClr w14:val="tx1"/>
                  </w14:solidFill>
                </w14:textFill>
              </w:rPr>
              <w:t>、总磷、总氮、全盐量</w:t>
            </w:r>
          </w:p>
        </w:tc>
        <w:tc>
          <w:tcPr>
            <w:tcW w:w="1755" w:type="dxa"/>
            <w:vAlign w:val="center"/>
          </w:tcPr>
          <w:p w14:paraId="10DFAC94">
            <w:pPr>
              <w:adjustRightInd w:val="0"/>
              <w:snapToGrid w:val="0"/>
              <w:jc w:val="center"/>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生活污水经厂区化粪池处理</w:t>
            </w:r>
          </w:p>
          <w:p w14:paraId="7ACE892F">
            <w:pPr>
              <w:adjustRightInd w:val="0"/>
              <w:snapToGrid w:val="0"/>
              <w:jc w:val="center"/>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、清洗废水</w:t>
            </w:r>
            <w:r>
              <w:rPr>
                <w:rFonts w:hint="eastAsia" w:cs="Times New Roman"/>
                <w:color w:val="000000" w:themeColor="text1"/>
                <w:sz w:val="24"/>
                <w:lang w:val="en-US" w:eastAsia="zh-CN"/>
                <w14:textFill>
                  <w14:solidFill>
                    <w14:schemeClr w14:val="tx1"/>
                  </w14:solidFill>
                </w14:textFill>
              </w:rPr>
              <w:t>、废气处理装置定期排污水</w:t>
            </w:r>
            <w:r>
              <w:rPr>
                <w:rFonts w:hint="eastAsia" w:ascii="Times New Roman" w:hAnsi="Times New Roman" w:eastAsia="宋体" w:cs="Times New Roman"/>
                <w:color w:val="000000" w:themeColor="text1"/>
                <w:sz w:val="24"/>
                <w:lang w:val="en-US" w:eastAsia="zh-CN"/>
                <w14:textFill>
                  <w14:solidFill>
                    <w14:schemeClr w14:val="tx1"/>
                  </w14:solidFill>
                </w14:textFill>
              </w:rPr>
              <w:t>经厂区污水处理设施处理后</w:t>
            </w:r>
            <w:r>
              <w:rPr>
                <w:rFonts w:hint="eastAsia" w:cs="Times New Roman"/>
                <w:color w:val="000000" w:themeColor="text1"/>
                <w:sz w:val="24"/>
                <w:lang w:val="en-US" w:eastAsia="zh-CN"/>
                <w14:textFill>
                  <w14:solidFill>
                    <w14:schemeClr w14:val="tx1"/>
                  </w14:solidFill>
                </w14:textFill>
              </w:rPr>
              <w:t>与纯水制备浓水</w:t>
            </w:r>
            <w:r>
              <w:rPr>
                <w:rFonts w:hint="eastAsia" w:ascii="Times New Roman" w:hAnsi="Times New Roman" w:eastAsia="宋体" w:cs="Times New Roman"/>
                <w:color w:val="000000" w:themeColor="text1"/>
                <w:sz w:val="24"/>
                <w:lang w:val="en-US" w:eastAsia="zh-CN"/>
                <w14:textFill>
                  <w14:solidFill>
                    <w14:schemeClr w14:val="tx1"/>
                  </w14:solidFill>
                </w14:textFill>
              </w:rPr>
              <w:t>一起经厂区废水总排放口排入市政污水管网，进入</w:t>
            </w:r>
            <w:r>
              <w:rPr>
                <w:rFonts w:hint="eastAsia" w:cs="Times New Roman"/>
                <w:color w:val="000000" w:themeColor="text1"/>
                <w:sz w:val="24"/>
                <w:lang w:val="en-US" w:eastAsia="zh-CN"/>
                <w14:textFill>
                  <w14:solidFill>
                    <w14:schemeClr w14:val="tx1"/>
                  </w14:solidFill>
                </w14:textFill>
              </w:rPr>
              <w:t>泗县工业污水处理厂</w:t>
            </w:r>
            <w:r>
              <w:rPr>
                <w:rFonts w:hint="eastAsia" w:ascii="Times New Roman" w:hAnsi="Times New Roman" w:eastAsia="宋体" w:cs="Times New Roman"/>
                <w:color w:val="000000" w:themeColor="text1"/>
                <w:sz w:val="24"/>
                <w:lang w:val="en-US" w:eastAsia="zh-CN"/>
                <w14:textFill>
                  <w14:solidFill>
                    <w14:schemeClr w14:val="tx1"/>
                  </w14:solidFill>
                </w14:textFill>
              </w:rPr>
              <w:t>进一步处理</w:t>
            </w:r>
          </w:p>
        </w:tc>
        <w:tc>
          <w:tcPr>
            <w:tcW w:w="1757" w:type="dxa"/>
            <w:vAlign w:val="center"/>
          </w:tcPr>
          <w:p w14:paraId="3ED9E172">
            <w:pPr>
              <w:adjustRightInd w:val="0"/>
              <w:snapToGrid w:val="0"/>
              <w:jc w:val="center"/>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《污水综合排放标准》（GB8978-1996）中的三级排放标准并满足污水处理厂接管要求</w:t>
            </w:r>
          </w:p>
        </w:tc>
      </w:tr>
      <w:tr w14:paraId="41E593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778" w:type="dxa"/>
            <w:vMerge w:val="restart"/>
            <w:vAlign w:val="center"/>
          </w:tcPr>
          <w:p w14:paraId="55BDF4AD">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声环境</w:t>
            </w:r>
          </w:p>
        </w:tc>
        <w:tc>
          <w:tcPr>
            <w:tcW w:w="1755" w:type="dxa"/>
            <w:vAlign w:val="center"/>
          </w:tcPr>
          <w:p w14:paraId="433471E7">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厂界</w:t>
            </w:r>
          </w:p>
        </w:tc>
        <w:tc>
          <w:tcPr>
            <w:tcW w:w="1755" w:type="dxa"/>
            <w:vAlign w:val="center"/>
          </w:tcPr>
          <w:p w14:paraId="623BA827">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等效声级</w:t>
            </w:r>
          </w:p>
        </w:tc>
        <w:tc>
          <w:tcPr>
            <w:tcW w:w="1755" w:type="dxa"/>
            <w:vAlign w:val="center"/>
          </w:tcPr>
          <w:p w14:paraId="50454822">
            <w:pPr>
              <w:adjustRightInd w:val="0"/>
              <w:snapToGrid w:val="0"/>
              <w:jc w:val="center"/>
              <w:rPr>
                <w:rFonts w:ascii="宋体" w:hAnsi="宋体" w:cs="宋体"/>
                <w:color w:val="000000" w:themeColor="text1"/>
                <w:sz w:val="24"/>
                <w14:textFill>
                  <w14:solidFill>
                    <w14:schemeClr w14:val="tx1"/>
                  </w14:solidFill>
                </w14:textFill>
              </w:rPr>
            </w:pPr>
            <w:r>
              <w:rPr>
                <w:bCs/>
                <w:color w:val="000000" w:themeColor="text1"/>
                <w:sz w:val="24"/>
                <w14:textFill>
                  <w14:solidFill>
                    <w14:schemeClr w14:val="tx1"/>
                  </w14:solidFill>
                </w14:textFill>
              </w:rPr>
              <w:t>安装减振基座、厂房隔声</w:t>
            </w:r>
          </w:p>
        </w:tc>
        <w:tc>
          <w:tcPr>
            <w:tcW w:w="1757" w:type="dxa"/>
            <w:vAlign w:val="center"/>
          </w:tcPr>
          <w:p w14:paraId="2AE062B8">
            <w:pPr>
              <w:adjustRightInd w:val="0"/>
              <w:snapToGrid w:val="0"/>
              <w:jc w:val="center"/>
              <w:rPr>
                <w:rFonts w:ascii="宋体" w:hAnsi="宋体" w:cs="宋体"/>
                <w:color w:val="000000" w:themeColor="text1"/>
                <w:sz w:val="24"/>
                <w14:textFill>
                  <w14:solidFill>
                    <w14:schemeClr w14:val="tx1"/>
                  </w14:solidFill>
                </w14:textFill>
              </w:rPr>
            </w:pPr>
            <w:r>
              <w:rPr>
                <w:color w:val="000000" w:themeColor="text1"/>
                <w:sz w:val="24"/>
                <w14:textFill>
                  <w14:solidFill>
                    <w14:schemeClr w14:val="tx1"/>
                  </w14:solidFill>
                </w14:textFill>
              </w:rPr>
              <w:t>《工业企业厂界环境噪声排放标准》（GB12348-2008）中</w:t>
            </w:r>
            <w:r>
              <w:rPr>
                <w:rFonts w:hint="eastAsia"/>
                <w:color w:val="000000" w:themeColor="text1"/>
                <w:sz w:val="24"/>
                <w:lang w:val="en-US" w:eastAsia="zh-CN"/>
                <w14:textFill>
                  <w14:solidFill>
                    <w14:schemeClr w14:val="tx1"/>
                  </w14:solidFill>
                </w14:textFill>
              </w:rPr>
              <w:t>3</w:t>
            </w:r>
            <w:r>
              <w:rPr>
                <w:color w:val="000000" w:themeColor="text1"/>
                <w:sz w:val="24"/>
                <w14:textFill>
                  <w14:solidFill>
                    <w14:schemeClr w14:val="tx1"/>
                  </w14:solidFill>
                </w14:textFill>
              </w:rPr>
              <w:t>类标准</w:t>
            </w:r>
          </w:p>
        </w:tc>
      </w:tr>
      <w:tr w14:paraId="163A5B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78" w:type="dxa"/>
            <w:vAlign w:val="center"/>
          </w:tcPr>
          <w:p w14:paraId="2F9FA5AE">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电磁辐射</w:t>
            </w:r>
          </w:p>
        </w:tc>
        <w:tc>
          <w:tcPr>
            <w:tcW w:w="7022" w:type="dxa"/>
            <w:gridSpan w:val="4"/>
            <w:vAlign w:val="center"/>
          </w:tcPr>
          <w:p w14:paraId="4EA429E0">
            <w:pPr>
              <w:adjustRightInd w:val="0"/>
              <w:snapToGrid w:val="0"/>
              <w:jc w:val="center"/>
              <w:rPr>
                <w:rFonts w:ascii="宋体" w:hAnsi="宋体" w:cs="宋体"/>
                <w:color w:val="000000" w:themeColor="text1"/>
                <w:sz w:val="24"/>
                <w14:textFill>
                  <w14:solidFill>
                    <w14:schemeClr w14:val="tx1"/>
                  </w14:solidFill>
                </w14:textFill>
              </w:rPr>
            </w:pPr>
            <w:r>
              <w:rPr>
                <w:color w:val="000000" w:themeColor="text1"/>
                <w:sz w:val="24"/>
                <w14:textFill>
                  <w14:solidFill>
                    <w14:schemeClr w14:val="tx1"/>
                  </w14:solidFill>
                </w14:textFill>
              </w:rPr>
              <w:t>/</w:t>
            </w:r>
          </w:p>
        </w:tc>
      </w:tr>
      <w:tr w14:paraId="0CA8D8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778" w:type="dxa"/>
            <w:vAlign w:val="center"/>
          </w:tcPr>
          <w:p w14:paraId="0CF57288">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固体废物</w:t>
            </w:r>
          </w:p>
        </w:tc>
        <w:tc>
          <w:tcPr>
            <w:tcW w:w="7022" w:type="dxa"/>
            <w:gridSpan w:val="4"/>
            <w:vAlign w:val="center"/>
          </w:tcPr>
          <w:p w14:paraId="45D0E343">
            <w:pPr>
              <w:numPr>
                <w:ilvl w:val="0"/>
                <w:numId w:val="0"/>
              </w:numPr>
              <w:spacing w:line="360" w:lineRule="auto"/>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（1）生活垃圾由环卫部门清运；</w:t>
            </w:r>
          </w:p>
          <w:p w14:paraId="3399AA9D">
            <w:pPr>
              <w:numPr>
                <w:ilvl w:val="0"/>
                <w:numId w:val="0"/>
              </w:numPr>
              <w:spacing w:line="360" w:lineRule="auto"/>
              <w:rPr>
                <w:rFonts w:hint="default" w:ascii="Times New Roman" w:hAnsi="Times New Roman" w:eastAsia="宋体" w:cs="Times New Roman"/>
                <w:color w:val="000000" w:themeColor="text1"/>
                <w:sz w:val="24"/>
                <w:lang w:val="en-US"/>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（2）泥沙、</w:t>
            </w:r>
            <w:r>
              <w:rPr>
                <w:rFonts w:hint="eastAsia" w:cs="Times New Roman"/>
                <w:color w:val="000000" w:themeColor="text1"/>
                <w:sz w:val="24"/>
                <w:lang w:val="en-US" w:eastAsia="zh-CN"/>
                <w14:textFill>
                  <w14:solidFill>
                    <w14:schemeClr w14:val="tx1"/>
                  </w14:solidFill>
                </w14:textFill>
              </w:rPr>
              <w:t>清洗废物、蚯蚓残渣</w:t>
            </w:r>
            <w:r>
              <w:rPr>
                <w:rFonts w:hint="eastAsia" w:ascii="Times New Roman" w:hAnsi="Times New Roman" w:eastAsia="宋体" w:cs="Times New Roman"/>
                <w:color w:val="000000" w:themeColor="text1"/>
                <w:sz w:val="24"/>
                <w14:textFill>
                  <w14:solidFill>
                    <w14:schemeClr w14:val="tx1"/>
                  </w14:solidFill>
                </w14:textFill>
              </w:rPr>
              <w:t>回用于一期项目用于蚯蚓养殖</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污泥委托一般固废处置单位处理。</w:t>
            </w:r>
          </w:p>
          <w:p w14:paraId="066408CE">
            <w:pPr>
              <w:numPr>
                <w:ilvl w:val="0"/>
                <w:numId w:val="0"/>
              </w:numPr>
              <w:spacing w:line="360" w:lineRule="auto"/>
              <w:rPr>
                <w:rFonts w:hint="eastAsia" w:eastAsia="宋体"/>
                <w:color w:val="000000" w:themeColor="text1"/>
                <w:sz w:val="24"/>
                <w:lang w:eastAsia="zh-CN"/>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cs="Times New Roman"/>
                <w:color w:val="000000" w:themeColor="text1"/>
                <w:kern w:val="2"/>
                <w:sz w:val="24"/>
                <w:szCs w:val="24"/>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实验检验废物</w:t>
            </w:r>
            <w:r>
              <w:rPr>
                <w:rFonts w:hint="eastAsia" w:ascii="Times New Roman" w:hAnsi="Times New Roman" w:eastAsia="宋体" w:cs="Times New Roman"/>
                <w:color w:val="000000" w:themeColor="text1"/>
                <w:sz w:val="24"/>
                <w14:textFill>
                  <w14:solidFill>
                    <w14:schemeClr w14:val="tx1"/>
                  </w14:solidFill>
                </w14:textFill>
              </w:rPr>
              <w:t>暂存在</w:t>
            </w:r>
            <w:r>
              <w:rPr>
                <w:rFonts w:hint="eastAsia" w:cs="Times New Roman"/>
                <w:color w:val="000000" w:themeColor="text1"/>
                <w:sz w:val="24"/>
                <w:lang w:val="en-US" w:eastAsia="zh-CN"/>
                <w14:textFill>
                  <w14:solidFill>
                    <w14:schemeClr w14:val="tx1"/>
                  </w14:solidFill>
                </w14:textFill>
              </w:rPr>
              <w:t>危废暂存间</w:t>
            </w:r>
            <w:r>
              <w:rPr>
                <w:rFonts w:hint="eastAsia" w:ascii="Times New Roman" w:hAnsi="Times New Roman" w:eastAsia="宋体" w:cs="Times New Roman"/>
                <w:color w:val="000000" w:themeColor="text1"/>
                <w:sz w:val="24"/>
                <w14:textFill>
                  <w14:solidFill>
                    <w14:schemeClr w14:val="tx1"/>
                  </w14:solidFill>
                </w14:textFill>
              </w:rPr>
              <w:t>，定期委托有资质单位处理</w:t>
            </w:r>
            <w:r>
              <w:rPr>
                <w:rFonts w:hint="eastAsia" w:ascii="Times New Roman" w:hAnsi="Times New Roman" w:eastAsia="宋体" w:cs="Times New Roman"/>
                <w:color w:val="000000" w:themeColor="text1"/>
                <w:sz w:val="24"/>
                <w:lang w:eastAsia="zh-CN"/>
                <w14:textFill>
                  <w14:solidFill>
                    <w14:schemeClr w14:val="tx1"/>
                  </w14:solidFill>
                </w14:textFill>
              </w:rPr>
              <w:t>。</w:t>
            </w:r>
          </w:p>
        </w:tc>
      </w:tr>
      <w:tr w14:paraId="278DEE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778" w:type="dxa"/>
            <w:vAlign w:val="center"/>
          </w:tcPr>
          <w:p w14:paraId="36F22E8F">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土壤及地下水</w:t>
            </w:r>
          </w:p>
          <w:p w14:paraId="76204612">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污染防治措施</w:t>
            </w:r>
          </w:p>
        </w:tc>
        <w:tc>
          <w:tcPr>
            <w:tcW w:w="7022" w:type="dxa"/>
            <w:gridSpan w:val="4"/>
            <w:vAlign w:val="center"/>
          </w:tcPr>
          <w:p w14:paraId="53AE2F62">
            <w:pPr>
              <w:rPr>
                <w:rFonts w:hint="eastAsia" w:eastAsia="宋体"/>
                <w:bCs/>
                <w:sz w:val="24"/>
                <w:szCs w:val="24"/>
                <w:lang w:eastAsia="zh-CN"/>
              </w:rPr>
            </w:pPr>
            <w:r>
              <w:rPr>
                <w:rFonts w:hint="eastAsia"/>
                <w:bCs/>
                <w:sz w:val="24"/>
                <w:szCs w:val="24"/>
                <w:lang w:val="en-US" w:eastAsia="zh-CN"/>
              </w:rPr>
              <w:t>防渗要求：1、</w:t>
            </w:r>
            <w:r>
              <w:rPr>
                <w:rFonts w:hint="eastAsia"/>
                <w:bCs/>
                <w:sz w:val="24"/>
                <w:szCs w:val="24"/>
              </w:rPr>
              <w:t>危险废物暂存间</w:t>
            </w:r>
            <w:r>
              <w:rPr>
                <w:rFonts w:hint="eastAsia"/>
                <w:bCs/>
                <w:sz w:val="24"/>
                <w:szCs w:val="24"/>
                <w:lang w:eastAsia="zh-CN"/>
              </w:rPr>
              <w:t>：</w:t>
            </w:r>
            <w:r>
              <w:rPr>
                <w:rFonts w:hint="eastAsia"/>
                <w:bCs/>
                <w:sz w:val="24"/>
                <w:szCs w:val="24"/>
              </w:rPr>
              <w:t>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1m厚黏土层（渗透系数不大于10</w:t>
            </w:r>
            <w:r>
              <w:rPr>
                <w:rFonts w:hint="eastAsia"/>
                <w:bCs/>
                <w:sz w:val="24"/>
                <w:szCs w:val="24"/>
                <w:vertAlign w:val="superscript"/>
              </w:rPr>
              <w:t>-7</w:t>
            </w:r>
            <w:r>
              <w:rPr>
                <w:rFonts w:hint="eastAsia"/>
                <w:bCs/>
                <w:sz w:val="24"/>
                <w:szCs w:val="24"/>
              </w:rPr>
              <w:t>cm/s），或至少2mm厚高密度聚乙烯膜等人工防渗材料（渗透系数不大于10</w:t>
            </w:r>
            <w:r>
              <w:rPr>
                <w:rFonts w:hint="eastAsia"/>
                <w:bCs/>
                <w:sz w:val="24"/>
                <w:szCs w:val="24"/>
                <w:vertAlign w:val="superscript"/>
              </w:rPr>
              <w:t>-10</w:t>
            </w:r>
            <w:r>
              <w:rPr>
                <w:rFonts w:hint="eastAsia"/>
                <w:bCs/>
                <w:sz w:val="24"/>
                <w:szCs w:val="24"/>
              </w:rPr>
              <w:t>cm/s），或其他防渗性能等效的材料</w:t>
            </w:r>
            <w:r>
              <w:rPr>
                <w:rFonts w:hint="eastAsia"/>
                <w:bCs/>
                <w:sz w:val="24"/>
                <w:szCs w:val="24"/>
                <w:lang w:eastAsia="zh-CN"/>
              </w:rPr>
              <w:t>；</w:t>
            </w:r>
          </w:p>
          <w:p w14:paraId="1889CFC5">
            <w:pPr>
              <w:rPr>
                <w:rFonts w:hint="eastAsia" w:eastAsia="宋体"/>
                <w:bCs/>
                <w:sz w:val="24"/>
                <w:szCs w:val="24"/>
                <w:lang w:eastAsia="zh-CN"/>
              </w:rPr>
            </w:pPr>
            <w:r>
              <w:rPr>
                <w:rFonts w:hint="eastAsia"/>
                <w:bCs/>
                <w:sz w:val="24"/>
                <w:szCs w:val="24"/>
                <w:lang w:val="en-US" w:eastAsia="zh-CN"/>
              </w:rPr>
              <w:t>2、</w:t>
            </w:r>
            <w:r>
              <w:rPr>
                <w:rFonts w:hint="eastAsia"/>
                <w:bCs/>
                <w:sz w:val="24"/>
                <w:szCs w:val="24"/>
              </w:rPr>
              <w:t>生产车间、</w:t>
            </w:r>
            <w:r>
              <w:rPr>
                <w:rFonts w:hint="eastAsia"/>
                <w:bCs/>
                <w:sz w:val="24"/>
                <w:szCs w:val="24"/>
                <w:lang w:val="en-US" w:eastAsia="zh-CN"/>
              </w:rPr>
              <w:t>仓库</w:t>
            </w:r>
            <w:r>
              <w:rPr>
                <w:rFonts w:hint="eastAsia"/>
                <w:bCs/>
                <w:sz w:val="24"/>
                <w:szCs w:val="24"/>
                <w:lang w:eastAsia="zh-CN"/>
              </w:rPr>
              <w:t>：</w:t>
            </w:r>
            <w:r>
              <w:rPr>
                <w:rFonts w:hint="eastAsia"/>
                <w:bCs/>
                <w:sz w:val="24"/>
                <w:szCs w:val="24"/>
              </w:rPr>
              <w:t>等效黏土防水层Mb≥1.5m，K≤1.0×10</w:t>
            </w:r>
            <w:r>
              <w:rPr>
                <w:rFonts w:hint="eastAsia"/>
                <w:bCs/>
                <w:sz w:val="24"/>
                <w:szCs w:val="24"/>
                <w:vertAlign w:val="superscript"/>
              </w:rPr>
              <w:t>-7</w:t>
            </w:r>
            <w:r>
              <w:rPr>
                <w:rFonts w:hint="eastAsia"/>
                <w:bCs/>
                <w:sz w:val="24"/>
                <w:szCs w:val="24"/>
              </w:rPr>
              <w:t>cm/s；或参照GB16889执行</w:t>
            </w:r>
            <w:r>
              <w:rPr>
                <w:rFonts w:hint="eastAsia"/>
                <w:bCs/>
                <w:sz w:val="24"/>
                <w:szCs w:val="24"/>
                <w:lang w:eastAsia="zh-CN"/>
              </w:rPr>
              <w:t>；</w:t>
            </w:r>
          </w:p>
          <w:p w14:paraId="6FEF921F">
            <w:pPr>
              <w:rPr>
                <w:rFonts w:ascii="宋体" w:hAnsi="宋体" w:cs="宋体"/>
                <w:color w:val="000000" w:themeColor="text1"/>
                <w:sz w:val="24"/>
                <w:szCs w:val="24"/>
                <w14:textFill>
                  <w14:solidFill>
                    <w14:schemeClr w14:val="tx1"/>
                  </w14:solidFill>
                </w14:textFill>
              </w:rPr>
            </w:pPr>
            <w:r>
              <w:rPr>
                <w:rFonts w:hint="eastAsia" w:ascii="Times New Roman" w:hAnsi="Times New Roman" w:eastAsia="宋体" w:cs="Times New Roman"/>
                <w:bCs/>
                <w:sz w:val="24"/>
                <w:szCs w:val="24"/>
                <w:lang w:val="en-US" w:eastAsia="zh-CN"/>
              </w:rPr>
              <w:t>3、</w:t>
            </w:r>
            <w:r>
              <w:rPr>
                <w:rFonts w:hint="eastAsia" w:ascii="Times New Roman" w:hAnsi="Times New Roman" w:eastAsia="宋体" w:cs="Times New Roman"/>
                <w:bCs/>
                <w:sz w:val="24"/>
                <w:szCs w:val="24"/>
              </w:rPr>
              <w:t>办公区域</w:t>
            </w: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rPr>
              <w:t>一般地面硬化</w:t>
            </w:r>
            <w:r>
              <w:rPr>
                <w:rFonts w:hint="eastAsia" w:ascii="Times New Roman" w:hAnsi="Times New Roman" w:eastAsia="宋体" w:cs="Times New Roman"/>
                <w:bCs/>
                <w:sz w:val="24"/>
                <w:szCs w:val="24"/>
                <w:lang w:eastAsia="zh-CN"/>
              </w:rPr>
              <w:t>。</w:t>
            </w:r>
          </w:p>
        </w:tc>
      </w:tr>
      <w:tr w14:paraId="0AB1DC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778" w:type="dxa"/>
            <w:vAlign w:val="center"/>
          </w:tcPr>
          <w:p w14:paraId="214C3125">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生态保护措施</w:t>
            </w:r>
          </w:p>
        </w:tc>
        <w:tc>
          <w:tcPr>
            <w:tcW w:w="7022" w:type="dxa"/>
            <w:gridSpan w:val="4"/>
            <w:vAlign w:val="center"/>
          </w:tcPr>
          <w:p w14:paraId="09C42D30">
            <w:pPr>
              <w:keepNext w:val="0"/>
              <w:keepLines w:val="0"/>
              <w:pageBreakBefore w:val="0"/>
              <w:kinsoku/>
              <w:wordWrap/>
              <w:overflowPunct/>
              <w:topLinePunct w:val="0"/>
              <w:autoSpaceDE/>
              <w:autoSpaceDN/>
              <w:bidi w:val="0"/>
              <w:adjustRightInd w:val="0"/>
              <w:snapToGrid w:val="0"/>
              <w:spacing w:line="300" w:lineRule="auto"/>
              <w:jc w:val="center"/>
              <w:textAlignment w:val="auto"/>
              <w:rPr>
                <w:rFonts w:ascii="宋体" w:hAnsi="宋体" w:cs="宋体"/>
                <w:color w:val="000000" w:themeColor="text1"/>
                <w:sz w:val="24"/>
                <w14:textFill>
                  <w14:solidFill>
                    <w14:schemeClr w14:val="tx1"/>
                  </w14:solidFill>
                </w14:textFill>
              </w:rPr>
            </w:pPr>
            <w:r>
              <w:rPr>
                <w:color w:val="000000" w:themeColor="text1"/>
                <w:sz w:val="24"/>
                <w14:textFill>
                  <w14:solidFill>
                    <w14:schemeClr w14:val="tx1"/>
                  </w14:solidFill>
                </w14:textFill>
              </w:rPr>
              <w:t>/</w:t>
            </w:r>
          </w:p>
        </w:tc>
      </w:tr>
      <w:tr w14:paraId="66EC0C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78" w:type="dxa"/>
            <w:vAlign w:val="center"/>
          </w:tcPr>
          <w:p w14:paraId="3C4C6841">
            <w:pPr>
              <w:adjustRightInd w:val="0"/>
              <w:snapToGrid w:val="0"/>
              <w:jc w:val="center"/>
              <w:rPr>
                <w:rFonts w:ascii="宋体" w:hAnsi="宋体" w:cs="宋体"/>
                <w:color w:val="000000" w:themeColor="text1"/>
                <w:spacing w:val="-8"/>
                <w:sz w:val="24"/>
                <w14:textFill>
                  <w14:solidFill>
                    <w14:schemeClr w14:val="tx1"/>
                  </w14:solidFill>
                </w14:textFill>
              </w:rPr>
            </w:pPr>
            <w:r>
              <w:rPr>
                <w:rFonts w:hint="eastAsia" w:ascii="宋体" w:hAnsi="宋体" w:cs="宋体"/>
                <w:color w:val="000000" w:themeColor="text1"/>
                <w:spacing w:val="-8"/>
                <w:sz w:val="24"/>
                <w14:textFill>
                  <w14:solidFill>
                    <w14:schemeClr w14:val="tx1"/>
                  </w14:solidFill>
                </w14:textFill>
              </w:rPr>
              <w:t>环境风险</w:t>
            </w:r>
          </w:p>
          <w:p w14:paraId="629A5BFB">
            <w:pPr>
              <w:adjustRightInd w:val="0"/>
              <w:snapToGrid w:val="0"/>
              <w:jc w:val="center"/>
              <w:rPr>
                <w:rFonts w:ascii="宋体" w:hAnsi="宋体" w:cs="宋体"/>
                <w:color w:val="000000" w:themeColor="text1"/>
                <w:spacing w:val="-8"/>
                <w:sz w:val="24"/>
                <w14:textFill>
                  <w14:solidFill>
                    <w14:schemeClr w14:val="tx1"/>
                  </w14:solidFill>
                </w14:textFill>
              </w:rPr>
            </w:pPr>
            <w:r>
              <w:rPr>
                <w:rFonts w:hint="eastAsia" w:ascii="宋体" w:hAnsi="宋体" w:cs="宋体"/>
                <w:color w:val="000000" w:themeColor="text1"/>
                <w:spacing w:val="-8"/>
                <w:sz w:val="24"/>
                <w14:textFill>
                  <w14:solidFill>
                    <w14:schemeClr w14:val="tx1"/>
                  </w14:solidFill>
                </w14:textFill>
              </w:rPr>
              <w:t>防范措施</w:t>
            </w:r>
          </w:p>
        </w:tc>
        <w:tc>
          <w:tcPr>
            <w:tcW w:w="7022" w:type="dxa"/>
            <w:gridSpan w:val="4"/>
            <w:vAlign w:val="center"/>
          </w:tcPr>
          <w:p w14:paraId="7291F838">
            <w:pPr>
              <w:keepNext w:val="0"/>
              <w:keepLines w:val="0"/>
              <w:pageBreakBefore w:val="0"/>
              <w:kinsoku/>
              <w:wordWrap/>
              <w:overflowPunct/>
              <w:topLinePunct w:val="0"/>
              <w:autoSpaceDE/>
              <w:autoSpaceDN/>
              <w:bidi w:val="0"/>
              <w:adjustRightInd w:val="0"/>
              <w:snapToGrid w:val="0"/>
              <w:spacing w:line="300" w:lineRule="auto"/>
              <w:jc w:val="left"/>
              <w:textAlignment w:val="auto"/>
              <w:rPr>
                <w:rFonts w:ascii="宋体" w:hAnsi="宋体" w:cs="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rFonts w:hint="eastAsia"/>
                <w:color w:val="000000" w:themeColor="text1"/>
                <w:kern w:val="0"/>
                <w:sz w:val="24"/>
                <w14:textFill>
                  <w14:solidFill>
                    <w14:schemeClr w14:val="tx1"/>
                  </w14:solidFill>
                </w14:textFill>
              </w:rPr>
              <w:t>运输过程应采用专用合格车辆进行运输，运输人员需持证上岗，车辆不得超装、超载，严守交通规则和运输安全，车辆的明显位置上要悬挂的警示标记，尽可能地选择远离居民集中区的运输路线。不得进入运输车辆禁止通行的区域，确需进入禁止通行区域的，应当事先向当地公安部门报告，并按公安部门指定的行车时间和路线进行运输，并做到文明行车。</w:t>
            </w:r>
          </w:p>
        </w:tc>
      </w:tr>
      <w:tr w14:paraId="7484CF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778" w:type="dxa"/>
            <w:vAlign w:val="center"/>
          </w:tcPr>
          <w:p w14:paraId="6632D11E">
            <w:pPr>
              <w:adjustRightInd w:val="0"/>
              <w:snapToGrid w:val="0"/>
              <w:jc w:val="center"/>
              <w:rPr>
                <w:rFonts w:ascii="宋体" w:hAnsi="宋体" w:cs="宋体"/>
                <w:color w:val="000000" w:themeColor="text1"/>
                <w:spacing w:val="-8"/>
                <w:sz w:val="24"/>
                <w14:textFill>
                  <w14:solidFill>
                    <w14:schemeClr w14:val="tx1"/>
                  </w14:solidFill>
                </w14:textFill>
              </w:rPr>
            </w:pPr>
            <w:r>
              <w:rPr>
                <w:rFonts w:hint="eastAsia" w:ascii="宋体" w:hAnsi="宋体" w:cs="宋体"/>
                <w:color w:val="000000" w:themeColor="text1"/>
                <w:spacing w:val="-8"/>
                <w:sz w:val="24"/>
                <w14:textFill>
                  <w14:solidFill>
                    <w14:schemeClr w14:val="tx1"/>
                  </w14:solidFill>
                </w14:textFill>
              </w:rPr>
              <w:t>其他环境</w:t>
            </w:r>
          </w:p>
          <w:p w14:paraId="331848F0">
            <w:pPr>
              <w:adjustRightInd w:val="0"/>
              <w:snapToGrid w:val="0"/>
              <w:jc w:val="center"/>
              <w:rPr>
                <w:rFonts w:ascii="宋体" w:hAnsi="宋体" w:cs="宋体"/>
                <w:color w:val="000000" w:themeColor="text1"/>
                <w:spacing w:val="-8"/>
                <w:sz w:val="24"/>
                <w14:textFill>
                  <w14:solidFill>
                    <w14:schemeClr w14:val="tx1"/>
                  </w14:solidFill>
                </w14:textFill>
              </w:rPr>
            </w:pPr>
            <w:r>
              <w:rPr>
                <w:rFonts w:hint="eastAsia" w:ascii="宋体" w:hAnsi="宋体" w:cs="宋体"/>
                <w:color w:val="000000" w:themeColor="text1"/>
                <w:spacing w:val="-8"/>
                <w:sz w:val="24"/>
                <w14:textFill>
                  <w14:solidFill>
                    <w14:schemeClr w14:val="tx1"/>
                  </w14:solidFill>
                </w14:textFill>
              </w:rPr>
              <w:t>管理要求</w:t>
            </w:r>
          </w:p>
        </w:tc>
        <w:tc>
          <w:tcPr>
            <w:tcW w:w="7022" w:type="dxa"/>
            <w:gridSpan w:val="4"/>
            <w:vAlign w:val="center"/>
          </w:tcPr>
          <w:p w14:paraId="455D7BBF">
            <w:pPr>
              <w:keepNext w:val="0"/>
              <w:keepLines w:val="0"/>
              <w:pageBreakBefore w:val="0"/>
              <w:kinsoku/>
              <w:wordWrap/>
              <w:overflowPunct/>
              <w:topLinePunct w:val="0"/>
              <w:autoSpaceDE/>
              <w:autoSpaceDN/>
              <w:bidi w:val="0"/>
              <w:adjustRightInd w:val="0"/>
              <w:snapToGrid w:val="0"/>
              <w:spacing w:line="300" w:lineRule="auto"/>
              <w:jc w:val="left"/>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（1）规范化排污口设置</w:t>
            </w:r>
          </w:p>
          <w:p w14:paraId="58EEFF67">
            <w:pPr>
              <w:keepNext w:val="0"/>
              <w:keepLines w:val="0"/>
              <w:pageBreakBefore w:val="0"/>
              <w:widowControl/>
              <w:kinsoku/>
              <w:wordWrap/>
              <w:overflowPunct/>
              <w:topLinePunct w:val="0"/>
              <w:autoSpaceDE/>
              <w:autoSpaceDN/>
              <w:bidi w:val="0"/>
              <w:spacing w:line="300" w:lineRule="auto"/>
              <w:jc w:val="left"/>
              <w:textAlignment w:val="auto"/>
              <w:rPr>
                <w:rFonts w:hint="default" w:eastAsia="宋体"/>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（2）</w:t>
            </w:r>
            <w:r>
              <w:rPr>
                <w:rFonts w:ascii="Times New Roman" w:hAnsi="Times New Roman" w:eastAsia="宋体" w:cs="Times New Roman"/>
                <w:color w:val="000000" w:themeColor="text1"/>
                <w:sz w:val="24"/>
                <w14:textFill>
                  <w14:solidFill>
                    <w14:schemeClr w14:val="tx1"/>
                  </w14:solidFill>
                </w14:textFill>
              </w:rPr>
              <w:t>根据</w:t>
            </w:r>
            <w:r>
              <w:rPr>
                <w:rFonts w:hint="eastAsia" w:ascii="Times New Roman" w:hAnsi="Times New Roman" w:eastAsia="宋体" w:cs="Times New Roman"/>
                <w:color w:val="000000" w:themeColor="text1"/>
                <w:sz w:val="24"/>
                <w14:textFill>
                  <w14:solidFill>
                    <w14:schemeClr w14:val="tx1"/>
                  </w14:solidFill>
                </w14:textFill>
              </w:rPr>
              <w:t>《固定污染源排污许可分类管理名录》（2019年版）</w:t>
            </w:r>
            <w:r>
              <w:rPr>
                <w:rFonts w:hint="eastAsia"/>
                <w:color w:val="000000" w:themeColor="text1"/>
                <w:sz w:val="24"/>
                <w14:textFill>
                  <w14:solidFill>
                    <w14:schemeClr w14:val="tx1"/>
                  </w14:solidFill>
                </w14:textFill>
              </w:rPr>
              <w:t>中要求，企业需申请排污许可</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管理类别为简化管理。</w:t>
            </w:r>
          </w:p>
          <w:p w14:paraId="19855C2A">
            <w:pPr>
              <w:keepNext w:val="0"/>
              <w:keepLines w:val="0"/>
              <w:pageBreakBefore w:val="0"/>
              <w:kinsoku/>
              <w:wordWrap/>
              <w:overflowPunct/>
              <w:topLinePunct w:val="0"/>
              <w:autoSpaceDE/>
              <w:autoSpaceDN/>
              <w:bidi w:val="0"/>
              <w:adjustRightInd w:val="0"/>
              <w:snapToGrid w:val="0"/>
              <w:spacing w:line="300" w:lineRule="auto"/>
              <w:jc w:val="left"/>
              <w:textAlignment w:val="auto"/>
              <w:rPr>
                <w:rFonts w:ascii="宋体" w:hAnsi="宋体" w:cs="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rFonts w:hint="eastAsia" w:ascii="宋体" w:hAnsi="宋体" w:cs="宋体"/>
                <w:color w:val="000000" w:themeColor="text1"/>
                <w:kern w:val="0"/>
                <w:sz w:val="24"/>
                <w:lang w:bidi="ar"/>
                <w14:textFill>
                  <w14:solidFill>
                    <w14:schemeClr w14:val="tx1"/>
                  </w14:solidFill>
                </w14:textFill>
              </w:rPr>
              <w:t>根据相关环保法律中的规定，项目的主体工程与用于污染防治的设施必须同时设计、同时施工、同时投入运行，并且对于污染物防治设施建设“三同时”验收可以有效地防止大气污染物和水污染物对生态环境造成的不良影响。本项目在进行试生产时需要向环保部门申请开始进行“三同时”验收。</w:t>
            </w:r>
          </w:p>
        </w:tc>
      </w:tr>
    </w:tbl>
    <w:p w14:paraId="54E639F9">
      <w:pPr>
        <w:pStyle w:val="19"/>
        <w:jc w:val="center"/>
        <w:outlineLvl w:val="0"/>
        <w:rPr>
          <w:rFonts w:cs="宋体"/>
          <w:snapToGrid w:val="0"/>
          <w:sz w:val="30"/>
          <w:szCs w:val="30"/>
        </w:rPr>
      </w:pPr>
      <w:r>
        <w:rPr>
          <w:rFonts w:hint="eastAsia" w:cs="宋体"/>
          <w:snapToGrid w:val="0"/>
        </w:rPr>
        <w:br w:type="page"/>
      </w:r>
      <w:r>
        <w:rPr>
          <w:rFonts w:hint="eastAsia" w:ascii="黑体" w:hAnsi="黑体" w:eastAsia="黑体" w:cs="黑体"/>
          <w:snapToGrid w:val="0"/>
          <w:sz w:val="30"/>
          <w:szCs w:val="30"/>
        </w:rPr>
        <w:t>六、结论</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74E114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center"/>
          </w:tcPr>
          <w:p w14:paraId="088EEBDD">
            <w:pPr>
              <w:tabs>
                <w:tab w:val="left" w:pos="1416"/>
              </w:tabs>
              <w:spacing w:line="360" w:lineRule="auto"/>
              <w:ind w:firstLine="480" w:firstLineChars="200"/>
              <w:rPr>
                <w:rFonts w:ascii="宋体" w:hAnsi="宋体" w:cs="宋体"/>
                <w:sz w:val="24"/>
              </w:rPr>
            </w:pPr>
            <w:r>
              <w:rPr>
                <w:rFonts w:hint="eastAsia"/>
                <w:sz w:val="24"/>
              </w:rPr>
              <w:t>本项目的建设符合国家和地方产业政策要求，项目选址符合当地规划要求。项目运行期产生的污染物在采取了本报告表提出的防治措施并严格落实后，可保证污染物稳定达标排放。因此，从环境保护的角度分析，本项目的建设是可行的。</w:t>
            </w:r>
          </w:p>
        </w:tc>
      </w:tr>
    </w:tbl>
    <w:p w14:paraId="706450AC">
      <w:pPr>
        <w:rPr>
          <w:rFonts w:ascii="宋体" w:hAnsi="宋体" w:cs="宋体"/>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3E1178E5">
      <w:pPr>
        <w:pStyle w:val="19"/>
        <w:adjustRightInd w:val="0"/>
        <w:snapToGrid w:val="0"/>
        <w:spacing w:before="0" w:beforeAutospacing="0" w:after="0" w:afterAutospacing="0" w:line="648" w:lineRule="auto"/>
        <w:outlineLvl w:val="0"/>
        <w:rPr>
          <w:rFonts w:cs="宋体"/>
          <w:b/>
          <w:bCs/>
          <w:snapToGrid w:val="0"/>
          <w:sz w:val="32"/>
          <w:szCs w:val="32"/>
        </w:rPr>
      </w:pPr>
      <w:r>
        <w:rPr>
          <w:rFonts w:hint="eastAsia" w:cs="宋体"/>
          <w:b/>
          <w:bCs/>
          <w:snapToGrid w:val="0"/>
          <w:sz w:val="32"/>
          <w:szCs w:val="32"/>
        </w:rPr>
        <w:t>附表</w:t>
      </w:r>
    </w:p>
    <w:p w14:paraId="5BA65423">
      <w:pPr>
        <w:pStyle w:val="19"/>
        <w:adjustRightInd w:val="0"/>
        <w:snapToGrid w:val="0"/>
        <w:spacing w:before="0" w:beforeAutospacing="0" w:after="0" w:afterAutospacing="0"/>
        <w:jc w:val="center"/>
        <w:outlineLvl w:val="0"/>
        <w:rPr>
          <w:rFonts w:cs="宋体"/>
          <w:b/>
          <w:bCs/>
          <w:snapToGrid w:val="0"/>
          <w:sz w:val="38"/>
          <w:szCs w:val="38"/>
        </w:rPr>
      </w:pPr>
      <w:r>
        <w:rPr>
          <w:rFonts w:hint="eastAsia" w:cs="宋体"/>
          <w:b/>
          <w:bCs/>
          <w:snapToGrid w:val="0"/>
          <w:sz w:val="38"/>
          <w:szCs w:val="38"/>
        </w:rPr>
        <w:t>建设项目污染物排放量汇总表</w:t>
      </w:r>
    </w:p>
    <w:tbl>
      <w:tblPr>
        <w:tblStyle w:val="23"/>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07"/>
        <w:gridCol w:w="1627"/>
        <w:gridCol w:w="1212"/>
      </w:tblGrid>
      <w:tr w14:paraId="7F3877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88" w:type="dxa"/>
            <w:tcBorders>
              <w:tl2br w:val="single" w:color="auto" w:sz="4" w:space="0"/>
            </w:tcBorders>
            <w:tcMar>
              <w:left w:w="28" w:type="dxa"/>
              <w:right w:w="28" w:type="dxa"/>
            </w:tcMar>
            <w:vAlign w:val="center"/>
          </w:tcPr>
          <w:p w14:paraId="5AA7E103">
            <w:pPr>
              <w:pStyle w:val="37"/>
              <w:keepNext w:val="0"/>
              <w:keepLines w:val="0"/>
              <w:pageBreakBefore w:val="0"/>
              <w:kinsoku/>
              <w:wordWrap/>
              <w:overflowPunct/>
              <w:topLinePunct w:val="0"/>
              <w:autoSpaceDN/>
              <w:bidi w:val="0"/>
              <w:spacing w:beforeLines="0" w:beforeAutospacing="0" w:afterLines="0" w:line="240" w:lineRule="auto"/>
              <w:ind w:right="0" w:firstLine="0" w:firstLineChars="0"/>
              <w:jc w:val="center"/>
              <w:textAlignment w:val="auto"/>
              <w:outlineLvl w:val="9"/>
              <w:rPr>
                <w:rFonts w:hint="default" w:ascii="Times New Roman" w:hAnsi="Times New Roman" w:eastAsia="宋体" w:cs="Times New Roman"/>
                <w:spacing w:val="-6"/>
                <w:kern w:val="21"/>
                <w:sz w:val="24"/>
                <w:szCs w:val="24"/>
              </w:rPr>
            </w:pPr>
            <w:r>
              <w:rPr>
                <w:rFonts w:hint="default" w:ascii="Times New Roman" w:hAnsi="Times New Roman" w:eastAsia="宋体" w:cs="Times New Roman"/>
                <w:spacing w:val="-6"/>
                <w:kern w:val="21"/>
                <w:sz w:val="24"/>
                <w:szCs w:val="24"/>
              </w:rPr>
              <w:t>项目</w:t>
            </w:r>
          </w:p>
          <w:p w14:paraId="5BBF0014">
            <w:pPr>
              <w:pStyle w:val="37"/>
              <w:keepNext w:val="0"/>
              <w:keepLines w:val="0"/>
              <w:pageBreakBefore w:val="0"/>
              <w:kinsoku/>
              <w:wordWrap/>
              <w:overflowPunct/>
              <w:topLinePunct w:val="0"/>
              <w:autoSpaceDN/>
              <w:bidi w:val="0"/>
              <w:spacing w:beforeLines="0" w:beforeAutospacing="0" w:afterLines="0" w:line="240" w:lineRule="auto"/>
              <w:ind w:right="0" w:firstLine="0" w:firstLineChars="0"/>
              <w:jc w:val="center"/>
              <w:textAlignment w:val="auto"/>
              <w:outlineLvl w:val="9"/>
              <w:rPr>
                <w:rFonts w:hint="default" w:ascii="Times New Roman" w:hAnsi="Times New Roman" w:eastAsia="宋体" w:cs="Times New Roman"/>
                <w:b/>
                <w:bCs/>
                <w:spacing w:val="-6"/>
                <w:kern w:val="21"/>
                <w:sz w:val="24"/>
                <w:szCs w:val="24"/>
              </w:rPr>
            </w:pPr>
            <w:r>
              <w:rPr>
                <w:rFonts w:hint="default" w:ascii="Times New Roman" w:hAnsi="Times New Roman" w:eastAsia="宋体" w:cs="Times New Roman"/>
                <w:spacing w:val="-6"/>
                <w:kern w:val="21"/>
                <w:sz w:val="24"/>
                <w:szCs w:val="24"/>
              </w:rPr>
              <w:t>分类</w:t>
            </w:r>
          </w:p>
        </w:tc>
        <w:tc>
          <w:tcPr>
            <w:tcW w:w="1417" w:type="dxa"/>
            <w:tcMar>
              <w:left w:w="28" w:type="dxa"/>
              <w:right w:w="28" w:type="dxa"/>
            </w:tcMar>
            <w:vAlign w:val="center"/>
          </w:tcPr>
          <w:p w14:paraId="4024B39D">
            <w:pPr>
              <w:pStyle w:val="37"/>
              <w:keepNext w:val="0"/>
              <w:keepLines w:val="0"/>
              <w:pageBreakBefore w:val="0"/>
              <w:kinsoku/>
              <w:wordWrap/>
              <w:overflowPunct/>
              <w:topLinePunct w:val="0"/>
              <w:autoSpaceDN/>
              <w:bidi w:val="0"/>
              <w:spacing w:beforeLines="0" w:beforeAutospacing="0" w:afterLines="0" w:line="240" w:lineRule="auto"/>
              <w:ind w:right="0" w:firstLine="0" w:firstLineChars="0"/>
              <w:jc w:val="center"/>
              <w:textAlignment w:val="auto"/>
              <w:outlineLvl w:val="9"/>
              <w:rPr>
                <w:rFonts w:hint="default" w:ascii="Times New Roman" w:hAnsi="Times New Roman" w:eastAsia="宋体" w:cs="Times New Roman"/>
                <w:b/>
                <w:bCs/>
                <w:spacing w:val="-6"/>
                <w:kern w:val="21"/>
                <w:sz w:val="24"/>
                <w:szCs w:val="24"/>
              </w:rPr>
            </w:pPr>
            <w:r>
              <w:rPr>
                <w:rFonts w:hint="default" w:ascii="Times New Roman" w:hAnsi="Times New Roman" w:eastAsia="宋体" w:cs="Times New Roman"/>
                <w:spacing w:val="-6"/>
                <w:kern w:val="21"/>
                <w:sz w:val="24"/>
                <w:szCs w:val="24"/>
              </w:rPr>
              <w:t>污染物名称</w:t>
            </w:r>
          </w:p>
        </w:tc>
        <w:tc>
          <w:tcPr>
            <w:tcW w:w="1701" w:type="dxa"/>
            <w:tcMar>
              <w:left w:w="28" w:type="dxa"/>
              <w:right w:w="28" w:type="dxa"/>
            </w:tcMar>
            <w:vAlign w:val="center"/>
          </w:tcPr>
          <w:p w14:paraId="430F4CC5">
            <w:pPr>
              <w:pStyle w:val="37"/>
              <w:keepNext w:val="0"/>
              <w:keepLines w:val="0"/>
              <w:pageBreakBefore w:val="0"/>
              <w:kinsoku/>
              <w:wordWrap/>
              <w:overflowPunct/>
              <w:topLinePunct w:val="0"/>
              <w:autoSpaceDN/>
              <w:bidi w:val="0"/>
              <w:spacing w:beforeLines="0" w:beforeAutospacing="0" w:afterLines="0" w:line="240" w:lineRule="auto"/>
              <w:ind w:right="0" w:firstLine="0" w:firstLineChars="0"/>
              <w:jc w:val="center"/>
              <w:textAlignment w:val="auto"/>
              <w:outlineLvl w:val="9"/>
              <w:rPr>
                <w:rFonts w:hint="default" w:ascii="Times New Roman" w:hAnsi="Times New Roman" w:eastAsia="宋体" w:cs="Times New Roman"/>
                <w:spacing w:val="-6"/>
                <w:kern w:val="21"/>
                <w:sz w:val="24"/>
                <w:szCs w:val="24"/>
              </w:rPr>
            </w:pPr>
            <w:r>
              <w:rPr>
                <w:rFonts w:hint="default" w:ascii="Times New Roman" w:hAnsi="Times New Roman" w:eastAsia="宋体" w:cs="Times New Roman"/>
                <w:spacing w:val="-6"/>
                <w:kern w:val="21"/>
                <w:sz w:val="24"/>
                <w:szCs w:val="24"/>
              </w:rPr>
              <w:t>现有工程</w:t>
            </w:r>
          </w:p>
          <w:p w14:paraId="1EE7D84C">
            <w:pPr>
              <w:pStyle w:val="37"/>
              <w:keepNext w:val="0"/>
              <w:keepLines w:val="0"/>
              <w:pageBreakBefore w:val="0"/>
              <w:kinsoku/>
              <w:wordWrap/>
              <w:overflowPunct/>
              <w:topLinePunct w:val="0"/>
              <w:autoSpaceDN/>
              <w:bidi w:val="0"/>
              <w:spacing w:beforeLines="0" w:beforeAutospacing="0" w:afterLines="0" w:line="240" w:lineRule="auto"/>
              <w:ind w:right="0" w:firstLine="0" w:firstLineChars="0"/>
              <w:jc w:val="center"/>
              <w:textAlignment w:val="auto"/>
              <w:outlineLvl w:val="9"/>
              <w:rPr>
                <w:rFonts w:hint="default" w:ascii="Times New Roman" w:hAnsi="Times New Roman" w:eastAsia="宋体" w:cs="Times New Roman"/>
                <w:b/>
                <w:bCs/>
                <w:spacing w:val="-6"/>
                <w:kern w:val="21"/>
                <w:sz w:val="24"/>
                <w:szCs w:val="24"/>
              </w:rPr>
            </w:pPr>
            <w:r>
              <w:rPr>
                <w:rFonts w:hint="default" w:ascii="Times New Roman" w:hAnsi="Times New Roman" w:eastAsia="宋体" w:cs="Times New Roman"/>
                <w:spacing w:val="-6"/>
                <w:kern w:val="21"/>
                <w:sz w:val="24"/>
                <w:szCs w:val="24"/>
              </w:rPr>
              <w:t>排放量（固体废物产生量）（</w:t>
            </w:r>
            <w:r>
              <w:rPr>
                <w:rFonts w:hint="default" w:ascii="Times New Roman" w:hAnsi="Times New Roman" w:eastAsia="宋体" w:cs="Times New Roman"/>
                <w:b/>
                <w:sz w:val="24"/>
                <w:szCs w:val="24"/>
              </w:rPr>
              <w:t>t/a</w:t>
            </w:r>
            <w:r>
              <w:rPr>
                <w:rFonts w:hint="default" w:ascii="Times New Roman" w:hAnsi="Times New Roman" w:eastAsia="宋体" w:cs="Times New Roman"/>
                <w:spacing w:val="-6"/>
                <w:kern w:val="21"/>
                <w:sz w:val="24"/>
                <w:szCs w:val="24"/>
              </w:rPr>
              <w:t>）</w:t>
            </w:r>
            <w:r>
              <w:rPr>
                <w:rFonts w:hint="default" w:ascii="Times New Roman" w:hAnsi="Times New Roman" w:eastAsia="宋体" w:cs="Times New Roman"/>
                <w:spacing w:val="-6"/>
                <w:kern w:val="21"/>
                <w:sz w:val="24"/>
                <w:szCs w:val="24"/>
              </w:rPr>
              <w:fldChar w:fldCharType="begin"/>
            </w:r>
            <w:r>
              <w:rPr>
                <w:rFonts w:hint="default" w:ascii="Times New Roman" w:hAnsi="Times New Roman" w:eastAsia="宋体" w:cs="Times New Roman"/>
                <w:spacing w:val="-6"/>
                <w:kern w:val="21"/>
                <w:sz w:val="24"/>
                <w:szCs w:val="24"/>
              </w:rPr>
              <w:instrText xml:space="preserve"> = 1 \* GB3 \* MERGEFORMAT </w:instrText>
            </w:r>
            <w:r>
              <w:rPr>
                <w:rFonts w:hint="default" w:ascii="Times New Roman" w:hAnsi="Times New Roman" w:eastAsia="宋体" w:cs="Times New Roman"/>
                <w:spacing w:val="-6"/>
                <w:kern w:val="21"/>
                <w:sz w:val="24"/>
                <w:szCs w:val="24"/>
              </w:rPr>
              <w:fldChar w:fldCharType="separate"/>
            </w:r>
            <w:r>
              <w:rPr>
                <w:rFonts w:hint="default" w:ascii="Times New Roman" w:hAnsi="Times New Roman" w:eastAsia="宋体" w:cs="Times New Roman"/>
                <w:kern w:val="2"/>
                <w:sz w:val="24"/>
                <w:szCs w:val="24"/>
              </w:rPr>
              <w:t>①</w:t>
            </w:r>
            <w:r>
              <w:rPr>
                <w:rFonts w:hint="default" w:ascii="Times New Roman" w:hAnsi="Times New Roman" w:eastAsia="宋体" w:cs="Times New Roman"/>
                <w:spacing w:val="-6"/>
                <w:kern w:val="21"/>
                <w:sz w:val="24"/>
                <w:szCs w:val="24"/>
              </w:rPr>
              <w:fldChar w:fldCharType="end"/>
            </w:r>
          </w:p>
        </w:tc>
        <w:tc>
          <w:tcPr>
            <w:tcW w:w="1276" w:type="dxa"/>
            <w:tcMar>
              <w:left w:w="28" w:type="dxa"/>
              <w:right w:w="28" w:type="dxa"/>
            </w:tcMar>
            <w:vAlign w:val="center"/>
          </w:tcPr>
          <w:p w14:paraId="09FA5666">
            <w:pPr>
              <w:pStyle w:val="37"/>
              <w:keepNext w:val="0"/>
              <w:keepLines w:val="0"/>
              <w:pageBreakBefore w:val="0"/>
              <w:kinsoku/>
              <w:wordWrap/>
              <w:overflowPunct/>
              <w:topLinePunct w:val="0"/>
              <w:autoSpaceDN/>
              <w:bidi w:val="0"/>
              <w:spacing w:beforeLines="0" w:beforeAutospacing="0" w:afterLines="0" w:line="240" w:lineRule="auto"/>
              <w:ind w:right="0" w:firstLine="0" w:firstLineChars="0"/>
              <w:jc w:val="center"/>
              <w:textAlignment w:val="auto"/>
              <w:outlineLvl w:val="9"/>
              <w:rPr>
                <w:rFonts w:hint="default" w:ascii="Times New Roman" w:hAnsi="Times New Roman" w:eastAsia="宋体" w:cs="Times New Roman"/>
                <w:spacing w:val="-6"/>
                <w:kern w:val="21"/>
                <w:sz w:val="24"/>
                <w:szCs w:val="24"/>
              </w:rPr>
            </w:pPr>
            <w:r>
              <w:rPr>
                <w:rFonts w:hint="default" w:ascii="Times New Roman" w:hAnsi="Times New Roman" w:eastAsia="宋体" w:cs="Times New Roman"/>
                <w:spacing w:val="-6"/>
                <w:kern w:val="21"/>
                <w:sz w:val="24"/>
                <w:szCs w:val="24"/>
              </w:rPr>
              <w:t>现有工程</w:t>
            </w:r>
          </w:p>
          <w:p w14:paraId="6D702401">
            <w:pPr>
              <w:pStyle w:val="37"/>
              <w:keepNext w:val="0"/>
              <w:keepLines w:val="0"/>
              <w:pageBreakBefore w:val="0"/>
              <w:kinsoku/>
              <w:wordWrap/>
              <w:overflowPunct/>
              <w:topLinePunct w:val="0"/>
              <w:autoSpaceDN/>
              <w:bidi w:val="0"/>
              <w:spacing w:beforeLines="0" w:beforeAutospacing="0" w:afterLines="0" w:line="240" w:lineRule="auto"/>
              <w:ind w:right="0" w:firstLine="0" w:firstLineChars="0"/>
              <w:jc w:val="center"/>
              <w:textAlignment w:val="auto"/>
              <w:outlineLvl w:val="9"/>
              <w:rPr>
                <w:rFonts w:hint="default" w:ascii="Times New Roman" w:hAnsi="Times New Roman" w:eastAsia="宋体" w:cs="Times New Roman"/>
                <w:spacing w:val="-6"/>
                <w:kern w:val="21"/>
                <w:sz w:val="24"/>
                <w:szCs w:val="24"/>
              </w:rPr>
            </w:pPr>
            <w:r>
              <w:rPr>
                <w:rFonts w:hint="default" w:ascii="Times New Roman" w:hAnsi="Times New Roman" w:eastAsia="宋体" w:cs="Times New Roman"/>
                <w:spacing w:val="-6"/>
                <w:kern w:val="21"/>
                <w:sz w:val="24"/>
                <w:szCs w:val="24"/>
              </w:rPr>
              <w:t>许可排放量</w:t>
            </w:r>
          </w:p>
          <w:p w14:paraId="60FD9558">
            <w:pPr>
              <w:pStyle w:val="37"/>
              <w:keepNext w:val="0"/>
              <w:keepLines w:val="0"/>
              <w:pageBreakBefore w:val="0"/>
              <w:kinsoku/>
              <w:wordWrap/>
              <w:overflowPunct/>
              <w:topLinePunct w:val="0"/>
              <w:autoSpaceDN/>
              <w:bidi w:val="0"/>
              <w:spacing w:beforeLines="0" w:beforeAutospacing="0" w:afterLines="0" w:line="240" w:lineRule="auto"/>
              <w:ind w:right="0" w:firstLine="0" w:firstLineChars="0"/>
              <w:jc w:val="center"/>
              <w:textAlignment w:val="auto"/>
              <w:outlineLvl w:val="9"/>
              <w:rPr>
                <w:rFonts w:hint="default" w:ascii="Times New Roman" w:hAnsi="Times New Roman" w:eastAsia="宋体" w:cs="Times New Roman"/>
                <w:b/>
                <w:bCs/>
                <w:spacing w:val="-6"/>
                <w:kern w:val="21"/>
                <w:sz w:val="24"/>
                <w:szCs w:val="24"/>
              </w:rPr>
            </w:pPr>
            <w:r>
              <w:rPr>
                <w:rFonts w:hint="default" w:ascii="Times New Roman" w:hAnsi="Times New Roman" w:eastAsia="宋体" w:cs="Times New Roman"/>
                <w:spacing w:val="-6"/>
                <w:kern w:val="21"/>
                <w:sz w:val="24"/>
                <w:szCs w:val="24"/>
              </w:rPr>
              <w:t>（</w:t>
            </w:r>
            <w:r>
              <w:rPr>
                <w:rFonts w:hint="default" w:ascii="Times New Roman" w:hAnsi="Times New Roman" w:eastAsia="宋体" w:cs="Times New Roman"/>
                <w:b/>
                <w:sz w:val="24"/>
                <w:szCs w:val="24"/>
              </w:rPr>
              <w:t>t/a</w:t>
            </w:r>
            <w:r>
              <w:rPr>
                <w:rFonts w:hint="default" w:ascii="Times New Roman" w:hAnsi="Times New Roman" w:eastAsia="宋体" w:cs="Times New Roman"/>
                <w:spacing w:val="-6"/>
                <w:kern w:val="21"/>
                <w:sz w:val="24"/>
                <w:szCs w:val="24"/>
              </w:rPr>
              <w:t>）</w:t>
            </w:r>
            <w:r>
              <w:rPr>
                <w:rFonts w:hint="default" w:ascii="Times New Roman" w:hAnsi="Times New Roman" w:eastAsia="宋体" w:cs="Times New Roman"/>
                <w:spacing w:val="-6"/>
                <w:kern w:val="21"/>
                <w:sz w:val="24"/>
                <w:szCs w:val="24"/>
              </w:rPr>
              <w:fldChar w:fldCharType="begin"/>
            </w:r>
            <w:r>
              <w:rPr>
                <w:rFonts w:hint="default" w:ascii="Times New Roman" w:hAnsi="Times New Roman" w:eastAsia="宋体" w:cs="Times New Roman"/>
                <w:spacing w:val="-6"/>
                <w:kern w:val="21"/>
                <w:sz w:val="24"/>
                <w:szCs w:val="24"/>
              </w:rPr>
              <w:instrText xml:space="preserve"> = 2 \* GB3 \* MERGEFORMAT </w:instrText>
            </w:r>
            <w:r>
              <w:rPr>
                <w:rFonts w:hint="default" w:ascii="Times New Roman" w:hAnsi="Times New Roman" w:eastAsia="宋体" w:cs="Times New Roman"/>
                <w:spacing w:val="-6"/>
                <w:kern w:val="21"/>
                <w:sz w:val="24"/>
                <w:szCs w:val="24"/>
              </w:rPr>
              <w:fldChar w:fldCharType="separate"/>
            </w:r>
            <w:r>
              <w:rPr>
                <w:rFonts w:hint="default" w:ascii="Times New Roman" w:hAnsi="Times New Roman" w:eastAsia="宋体" w:cs="Times New Roman"/>
                <w:spacing w:val="-6"/>
                <w:kern w:val="21"/>
                <w:sz w:val="24"/>
                <w:szCs w:val="24"/>
              </w:rPr>
              <w:t>②</w:t>
            </w:r>
            <w:r>
              <w:rPr>
                <w:rFonts w:hint="default" w:ascii="Times New Roman" w:hAnsi="Times New Roman" w:eastAsia="宋体" w:cs="Times New Roman"/>
                <w:spacing w:val="-6"/>
                <w:kern w:val="21"/>
                <w:sz w:val="24"/>
                <w:szCs w:val="24"/>
              </w:rPr>
              <w:fldChar w:fldCharType="end"/>
            </w:r>
          </w:p>
        </w:tc>
        <w:tc>
          <w:tcPr>
            <w:tcW w:w="1701" w:type="dxa"/>
            <w:tcMar>
              <w:left w:w="28" w:type="dxa"/>
              <w:right w:w="28" w:type="dxa"/>
            </w:tcMar>
            <w:vAlign w:val="center"/>
          </w:tcPr>
          <w:p w14:paraId="0695FEA2">
            <w:pPr>
              <w:pStyle w:val="37"/>
              <w:keepNext w:val="0"/>
              <w:keepLines w:val="0"/>
              <w:pageBreakBefore w:val="0"/>
              <w:kinsoku/>
              <w:wordWrap/>
              <w:overflowPunct/>
              <w:topLinePunct w:val="0"/>
              <w:autoSpaceDN/>
              <w:bidi w:val="0"/>
              <w:spacing w:beforeLines="0" w:beforeAutospacing="0" w:afterLines="0" w:line="240" w:lineRule="auto"/>
              <w:ind w:right="0" w:firstLine="0" w:firstLineChars="0"/>
              <w:jc w:val="center"/>
              <w:textAlignment w:val="auto"/>
              <w:outlineLvl w:val="9"/>
              <w:rPr>
                <w:rFonts w:hint="default" w:ascii="Times New Roman" w:hAnsi="Times New Roman" w:eastAsia="宋体" w:cs="Times New Roman"/>
                <w:spacing w:val="-6"/>
                <w:kern w:val="21"/>
                <w:sz w:val="24"/>
                <w:szCs w:val="24"/>
              </w:rPr>
            </w:pPr>
            <w:r>
              <w:rPr>
                <w:rFonts w:hint="default" w:ascii="Times New Roman" w:hAnsi="Times New Roman" w:eastAsia="宋体" w:cs="Times New Roman"/>
                <w:spacing w:val="-6"/>
                <w:kern w:val="21"/>
                <w:sz w:val="24"/>
                <w:szCs w:val="24"/>
              </w:rPr>
              <w:t>在建工程</w:t>
            </w:r>
          </w:p>
          <w:p w14:paraId="7404CA0B">
            <w:pPr>
              <w:pStyle w:val="37"/>
              <w:keepNext w:val="0"/>
              <w:keepLines w:val="0"/>
              <w:pageBreakBefore w:val="0"/>
              <w:kinsoku/>
              <w:wordWrap/>
              <w:overflowPunct/>
              <w:topLinePunct w:val="0"/>
              <w:autoSpaceDN/>
              <w:bidi w:val="0"/>
              <w:spacing w:beforeLines="0" w:beforeAutospacing="0" w:afterLines="0" w:line="240" w:lineRule="auto"/>
              <w:ind w:right="0" w:firstLine="0" w:firstLineChars="0"/>
              <w:jc w:val="center"/>
              <w:textAlignment w:val="auto"/>
              <w:outlineLvl w:val="9"/>
              <w:rPr>
                <w:rFonts w:hint="default" w:ascii="Times New Roman" w:hAnsi="Times New Roman" w:eastAsia="宋体" w:cs="Times New Roman"/>
                <w:b/>
                <w:bCs/>
                <w:spacing w:val="-6"/>
                <w:kern w:val="21"/>
                <w:sz w:val="24"/>
                <w:szCs w:val="24"/>
              </w:rPr>
            </w:pPr>
            <w:r>
              <w:rPr>
                <w:rFonts w:hint="default" w:ascii="Times New Roman" w:hAnsi="Times New Roman" w:eastAsia="宋体" w:cs="Times New Roman"/>
                <w:spacing w:val="-6"/>
                <w:kern w:val="21"/>
                <w:sz w:val="24"/>
                <w:szCs w:val="24"/>
              </w:rPr>
              <w:t>排放量（固体废物产生量）（</w:t>
            </w:r>
            <w:r>
              <w:rPr>
                <w:rFonts w:hint="default" w:ascii="Times New Roman" w:hAnsi="Times New Roman" w:eastAsia="宋体" w:cs="Times New Roman"/>
                <w:b/>
                <w:sz w:val="24"/>
                <w:szCs w:val="24"/>
              </w:rPr>
              <w:t>t/a</w:t>
            </w:r>
            <w:r>
              <w:rPr>
                <w:rFonts w:hint="default" w:ascii="Times New Roman" w:hAnsi="Times New Roman" w:eastAsia="宋体" w:cs="Times New Roman"/>
                <w:spacing w:val="-6"/>
                <w:kern w:val="21"/>
                <w:sz w:val="24"/>
                <w:szCs w:val="24"/>
              </w:rPr>
              <w:t>）</w:t>
            </w:r>
            <w:r>
              <w:rPr>
                <w:rFonts w:hint="default" w:ascii="Times New Roman" w:hAnsi="Times New Roman" w:eastAsia="宋体" w:cs="Times New Roman"/>
                <w:spacing w:val="-6"/>
                <w:kern w:val="21"/>
                <w:sz w:val="24"/>
                <w:szCs w:val="24"/>
              </w:rPr>
              <w:fldChar w:fldCharType="begin"/>
            </w:r>
            <w:r>
              <w:rPr>
                <w:rFonts w:hint="default" w:ascii="Times New Roman" w:hAnsi="Times New Roman" w:eastAsia="宋体" w:cs="Times New Roman"/>
                <w:spacing w:val="-6"/>
                <w:kern w:val="21"/>
                <w:sz w:val="24"/>
                <w:szCs w:val="24"/>
              </w:rPr>
              <w:instrText xml:space="preserve"> = 3 \* GB3 \* MERGEFORMAT </w:instrText>
            </w:r>
            <w:r>
              <w:rPr>
                <w:rFonts w:hint="default" w:ascii="Times New Roman" w:hAnsi="Times New Roman" w:eastAsia="宋体" w:cs="Times New Roman"/>
                <w:spacing w:val="-6"/>
                <w:kern w:val="21"/>
                <w:sz w:val="24"/>
                <w:szCs w:val="24"/>
              </w:rPr>
              <w:fldChar w:fldCharType="separate"/>
            </w:r>
            <w:r>
              <w:rPr>
                <w:rFonts w:hint="default" w:ascii="Times New Roman" w:hAnsi="Times New Roman" w:eastAsia="宋体" w:cs="Times New Roman"/>
                <w:kern w:val="2"/>
                <w:sz w:val="24"/>
                <w:szCs w:val="24"/>
              </w:rPr>
              <w:t>③</w:t>
            </w:r>
            <w:r>
              <w:rPr>
                <w:rFonts w:hint="default" w:ascii="Times New Roman" w:hAnsi="Times New Roman" w:eastAsia="宋体" w:cs="Times New Roman"/>
                <w:spacing w:val="-6"/>
                <w:kern w:val="21"/>
                <w:sz w:val="24"/>
                <w:szCs w:val="24"/>
              </w:rPr>
              <w:fldChar w:fldCharType="end"/>
            </w:r>
          </w:p>
        </w:tc>
        <w:tc>
          <w:tcPr>
            <w:tcW w:w="1559" w:type="dxa"/>
            <w:tcMar>
              <w:left w:w="28" w:type="dxa"/>
              <w:right w:w="28" w:type="dxa"/>
            </w:tcMar>
            <w:vAlign w:val="center"/>
          </w:tcPr>
          <w:p w14:paraId="20B11E7E">
            <w:pPr>
              <w:pStyle w:val="37"/>
              <w:keepNext w:val="0"/>
              <w:keepLines w:val="0"/>
              <w:pageBreakBefore w:val="0"/>
              <w:kinsoku/>
              <w:wordWrap/>
              <w:overflowPunct/>
              <w:topLinePunct w:val="0"/>
              <w:autoSpaceDN/>
              <w:bidi w:val="0"/>
              <w:spacing w:beforeLines="0" w:beforeAutospacing="0" w:afterLines="0" w:line="240" w:lineRule="auto"/>
              <w:ind w:right="0" w:firstLine="0" w:firstLineChars="0"/>
              <w:jc w:val="center"/>
              <w:textAlignment w:val="auto"/>
              <w:outlineLvl w:val="9"/>
              <w:rPr>
                <w:rFonts w:hint="default" w:ascii="Times New Roman" w:hAnsi="Times New Roman" w:eastAsia="宋体" w:cs="Times New Roman"/>
                <w:spacing w:val="-6"/>
                <w:kern w:val="21"/>
                <w:sz w:val="24"/>
                <w:szCs w:val="24"/>
              </w:rPr>
            </w:pPr>
            <w:r>
              <w:rPr>
                <w:rFonts w:hint="default" w:ascii="Times New Roman" w:hAnsi="Times New Roman" w:eastAsia="宋体" w:cs="Times New Roman"/>
                <w:spacing w:val="-6"/>
                <w:kern w:val="21"/>
                <w:sz w:val="24"/>
                <w:szCs w:val="24"/>
              </w:rPr>
              <w:t>本项目</w:t>
            </w:r>
          </w:p>
          <w:p w14:paraId="396480D5">
            <w:pPr>
              <w:pStyle w:val="37"/>
              <w:keepNext w:val="0"/>
              <w:keepLines w:val="0"/>
              <w:pageBreakBefore w:val="0"/>
              <w:kinsoku/>
              <w:wordWrap/>
              <w:overflowPunct/>
              <w:topLinePunct w:val="0"/>
              <w:autoSpaceDN/>
              <w:bidi w:val="0"/>
              <w:spacing w:beforeLines="0" w:beforeAutospacing="0" w:afterLines="0" w:line="240" w:lineRule="auto"/>
              <w:ind w:right="0" w:firstLine="0" w:firstLineChars="0"/>
              <w:jc w:val="center"/>
              <w:textAlignment w:val="auto"/>
              <w:outlineLvl w:val="9"/>
              <w:rPr>
                <w:rFonts w:hint="default" w:ascii="Times New Roman" w:hAnsi="Times New Roman" w:eastAsia="宋体" w:cs="Times New Roman"/>
                <w:b/>
                <w:bCs/>
                <w:spacing w:val="-6"/>
                <w:kern w:val="21"/>
                <w:sz w:val="24"/>
                <w:szCs w:val="24"/>
              </w:rPr>
            </w:pPr>
            <w:r>
              <w:rPr>
                <w:rFonts w:hint="default" w:ascii="Times New Roman" w:hAnsi="Times New Roman" w:eastAsia="宋体" w:cs="Times New Roman"/>
                <w:spacing w:val="-6"/>
                <w:kern w:val="21"/>
                <w:sz w:val="24"/>
                <w:szCs w:val="24"/>
              </w:rPr>
              <w:t>排放量（固体废物产生量）（</w:t>
            </w:r>
            <w:r>
              <w:rPr>
                <w:rFonts w:hint="default" w:ascii="Times New Roman" w:hAnsi="Times New Roman" w:eastAsia="宋体" w:cs="Times New Roman"/>
                <w:b/>
                <w:sz w:val="24"/>
                <w:szCs w:val="24"/>
              </w:rPr>
              <w:t>t/a</w:t>
            </w:r>
            <w:r>
              <w:rPr>
                <w:rFonts w:hint="default" w:ascii="Times New Roman" w:hAnsi="Times New Roman" w:eastAsia="宋体" w:cs="Times New Roman"/>
                <w:spacing w:val="-6"/>
                <w:kern w:val="21"/>
                <w:sz w:val="24"/>
                <w:szCs w:val="24"/>
              </w:rPr>
              <w:t>）</w:t>
            </w:r>
            <w:r>
              <w:rPr>
                <w:rFonts w:hint="default" w:ascii="Times New Roman" w:hAnsi="Times New Roman" w:eastAsia="宋体" w:cs="Times New Roman"/>
                <w:spacing w:val="-6"/>
                <w:kern w:val="21"/>
                <w:sz w:val="24"/>
                <w:szCs w:val="24"/>
              </w:rPr>
              <w:fldChar w:fldCharType="begin"/>
            </w:r>
            <w:r>
              <w:rPr>
                <w:rFonts w:hint="default" w:ascii="Times New Roman" w:hAnsi="Times New Roman" w:eastAsia="宋体" w:cs="Times New Roman"/>
                <w:spacing w:val="-6"/>
                <w:kern w:val="21"/>
                <w:sz w:val="24"/>
                <w:szCs w:val="24"/>
              </w:rPr>
              <w:instrText xml:space="preserve"> = 4 \* GB3 \* MERGEFORMAT </w:instrText>
            </w:r>
            <w:r>
              <w:rPr>
                <w:rFonts w:hint="default" w:ascii="Times New Roman" w:hAnsi="Times New Roman" w:eastAsia="宋体" w:cs="Times New Roman"/>
                <w:spacing w:val="-6"/>
                <w:kern w:val="21"/>
                <w:sz w:val="24"/>
                <w:szCs w:val="24"/>
              </w:rPr>
              <w:fldChar w:fldCharType="separate"/>
            </w:r>
            <w:r>
              <w:rPr>
                <w:rFonts w:hint="default" w:ascii="Times New Roman" w:hAnsi="Times New Roman" w:eastAsia="宋体" w:cs="Times New Roman"/>
                <w:kern w:val="2"/>
                <w:sz w:val="24"/>
                <w:szCs w:val="24"/>
              </w:rPr>
              <w:t>④</w:t>
            </w:r>
            <w:r>
              <w:rPr>
                <w:rFonts w:hint="default" w:ascii="Times New Roman" w:hAnsi="Times New Roman" w:eastAsia="宋体" w:cs="Times New Roman"/>
                <w:spacing w:val="-6"/>
                <w:kern w:val="21"/>
                <w:sz w:val="24"/>
                <w:szCs w:val="24"/>
              </w:rPr>
              <w:fldChar w:fldCharType="end"/>
            </w:r>
          </w:p>
        </w:tc>
        <w:tc>
          <w:tcPr>
            <w:tcW w:w="1707" w:type="dxa"/>
            <w:tcMar>
              <w:left w:w="28" w:type="dxa"/>
              <w:right w:w="28" w:type="dxa"/>
            </w:tcMar>
            <w:vAlign w:val="center"/>
          </w:tcPr>
          <w:p w14:paraId="38DD0167">
            <w:pPr>
              <w:pStyle w:val="37"/>
              <w:keepNext w:val="0"/>
              <w:keepLines w:val="0"/>
              <w:pageBreakBefore w:val="0"/>
              <w:kinsoku/>
              <w:wordWrap/>
              <w:overflowPunct/>
              <w:topLinePunct w:val="0"/>
              <w:autoSpaceDN/>
              <w:bidi w:val="0"/>
              <w:spacing w:beforeLines="0" w:beforeAutospacing="0" w:afterLines="0" w:line="240" w:lineRule="auto"/>
              <w:ind w:right="0" w:firstLine="0" w:firstLineChars="0"/>
              <w:jc w:val="center"/>
              <w:textAlignment w:val="auto"/>
              <w:outlineLvl w:val="9"/>
              <w:rPr>
                <w:rFonts w:hint="default" w:ascii="Times New Roman" w:hAnsi="Times New Roman" w:eastAsia="宋体" w:cs="Times New Roman"/>
                <w:b/>
                <w:bCs/>
                <w:spacing w:val="-16"/>
                <w:kern w:val="21"/>
                <w:sz w:val="24"/>
                <w:szCs w:val="24"/>
              </w:rPr>
            </w:pPr>
            <w:r>
              <w:rPr>
                <w:rFonts w:hint="default" w:ascii="Times New Roman" w:hAnsi="Times New Roman" w:eastAsia="宋体" w:cs="Times New Roman"/>
                <w:spacing w:val="-16"/>
                <w:kern w:val="21"/>
                <w:sz w:val="24"/>
                <w:szCs w:val="24"/>
              </w:rPr>
              <w:t>以新带老削减量（新建项目不填）</w:t>
            </w:r>
            <w:r>
              <w:rPr>
                <w:rFonts w:hint="default" w:ascii="Times New Roman" w:hAnsi="Times New Roman" w:eastAsia="宋体" w:cs="Times New Roman"/>
                <w:spacing w:val="-6"/>
                <w:kern w:val="21"/>
                <w:sz w:val="24"/>
                <w:szCs w:val="24"/>
              </w:rPr>
              <w:t>（</w:t>
            </w:r>
            <w:r>
              <w:rPr>
                <w:rFonts w:hint="default" w:ascii="Times New Roman" w:hAnsi="Times New Roman" w:eastAsia="宋体" w:cs="Times New Roman"/>
                <w:b/>
                <w:sz w:val="24"/>
                <w:szCs w:val="24"/>
              </w:rPr>
              <w:t>t/a</w:t>
            </w:r>
            <w:r>
              <w:rPr>
                <w:rFonts w:hint="default" w:ascii="Times New Roman" w:hAnsi="Times New Roman" w:eastAsia="宋体" w:cs="Times New Roman"/>
                <w:spacing w:val="-6"/>
                <w:kern w:val="21"/>
                <w:sz w:val="24"/>
                <w:szCs w:val="24"/>
              </w:rPr>
              <w:t>）</w:t>
            </w:r>
            <w:r>
              <w:rPr>
                <w:rFonts w:hint="default" w:ascii="Times New Roman" w:hAnsi="Times New Roman" w:eastAsia="宋体" w:cs="Times New Roman"/>
                <w:spacing w:val="-16"/>
                <w:kern w:val="21"/>
                <w:sz w:val="24"/>
                <w:szCs w:val="24"/>
              </w:rPr>
              <w:fldChar w:fldCharType="begin"/>
            </w:r>
            <w:r>
              <w:rPr>
                <w:rFonts w:hint="default" w:ascii="Times New Roman" w:hAnsi="Times New Roman" w:eastAsia="宋体" w:cs="Times New Roman"/>
                <w:spacing w:val="-16"/>
                <w:kern w:val="21"/>
                <w:sz w:val="24"/>
                <w:szCs w:val="24"/>
              </w:rPr>
              <w:instrText xml:space="preserve"> = 5 \* GB3 \* MERGEFORMAT </w:instrText>
            </w:r>
            <w:r>
              <w:rPr>
                <w:rFonts w:hint="default" w:ascii="Times New Roman" w:hAnsi="Times New Roman" w:eastAsia="宋体" w:cs="Times New Roman"/>
                <w:spacing w:val="-16"/>
                <w:kern w:val="21"/>
                <w:sz w:val="24"/>
                <w:szCs w:val="24"/>
              </w:rPr>
              <w:fldChar w:fldCharType="separate"/>
            </w:r>
            <w:r>
              <w:rPr>
                <w:rFonts w:hint="default" w:ascii="Times New Roman" w:hAnsi="Times New Roman" w:eastAsia="宋体" w:cs="Times New Roman"/>
                <w:kern w:val="2"/>
                <w:sz w:val="24"/>
                <w:szCs w:val="24"/>
              </w:rPr>
              <w:t>⑤</w:t>
            </w:r>
            <w:r>
              <w:rPr>
                <w:rFonts w:hint="default" w:ascii="Times New Roman" w:hAnsi="Times New Roman" w:eastAsia="宋体" w:cs="Times New Roman"/>
                <w:spacing w:val="-16"/>
                <w:kern w:val="21"/>
                <w:sz w:val="24"/>
                <w:szCs w:val="24"/>
              </w:rPr>
              <w:fldChar w:fldCharType="end"/>
            </w:r>
          </w:p>
        </w:tc>
        <w:tc>
          <w:tcPr>
            <w:tcW w:w="1627" w:type="dxa"/>
            <w:tcMar>
              <w:left w:w="28" w:type="dxa"/>
              <w:right w:w="28" w:type="dxa"/>
            </w:tcMar>
            <w:vAlign w:val="center"/>
          </w:tcPr>
          <w:p w14:paraId="5D60C91A">
            <w:pPr>
              <w:pStyle w:val="37"/>
              <w:keepNext w:val="0"/>
              <w:keepLines w:val="0"/>
              <w:pageBreakBefore w:val="0"/>
              <w:kinsoku/>
              <w:wordWrap/>
              <w:overflowPunct/>
              <w:topLinePunct w:val="0"/>
              <w:autoSpaceDN/>
              <w:bidi w:val="0"/>
              <w:spacing w:beforeLines="0" w:beforeAutospacing="0" w:afterLines="0" w:line="240" w:lineRule="auto"/>
              <w:ind w:right="0" w:firstLine="0" w:firstLineChars="0"/>
              <w:jc w:val="center"/>
              <w:textAlignment w:val="auto"/>
              <w:outlineLvl w:val="9"/>
              <w:rPr>
                <w:rFonts w:hint="default" w:ascii="Times New Roman" w:hAnsi="Times New Roman" w:eastAsia="宋体" w:cs="Times New Roman"/>
                <w:spacing w:val="-16"/>
                <w:kern w:val="21"/>
                <w:sz w:val="24"/>
                <w:szCs w:val="24"/>
              </w:rPr>
            </w:pPr>
            <w:r>
              <w:rPr>
                <w:rFonts w:hint="default" w:ascii="Times New Roman" w:hAnsi="Times New Roman" w:eastAsia="宋体" w:cs="Times New Roman"/>
                <w:spacing w:val="-16"/>
                <w:kern w:val="21"/>
                <w:sz w:val="24"/>
                <w:szCs w:val="24"/>
              </w:rPr>
              <w:t>本项目建成后</w:t>
            </w:r>
          </w:p>
          <w:p w14:paraId="64A02765">
            <w:pPr>
              <w:pStyle w:val="37"/>
              <w:keepNext w:val="0"/>
              <w:keepLines w:val="0"/>
              <w:pageBreakBefore w:val="0"/>
              <w:kinsoku/>
              <w:wordWrap/>
              <w:overflowPunct/>
              <w:topLinePunct w:val="0"/>
              <w:autoSpaceDN/>
              <w:bidi w:val="0"/>
              <w:spacing w:beforeLines="0" w:beforeAutospacing="0" w:afterLines="0" w:line="240" w:lineRule="auto"/>
              <w:ind w:right="0" w:firstLine="0" w:firstLineChars="0"/>
              <w:jc w:val="center"/>
              <w:textAlignment w:val="auto"/>
              <w:outlineLvl w:val="9"/>
              <w:rPr>
                <w:rFonts w:hint="default" w:ascii="Times New Roman" w:hAnsi="Times New Roman" w:eastAsia="宋体" w:cs="Times New Roman"/>
                <w:b/>
                <w:bCs/>
                <w:spacing w:val="-16"/>
                <w:kern w:val="21"/>
                <w:sz w:val="24"/>
                <w:szCs w:val="24"/>
              </w:rPr>
            </w:pPr>
            <w:r>
              <w:rPr>
                <w:rFonts w:hint="default" w:ascii="Times New Roman" w:hAnsi="Times New Roman" w:eastAsia="宋体" w:cs="Times New Roman"/>
                <w:spacing w:val="-16"/>
                <w:kern w:val="21"/>
                <w:sz w:val="24"/>
                <w:szCs w:val="24"/>
              </w:rPr>
              <w:t>全厂排放量（固体废物产生量）</w:t>
            </w:r>
            <w:r>
              <w:rPr>
                <w:rFonts w:hint="default" w:ascii="Times New Roman" w:hAnsi="Times New Roman" w:eastAsia="宋体" w:cs="Times New Roman"/>
                <w:spacing w:val="-6"/>
                <w:kern w:val="21"/>
                <w:sz w:val="24"/>
                <w:szCs w:val="24"/>
              </w:rPr>
              <w:t>（</w:t>
            </w:r>
            <w:r>
              <w:rPr>
                <w:rFonts w:hint="default" w:ascii="Times New Roman" w:hAnsi="Times New Roman" w:eastAsia="宋体" w:cs="Times New Roman"/>
                <w:b/>
                <w:sz w:val="24"/>
                <w:szCs w:val="24"/>
              </w:rPr>
              <w:t>t/a</w:t>
            </w:r>
            <w:r>
              <w:rPr>
                <w:rFonts w:hint="default" w:ascii="Times New Roman" w:hAnsi="Times New Roman" w:eastAsia="宋体" w:cs="Times New Roman"/>
                <w:spacing w:val="-6"/>
                <w:kern w:val="21"/>
                <w:sz w:val="24"/>
                <w:szCs w:val="24"/>
              </w:rPr>
              <w:t>）</w:t>
            </w:r>
            <w:r>
              <w:rPr>
                <w:rFonts w:hint="default" w:ascii="Times New Roman" w:hAnsi="Times New Roman" w:eastAsia="宋体" w:cs="Times New Roman"/>
                <w:spacing w:val="-16"/>
                <w:kern w:val="21"/>
                <w:sz w:val="24"/>
                <w:szCs w:val="24"/>
              </w:rPr>
              <w:fldChar w:fldCharType="begin"/>
            </w:r>
            <w:r>
              <w:rPr>
                <w:rFonts w:hint="default" w:ascii="Times New Roman" w:hAnsi="Times New Roman" w:eastAsia="宋体" w:cs="Times New Roman"/>
                <w:spacing w:val="-16"/>
                <w:kern w:val="21"/>
                <w:sz w:val="24"/>
                <w:szCs w:val="24"/>
              </w:rPr>
              <w:instrText xml:space="preserve"> = 6 \* GB3 \* MERGEFORMAT </w:instrText>
            </w:r>
            <w:r>
              <w:rPr>
                <w:rFonts w:hint="default" w:ascii="Times New Roman" w:hAnsi="Times New Roman" w:eastAsia="宋体" w:cs="Times New Roman"/>
                <w:spacing w:val="-16"/>
                <w:kern w:val="21"/>
                <w:sz w:val="24"/>
                <w:szCs w:val="24"/>
              </w:rPr>
              <w:fldChar w:fldCharType="separate"/>
            </w:r>
            <w:r>
              <w:rPr>
                <w:rFonts w:hint="default" w:ascii="Times New Roman" w:hAnsi="Times New Roman" w:eastAsia="宋体" w:cs="Times New Roman"/>
                <w:kern w:val="2"/>
                <w:sz w:val="24"/>
                <w:szCs w:val="24"/>
              </w:rPr>
              <w:t>⑥</w:t>
            </w:r>
            <w:r>
              <w:rPr>
                <w:rFonts w:hint="default" w:ascii="Times New Roman" w:hAnsi="Times New Roman" w:eastAsia="宋体" w:cs="Times New Roman"/>
                <w:spacing w:val="-16"/>
                <w:kern w:val="21"/>
                <w:sz w:val="24"/>
                <w:szCs w:val="24"/>
              </w:rPr>
              <w:fldChar w:fldCharType="end"/>
            </w:r>
          </w:p>
        </w:tc>
        <w:tc>
          <w:tcPr>
            <w:tcW w:w="1212" w:type="dxa"/>
            <w:tcMar>
              <w:left w:w="28" w:type="dxa"/>
              <w:right w:w="28" w:type="dxa"/>
            </w:tcMar>
            <w:vAlign w:val="center"/>
          </w:tcPr>
          <w:p w14:paraId="53465629">
            <w:pPr>
              <w:pStyle w:val="37"/>
              <w:keepNext w:val="0"/>
              <w:keepLines w:val="0"/>
              <w:pageBreakBefore w:val="0"/>
              <w:kinsoku/>
              <w:wordWrap/>
              <w:overflowPunct/>
              <w:topLinePunct w:val="0"/>
              <w:autoSpaceDN/>
              <w:bidi w:val="0"/>
              <w:spacing w:beforeLines="0" w:beforeAutospacing="0" w:afterLines="0" w:line="240" w:lineRule="auto"/>
              <w:ind w:right="0" w:firstLine="0" w:firstLineChars="0"/>
              <w:jc w:val="center"/>
              <w:textAlignment w:val="auto"/>
              <w:outlineLvl w:val="9"/>
              <w:rPr>
                <w:rFonts w:hint="default" w:ascii="Times New Roman" w:hAnsi="Times New Roman" w:eastAsia="宋体" w:cs="Times New Roman"/>
                <w:spacing w:val="-6"/>
                <w:kern w:val="21"/>
                <w:sz w:val="24"/>
                <w:szCs w:val="24"/>
              </w:rPr>
            </w:pPr>
            <w:r>
              <w:rPr>
                <w:rFonts w:hint="default" w:ascii="Times New Roman" w:hAnsi="Times New Roman" w:eastAsia="宋体" w:cs="Times New Roman"/>
                <w:spacing w:val="-6"/>
                <w:kern w:val="21"/>
                <w:sz w:val="24"/>
                <w:szCs w:val="24"/>
              </w:rPr>
              <w:t>变化量</w:t>
            </w:r>
          </w:p>
          <w:p w14:paraId="2657630C">
            <w:pPr>
              <w:pStyle w:val="37"/>
              <w:keepNext w:val="0"/>
              <w:keepLines w:val="0"/>
              <w:pageBreakBefore w:val="0"/>
              <w:kinsoku/>
              <w:wordWrap/>
              <w:overflowPunct/>
              <w:topLinePunct w:val="0"/>
              <w:autoSpaceDN/>
              <w:bidi w:val="0"/>
              <w:spacing w:beforeLines="0" w:beforeAutospacing="0" w:afterLines="0" w:line="240" w:lineRule="auto"/>
              <w:ind w:right="0" w:firstLine="0" w:firstLineChars="0"/>
              <w:jc w:val="center"/>
              <w:textAlignment w:val="auto"/>
              <w:outlineLvl w:val="9"/>
              <w:rPr>
                <w:rFonts w:hint="default" w:ascii="Times New Roman" w:hAnsi="Times New Roman" w:eastAsia="宋体" w:cs="Times New Roman"/>
                <w:b/>
                <w:bCs/>
                <w:spacing w:val="-6"/>
                <w:kern w:val="21"/>
                <w:sz w:val="24"/>
                <w:szCs w:val="24"/>
              </w:rPr>
            </w:pPr>
            <w:r>
              <w:rPr>
                <w:rFonts w:hint="default" w:ascii="Times New Roman" w:hAnsi="Times New Roman" w:eastAsia="宋体" w:cs="Times New Roman"/>
                <w:spacing w:val="-6"/>
                <w:kern w:val="21"/>
                <w:sz w:val="24"/>
                <w:szCs w:val="24"/>
              </w:rPr>
              <w:t>（</w:t>
            </w:r>
            <w:r>
              <w:rPr>
                <w:rFonts w:hint="default" w:ascii="Times New Roman" w:hAnsi="Times New Roman" w:eastAsia="宋体" w:cs="Times New Roman"/>
                <w:b/>
                <w:sz w:val="24"/>
                <w:szCs w:val="24"/>
              </w:rPr>
              <w:t>t/a</w:t>
            </w:r>
            <w:r>
              <w:rPr>
                <w:rFonts w:hint="default" w:ascii="Times New Roman" w:hAnsi="Times New Roman" w:eastAsia="宋体" w:cs="Times New Roman"/>
                <w:spacing w:val="-6"/>
                <w:kern w:val="21"/>
                <w:sz w:val="24"/>
                <w:szCs w:val="24"/>
              </w:rPr>
              <w:t>）</w:t>
            </w:r>
            <w:r>
              <w:rPr>
                <w:rFonts w:hint="default" w:ascii="Times New Roman" w:hAnsi="Times New Roman" w:eastAsia="宋体" w:cs="Times New Roman"/>
                <w:spacing w:val="-6"/>
                <w:kern w:val="21"/>
                <w:sz w:val="24"/>
                <w:szCs w:val="24"/>
              </w:rPr>
              <w:fldChar w:fldCharType="begin"/>
            </w:r>
            <w:r>
              <w:rPr>
                <w:rFonts w:hint="default" w:ascii="Times New Roman" w:hAnsi="Times New Roman" w:eastAsia="宋体" w:cs="Times New Roman"/>
                <w:spacing w:val="-6"/>
                <w:kern w:val="21"/>
                <w:sz w:val="24"/>
                <w:szCs w:val="24"/>
              </w:rPr>
              <w:instrText xml:space="preserve"> = 7 \* GB3 \* MERGEFORMAT </w:instrText>
            </w:r>
            <w:r>
              <w:rPr>
                <w:rFonts w:hint="default" w:ascii="Times New Roman" w:hAnsi="Times New Roman" w:eastAsia="宋体" w:cs="Times New Roman"/>
                <w:spacing w:val="-6"/>
                <w:kern w:val="21"/>
                <w:sz w:val="24"/>
                <w:szCs w:val="24"/>
              </w:rPr>
              <w:fldChar w:fldCharType="separate"/>
            </w:r>
            <w:r>
              <w:rPr>
                <w:rFonts w:hint="default" w:ascii="Times New Roman" w:hAnsi="Times New Roman" w:eastAsia="宋体" w:cs="Times New Roman"/>
                <w:kern w:val="2"/>
                <w:sz w:val="24"/>
                <w:szCs w:val="24"/>
              </w:rPr>
              <w:t>⑦</w:t>
            </w:r>
            <w:r>
              <w:rPr>
                <w:rFonts w:hint="default" w:ascii="Times New Roman" w:hAnsi="Times New Roman" w:eastAsia="宋体" w:cs="Times New Roman"/>
                <w:spacing w:val="-6"/>
                <w:kern w:val="21"/>
                <w:sz w:val="24"/>
                <w:szCs w:val="24"/>
              </w:rPr>
              <w:fldChar w:fldCharType="end"/>
            </w:r>
          </w:p>
        </w:tc>
      </w:tr>
      <w:tr w14:paraId="1F8F74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restart"/>
            <w:vAlign w:val="center"/>
          </w:tcPr>
          <w:p w14:paraId="10CC345E">
            <w:pPr>
              <w:pStyle w:val="37"/>
              <w:keepNext w:val="0"/>
              <w:keepLines w:val="0"/>
              <w:pageBreakBefore w:val="0"/>
              <w:kinsoku/>
              <w:wordWrap/>
              <w:overflowPunct/>
              <w:topLinePunct w:val="0"/>
              <w:autoSpaceDN/>
              <w:bidi w:val="0"/>
              <w:spacing w:beforeLines="0" w:afterLines="0" w:line="240" w:lineRule="auto"/>
              <w:ind w:right="0" w:firstLine="0" w:firstLineChars="0"/>
              <w:jc w:val="center"/>
              <w:textAlignment w:val="auto"/>
              <w:outlineLvl w:val="9"/>
              <w:rPr>
                <w:rFonts w:hint="default" w:ascii="Times New Roman" w:hAnsi="Times New Roman" w:eastAsia="宋体" w:cs="Times New Roman"/>
                <w:kern w:val="21"/>
                <w:sz w:val="24"/>
                <w:szCs w:val="24"/>
              </w:rPr>
            </w:pPr>
            <w:r>
              <w:rPr>
                <w:rFonts w:hint="default" w:ascii="Times New Roman" w:hAnsi="Times New Roman" w:eastAsia="宋体" w:cs="Times New Roman"/>
                <w:kern w:val="21"/>
                <w:sz w:val="24"/>
                <w:szCs w:val="24"/>
              </w:rPr>
              <w:t>废气</w:t>
            </w:r>
          </w:p>
        </w:tc>
        <w:tc>
          <w:tcPr>
            <w:tcW w:w="1417" w:type="dxa"/>
            <w:vAlign w:val="center"/>
          </w:tcPr>
          <w:p w14:paraId="18A7BB49">
            <w:pPr>
              <w:keepNext w:val="0"/>
              <w:keepLines w:val="0"/>
              <w:pageBreakBefore w:val="0"/>
              <w:kinsoku/>
              <w:wordWrap/>
              <w:overflowPunct/>
              <w:topLinePunct w:val="0"/>
              <w:autoSpaceDN/>
              <w:bidi w:val="0"/>
              <w:spacing w:line="240" w:lineRule="auto"/>
              <w:ind w:right="0" w:rightChars="0" w:firstLine="0" w:firstLineChars="0"/>
              <w:jc w:val="center"/>
              <w:textAlignment w:val="auto"/>
              <w:outlineLvl w:val="9"/>
              <w:rPr>
                <w:rFonts w:hint="default" w:ascii="Times New Roman" w:hAnsi="Times New Roman" w:eastAsia="宋体" w:cs="Times New Roman"/>
                <w:kern w:val="2"/>
                <w:sz w:val="24"/>
                <w:szCs w:val="24"/>
                <w:lang w:val="en-US" w:bidi="ar"/>
              </w:rPr>
            </w:pPr>
            <w:r>
              <w:rPr>
                <w:rFonts w:hint="default" w:ascii="Times New Roman" w:hAnsi="Times New Roman" w:eastAsia="宋体" w:cs="Times New Roman"/>
                <w:color w:val="000000"/>
                <w:kern w:val="0"/>
                <w:sz w:val="24"/>
                <w:szCs w:val="24"/>
                <w:lang w:bidi="ar"/>
              </w:rPr>
              <w:t>NH</w:t>
            </w:r>
            <w:r>
              <w:rPr>
                <w:rFonts w:hint="default" w:ascii="Times New Roman" w:hAnsi="Times New Roman" w:eastAsia="宋体" w:cs="Times New Roman"/>
                <w:color w:val="000000"/>
                <w:kern w:val="0"/>
                <w:sz w:val="24"/>
                <w:szCs w:val="24"/>
                <w:vertAlign w:val="subscript"/>
                <w:lang w:bidi="ar"/>
              </w:rPr>
              <w:t>3</w:t>
            </w:r>
          </w:p>
        </w:tc>
        <w:tc>
          <w:tcPr>
            <w:tcW w:w="1701" w:type="dxa"/>
            <w:vAlign w:val="center"/>
          </w:tcPr>
          <w:p w14:paraId="4DCCAF8B">
            <w:pPr>
              <w:pStyle w:val="37"/>
              <w:keepNext w:val="0"/>
              <w:keepLines w:val="0"/>
              <w:pageBreakBefore w:val="0"/>
              <w:kinsoku/>
              <w:wordWrap/>
              <w:overflowPunct/>
              <w:topLinePunct w:val="0"/>
              <w:autoSpaceDN/>
              <w:bidi w:val="0"/>
              <w:spacing w:beforeLines="0" w:afterLines="0" w:line="240" w:lineRule="auto"/>
              <w:ind w:right="0" w:firstLine="0" w:firstLineChars="0"/>
              <w:jc w:val="center"/>
              <w:textAlignment w:val="auto"/>
              <w:outlineLvl w:val="9"/>
              <w:rPr>
                <w:rFonts w:hint="default" w:ascii="Times New Roman" w:hAnsi="Times New Roman" w:eastAsia="宋体" w:cs="Times New Roman"/>
                <w:kern w:val="21"/>
                <w:sz w:val="24"/>
                <w:szCs w:val="24"/>
              </w:rPr>
            </w:pPr>
            <w:r>
              <w:rPr>
                <w:rFonts w:hint="default" w:ascii="Times New Roman" w:hAnsi="Times New Roman" w:eastAsia="宋体" w:cs="Times New Roman"/>
                <w:kern w:val="21"/>
                <w:sz w:val="24"/>
                <w:szCs w:val="24"/>
              </w:rPr>
              <w:t>/</w:t>
            </w:r>
          </w:p>
        </w:tc>
        <w:tc>
          <w:tcPr>
            <w:tcW w:w="1276" w:type="dxa"/>
            <w:vAlign w:val="center"/>
          </w:tcPr>
          <w:p w14:paraId="1A8D0E15">
            <w:pPr>
              <w:pStyle w:val="37"/>
              <w:keepNext w:val="0"/>
              <w:keepLines w:val="0"/>
              <w:pageBreakBefore w:val="0"/>
              <w:kinsoku/>
              <w:wordWrap/>
              <w:overflowPunct/>
              <w:topLinePunct w:val="0"/>
              <w:autoSpaceDN/>
              <w:bidi w:val="0"/>
              <w:spacing w:beforeLines="0" w:afterLines="0" w:line="240" w:lineRule="auto"/>
              <w:ind w:right="0" w:firstLine="0" w:firstLineChars="0"/>
              <w:jc w:val="center"/>
              <w:textAlignment w:val="auto"/>
              <w:outlineLvl w:val="9"/>
              <w:rPr>
                <w:rFonts w:hint="default" w:ascii="Times New Roman" w:hAnsi="Times New Roman" w:eastAsia="宋体" w:cs="Times New Roman"/>
                <w:kern w:val="21"/>
                <w:sz w:val="24"/>
                <w:szCs w:val="24"/>
              </w:rPr>
            </w:pPr>
            <w:r>
              <w:rPr>
                <w:rFonts w:hint="default" w:ascii="Times New Roman" w:hAnsi="Times New Roman" w:eastAsia="宋体" w:cs="Times New Roman"/>
                <w:kern w:val="21"/>
                <w:sz w:val="24"/>
                <w:szCs w:val="24"/>
              </w:rPr>
              <w:t>/</w:t>
            </w:r>
          </w:p>
        </w:tc>
        <w:tc>
          <w:tcPr>
            <w:tcW w:w="1701" w:type="dxa"/>
            <w:vAlign w:val="center"/>
          </w:tcPr>
          <w:p w14:paraId="15E109AB">
            <w:pPr>
              <w:pStyle w:val="37"/>
              <w:keepNext w:val="0"/>
              <w:keepLines w:val="0"/>
              <w:pageBreakBefore w:val="0"/>
              <w:kinsoku/>
              <w:wordWrap/>
              <w:overflowPunct/>
              <w:topLinePunct w:val="0"/>
              <w:autoSpaceDN/>
              <w:bidi w:val="0"/>
              <w:spacing w:beforeLines="0" w:afterLines="0" w:line="240" w:lineRule="auto"/>
              <w:ind w:right="0" w:firstLine="0" w:firstLineChars="0"/>
              <w:jc w:val="center"/>
              <w:textAlignment w:val="auto"/>
              <w:outlineLvl w:val="9"/>
              <w:rPr>
                <w:rFonts w:hint="default" w:ascii="Times New Roman" w:hAnsi="Times New Roman" w:eastAsia="宋体" w:cs="Times New Roman"/>
                <w:kern w:val="21"/>
                <w:sz w:val="24"/>
                <w:szCs w:val="24"/>
              </w:rPr>
            </w:pPr>
            <w:r>
              <w:rPr>
                <w:rFonts w:hint="default" w:ascii="Times New Roman" w:hAnsi="Times New Roman" w:eastAsia="宋体" w:cs="Times New Roman"/>
                <w:kern w:val="21"/>
                <w:sz w:val="24"/>
                <w:szCs w:val="24"/>
              </w:rPr>
              <w:t>/</w:t>
            </w:r>
          </w:p>
        </w:tc>
        <w:tc>
          <w:tcPr>
            <w:tcW w:w="1559" w:type="dxa"/>
            <w:vAlign w:val="center"/>
          </w:tcPr>
          <w:p w14:paraId="2DA20AD0">
            <w:pPr>
              <w:pStyle w:val="37"/>
              <w:keepNext w:val="0"/>
              <w:keepLines w:val="0"/>
              <w:pageBreakBefore w:val="0"/>
              <w:kinsoku/>
              <w:wordWrap/>
              <w:overflowPunct/>
              <w:topLinePunct w:val="0"/>
              <w:autoSpaceDN/>
              <w:bidi w:val="0"/>
              <w:spacing w:beforeLines="0" w:afterLines="0" w:line="240" w:lineRule="auto"/>
              <w:ind w:right="0" w:firstLine="0" w:firstLineChars="0"/>
              <w:jc w:val="center"/>
              <w:textAlignment w:val="auto"/>
              <w:outlineLvl w:val="9"/>
              <w:rPr>
                <w:rFonts w:hint="default" w:ascii="Times New Roman" w:eastAsia="宋体" w:cs="Times New Roman"/>
                <w:kern w:val="21"/>
                <w:sz w:val="24"/>
                <w:szCs w:val="24"/>
                <w:lang w:val="en-US" w:eastAsia="zh-CN"/>
              </w:rPr>
            </w:pPr>
            <w:r>
              <w:rPr>
                <w:rFonts w:hint="default" w:ascii="Times New Roman" w:eastAsia="宋体" w:cs="Times New Roman"/>
                <w:kern w:val="21"/>
                <w:sz w:val="24"/>
                <w:szCs w:val="24"/>
                <w:lang w:val="en-US" w:eastAsia="zh-CN"/>
              </w:rPr>
              <w:t>0.253</w:t>
            </w:r>
          </w:p>
        </w:tc>
        <w:tc>
          <w:tcPr>
            <w:tcW w:w="1707" w:type="dxa"/>
            <w:vAlign w:val="center"/>
          </w:tcPr>
          <w:p w14:paraId="33D5C9A4">
            <w:pPr>
              <w:pStyle w:val="37"/>
              <w:keepNext w:val="0"/>
              <w:keepLines w:val="0"/>
              <w:pageBreakBefore w:val="0"/>
              <w:kinsoku/>
              <w:wordWrap/>
              <w:overflowPunct/>
              <w:topLinePunct w:val="0"/>
              <w:autoSpaceDN/>
              <w:bidi w:val="0"/>
              <w:spacing w:beforeLines="0" w:afterLines="0" w:line="240" w:lineRule="auto"/>
              <w:ind w:right="0" w:firstLine="0" w:firstLineChars="0"/>
              <w:jc w:val="center"/>
              <w:textAlignment w:val="auto"/>
              <w:outlineLvl w:val="9"/>
              <w:rPr>
                <w:rFonts w:hint="default" w:ascii="Times New Roman" w:eastAsia="宋体" w:cs="Times New Roman"/>
                <w:kern w:val="21"/>
                <w:sz w:val="24"/>
                <w:szCs w:val="24"/>
                <w:lang w:val="en-US" w:eastAsia="zh-CN"/>
              </w:rPr>
            </w:pPr>
            <w:r>
              <w:rPr>
                <w:rFonts w:hint="default" w:ascii="Times New Roman" w:eastAsia="宋体" w:cs="Times New Roman"/>
                <w:kern w:val="21"/>
                <w:sz w:val="24"/>
                <w:szCs w:val="24"/>
                <w:lang w:val="en-US" w:eastAsia="zh-CN"/>
              </w:rPr>
              <w:t>/</w:t>
            </w:r>
          </w:p>
        </w:tc>
        <w:tc>
          <w:tcPr>
            <w:tcW w:w="1627" w:type="dxa"/>
            <w:vAlign w:val="center"/>
          </w:tcPr>
          <w:p w14:paraId="56A5C109">
            <w:pPr>
              <w:pStyle w:val="37"/>
              <w:keepNext w:val="0"/>
              <w:keepLines w:val="0"/>
              <w:pageBreakBefore w:val="0"/>
              <w:kinsoku/>
              <w:wordWrap/>
              <w:overflowPunct/>
              <w:topLinePunct w:val="0"/>
              <w:autoSpaceDN/>
              <w:bidi w:val="0"/>
              <w:spacing w:beforeLines="0" w:afterLines="0" w:line="240" w:lineRule="auto"/>
              <w:ind w:right="0" w:firstLine="0" w:firstLineChars="0"/>
              <w:jc w:val="center"/>
              <w:textAlignment w:val="auto"/>
              <w:outlineLvl w:val="9"/>
              <w:rPr>
                <w:rFonts w:hint="default" w:ascii="Times New Roman" w:eastAsia="宋体" w:cs="Times New Roman"/>
                <w:kern w:val="21"/>
                <w:sz w:val="24"/>
                <w:szCs w:val="24"/>
                <w:lang w:val="en-US" w:eastAsia="zh-CN"/>
              </w:rPr>
            </w:pPr>
            <w:r>
              <w:rPr>
                <w:rFonts w:hint="default" w:ascii="Times New Roman" w:eastAsia="宋体" w:cs="Times New Roman"/>
                <w:kern w:val="21"/>
                <w:sz w:val="24"/>
                <w:szCs w:val="24"/>
                <w:lang w:val="en-US" w:eastAsia="zh-CN"/>
              </w:rPr>
              <w:t>0.253</w:t>
            </w:r>
          </w:p>
        </w:tc>
        <w:tc>
          <w:tcPr>
            <w:tcW w:w="1212" w:type="dxa"/>
            <w:vAlign w:val="center"/>
          </w:tcPr>
          <w:p w14:paraId="72823143">
            <w:pPr>
              <w:pStyle w:val="37"/>
              <w:keepNext w:val="0"/>
              <w:keepLines w:val="0"/>
              <w:pageBreakBefore w:val="0"/>
              <w:kinsoku/>
              <w:wordWrap/>
              <w:overflowPunct/>
              <w:topLinePunct w:val="0"/>
              <w:autoSpaceDN/>
              <w:bidi w:val="0"/>
              <w:spacing w:beforeLines="0" w:afterLines="0" w:line="240" w:lineRule="auto"/>
              <w:ind w:right="0" w:firstLine="0" w:firstLineChars="0"/>
              <w:jc w:val="center"/>
              <w:textAlignment w:val="auto"/>
              <w:outlineLvl w:val="9"/>
              <w:rPr>
                <w:rFonts w:hint="default" w:ascii="Times New Roman" w:eastAsia="宋体" w:cs="Times New Roman"/>
                <w:kern w:val="21"/>
                <w:sz w:val="24"/>
                <w:szCs w:val="24"/>
                <w:lang w:val="en-US" w:eastAsia="zh-CN"/>
              </w:rPr>
            </w:pPr>
            <w:r>
              <w:rPr>
                <w:rFonts w:hint="eastAsia" w:ascii="Times New Roman" w:cs="Times New Roman"/>
                <w:kern w:val="21"/>
                <w:sz w:val="24"/>
                <w:szCs w:val="24"/>
                <w:lang w:val="en-US" w:eastAsia="zh-CN"/>
              </w:rPr>
              <w:t>+</w:t>
            </w:r>
            <w:r>
              <w:rPr>
                <w:rFonts w:hint="default" w:ascii="Times New Roman" w:eastAsia="宋体" w:cs="Times New Roman"/>
                <w:kern w:val="21"/>
                <w:sz w:val="24"/>
                <w:szCs w:val="24"/>
                <w:lang w:val="en-US" w:eastAsia="zh-CN"/>
              </w:rPr>
              <w:t>0.253</w:t>
            </w:r>
          </w:p>
        </w:tc>
      </w:tr>
      <w:tr w14:paraId="541EBD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vAlign w:val="center"/>
          </w:tcPr>
          <w:p w14:paraId="29B2D9DD">
            <w:pPr>
              <w:pStyle w:val="37"/>
              <w:keepNext w:val="0"/>
              <w:keepLines w:val="0"/>
              <w:pageBreakBefore w:val="0"/>
              <w:kinsoku/>
              <w:wordWrap/>
              <w:overflowPunct/>
              <w:topLinePunct w:val="0"/>
              <w:autoSpaceDN/>
              <w:bidi w:val="0"/>
              <w:spacing w:beforeLines="0" w:afterLines="0" w:line="240" w:lineRule="auto"/>
              <w:ind w:right="0" w:firstLine="0" w:firstLineChars="0"/>
              <w:jc w:val="center"/>
              <w:textAlignment w:val="auto"/>
              <w:outlineLvl w:val="9"/>
              <w:rPr>
                <w:rFonts w:hint="default" w:ascii="Times New Roman" w:hAnsi="Times New Roman" w:eastAsia="宋体" w:cs="Times New Roman"/>
                <w:kern w:val="21"/>
                <w:sz w:val="24"/>
                <w:szCs w:val="24"/>
              </w:rPr>
            </w:pPr>
          </w:p>
        </w:tc>
        <w:tc>
          <w:tcPr>
            <w:tcW w:w="1417" w:type="dxa"/>
            <w:vAlign w:val="center"/>
          </w:tcPr>
          <w:p w14:paraId="387210E6">
            <w:pPr>
              <w:keepNext w:val="0"/>
              <w:keepLines w:val="0"/>
              <w:pageBreakBefore w:val="0"/>
              <w:kinsoku/>
              <w:wordWrap/>
              <w:overflowPunct/>
              <w:topLinePunct w:val="0"/>
              <w:autoSpaceDN/>
              <w:bidi w:val="0"/>
              <w:spacing w:line="240" w:lineRule="auto"/>
              <w:ind w:right="0" w:rightChars="0" w:firstLine="0" w:firstLineChars="0"/>
              <w:jc w:val="center"/>
              <w:textAlignment w:val="auto"/>
              <w:outlineLvl w:val="9"/>
              <w:rPr>
                <w:rFonts w:hint="default" w:ascii="Times New Roman" w:hAnsi="Times New Roman" w:eastAsia="宋体" w:cs="Times New Roman"/>
                <w:kern w:val="2"/>
                <w:sz w:val="24"/>
                <w:szCs w:val="24"/>
                <w:lang w:val="en-US" w:bidi="ar"/>
              </w:rPr>
            </w:pPr>
            <w:r>
              <w:rPr>
                <w:rFonts w:hint="default" w:ascii="Times New Roman" w:hAnsi="Times New Roman" w:eastAsia="宋体" w:cs="Times New Roman"/>
                <w:color w:val="000000"/>
                <w:kern w:val="0"/>
                <w:sz w:val="24"/>
                <w:szCs w:val="24"/>
                <w:lang w:bidi="ar"/>
              </w:rPr>
              <w:t>H</w:t>
            </w:r>
            <w:r>
              <w:rPr>
                <w:rFonts w:hint="default" w:ascii="Times New Roman" w:hAnsi="Times New Roman" w:eastAsia="宋体" w:cs="Times New Roman"/>
                <w:color w:val="000000"/>
                <w:kern w:val="0"/>
                <w:sz w:val="24"/>
                <w:szCs w:val="24"/>
                <w:vertAlign w:val="subscript"/>
                <w:lang w:bidi="ar"/>
              </w:rPr>
              <w:t>2</w:t>
            </w:r>
            <w:r>
              <w:rPr>
                <w:rFonts w:hint="default" w:ascii="Times New Roman" w:hAnsi="Times New Roman" w:eastAsia="宋体" w:cs="Times New Roman"/>
                <w:color w:val="000000"/>
                <w:kern w:val="0"/>
                <w:sz w:val="24"/>
                <w:szCs w:val="24"/>
                <w:lang w:bidi="ar"/>
              </w:rPr>
              <w:t>S</w:t>
            </w:r>
          </w:p>
        </w:tc>
        <w:tc>
          <w:tcPr>
            <w:tcW w:w="1701" w:type="dxa"/>
            <w:vAlign w:val="center"/>
          </w:tcPr>
          <w:p w14:paraId="71ABE40B">
            <w:pPr>
              <w:keepNext w:val="0"/>
              <w:keepLines w:val="0"/>
              <w:pageBreakBefore w:val="0"/>
              <w:kinsoku/>
              <w:wordWrap/>
              <w:overflowPunct/>
              <w:topLinePunct w:val="0"/>
              <w:autoSpaceDN/>
              <w:bidi w:val="0"/>
              <w:spacing w:line="240" w:lineRule="auto"/>
              <w:ind w:right="0" w:firstLine="0" w:firstLineChars="0"/>
              <w:jc w:val="center"/>
              <w:textAlignment w:val="auto"/>
              <w:outlineLvl w:val="9"/>
              <w:rPr>
                <w:rFonts w:hint="default" w:ascii="Times New Roman" w:hAnsi="Times New Roman" w:eastAsia="宋体" w:cs="Times New Roman"/>
                <w:snapToGrid w:val="0"/>
                <w:color w:val="000000"/>
                <w:kern w:val="21"/>
                <w:sz w:val="24"/>
                <w:szCs w:val="24"/>
                <w:lang w:val="zh-CN" w:eastAsia="zh-CN" w:bidi="ar-SA"/>
              </w:rPr>
            </w:pPr>
            <w:r>
              <w:rPr>
                <w:rFonts w:hint="default" w:ascii="Times New Roman" w:hAnsi="Times New Roman" w:eastAsia="宋体" w:cs="Times New Roman"/>
                <w:snapToGrid w:val="0"/>
                <w:color w:val="000000"/>
                <w:kern w:val="21"/>
                <w:sz w:val="24"/>
                <w:szCs w:val="24"/>
                <w:lang w:val="zh-CN" w:eastAsia="zh-CN" w:bidi="ar-SA"/>
              </w:rPr>
              <w:t>/</w:t>
            </w:r>
          </w:p>
        </w:tc>
        <w:tc>
          <w:tcPr>
            <w:tcW w:w="1276" w:type="dxa"/>
            <w:vAlign w:val="center"/>
          </w:tcPr>
          <w:p w14:paraId="3EA7C19E">
            <w:pPr>
              <w:keepNext w:val="0"/>
              <w:keepLines w:val="0"/>
              <w:pageBreakBefore w:val="0"/>
              <w:kinsoku/>
              <w:wordWrap/>
              <w:overflowPunct/>
              <w:topLinePunct w:val="0"/>
              <w:autoSpaceDN/>
              <w:bidi w:val="0"/>
              <w:spacing w:line="240" w:lineRule="auto"/>
              <w:ind w:right="0" w:firstLine="0" w:firstLineChars="0"/>
              <w:jc w:val="center"/>
              <w:textAlignment w:val="auto"/>
              <w:outlineLvl w:val="9"/>
              <w:rPr>
                <w:rFonts w:hint="default" w:ascii="Times New Roman" w:hAnsi="Times New Roman" w:eastAsia="宋体" w:cs="Times New Roman"/>
                <w:snapToGrid w:val="0"/>
                <w:color w:val="000000"/>
                <w:kern w:val="21"/>
                <w:sz w:val="24"/>
                <w:szCs w:val="24"/>
                <w:lang w:val="zh-CN" w:eastAsia="zh-CN" w:bidi="ar-SA"/>
              </w:rPr>
            </w:pPr>
            <w:r>
              <w:rPr>
                <w:rFonts w:hint="default" w:ascii="Times New Roman" w:hAnsi="Times New Roman" w:eastAsia="宋体" w:cs="Times New Roman"/>
                <w:snapToGrid w:val="0"/>
                <w:color w:val="000000"/>
                <w:kern w:val="21"/>
                <w:sz w:val="24"/>
                <w:szCs w:val="24"/>
                <w:lang w:val="zh-CN" w:eastAsia="zh-CN" w:bidi="ar-SA"/>
              </w:rPr>
              <w:t>/</w:t>
            </w:r>
          </w:p>
        </w:tc>
        <w:tc>
          <w:tcPr>
            <w:tcW w:w="1701" w:type="dxa"/>
            <w:vAlign w:val="center"/>
          </w:tcPr>
          <w:p w14:paraId="149C51A7">
            <w:pPr>
              <w:keepNext w:val="0"/>
              <w:keepLines w:val="0"/>
              <w:pageBreakBefore w:val="0"/>
              <w:kinsoku/>
              <w:wordWrap/>
              <w:overflowPunct/>
              <w:topLinePunct w:val="0"/>
              <w:autoSpaceDN/>
              <w:bidi w:val="0"/>
              <w:spacing w:line="240" w:lineRule="auto"/>
              <w:ind w:right="0" w:firstLine="0" w:firstLineChars="0"/>
              <w:jc w:val="center"/>
              <w:textAlignment w:val="auto"/>
              <w:outlineLvl w:val="9"/>
              <w:rPr>
                <w:rFonts w:hint="default" w:ascii="Times New Roman" w:hAnsi="Times New Roman" w:eastAsia="宋体" w:cs="Times New Roman"/>
                <w:snapToGrid w:val="0"/>
                <w:color w:val="000000"/>
                <w:kern w:val="21"/>
                <w:sz w:val="24"/>
                <w:szCs w:val="24"/>
                <w:lang w:val="zh-CN" w:eastAsia="zh-CN" w:bidi="ar-SA"/>
              </w:rPr>
            </w:pPr>
            <w:r>
              <w:rPr>
                <w:rFonts w:hint="default" w:ascii="Times New Roman" w:hAnsi="Times New Roman" w:eastAsia="宋体" w:cs="Times New Roman"/>
                <w:snapToGrid w:val="0"/>
                <w:color w:val="000000"/>
                <w:kern w:val="21"/>
                <w:sz w:val="24"/>
                <w:szCs w:val="24"/>
                <w:lang w:val="zh-CN" w:eastAsia="zh-CN" w:bidi="ar-SA"/>
              </w:rPr>
              <w:t>/</w:t>
            </w:r>
          </w:p>
        </w:tc>
        <w:tc>
          <w:tcPr>
            <w:tcW w:w="1559" w:type="dxa"/>
            <w:vAlign w:val="center"/>
          </w:tcPr>
          <w:p w14:paraId="7A1FCEB4">
            <w:pPr>
              <w:pStyle w:val="37"/>
              <w:keepNext w:val="0"/>
              <w:keepLines w:val="0"/>
              <w:pageBreakBefore w:val="0"/>
              <w:kinsoku/>
              <w:wordWrap/>
              <w:overflowPunct/>
              <w:topLinePunct w:val="0"/>
              <w:autoSpaceDN/>
              <w:bidi w:val="0"/>
              <w:spacing w:beforeLines="0" w:afterLines="0" w:line="240" w:lineRule="auto"/>
              <w:ind w:right="0" w:firstLine="0" w:firstLineChars="0"/>
              <w:jc w:val="center"/>
              <w:textAlignment w:val="auto"/>
              <w:outlineLvl w:val="9"/>
              <w:rPr>
                <w:rFonts w:hint="default" w:ascii="Times New Roman" w:eastAsia="宋体" w:cs="Times New Roman"/>
                <w:kern w:val="21"/>
                <w:sz w:val="24"/>
                <w:szCs w:val="24"/>
                <w:lang w:val="en-US" w:eastAsia="zh-CN"/>
              </w:rPr>
            </w:pPr>
            <w:r>
              <w:rPr>
                <w:rFonts w:hint="default" w:ascii="Times New Roman" w:eastAsia="宋体" w:cs="Times New Roman"/>
                <w:kern w:val="21"/>
                <w:sz w:val="24"/>
                <w:szCs w:val="24"/>
                <w:lang w:val="en-US" w:eastAsia="zh-CN"/>
              </w:rPr>
              <w:t>0.039</w:t>
            </w:r>
          </w:p>
        </w:tc>
        <w:tc>
          <w:tcPr>
            <w:tcW w:w="1707" w:type="dxa"/>
            <w:vAlign w:val="center"/>
          </w:tcPr>
          <w:p w14:paraId="2790FD17">
            <w:pPr>
              <w:pStyle w:val="37"/>
              <w:keepNext w:val="0"/>
              <w:keepLines w:val="0"/>
              <w:pageBreakBefore w:val="0"/>
              <w:kinsoku/>
              <w:wordWrap/>
              <w:overflowPunct/>
              <w:topLinePunct w:val="0"/>
              <w:autoSpaceDN/>
              <w:bidi w:val="0"/>
              <w:spacing w:beforeLines="0" w:afterLines="0" w:line="240" w:lineRule="auto"/>
              <w:ind w:right="0" w:firstLine="0" w:firstLineChars="0"/>
              <w:jc w:val="center"/>
              <w:textAlignment w:val="auto"/>
              <w:outlineLvl w:val="9"/>
              <w:rPr>
                <w:rFonts w:hint="default" w:ascii="Times New Roman" w:eastAsia="宋体" w:cs="Times New Roman"/>
                <w:kern w:val="21"/>
                <w:sz w:val="24"/>
                <w:szCs w:val="24"/>
                <w:lang w:val="zh-CN" w:eastAsia="zh-CN"/>
              </w:rPr>
            </w:pPr>
            <w:r>
              <w:rPr>
                <w:rFonts w:hint="default" w:ascii="Times New Roman" w:eastAsia="宋体" w:cs="Times New Roman"/>
                <w:kern w:val="21"/>
                <w:sz w:val="24"/>
                <w:szCs w:val="24"/>
                <w:lang w:val="zh-CN" w:eastAsia="zh-CN"/>
              </w:rPr>
              <w:t>/</w:t>
            </w:r>
          </w:p>
        </w:tc>
        <w:tc>
          <w:tcPr>
            <w:tcW w:w="1627" w:type="dxa"/>
            <w:vAlign w:val="center"/>
          </w:tcPr>
          <w:p w14:paraId="403B8D97">
            <w:pPr>
              <w:pStyle w:val="37"/>
              <w:keepNext w:val="0"/>
              <w:keepLines w:val="0"/>
              <w:pageBreakBefore w:val="0"/>
              <w:kinsoku/>
              <w:wordWrap/>
              <w:overflowPunct/>
              <w:topLinePunct w:val="0"/>
              <w:autoSpaceDN/>
              <w:bidi w:val="0"/>
              <w:spacing w:beforeLines="0" w:afterLines="0" w:line="240" w:lineRule="auto"/>
              <w:ind w:right="0" w:firstLine="0" w:firstLineChars="0"/>
              <w:jc w:val="center"/>
              <w:textAlignment w:val="auto"/>
              <w:outlineLvl w:val="9"/>
              <w:rPr>
                <w:rFonts w:hint="default" w:ascii="Times New Roman" w:eastAsia="宋体" w:cs="Times New Roman"/>
                <w:kern w:val="21"/>
                <w:sz w:val="24"/>
                <w:szCs w:val="24"/>
                <w:lang w:val="en-US" w:eastAsia="zh-CN"/>
              </w:rPr>
            </w:pPr>
            <w:r>
              <w:rPr>
                <w:rFonts w:hint="default" w:ascii="Times New Roman" w:eastAsia="宋体" w:cs="Times New Roman"/>
                <w:kern w:val="21"/>
                <w:sz w:val="24"/>
                <w:szCs w:val="24"/>
                <w:lang w:val="en-US" w:eastAsia="zh-CN"/>
              </w:rPr>
              <w:t>0.039</w:t>
            </w:r>
          </w:p>
        </w:tc>
        <w:tc>
          <w:tcPr>
            <w:tcW w:w="1212" w:type="dxa"/>
            <w:vAlign w:val="center"/>
          </w:tcPr>
          <w:p w14:paraId="66E3CEB7">
            <w:pPr>
              <w:pStyle w:val="37"/>
              <w:keepNext w:val="0"/>
              <w:keepLines w:val="0"/>
              <w:pageBreakBefore w:val="0"/>
              <w:kinsoku/>
              <w:wordWrap/>
              <w:overflowPunct/>
              <w:topLinePunct w:val="0"/>
              <w:autoSpaceDN/>
              <w:bidi w:val="0"/>
              <w:spacing w:beforeLines="0" w:afterLines="0" w:line="240" w:lineRule="auto"/>
              <w:ind w:right="0" w:firstLine="0" w:firstLineChars="0"/>
              <w:jc w:val="center"/>
              <w:textAlignment w:val="auto"/>
              <w:outlineLvl w:val="9"/>
              <w:rPr>
                <w:rFonts w:hint="default" w:ascii="Times New Roman" w:eastAsia="宋体" w:cs="Times New Roman"/>
                <w:kern w:val="21"/>
                <w:sz w:val="24"/>
                <w:szCs w:val="24"/>
                <w:lang w:val="en-US" w:eastAsia="zh-CN"/>
              </w:rPr>
            </w:pPr>
            <w:r>
              <w:rPr>
                <w:rFonts w:hint="eastAsia" w:ascii="Times New Roman" w:cs="Times New Roman"/>
                <w:kern w:val="21"/>
                <w:sz w:val="24"/>
                <w:szCs w:val="24"/>
                <w:lang w:val="en-US" w:eastAsia="zh-CN"/>
              </w:rPr>
              <w:t>+</w:t>
            </w:r>
            <w:r>
              <w:rPr>
                <w:rFonts w:hint="default" w:ascii="Times New Roman" w:eastAsia="宋体" w:cs="Times New Roman"/>
                <w:kern w:val="21"/>
                <w:sz w:val="24"/>
                <w:szCs w:val="24"/>
                <w:lang w:val="en-US" w:eastAsia="zh-CN"/>
              </w:rPr>
              <w:t>0.039</w:t>
            </w:r>
          </w:p>
        </w:tc>
      </w:tr>
      <w:tr w14:paraId="567D0D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restart"/>
            <w:vAlign w:val="center"/>
          </w:tcPr>
          <w:p w14:paraId="5A8236CF">
            <w:pPr>
              <w:pStyle w:val="37"/>
              <w:keepNext w:val="0"/>
              <w:keepLines w:val="0"/>
              <w:pageBreakBefore w:val="0"/>
              <w:kinsoku/>
              <w:wordWrap/>
              <w:overflowPunct/>
              <w:topLinePunct w:val="0"/>
              <w:autoSpaceDN/>
              <w:bidi w:val="0"/>
              <w:spacing w:beforeLines="0" w:afterLines="0" w:line="240" w:lineRule="auto"/>
              <w:ind w:right="0" w:firstLine="0" w:firstLineChars="0"/>
              <w:jc w:val="center"/>
              <w:textAlignment w:val="auto"/>
              <w:outlineLvl w:val="9"/>
              <w:rPr>
                <w:rFonts w:hint="default" w:ascii="Times New Roman" w:hAnsi="Times New Roman" w:eastAsia="宋体" w:cs="Times New Roman"/>
                <w:kern w:val="21"/>
                <w:sz w:val="24"/>
                <w:szCs w:val="24"/>
              </w:rPr>
            </w:pPr>
            <w:r>
              <w:rPr>
                <w:rFonts w:hint="default" w:ascii="Times New Roman" w:hAnsi="Times New Roman" w:eastAsia="宋体" w:cs="Times New Roman"/>
                <w:kern w:val="21"/>
                <w:sz w:val="24"/>
                <w:szCs w:val="24"/>
              </w:rPr>
              <w:t>废水</w:t>
            </w:r>
          </w:p>
        </w:tc>
        <w:tc>
          <w:tcPr>
            <w:tcW w:w="1417" w:type="dxa"/>
            <w:vAlign w:val="center"/>
          </w:tcPr>
          <w:p w14:paraId="692125F9">
            <w:pPr>
              <w:pStyle w:val="37"/>
              <w:spacing w:before="0" w:beforeLines="0" w:afterLines="0" w:line="240" w:lineRule="auto"/>
              <w:ind w:right="0" w:rightChars="0"/>
              <w:rPr>
                <w:rFonts w:hint="eastAsia" w:ascii="Times New Roman" w:hAnsi="Times New Roman" w:eastAsia="宋体" w:cs="Times New Roman"/>
                <w:kern w:val="2"/>
                <w:sz w:val="24"/>
                <w:szCs w:val="24"/>
                <w:lang w:val="en-US" w:eastAsia="zh-CN" w:bidi="ar"/>
              </w:rPr>
            </w:pPr>
            <w:r>
              <w:rPr>
                <w:rFonts w:ascii="Times New Roman"/>
                <w:spacing w:val="0"/>
                <w:sz w:val="24"/>
                <w:szCs w:val="24"/>
              </w:rPr>
              <w:t>COD</w:t>
            </w:r>
          </w:p>
        </w:tc>
        <w:tc>
          <w:tcPr>
            <w:tcW w:w="1701" w:type="dxa"/>
            <w:vAlign w:val="center"/>
          </w:tcPr>
          <w:p w14:paraId="68671391">
            <w:pPr>
              <w:pStyle w:val="37"/>
              <w:spacing w:before="0" w:beforeLines="0" w:afterLines="0" w:line="240" w:lineRule="auto"/>
              <w:ind w:right="0" w:rightChars="0"/>
              <w:rPr>
                <w:rFonts w:hint="default" w:ascii="Times New Roman" w:hAnsi="Times New Roman" w:eastAsia="宋体" w:cs="Times New Roman"/>
                <w:kern w:val="21"/>
                <w:sz w:val="24"/>
                <w:szCs w:val="24"/>
              </w:rPr>
            </w:pPr>
            <w:r>
              <w:rPr>
                <w:rFonts w:ascii="Times New Roman"/>
                <w:spacing w:val="0"/>
                <w:sz w:val="24"/>
                <w:szCs w:val="24"/>
              </w:rPr>
              <w:t>/</w:t>
            </w:r>
          </w:p>
        </w:tc>
        <w:tc>
          <w:tcPr>
            <w:tcW w:w="1276" w:type="dxa"/>
            <w:vAlign w:val="center"/>
          </w:tcPr>
          <w:p w14:paraId="1BE491A5">
            <w:pPr>
              <w:pStyle w:val="37"/>
              <w:spacing w:before="0" w:beforeLines="0" w:afterLines="0" w:line="240" w:lineRule="auto"/>
              <w:ind w:right="0" w:rightChars="0"/>
              <w:rPr>
                <w:rFonts w:hint="default" w:ascii="Times New Roman" w:hAnsi="Times New Roman" w:eastAsia="宋体" w:cs="Times New Roman"/>
                <w:kern w:val="21"/>
                <w:sz w:val="24"/>
                <w:szCs w:val="24"/>
              </w:rPr>
            </w:pPr>
            <w:r>
              <w:rPr>
                <w:rFonts w:ascii="Times New Roman"/>
                <w:spacing w:val="0"/>
                <w:sz w:val="24"/>
                <w:szCs w:val="24"/>
              </w:rPr>
              <w:t>/</w:t>
            </w:r>
          </w:p>
        </w:tc>
        <w:tc>
          <w:tcPr>
            <w:tcW w:w="1701" w:type="dxa"/>
            <w:vAlign w:val="center"/>
          </w:tcPr>
          <w:p w14:paraId="5E94BC11">
            <w:pPr>
              <w:pStyle w:val="37"/>
              <w:spacing w:before="0" w:beforeLines="0" w:afterLines="0" w:line="240" w:lineRule="auto"/>
              <w:ind w:right="0" w:rightChars="0"/>
              <w:rPr>
                <w:rFonts w:hint="default" w:ascii="Times New Roman" w:hAnsi="Times New Roman" w:eastAsia="宋体" w:cs="Times New Roman"/>
                <w:kern w:val="21"/>
                <w:sz w:val="24"/>
                <w:szCs w:val="24"/>
              </w:rPr>
            </w:pPr>
            <w:r>
              <w:rPr>
                <w:rFonts w:ascii="Times New Roman"/>
                <w:spacing w:val="0"/>
                <w:sz w:val="24"/>
                <w:szCs w:val="24"/>
              </w:rPr>
              <w:t>/</w:t>
            </w:r>
          </w:p>
        </w:tc>
        <w:tc>
          <w:tcPr>
            <w:tcW w:w="1559" w:type="dxa"/>
            <w:vAlign w:val="center"/>
          </w:tcPr>
          <w:p w14:paraId="05FD774E">
            <w:pPr>
              <w:pStyle w:val="37"/>
              <w:keepNext w:val="0"/>
              <w:keepLines w:val="0"/>
              <w:pageBreakBefore w:val="0"/>
              <w:kinsoku/>
              <w:wordWrap/>
              <w:overflowPunct/>
              <w:topLinePunct w:val="0"/>
              <w:autoSpaceDN/>
              <w:bidi w:val="0"/>
              <w:spacing w:beforeLines="0" w:afterLines="0" w:line="240" w:lineRule="auto"/>
              <w:ind w:right="0" w:rightChars="0" w:firstLine="0" w:firstLineChars="0"/>
              <w:jc w:val="center"/>
              <w:textAlignment w:val="auto"/>
              <w:outlineLvl w:val="9"/>
              <w:rPr>
                <w:rFonts w:hint="default" w:ascii="Times New Roman" w:eastAsia="宋体" w:cs="Times New Roman"/>
                <w:kern w:val="21"/>
                <w:sz w:val="24"/>
                <w:szCs w:val="24"/>
                <w:lang w:val="en-US" w:eastAsia="zh-CN"/>
              </w:rPr>
            </w:pPr>
            <w:r>
              <w:rPr>
                <w:rFonts w:hint="default" w:ascii="Times New Roman" w:eastAsia="宋体" w:cs="Times New Roman"/>
                <w:kern w:val="21"/>
                <w:sz w:val="24"/>
                <w:szCs w:val="24"/>
                <w:lang w:val="en-US" w:eastAsia="zh-CN"/>
              </w:rPr>
              <w:t>0.9752</w:t>
            </w:r>
          </w:p>
        </w:tc>
        <w:tc>
          <w:tcPr>
            <w:tcW w:w="1707" w:type="dxa"/>
            <w:vAlign w:val="center"/>
          </w:tcPr>
          <w:p w14:paraId="50D5FEDA">
            <w:pPr>
              <w:pStyle w:val="37"/>
              <w:keepNext w:val="0"/>
              <w:keepLines w:val="0"/>
              <w:pageBreakBefore w:val="0"/>
              <w:kinsoku/>
              <w:wordWrap/>
              <w:overflowPunct/>
              <w:topLinePunct w:val="0"/>
              <w:autoSpaceDN/>
              <w:bidi w:val="0"/>
              <w:spacing w:beforeLines="0" w:afterLines="0" w:line="240" w:lineRule="auto"/>
              <w:ind w:right="0" w:firstLine="0" w:firstLineChars="0"/>
              <w:jc w:val="center"/>
              <w:textAlignment w:val="auto"/>
              <w:outlineLvl w:val="9"/>
              <w:rPr>
                <w:rFonts w:hint="default" w:ascii="Times New Roman" w:hAnsi="Times New Roman" w:eastAsia="宋体" w:cs="Times New Roman"/>
                <w:kern w:val="21"/>
                <w:sz w:val="24"/>
                <w:szCs w:val="24"/>
                <w:lang w:val="en-US" w:eastAsia="zh-CN"/>
              </w:rPr>
            </w:pPr>
            <w:r>
              <w:rPr>
                <w:rFonts w:hint="eastAsia" w:ascii="Times New Roman" w:hAnsi="Times New Roman" w:eastAsia="宋体" w:cs="Times New Roman"/>
                <w:kern w:val="21"/>
                <w:sz w:val="24"/>
                <w:szCs w:val="24"/>
                <w:lang w:val="en-US" w:eastAsia="zh-CN"/>
              </w:rPr>
              <w:t>/</w:t>
            </w:r>
          </w:p>
        </w:tc>
        <w:tc>
          <w:tcPr>
            <w:tcW w:w="1627" w:type="dxa"/>
            <w:vAlign w:val="center"/>
          </w:tcPr>
          <w:p w14:paraId="4018E723">
            <w:pPr>
              <w:pStyle w:val="37"/>
              <w:keepNext w:val="0"/>
              <w:keepLines w:val="0"/>
              <w:pageBreakBefore w:val="0"/>
              <w:kinsoku/>
              <w:wordWrap/>
              <w:overflowPunct/>
              <w:topLinePunct w:val="0"/>
              <w:autoSpaceDN/>
              <w:bidi w:val="0"/>
              <w:spacing w:beforeLines="0" w:afterLines="0" w:line="240" w:lineRule="auto"/>
              <w:ind w:right="0" w:rightChars="0" w:firstLine="0" w:firstLineChars="0"/>
              <w:jc w:val="center"/>
              <w:textAlignment w:val="auto"/>
              <w:outlineLvl w:val="9"/>
              <w:rPr>
                <w:rFonts w:hint="default" w:ascii="Times New Roman" w:hAnsi="Times New Roman" w:eastAsia="宋体" w:cs="Times New Roman"/>
                <w:kern w:val="21"/>
                <w:sz w:val="24"/>
                <w:szCs w:val="24"/>
                <w:lang w:val="en-US" w:eastAsia="zh-CN"/>
              </w:rPr>
            </w:pPr>
            <w:r>
              <w:rPr>
                <w:rFonts w:hint="default" w:ascii="Times New Roman" w:eastAsia="宋体" w:cs="Times New Roman"/>
                <w:kern w:val="21"/>
                <w:sz w:val="24"/>
                <w:szCs w:val="24"/>
                <w:lang w:val="en-US" w:eastAsia="zh-CN"/>
              </w:rPr>
              <w:t>0.9752</w:t>
            </w:r>
          </w:p>
        </w:tc>
        <w:tc>
          <w:tcPr>
            <w:tcW w:w="1212" w:type="dxa"/>
            <w:vAlign w:val="center"/>
          </w:tcPr>
          <w:p w14:paraId="2C02AC5B">
            <w:pPr>
              <w:pStyle w:val="37"/>
              <w:keepNext w:val="0"/>
              <w:keepLines w:val="0"/>
              <w:pageBreakBefore w:val="0"/>
              <w:kinsoku/>
              <w:wordWrap/>
              <w:overflowPunct/>
              <w:topLinePunct w:val="0"/>
              <w:autoSpaceDN/>
              <w:bidi w:val="0"/>
              <w:spacing w:beforeLines="0" w:afterLines="0" w:line="240" w:lineRule="auto"/>
              <w:ind w:right="0" w:rightChars="0" w:firstLine="0" w:firstLineChars="0"/>
              <w:jc w:val="center"/>
              <w:textAlignment w:val="auto"/>
              <w:outlineLvl w:val="9"/>
              <w:rPr>
                <w:rFonts w:hint="default" w:ascii="Times New Roman" w:hAnsi="Times New Roman" w:eastAsia="宋体" w:cs="Times New Roman"/>
                <w:kern w:val="21"/>
                <w:sz w:val="24"/>
                <w:szCs w:val="24"/>
                <w:lang w:val="en-US" w:eastAsia="zh-CN"/>
              </w:rPr>
            </w:pPr>
            <w:r>
              <w:rPr>
                <w:rFonts w:hint="eastAsia" w:ascii="Times New Roman" w:cs="Times New Roman"/>
                <w:kern w:val="21"/>
                <w:sz w:val="24"/>
                <w:szCs w:val="24"/>
                <w:lang w:val="en-US" w:eastAsia="zh-CN"/>
              </w:rPr>
              <w:t>+</w:t>
            </w:r>
            <w:r>
              <w:rPr>
                <w:rFonts w:hint="default" w:ascii="Times New Roman" w:eastAsia="宋体" w:cs="Times New Roman"/>
                <w:kern w:val="21"/>
                <w:sz w:val="24"/>
                <w:szCs w:val="24"/>
                <w:lang w:val="en-US" w:eastAsia="zh-CN"/>
              </w:rPr>
              <w:t>0.9752</w:t>
            </w:r>
          </w:p>
        </w:tc>
      </w:tr>
      <w:tr w14:paraId="051E60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vAlign w:val="center"/>
          </w:tcPr>
          <w:p w14:paraId="5D33F792">
            <w:pPr>
              <w:pStyle w:val="37"/>
              <w:keepNext w:val="0"/>
              <w:keepLines w:val="0"/>
              <w:pageBreakBefore w:val="0"/>
              <w:kinsoku/>
              <w:wordWrap/>
              <w:overflowPunct/>
              <w:topLinePunct w:val="0"/>
              <w:autoSpaceDN/>
              <w:bidi w:val="0"/>
              <w:spacing w:beforeLines="0" w:afterLines="0" w:line="240" w:lineRule="auto"/>
              <w:ind w:right="0" w:firstLine="0" w:firstLineChars="0"/>
              <w:jc w:val="center"/>
              <w:textAlignment w:val="auto"/>
              <w:outlineLvl w:val="9"/>
              <w:rPr>
                <w:rFonts w:hint="default" w:ascii="Times New Roman" w:hAnsi="Times New Roman" w:eastAsia="宋体" w:cs="Times New Roman"/>
                <w:kern w:val="21"/>
                <w:sz w:val="24"/>
                <w:szCs w:val="24"/>
              </w:rPr>
            </w:pPr>
          </w:p>
        </w:tc>
        <w:tc>
          <w:tcPr>
            <w:tcW w:w="1417" w:type="dxa"/>
            <w:vAlign w:val="center"/>
          </w:tcPr>
          <w:p w14:paraId="30C8F1DF">
            <w:pPr>
              <w:pStyle w:val="37"/>
              <w:spacing w:before="0" w:beforeLines="0" w:afterLines="0" w:line="240" w:lineRule="auto"/>
              <w:ind w:right="0" w:rightChars="0"/>
              <w:rPr>
                <w:rFonts w:hint="eastAsia" w:ascii="Times New Roman" w:eastAsia="宋体" w:cs="Times New Roman"/>
                <w:kern w:val="2"/>
                <w:sz w:val="24"/>
                <w:szCs w:val="24"/>
                <w:lang w:val="en-US" w:eastAsia="zh-CN" w:bidi="ar"/>
              </w:rPr>
            </w:pPr>
            <w:r>
              <w:rPr>
                <w:rFonts w:ascii="Times New Roman"/>
                <w:spacing w:val="0"/>
                <w:sz w:val="21"/>
                <w:szCs w:val="21"/>
              </w:rPr>
              <w:t>NH</w:t>
            </w:r>
            <w:r>
              <w:rPr>
                <w:rFonts w:ascii="Times New Roman"/>
                <w:spacing w:val="0"/>
                <w:sz w:val="21"/>
                <w:szCs w:val="21"/>
                <w:vertAlign w:val="subscript"/>
              </w:rPr>
              <w:t>3</w:t>
            </w:r>
            <w:r>
              <w:rPr>
                <w:rFonts w:ascii="Times New Roman"/>
                <w:spacing w:val="0"/>
                <w:sz w:val="21"/>
                <w:szCs w:val="21"/>
              </w:rPr>
              <w:t>-N</w:t>
            </w:r>
          </w:p>
        </w:tc>
        <w:tc>
          <w:tcPr>
            <w:tcW w:w="1701" w:type="dxa"/>
            <w:vAlign w:val="center"/>
          </w:tcPr>
          <w:p w14:paraId="29E4A01C">
            <w:pPr>
              <w:pStyle w:val="37"/>
              <w:spacing w:before="0" w:beforeLines="0" w:afterLines="0" w:line="240" w:lineRule="auto"/>
              <w:ind w:right="0" w:rightChars="0"/>
              <w:rPr>
                <w:rFonts w:hint="default" w:ascii="Times New Roman" w:hAnsi="Times New Roman" w:eastAsia="宋体" w:cs="Times New Roman"/>
                <w:kern w:val="21"/>
                <w:sz w:val="24"/>
                <w:szCs w:val="24"/>
              </w:rPr>
            </w:pPr>
            <w:r>
              <w:rPr>
                <w:rFonts w:ascii="Times New Roman"/>
                <w:spacing w:val="0"/>
                <w:sz w:val="21"/>
                <w:szCs w:val="21"/>
              </w:rPr>
              <w:t>/</w:t>
            </w:r>
          </w:p>
        </w:tc>
        <w:tc>
          <w:tcPr>
            <w:tcW w:w="1276" w:type="dxa"/>
            <w:vAlign w:val="center"/>
          </w:tcPr>
          <w:p w14:paraId="4E6598BD">
            <w:pPr>
              <w:pStyle w:val="37"/>
              <w:spacing w:before="0" w:beforeLines="0" w:afterLines="0" w:line="240" w:lineRule="auto"/>
              <w:ind w:right="0" w:rightChars="0"/>
              <w:rPr>
                <w:rFonts w:hint="default" w:ascii="Times New Roman" w:hAnsi="Times New Roman" w:eastAsia="宋体" w:cs="Times New Roman"/>
                <w:kern w:val="21"/>
                <w:sz w:val="24"/>
                <w:szCs w:val="24"/>
              </w:rPr>
            </w:pPr>
            <w:r>
              <w:rPr>
                <w:rFonts w:ascii="Times New Roman"/>
                <w:spacing w:val="0"/>
                <w:sz w:val="21"/>
                <w:szCs w:val="21"/>
              </w:rPr>
              <w:t>/</w:t>
            </w:r>
          </w:p>
        </w:tc>
        <w:tc>
          <w:tcPr>
            <w:tcW w:w="1701" w:type="dxa"/>
            <w:vAlign w:val="center"/>
          </w:tcPr>
          <w:p w14:paraId="67307D8F">
            <w:pPr>
              <w:pStyle w:val="37"/>
              <w:spacing w:before="0" w:beforeLines="0" w:afterLines="0" w:line="240" w:lineRule="auto"/>
              <w:ind w:right="0" w:rightChars="0"/>
              <w:rPr>
                <w:rFonts w:hint="default" w:ascii="Times New Roman" w:hAnsi="Times New Roman" w:eastAsia="宋体" w:cs="Times New Roman"/>
                <w:kern w:val="21"/>
                <w:sz w:val="24"/>
                <w:szCs w:val="24"/>
              </w:rPr>
            </w:pPr>
            <w:r>
              <w:rPr>
                <w:rFonts w:ascii="Times New Roman"/>
                <w:spacing w:val="0"/>
                <w:sz w:val="21"/>
                <w:szCs w:val="21"/>
              </w:rPr>
              <w:t>/</w:t>
            </w:r>
          </w:p>
        </w:tc>
        <w:tc>
          <w:tcPr>
            <w:tcW w:w="1559" w:type="dxa"/>
            <w:vAlign w:val="center"/>
          </w:tcPr>
          <w:p w14:paraId="0B18513B">
            <w:pPr>
              <w:pStyle w:val="37"/>
              <w:keepNext w:val="0"/>
              <w:keepLines w:val="0"/>
              <w:pageBreakBefore w:val="0"/>
              <w:kinsoku/>
              <w:wordWrap/>
              <w:overflowPunct/>
              <w:topLinePunct w:val="0"/>
              <w:autoSpaceDN/>
              <w:bidi w:val="0"/>
              <w:spacing w:beforeLines="0" w:afterLines="0" w:line="240" w:lineRule="auto"/>
              <w:ind w:right="0" w:rightChars="0" w:firstLine="0" w:firstLineChars="0"/>
              <w:jc w:val="center"/>
              <w:textAlignment w:val="auto"/>
              <w:outlineLvl w:val="9"/>
              <w:rPr>
                <w:rFonts w:hint="default" w:ascii="Times New Roman" w:eastAsia="宋体" w:cs="Times New Roman"/>
                <w:kern w:val="21"/>
                <w:sz w:val="24"/>
                <w:szCs w:val="24"/>
                <w:lang w:val="en-US" w:eastAsia="zh-CN"/>
              </w:rPr>
            </w:pPr>
            <w:r>
              <w:rPr>
                <w:rFonts w:hint="default" w:ascii="Times New Roman" w:eastAsia="宋体" w:cs="Times New Roman"/>
                <w:kern w:val="21"/>
                <w:sz w:val="24"/>
                <w:szCs w:val="24"/>
                <w:lang w:val="en-US" w:eastAsia="zh-CN"/>
              </w:rPr>
              <w:t>0.1304</w:t>
            </w:r>
          </w:p>
        </w:tc>
        <w:tc>
          <w:tcPr>
            <w:tcW w:w="1707" w:type="dxa"/>
            <w:vAlign w:val="center"/>
          </w:tcPr>
          <w:p w14:paraId="141A47FC">
            <w:pPr>
              <w:pStyle w:val="37"/>
              <w:keepNext w:val="0"/>
              <w:keepLines w:val="0"/>
              <w:pageBreakBefore w:val="0"/>
              <w:kinsoku/>
              <w:wordWrap/>
              <w:overflowPunct/>
              <w:topLinePunct w:val="0"/>
              <w:autoSpaceDN/>
              <w:bidi w:val="0"/>
              <w:spacing w:beforeLines="0" w:afterLines="0" w:line="240" w:lineRule="auto"/>
              <w:ind w:right="0" w:firstLine="0" w:firstLineChars="0"/>
              <w:jc w:val="center"/>
              <w:textAlignment w:val="auto"/>
              <w:outlineLvl w:val="9"/>
              <w:rPr>
                <w:rFonts w:hint="default" w:ascii="Times New Roman" w:hAnsi="Times New Roman" w:eastAsia="宋体" w:cs="Times New Roman"/>
                <w:kern w:val="21"/>
                <w:sz w:val="24"/>
                <w:szCs w:val="24"/>
                <w:lang w:val="en-US" w:eastAsia="zh-CN"/>
              </w:rPr>
            </w:pPr>
            <w:r>
              <w:rPr>
                <w:rFonts w:hint="eastAsia" w:ascii="Times New Roman" w:hAnsi="Times New Roman" w:eastAsia="宋体" w:cs="Times New Roman"/>
                <w:kern w:val="21"/>
                <w:sz w:val="24"/>
                <w:szCs w:val="24"/>
                <w:lang w:val="en-US" w:eastAsia="zh-CN"/>
              </w:rPr>
              <w:t>/</w:t>
            </w:r>
          </w:p>
        </w:tc>
        <w:tc>
          <w:tcPr>
            <w:tcW w:w="1627" w:type="dxa"/>
            <w:vAlign w:val="center"/>
          </w:tcPr>
          <w:p w14:paraId="13D7CA4C">
            <w:pPr>
              <w:pStyle w:val="37"/>
              <w:keepNext w:val="0"/>
              <w:keepLines w:val="0"/>
              <w:pageBreakBefore w:val="0"/>
              <w:kinsoku/>
              <w:wordWrap/>
              <w:overflowPunct/>
              <w:topLinePunct w:val="0"/>
              <w:autoSpaceDN/>
              <w:bidi w:val="0"/>
              <w:spacing w:beforeLines="0" w:afterLines="0" w:line="240" w:lineRule="auto"/>
              <w:ind w:right="0" w:rightChars="0" w:firstLine="0" w:firstLineChars="0"/>
              <w:jc w:val="center"/>
              <w:textAlignment w:val="auto"/>
              <w:outlineLvl w:val="9"/>
              <w:rPr>
                <w:rFonts w:hint="default" w:ascii="Times New Roman" w:hAnsi="Times New Roman" w:eastAsia="宋体" w:cs="Times New Roman"/>
                <w:kern w:val="21"/>
                <w:sz w:val="24"/>
                <w:szCs w:val="24"/>
                <w:lang w:val="en-US" w:eastAsia="zh-CN"/>
              </w:rPr>
            </w:pPr>
            <w:r>
              <w:rPr>
                <w:rFonts w:hint="default" w:ascii="Times New Roman" w:eastAsia="宋体" w:cs="Times New Roman"/>
                <w:kern w:val="21"/>
                <w:sz w:val="24"/>
                <w:szCs w:val="24"/>
                <w:lang w:val="en-US" w:eastAsia="zh-CN"/>
              </w:rPr>
              <w:t>0.1304</w:t>
            </w:r>
          </w:p>
        </w:tc>
        <w:tc>
          <w:tcPr>
            <w:tcW w:w="1212" w:type="dxa"/>
            <w:vAlign w:val="center"/>
          </w:tcPr>
          <w:p w14:paraId="2A9105DD">
            <w:pPr>
              <w:pStyle w:val="37"/>
              <w:keepNext w:val="0"/>
              <w:keepLines w:val="0"/>
              <w:pageBreakBefore w:val="0"/>
              <w:kinsoku/>
              <w:wordWrap/>
              <w:overflowPunct/>
              <w:topLinePunct w:val="0"/>
              <w:autoSpaceDN/>
              <w:bidi w:val="0"/>
              <w:spacing w:beforeLines="0" w:afterLines="0" w:line="240" w:lineRule="auto"/>
              <w:ind w:right="0" w:rightChars="0" w:firstLine="0" w:firstLineChars="0"/>
              <w:jc w:val="center"/>
              <w:textAlignment w:val="auto"/>
              <w:outlineLvl w:val="9"/>
              <w:rPr>
                <w:rFonts w:hint="default" w:ascii="Times New Roman" w:hAnsi="Times New Roman" w:eastAsia="宋体" w:cs="Times New Roman"/>
                <w:kern w:val="21"/>
                <w:sz w:val="24"/>
                <w:szCs w:val="24"/>
                <w:lang w:val="en-US" w:eastAsia="zh-CN"/>
              </w:rPr>
            </w:pPr>
            <w:r>
              <w:rPr>
                <w:rFonts w:hint="eastAsia" w:ascii="Times New Roman" w:cs="Times New Roman"/>
                <w:kern w:val="21"/>
                <w:sz w:val="24"/>
                <w:szCs w:val="24"/>
                <w:lang w:val="en-US" w:eastAsia="zh-CN"/>
              </w:rPr>
              <w:t>+</w:t>
            </w:r>
            <w:r>
              <w:rPr>
                <w:rFonts w:hint="default" w:ascii="Times New Roman" w:eastAsia="宋体" w:cs="Times New Roman"/>
                <w:kern w:val="21"/>
                <w:sz w:val="24"/>
                <w:szCs w:val="24"/>
                <w:lang w:val="en-US" w:eastAsia="zh-CN"/>
              </w:rPr>
              <w:t>0.1304</w:t>
            </w:r>
          </w:p>
        </w:tc>
      </w:tr>
      <w:tr w14:paraId="0BC4CB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restart"/>
            <w:vAlign w:val="center"/>
          </w:tcPr>
          <w:p w14:paraId="2EF78EA6">
            <w:pPr>
              <w:pStyle w:val="37"/>
              <w:keepNext w:val="0"/>
              <w:keepLines w:val="0"/>
              <w:pageBreakBefore w:val="0"/>
              <w:kinsoku/>
              <w:wordWrap/>
              <w:overflowPunct/>
              <w:topLinePunct w:val="0"/>
              <w:autoSpaceDN/>
              <w:bidi w:val="0"/>
              <w:spacing w:beforeLines="0" w:afterLines="0" w:line="240" w:lineRule="auto"/>
              <w:ind w:right="0" w:firstLine="0" w:firstLineChars="0"/>
              <w:jc w:val="center"/>
              <w:textAlignment w:val="auto"/>
              <w:outlineLvl w:val="9"/>
              <w:rPr>
                <w:rFonts w:hint="default" w:ascii="Times New Roman" w:hAnsi="Times New Roman" w:eastAsia="宋体" w:cs="Times New Roman"/>
                <w:kern w:val="21"/>
                <w:sz w:val="24"/>
                <w:szCs w:val="24"/>
              </w:rPr>
            </w:pPr>
            <w:r>
              <w:rPr>
                <w:rFonts w:hint="default" w:ascii="Times New Roman" w:hAnsi="Times New Roman" w:eastAsia="宋体" w:cs="Times New Roman"/>
                <w:kern w:val="21"/>
                <w:sz w:val="24"/>
                <w:szCs w:val="24"/>
              </w:rPr>
              <w:t>一般工业</w:t>
            </w:r>
          </w:p>
          <w:p w14:paraId="574C66A5">
            <w:pPr>
              <w:pStyle w:val="37"/>
              <w:keepNext w:val="0"/>
              <w:keepLines w:val="0"/>
              <w:pageBreakBefore w:val="0"/>
              <w:kinsoku/>
              <w:wordWrap/>
              <w:overflowPunct/>
              <w:topLinePunct w:val="0"/>
              <w:autoSpaceDN/>
              <w:bidi w:val="0"/>
              <w:spacing w:beforeLines="0" w:afterLines="0" w:line="240" w:lineRule="auto"/>
              <w:ind w:right="0" w:firstLine="0" w:firstLineChars="0"/>
              <w:jc w:val="center"/>
              <w:textAlignment w:val="auto"/>
              <w:outlineLvl w:val="9"/>
              <w:rPr>
                <w:rFonts w:hint="default" w:ascii="Times New Roman" w:hAnsi="Times New Roman" w:eastAsia="宋体" w:cs="Times New Roman"/>
                <w:kern w:val="21"/>
                <w:sz w:val="24"/>
                <w:szCs w:val="24"/>
              </w:rPr>
            </w:pPr>
            <w:r>
              <w:rPr>
                <w:rFonts w:hint="default" w:ascii="Times New Roman" w:hAnsi="Times New Roman" w:eastAsia="宋体" w:cs="Times New Roman"/>
                <w:kern w:val="21"/>
                <w:sz w:val="24"/>
                <w:szCs w:val="24"/>
              </w:rPr>
              <w:t>固体废物</w:t>
            </w:r>
          </w:p>
        </w:tc>
        <w:tc>
          <w:tcPr>
            <w:tcW w:w="1417" w:type="dxa"/>
            <w:vAlign w:val="center"/>
          </w:tcPr>
          <w:p w14:paraId="3D02D057">
            <w:pPr>
              <w:keepNext w:val="0"/>
              <w:keepLines w:val="0"/>
              <w:pageBreakBefore w:val="0"/>
              <w:kinsoku/>
              <w:wordWrap/>
              <w:overflowPunct/>
              <w:topLinePunct w:val="0"/>
              <w:autoSpaceDN/>
              <w:bidi w:val="0"/>
              <w:spacing w:line="240" w:lineRule="auto"/>
              <w:ind w:right="0" w:firstLine="0" w:firstLineChars="0"/>
              <w:jc w:val="center"/>
              <w:textAlignment w:val="auto"/>
              <w:outlineLvl w:val="9"/>
              <w:rPr>
                <w:rFonts w:hint="eastAsia" w:ascii="Times New Roman" w:hAnsi="Times New Roman" w:eastAsia="宋体" w:cs="Times New Roman"/>
                <w:snapToGrid w:val="0"/>
                <w:color w:val="000000"/>
                <w:kern w:val="21"/>
                <w:sz w:val="24"/>
                <w:lang w:eastAsia="zh-CN"/>
              </w:rPr>
            </w:pPr>
            <w:r>
              <w:rPr>
                <w:rFonts w:hint="eastAsia" w:cs="Times New Roman"/>
                <w:sz w:val="24"/>
                <w:lang w:val="en-US" w:eastAsia="zh-CN" w:bidi="ar"/>
              </w:rPr>
              <w:t>泥沙</w:t>
            </w:r>
          </w:p>
        </w:tc>
        <w:tc>
          <w:tcPr>
            <w:tcW w:w="1701" w:type="dxa"/>
            <w:vAlign w:val="center"/>
          </w:tcPr>
          <w:p w14:paraId="5375C2DA">
            <w:pPr>
              <w:keepNext w:val="0"/>
              <w:keepLines w:val="0"/>
              <w:pageBreakBefore w:val="0"/>
              <w:kinsoku/>
              <w:wordWrap/>
              <w:overflowPunct/>
              <w:topLinePunct w:val="0"/>
              <w:autoSpaceDN/>
              <w:bidi w:val="0"/>
              <w:spacing w:line="240" w:lineRule="auto"/>
              <w:ind w:right="0" w:firstLine="0" w:firstLineChars="0"/>
              <w:jc w:val="center"/>
              <w:textAlignment w:val="auto"/>
              <w:outlineLvl w:val="9"/>
              <w:rPr>
                <w:rFonts w:hint="default" w:ascii="Times New Roman" w:hAnsi="Times New Roman" w:eastAsia="宋体" w:cs="Times New Roman"/>
                <w:snapToGrid w:val="0"/>
                <w:color w:val="000000"/>
                <w:kern w:val="21"/>
                <w:sz w:val="24"/>
              </w:rPr>
            </w:pPr>
            <w:r>
              <w:rPr>
                <w:rFonts w:hint="default" w:ascii="Times New Roman" w:hAnsi="Times New Roman" w:eastAsia="宋体" w:cs="Times New Roman"/>
                <w:snapToGrid w:val="0"/>
                <w:color w:val="000000"/>
                <w:kern w:val="21"/>
                <w:sz w:val="24"/>
              </w:rPr>
              <w:t>/</w:t>
            </w:r>
          </w:p>
        </w:tc>
        <w:tc>
          <w:tcPr>
            <w:tcW w:w="1276" w:type="dxa"/>
            <w:vAlign w:val="center"/>
          </w:tcPr>
          <w:p w14:paraId="7595E62B">
            <w:pPr>
              <w:keepNext w:val="0"/>
              <w:keepLines w:val="0"/>
              <w:pageBreakBefore w:val="0"/>
              <w:kinsoku/>
              <w:wordWrap/>
              <w:overflowPunct/>
              <w:topLinePunct w:val="0"/>
              <w:autoSpaceDN/>
              <w:bidi w:val="0"/>
              <w:spacing w:line="240" w:lineRule="auto"/>
              <w:ind w:right="0" w:firstLine="0" w:firstLineChars="0"/>
              <w:jc w:val="center"/>
              <w:textAlignment w:val="auto"/>
              <w:outlineLvl w:val="9"/>
              <w:rPr>
                <w:rFonts w:hint="default" w:ascii="Times New Roman" w:hAnsi="Times New Roman" w:eastAsia="宋体" w:cs="Times New Roman"/>
                <w:snapToGrid w:val="0"/>
                <w:color w:val="000000"/>
                <w:kern w:val="21"/>
                <w:sz w:val="24"/>
              </w:rPr>
            </w:pPr>
            <w:r>
              <w:rPr>
                <w:rFonts w:hint="default" w:ascii="Times New Roman" w:hAnsi="Times New Roman" w:eastAsia="宋体" w:cs="Times New Roman"/>
                <w:snapToGrid w:val="0"/>
                <w:color w:val="000000"/>
                <w:kern w:val="21"/>
                <w:sz w:val="24"/>
              </w:rPr>
              <w:t>/</w:t>
            </w:r>
          </w:p>
        </w:tc>
        <w:tc>
          <w:tcPr>
            <w:tcW w:w="1701" w:type="dxa"/>
            <w:vAlign w:val="center"/>
          </w:tcPr>
          <w:p w14:paraId="45A4BA34">
            <w:pPr>
              <w:keepNext w:val="0"/>
              <w:keepLines w:val="0"/>
              <w:pageBreakBefore w:val="0"/>
              <w:kinsoku/>
              <w:wordWrap/>
              <w:overflowPunct/>
              <w:topLinePunct w:val="0"/>
              <w:autoSpaceDN/>
              <w:bidi w:val="0"/>
              <w:spacing w:line="240" w:lineRule="auto"/>
              <w:ind w:right="0" w:firstLine="0" w:firstLineChars="0"/>
              <w:jc w:val="center"/>
              <w:textAlignment w:val="auto"/>
              <w:outlineLvl w:val="9"/>
              <w:rPr>
                <w:rFonts w:hint="default" w:ascii="Times New Roman" w:hAnsi="Times New Roman" w:eastAsia="宋体" w:cs="Times New Roman"/>
                <w:snapToGrid w:val="0"/>
                <w:color w:val="000000"/>
                <w:kern w:val="21"/>
                <w:sz w:val="24"/>
              </w:rPr>
            </w:pPr>
            <w:r>
              <w:rPr>
                <w:rFonts w:hint="default" w:ascii="Times New Roman" w:hAnsi="Times New Roman" w:eastAsia="宋体" w:cs="Times New Roman"/>
                <w:snapToGrid w:val="0"/>
                <w:color w:val="000000"/>
                <w:kern w:val="21"/>
                <w:sz w:val="24"/>
              </w:rPr>
              <w:t>/</w:t>
            </w:r>
          </w:p>
        </w:tc>
        <w:tc>
          <w:tcPr>
            <w:tcW w:w="1559" w:type="dxa"/>
            <w:vAlign w:val="center"/>
          </w:tcPr>
          <w:p w14:paraId="58C01407">
            <w:pPr>
              <w:pStyle w:val="37"/>
              <w:keepNext w:val="0"/>
              <w:keepLines w:val="0"/>
              <w:pageBreakBefore w:val="0"/>
              <w:kinsoku/>
              <w:wordWrap/>
              <w:overflowPunct/>
              <w:topLinePunct w:val="0"/>
              <w:autoSpaceDN/>
              <w:bidi w:val="0"/>
              <w:spacing w:beforeLines="0" w:afterLines="0" w:line="240" w:lineRule="auto"/>
              <w:ind w:right="0" w:firstLine="0" w:firstLineChars="0"/>
              <w:jc w:val="center"/>
              <w:textAlignment w:val="auto"/>
              <w:outlineLvl w:val="9"/>
              <w:rPr>
                <w:rFonts w:hint="default" w:ascii="Times New Roman" w:hAnsi="Times New Roman" w:eastAsia="宋体" w:cs="Times New Roman"/>
                <w:kern w:val="21"/>
                <w:sz w:val="24"/>
                <w:szCs w:val="24"/>
                <w:lang w:val="en-US" w:eastAsia="zh-CN"/>
              </w:rPr>
            </w:pPr>
            <w:r>
              <w:rPr>
                <w:rFonts w:hint="eastAsia" w:ascii="Times New Roman" w:eastAsia="宋体" w:cs="Times New Roman"/>
                <w:kern w:val="21"/>
                <w:sz w:val="24"/>
                <w:szCs w:val="24"/>
                <w:lang w:val="en-US" w:eastAsia="zh-CN"/>
              </w:rPr>
              <w:t>45</w:t>
            </w:r>
          </w:p>
        </w:tc>
        <w:tc>
          <w:tcPr>
            <w:tcW w:w="1707" w:type="dxa"/>
            <w:vAlign w:val="center"/>
          </w:tcPr>
          <w:p w14:paraId="7F71AD9D">
            <w:pPr>
              <w:pStyle w:val="37"/>
              <w:keepNext w:val="0"/>
              <w:keepLines w:val="0"/>
              <w:pageBreakBefore w:val="0"/>
              <w:kinsoku/>
              <w:wordWrap/>
              <w:overflowPunct/>
              <w:topLinePunct w:val="0"/>
              <w:autoSpaceDN/>
              <w:bidi w:val="0"/>
              <w:spacing w:beforeLines="0" w:afterLines="0" w:line="240" w:lineRule="auto"/>
              <w:ind w:right="0" w:firstLine="0" w:firstLineChars="0"/>
              <w:jc w:val="center"/>
              <w:textAlignment w:val="auto"/>
              <w:outlineLvl w:val="9"/>
              <w:rPr>
                <w:rFonts w:hint="default" w:ascii="Times New Roman" w:hAnsi="Times New Roman" w:eastAsia="宋体" w:cs="Times New Roman"/>
                <w:kern w:val="21"/>
                <w:sz w:val="24"/>
                <w:szCs w:val="24"/>
              </w:rPr>
            </w:pPr>
            <w:r>
              <w:rPr>
                <w:rFonts w:hint="default" w:ascii="Times New Roman" w:hAnsi="Times New Roman" w:eastAsia="宋体" w:cs="Times New Roman"/>
                <w:kern w:val="21"/>
                <w:sz w:val="24"/>
                <w:szCs w:val="24"/>
              </w:rPr>
              <w:t>/</w:t>
            </w:r>
          </w:p>
        </w:tc>
        <w:tc>
          <w:tcPr>
            <w:tcW w:w="1627" w:type="dxa"/>
            <w:vAlign w:val="center"/>
          </w:tcPr>
          <w:p w14:paraId="6263EE38">
            <w:pPr>
              <w:pStyle w:val="37"/>
              <w:keepNext w:val="0"/>
              <w:keepLines w:val="0"/>
              <w:pageBreakBefore w:val="0"/>
              <w:kinsoku/>
              <w:wordWrap/>
              <w:overflowPunct/>
              <w:topLinePunct w:val="0"/>
              <w:autoSpaceDN/>
              <w:bidi w:val="0"/>
              <w:spacing w:beforeLines="0" w:afterLines="0" w:line="240" w:lineRule="auto"/>
              <w:ind w:right="0" w:rightChars="0" w:firstLine="0" w:firstLineChars="0"/>
              <w:jc w:val="center"/>
              <w:textAlignment w:val="auto"/>
              <w:outlineLvl w:val="9"/>
              <w:rPr>
                <w:rFonts w:hint="default" w:ascii="Times New Roman" w:hAnsi="Times New Roman" w:eastAsia="宋体" w:cs="Times New Roman"/>
                <w:kern w:val="21"/>
                <w:sz w:val="24"/>
                <w:szCs w:val="24"/>
              </w:rPr>
            </w:pPr>
            <w:r>
              <w:rPr>
                <w:rFonts w:hint="eastAsia" w:ascii="Times New Roman" w:eastAsia="宋体" w:cs="Times New Roman"/>
                <w:kern w:val="21"/>
                <w:sz w:val="24"/>
                <w:szCs w:val="24"/>
                <w:lang w:val="en-US" w:eastAsia="zh-CN"/>
              </w:rPr>
              <w:t>45</w:t>
            </w:r>
          </w:p>
        </w:tc>
        <w:tc>
          <w:tcPr>
            <w:tcW w:w="1212" w:type="dxa"/>
            <w:vAlign w:val="center"/>
          </w:tcPr>
          <w:p w14:paraId="5AAB87A4">
            <w:pPr>
              <w:pStyle w:val="37"/>
              <w:keepNext w:val="0"/>
              <w:keepLines w:val="0"/>
              <w:pageBreakBefore w:val="0"/>
              <w:kinsoku/>
              <w:wordWrap/>
              <w:overflowPunct/>
              <w:topLinePunct w:val="0"/>
              <w:autoSpaceDN/>
              <w:bidi w:val="0"/>
              <w:spacing w:beforeLines="0" w:afterLines="0" w:line="240" w:lineRule="auto"/>
              <w:ind w:right="0" w:rightChars="0" w:firstLine="0" w:firstLineChars="0"/>
              <w:jc w:val="center"/>
              <w:textAlignment w:val="auto"/>
              <w:outlineLvl w:val="9"/>
              <w:rPr>
                <w:rFonts w:hint="default" w:ascii="Times New Roman" w:hAnsi="Times New Roman" w:eastAsia="宋体" w:cs="Times New Roman"/>
                <w:kern w:val="21"/>
                <w:sz w:val="24"/>
                <w:szCs w:val="24"/>
              </w:rPr>
            </w:pPr>
            <w:r>
              <w:rPr>
                <w:rFonts w:hint="eastAsia" w:ascii="Times New Roman" w:eastAsia="宋体" w:cs="Times New Roman"/>
                <w:kern w:val="21"/>
                <w:sz w:val="24"/>
                <w:szCs w:val="24"/>
                <w:lang w:val="en-US" w:eastAsia="zh-CN"/>
              </w:rPr>
              <w:t>+45</w:t>
            </w:r>
          </w:p>
        </w:tc>
      </w:tr>
      <w:tr w14:paraId="1BBE00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vAlign w:val="center"/>
          </w:tcPr>
          <w:p w14:paraId="5EA37D4F">
            <w:pPr>
              <w:pStyle w:val="37"/>
              <w:keepNext w:val="0"/>
              <w:keepLines w:val="0"/>
              <w:pageBreakBefore w:val="0"/>
              <w:kinsoku/>
              <w:wordWrap/>
              <w:overflowPunct/>
              <w:topLinePunct w:val="0"/>
              <w:autoSpaceDN/>
              <w:bidi w:val="0"/>
              <w:spacing w:beforeLines="0" w:afterLines="0" w:line="240" w:lineRule="auto"/>
              <w:ind w:right="0" w:firstLine="0" w:firstLineChars="0"/>
              <w:jc w:val="center"/>
              <w:textAlignment w:val="auto"/>
              <w:outlineLvl w:val="9"/>
              <w:rPr>
                <w:rFonts w:hint="default" w:ascii="Times New Roman" w:hAnsi="Times New Roman" w:eastAsia="宋体" w:cs="Times New Roman"/>
                <w:kern w:val="21"/>
                <w:sz w:val="24"/>
                <w:szCs w:val="24"/>
              </w:rPr>
            </w:pPr>
          </w:p>
        </w:tc>
        <w:tc>
          <w:tcPr>
            <w:tcW w:w="1417" w:type="dxa"/>
            <w:vAlign w:val="center"/>
          </w:tcPr>
          <w:p w14:paraId="718B3511">
            <w:pPr>
              <w:keepNext w:val="0"/>
              <w:keepLines w:val="0"/>
              <w:pageBreakBefore w:val="0"/>
              <w:kinsoku/>
              <w:wordWrap/>
              <w:overflowPunct/>
              <w:topLinePunct w:val="0"/>
              <w:autoSpaceDN/>
              <w:bidi w:val="0"/>
              <w:spacing w:line="240" w:lineRule="auto"/>
              <w:ind w:right="0" w:firstLine="0" w:firstLineChars="0"/>
              <w:jc w:val="center"/>
              <w:textAlignment w:val="auto"/>
              <w:outlineLvl w:val="9"/>
              <w:rPr>
                <w:rFonts w:hint="default" w:ascii="Times New Roman" w:hAnsi="Times New Roman" w:eastAsia="宋体" w:cs="Times New Roman"/>
                <w:sz w:val="24"/>
                <w:lang w:val="en-US" w:eastAsia="zh-CN" w:bidi="ar"/>
              </w:rPr>
            </w:pPr>
            <w:r>
              <w:rPr>
                <w:rFonts w:hint="eastAsia" w:cs="Times New Roman"/>
                <w:sz w:val="24"/>
                <w:lang w:val="en-US" w:eastAsia="zh-CN" w:bidi="ar"/>
              </w:rPr>
              <w:t>清洗废物</w:t>
            </w:r>
          </w:p>
        </w:tc>
        <w:tc>
          <w:tcPr>
            <w:tcW w:w="1701" w:type="dxa"/>
            <w:vAlign w:val="center"/>
          </w:tcPr>
          <w:p w14:paraId="2AEF766B">
            <w:pPr>
              <w:keepNext w:val="0"/>
              <w:keepLines w:val="0"/>
              <w:pageBreakBefore w:val="0"/>
              <w:kinsoku/>
              <w:wordWrap/>
              <w:overflowPunct/>
              <w:topLinePunct w:val="0"/>
              <w:autoSpaceDN/>
              <w:bidi w:val="0"/>
              <w:spacing w:line="240" w:lineRule="auto"/>
              <w:ind w:right="0" w:firstLine="0" w:firstLineChars="0"/>
              <w:jc w:val="center"/>
              <w:textAlignment w:val="auto"/>
              <w:outlineLvl w:val="9"/>
              <w:rPr>
                <w:rFonts w:hint="default" w:ascii="Times New Roman" w:hAnsi="Times New Roman" w:eastAsia="宋体" w:cs="Times New Roman"/>
                <w:snapToGrid w:val="0"/>
                <w:color w:val="000000"/>
                <w:kern w:val="21"/>
                <w:sz w:val="24"/>
              </w:rPr>
            </w:pPr>
            <w:r>
              <w:rPr>
                <w:rFonts w:hint="default" w:ascii="Times New Roman" w:hAnsi="Times New Roman" w:eastAsia="宋体" w:cs="Times New Roman"/>
                <w:kern w:val="21"/>
                <w:sz w:val="24"/>
                <w:szCs w:val="24"/>
              </w:rPr>
              <w:t>/</w:t>
            </w:r>
          </w:p>
        </w:tc>
        <w:tc>
          <w:tcPr>
            <w:tcW w:w="1276" w:type="dxa"/>
            <w:vAlign w:val="center"/>
          </w:tcPr>
          <w:p w14:paraId="6B243C97">
            <w:pPr>
              <w:keepNext w:val="0"/>
              <w:keepLines w:val="0"/>
              <w:pageBreakBefore w:val="0"/>
              <w:kinsoku/>
              <w:wordWrap/>
              <w:overflowPunct/>
              <w:topLinePunct w:val="0"/>
              <w:autoSpaceDN/>
              <w:bidi w:val="0"/>
              <w:spacing w:line="240" w:lineRule="auto"/>
              <w:ind w:right="0" w:firstLine="0" w:firstLineChars="0"/>
              <w:jc w:val="center"/>
              <w:textAlignment w:val="auto"/>
              <w:outlineLvl w:val="9"/>
              <w:rPr>
                <w:rFonts w:hint="default" w:ascii="Times New Roman" w:hAnsi="Times New Roman" w:eastAsia="宋体" w:cs="Times New Roman"/>
                <w:snapToGrid w:val="0"/>
                <w:color w:val="000000"/>
                <w:kern w:val="21"/>
                <w:sz w:val="24"/>
              </w:rPr>
            </w:pPr>
            <w:r>
              <w:rPr>
                <w:rFonts w:hint="default" w:ascii="Times New Roman" w:hAnsi="Times New Roman" w:eastAsia="宋体" w:cs="Times New Roman"/>
                <w:kern w:val="21"/>
                <w:sz w:val="24"/>
                <w:szCs w:val="24"/>
              </w:rPr>
              <w:t>/</w:t>
            </w:r>
          </w:p>
        </w:tc>
        <w:tc>
          <w:tcPr>
            <w:tcW w:w="1701" w:type="dxa"/>
            <w:vAlign w:val="center"/>
          </w:tcPr>
          <w:p w14:paraId="4C0F554C">
            <w:pPr>
              <w:keepNext w:val="0"/>
              <w:keepLines w:val="0"/>
              <w:pageBreakBefore w:val="0"/>
              <w:kinsoku/>
              <w:wordWrap/>
              <w:overflowPunct/>
              <w:topLinePunct w:val="0"/>
              <w:autoSpaceDN/>
              <w:bidi w:val="0"/>
              <w:spacing w:line="240" w:lineRule="auto"/>
              <w:ind w:right="0" w:firstLine="0" w:firstLineChars="0"/>
              <w:jc w:val="center"/>
              <w:textAlignment w:val="auto"/>
              <w:outlineLvl w:val="9"/>
              <w:rPr>
                <w:rFonts w:hint="default" w:ascii="Times New Roman" w:hAnsi="Times New Roman" w:eastAsia="宋体" w:cs="Times New Roman"/>
                <w:snapToGrid w:val="0"/>
                <w:color w:val="000000"/>
                <w:kern w:val="21"/>
                <w:sz w:val="24"/>
              </w:rPr>
            </w:pPr>
            <w:r>
              <w:rPr>
                <w:rFonts w:hint="default" w:ascii="Times New Roman" w:hAnsi="Times New Roman" w:eastAsia="宋体" w:cs="Times New Roman"/>
                <w:kern w:val="21"/>
                <w:sz w:val="24"/>
                <w:szCs w:val="24"/>
              </w:rPr>
              <w:t>/</w:t>
            </w:r>
          </w:p>
        </w:tc>
        <w:tc>
          <w:tcPr>
            <w:tcW w:w="1559" w:type="dxa"/>
            <w:vAlign w:val="center"/>
          </w:tcPr>
          <w:p w14:paraId="75B21A34">
            <w:pPr>
              <w:pStyle w:val="37"/>
              <w:keepNext w:val="0"/>
              <w:keepLines w:val="0"/>
              <w:pageBreakBefore w:val="0"/>
              <w:kinsoku/>
              <w:wordWrap/>
              <w:overflowPunct/>
              <w:topLinePunct w:val="0"/>
              <w:autoSpaceDN/>
              <w:bidi w:val="0"/>
              <w:spacing w:beforeLines="0" w:afterLines="0" w:line="240" w:lineRule="auto"/>
              <w:ind w:right="0" w:firstLine="0" w:firstLineChars="0"/>
              <w:jc w:val="center"/>
              <w:textAlignment w:val="auto"/>
              <w:outlineLvl w:val="9"/>
              <w:rPr>
                <w:rFonts w:hint="eastAsia" w:ascii="Times New Roman" w:hAnsi="Times New Roman" w:eastAsia="宋体" w:cs="Times New Roman"/>
                <w:kern w:val="21"/>
                <w:sz w:val="24"/>
                <w:szCs w:val="24"/>
                <w:lang w:val="en-US" w:eastAsia="zh-CN"/>
              </w:rPr>
            </w:pPr>
            <w:r>
              <w:rPr>
                <w:rFonts w:hint="eastAsia" w:ascii="Times New Roman" w:eastAsia="宋体" w:cs="Times New Roman"/>
                <w:kern w:val="21"/>
                <w:sz w:val="24"/>
                <w:szCs w:val="24"/>
                <w:lang w:val="en-US" w:eastAsia="zh-CN"/>
              </w:rPr>
              <w:t>5</w:t>
            </w:r>
          </w:p>
        </w:tc>
        <w:tc>
          <w:tcPr>
            <w:tcW w:w="1707" w:type="dxa"/>
            <w:vAlign w:val="center"/>
          </w:tcPr>
          <w:p w14:paraId="7E811BF2">
            <w:pPr>
              <w:keepNext w:val="0"/>
              <w:keepLines w:val="0"/>
              <w:pageBreakBefore w:val="0"/>
              <w:kinsoku/>
              <w:wordWrap/>
              <w:overflowPunct/>
              <w:topLinePunct w:val="0"/>
              <w:autoSpaceDN/>
              <w:bidi w:val="0"/>
              <w:spacing w:beforeLines="0" w:afterLines="0" w:line="240" w:lineRule="auto"/>
              <w:ind w:right="0" w:firstLine="0" w:firstLineChars="0"/>
              <w:jc w:val="center"/>
              <w:textAlignment w:val="auto"/>
              <w:outlineLvl w:val="9"/>
              <w:rPr>
                <w:rFonts w:hint="default" w:ascii="Times New Roman" w:hAnsi="Times New Roman" w:eastAsia="宋体" w:cs="Times New Roman"/>
                <w:kern w:val="21"/>
                <w:sz w:val="24"/>
                <w:szCs w:val="24"/>
              </w:rPr>
            </w:pPr>
            <w:r>
              <w:rPr>
                <w:rFonts w:hint="default" w:ascii="Times New Roman" w:hAnsi="Times New Roman" w:eastAsia="宋体" w:cs="Times New Roman"/>
                <w:kern w:val="21"/>
                <w:sz w:val="24"/>
                <w:szCs w:val="24"/>
              </w:rPr>
              <w:t>/</w:t>
            </w:r>
          </w:p>
        </w:tc>
        <w:tc>
          <w:tcPr>
            <w:tcW w:w="1627" w:type="dxa"/>
            <w:vAlign w:val="center"/>
          </w:tcPr>
          <w:p w14:paraId="336E86B2">
            <w:pPr>
              <w:pStyle w:val="37"/>
              <w:keepNext w:val="0"/>
              <w:keepLines w:val="0"/>
              <w:pageBreakBefore w:val="0"/>
              <w:kinsoku/>
              <w:wordWrap/>
              <w:overflowPunct/>
              <w:topLinePunct w:val="0"/>
              <w:autoSpaceDN/>
              <w:bidi w:val="0"/>
              <w:spacing w:beforeLines="0" w:afterLines="0" w:line="240" w:lineRule="auto"/>
              <w:ind w:right="0" w:rightChars="0" w:firstLine="0" w:firstLineChars="0"/>
              <w:jc w:val="center"/>
              <w:textAlignment w:val="auto"/>
              <w:outlineLvl w:val="9"/>
              <w:rPr>
                <w:rFonts w:hint="default" w:ascii="Times New Roman" w:hAnsi="Times New Roman" w:eastAsia="宋体" w:cs="Times New Roman"/>
                <w:kern w:val="21"/>
                <w:sz w:val="24"/>
                <w:szCs w:val="24"/>
                <w:lang w:val="en-US"/>
              </w:rPr>
            </w:pPr>
            <w:r>
              <w:rPr>
                <w:rFonts w:hint="eastAsia" w:ascii="Times New Roman" w:eastAsia="宋体" w:cs="Times New Roman"/>
                <w:kern w:val="21"/>
                <w:sz w:val="24"/>
                <w:szCs w:val="24"/>
                <w:lang w:val="en-US" w:eastAsia="zh-CN"/>
              </w:rPr>
              <w:t>5</w:t>
            </w:r>
          </w:p>
        </w:tc>
        <w:tc>
          <w:tcPr>
            <w:tcW w:w="1212" w:type="dxa"/>
            <w:vAlign w:val="center"/>
          </w:tcPr>
          <w:p w14:paraId="25BE172C">
            <w:pPr>
              <w:pStyle w:val="37"/>
              <w:keepNext w:val="0"/>
              <w:keepLines w:val="0"/>
              <w:pageBreakBefore w:val="0"/>
              <w:kinsoku/>
              <w:wordWrap/>
              <w:overflowPunct/>
              <w:topLinePunct w:val="0"/>
              <w:autoSpaceDN/>
              <w:bidi w:val="0"/>
              <w:spacing w:beforeLines="0" w:afterLines="0" w:line="240" w:lineRule="auto"/>
              <w:ind w:right="0" w:rightChars="0" w:firstLine="0" w:firstLineChars="0"/>
              <w:jc w:val="center"/>
              <w:textAlignment w:val="auto"/>
              <w:outlineLvl w:val="9"/>
              <w:rPr>
                <w:rFonts w:hint="eastAsia" w:ascii="Times New Roman" w:hAnsi="Times New Roman" w:eastAsia="宋体" w:cs="Times New Roman"/>
                <w:kern w:val="21"/>
                <w:sz w:val="24"/>
                <w:szCs w:val="24"/>
                <w:lang w:val="en-US" w:eastAsia="zh-CN"/>
              </w:rPr>
            </w:pPr>
            <w:r>
              <w:rPr>
                <w:rFonts w:hint="eastAsia" w:ascii="Times New Roman" w:eastAsia="宋体" w:cs="Times New Roman"/>
                <w:kern w:val="21"/>
                <w:sz w:val="24"/>
                <w:szCs w:val="24"/>
                <w:lang w:val="en-US" w:eastAsia="zh-CN"/>
              </w:rPr>
              <w:t>+5</w:t>
            </w:r>
          </w:p>
        </w:tc>
      </w:tr>
      <w:tr w14:paraId="75F06C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vAlign w:val="center"/>
          </w:tcPr>
          <w:p w14:paraId="724D10AD">
            <w:pPr>
              <w:pStyle w:val="37"/>
              <w:keepNext w:val="0"/>
              <w:keepLines w:val="0"/>
              <w:pageBreakBefore w:val="0"/>
              <w:kinsoku/>
              <w:wordWrap/>
              <w:overflowPunct/>
              <w:topLinePunct w:val="0"/>
              <w:autoSpaceDN/>
              <w:bidi w:val="0"/>
              <w:spacing w:beforeLines="0" w:afterLines="0" w:line="240" w:lineRule="auto"/>
              <w:ind w:right="0" w:firstLine="0" w:firstLineChars="0"/>
              <w:jc w:val="center"/>
              <w:textAlignment w:val="auto"/>
              <w:outlineLvl w:val="9"/>
              <w:rPr>
                <w:rFonts w:hint="default" w:ascii="Times New Roman" w:hAnsi="Times New Roman" w:eastAsia="宋体" w:cs="Times New Roman"/>
                <w:kern w:val="21"/>
                <w:sz w:val="24"/>
                <w:szCs w:val="24"/>
              </w:rPr>
            </w:pPr>
          </w:p>
        </w:tc>
        <w:tc>
          <w:tcPr>
            <w:tcW w:w="1417" w:type="dxa"/>
            <w:vAlign w:val="center"/>
          </w:tcPr>
          <w:p w14:paraId="33788C69">
            <w:pPr>
              <w:keepNext w:val="0"/>
              <w:keepLines w:val="0"/>
              <w:pageBreakBefore w:val="0"/>
              <w:kinsoku/>
              <w:wordWrap/>
              <w:overflowPunct/>
              <w:topLinePunct w:val="0"/>
              <w:autoSpaceDN/>
              <w:bidi w:val="0"/>
              <w:spacing w:line="240" w:lineRule="auto"/>
              <w:ind w:right="0" w:rightChars="0" w:firstLine="0" w:firstLineChars="0"/>
              <w:jc w:val="center"/>
              <w:textAlignment w:val="auto"/>
              <w:outlineLvl w:val="9"/>
              <w:rPr>
                <w:rFonts w:hint="eastAsia" w:cs="Times New Roman"/>
                <w:sz w:val="24"/>
                <w:lang w:val="en-US" w:eastAsia="zh-CN" w:bidi="ar"/>
              </w:rPr>
            </w:pPr>
            <w:r>
              <w:rPr>
                <w:rFonts w:hint="eastAsia" w:cs="Times New Roman"/>
                <w:sz w:val="24"/>
                <w:lang w:val="en-US" w:eastAsia="zh-CN" w:bidi="ar"/>
              </w:rPr>
              <w:t>蚯蚓残渣</w:t>
            </w:r>
          </w:p>
        </w:tc>
        <w:tc>
          <w:tcPr>
            <w:tcW w:w="1701" w:type="dxa"/>
            <w:vAlign w:val="center"/>
          </w:tcPr>
          <w:p w14:paraId="0042686F">
            <w:pPr>
              <w:keepNext w:val="0"/>
              <w:keepLines w:val="0"/>
              <w:pageBreakBefore w:val="0"/>
              <w:kinsoku/>
              <w:wordWrap/>
              <w:overflowPunct/>
              <w:topLinePunct w:val="0"/>
              <w:autoSpaceDN/>
              <w:bidi w:val="0"/>
              <w:spacing w:line="240" w:lineRule="auto"/>
              <w:ind w:right="0" w:rightChars="0" w:firstLine="0" w:firstLineChars="0"/>
              <w:jc w:val="center"/>
              <w:textAlignment w:val="auto"/>
              <w:outlineLvl w:val="9"/>
              <w:rPr>
                <w:rFonts w:hint="default" w:ascii="Times New Roman" w:hAnsi="Times New Roman" w:eastAsia="宋体" w:cs="Times New Roman"/>
                <w:kern w:val="21"/>
                <w:sz w:val="24"/>
                <w:szCs w:val="24"/>
              </w:rPr>
            </w:pPr>
            <w:r>
              <w:rPr>
                <w:rFonts w:hint="default" w:ascii="Times New Roman" w:hAnsi="Times New Roman" w:eastAsia="宋体" w:cs="Times New Roman"/>
                <w:kern w:val="21"/>
                <w:sz w:val="24"/>
                <w:szCs w:val="24"/>
              </w:rPr>
              <w:t>/</w:t>
            </w:r>
          </w:p>
        </w:tc>
        <w:tc>
          <w:tcPr>
            <w:tcW w:w="1276" w:type="dxa"/>
            <w:vAlign w:val="center"/>
          </w:tcPr>
          <w:p w14:paraId="60D3EC4E">
            <w:pPr>
              <w:keepNext w:val="0"/>
              <w:keepLines w:val="0"/>
              <w:pageBreakBefore w:val="0"/>
              <w:kinsoku/>
              <w:wordWrap/>
              <w:overflowPunct/>
              <w:topLinePunct w:val="0"/>
              <w:autoSpaceDN/>
              <w:bidi w:val="0"/>
              <w:spacing w:line="240" w:lineRule="auto"/>
              <w:ind w:right="0" w:rightChars="0" w:firstLine="0" w:firstLineChars="0"/>
              <w:jc w:val="center"/>
              <w:textAlignment w:val="auto"/>
              <w:outlineLvl w:val="9"/>
              <w:rPr>
                <w:rFonts w:hint="default" w:ascii="Times New Roman" w:hAnsi="Times New Roman" w:eastAsia="宋体" w:cs="Times New Roman"/>
                <w:kern w:val="21"/>
                <w:sz w:val="24"/>
                <w:szCs w:val="24"/>
              </w:rPr>
            </w:pPr>
            <w:r>
              <w:rPr>
                <w:rFonts w:hint="default" w:ascii="Times New Roman" w:hAnsi="Times New Roman" w:eastAsia="宋体" w:cs="Times New Roman"/>
                <w:kern w:val="21"/>
                <w:sz w:val="24"/>
                <w:szCs w:val="24"/>
              </w:rPr>
              <w:t>/</w:t>
            </w:r>
          </w:p>
        </w:tc>
        <w:tc>
          <w:tcPr>
            <w:tcW w:w="1701" w:type="dxa"/>
            <w:vAlign w:val="center"/>
          </w:tcPr>
          <w:p w14:paraId="49B47EEC">
            <w:pPr>
              <w:keepNext w:val="0"/>
              <w:keepLines w:val="0"/>
              <w:pageBreakBefore w:val="0"/>
              <w:kinsoku/>
              <w:wordWrap/>
              <w:overflowPunct/>
              <w:topLinePunct w:val="0"/>
              <w:autoSpaceDN/>
              <w:bidi w:val="0"/>
              <w:spacing w:line="240" w:lineRule="auto"/>
              <w:ind w:right="0" w:rightChars="0" w:firstLine="0" w:firstLineChars="0"/>
              <w:jc w:val="center"/>
              <w:textAlignment w:val="auto"/>
              <w:outlineLvl w:val="9"/>
              <w:rPr>
                <w:rFonts w:hint="default" w:ascii="Times New Roman" w:hAnsi="Times New Roman" w:eastAsia="宋体" w:cs="Times New Roman"/>
                <w:kern w:val="21"/>
                <w:sz w:val="24"/>
                <w:szCs w:val="24"/>
              </w:rPr>
            </w:pPr>
            <w:r>
              <w:rPr>
                <w:rFonts w:hint="default" w:ascii="Times New Roman" w:hAnsi="Times New Roman" w:eastAsia="宋体" w:cs="Times New Roman"/>
                <w:kern w:val="21"/>
                <w:sz w:val="24"/>
                <w:szCs w:val="24"/>
              </w:rPr>
              <w:t>/</w:t>
            </w:r>
          </w:p>
        </w:tc>
        <w:tc>
          <w:tcPr>
            <w:tcW w:w="1559" w:type="dxa"/>
            <w:vAlign w:val="center"/>
          </w:tcPr>
          <w:p w14:paraId="5170D575">
            <w:pPr>
              <w:pStyle w:val="37"/>
              <w:keepNext w:val="0"/>
              <w:keepLines w:val="0"/>
              <w:pageBreakBefore w:val="0"/>
              <w:kinsoku/>
              <w:wordWrap/>
              <w:overflowPunct/>
              <w:topLinePunct w:val="0"/>
              <w:autoSpaceDN/>
              <w:bidi w:val="0"/>
              <w:spacing w:beforeLines="0" w:afterLines="0" w:line="240" w:lineRule="auto"/>
              <w:ind w:right="0" w:rightChars="0" w:firstLine="0" w:firstLineChars="0"/>
              <w:jc w:val="center"/>
              <w:textAlignment w:val="auto"/>
              <w:outlineLvl w:val="9"/>
              <w:rPr>
                <w:rFonts w:hint="eastAsia" w:ascii="Times New Roman" w:eastAsia="宋体" w:cs="Times New Roman"/>
                <w:kern w:val="21"/>
                <w:sz w:val="24"/>
                <w:szCs w:val="24"/>
                <w:lang w:val="en-US" w:eastAsia="zh-CN"/>
              </w:rPr>
            </w:pPr>
            <w:r>
              <w:rPr>
                <w:rFonts w:hint="eastAsia" w:ascii="Times New Roman" w:eastAsia="宋体" w:cs="Times New Roman"/>
                <w:kern w:val="21"/>
                <w:sz w:val="24"/>
                <w:szCs w:val="24"/>
                <w:lang w:val="en-US" w:eastAsia="zh-CN"/>
              </w:rPr>
              <w:t>10</w:t>
            </w:r>
          </w:p>
        </w:tc>
        <w:tc>
          <w:tcPr>
            <w:tcW w:w="1707" w:type="dxa"/>
            <w:vAlign w:val="center"/>
          </w:tcPr>
          <w:p w14:paraId="1DAED310">
            <w:pPr>
              <w:keepNext w:val="0"/>
              <w:keepLines w:val="0"/>
              <w:pageBreakBefore w:val="0"/>
              <w:kinsoku/>
              <w:wordWrap/>
              <w:overflowPunct/>
              <w:topLinePunct w:val="0"/>
              <w:autoSpaceDN/>
              <w:bidi w:val="0"/>
              <w:spacing w:beforeLines="0" w:afterLines="0" w:line="240" w:lineRule="auto"/>
              <w:ind w:right="0" w:rightChars="0" w:firstLine="0" w:firstLineChars="0"/>
              <w:jc w:val="center"/>
              <w:textAlignment w:val="auto"/>
              <w:outlineLvl w:val="9"/>
              <w:rPr>
                <w:rFonts w:hint="default" w:ascii="Times New Roman" w:hAnsi="Times New Roman" w:eastAsia="宋体" w:cs="Times New Roman"/>
                <w:kern w:val="21"/>
                <w:sz w:val="24"/>
                <w:szCs w:val="24"/>
              </w:rPr>
            </w:pPr>
            <w:r>
              <w:rPr>
                <w:rFonts w:hint="default" w:ascii="Times New Roman" w:hAnsi="Times New Roman" w:eastAsia="宋体" w:cs="Times New Roman"/>
                <w:kern w:val="21"/>
                <w:sz w:val="24"/>
                <w:szCs w:val="24"/>
              </w:rPr>
              <w:t>/</w:t>
            </w:r>
          </w:p>
        </w:tc>
        <w:tc>
          <w:tcPr>
            <w:tcW w:w="1627" w:type="dxa"/>
            <w:vAlign w:val="center"/>
          </w:tcPr>
          <w:p w14:paraId="37B5BC84">
            <w:pPr>
              <w:pStyle w:val="37"/>
              <w:keepNext w:val="0"/>
              <w:keepLines w:val="0"/>
              <w:pageBreakBefore w:val="0"/>
              <w:kinsoku/>
              <w:wordWrap/>
              <w:overflowPunct/>
              <w:topLinePunct w:val="0"/>
              <w:autoSpaceDN/>
              <w:bidi w:val="0"/>
              <w:spacing w:beforeLines="0" w:afterLines="0" w:line="240" w:lineRule="auto"/>
              <w:ind w:right="0" w:rightChars="0" w:firstLine="0" w:firstLineChars="0"/>
              <w:jc w:val="center"/>
              <w:textAlignment w:val="auto"/>
              <w:outlineLvl w:val="9"/>
              <w:rPr>
                <w:rFonts w:hint="eastAsia" w:ascii="Times New Roman" w:eastAsia="宋体" w:cs="Times New Roman"/>
                <w:kern w:val="21"/>
                <w:sz w:val="24"/>
                <w:szCs w:val="24"/>
                <w:lang w:val="en-US" w:eastAsia="zh-CN"/>
              </w:rPr>
            </w:pPr>
            <w:r>
              <w:rPr>
                <w:rFonts w:hint="eastAsia" w:ascii="Times New Roman" w:eastAsia="宋体" w:cs="Times New Roman"/>
                <w:kern w:val="21"/>
                <w:sz w:val="24"/>
                <w:szCs w:val="24"/>
                <w:lang w:val="en-US" w:eastAsia="zh-CN"/>
              </w:rPr>
              <w:t>10</w:t>
            </w:r>
          </w:p>
        </w:tc>
        <w:tc>
          <w:tcPr>
            <w:tcW w:w="1212" w:type="dxa"/>
            <w:vAlign w:val="center"/>
          </w:tcPr>
          <w:p w14:paraId="0B76EFF6">
            <w:pPr>
              <w:pStyle w:val="37"/>
              <w:keepNext w:val="0"/>
              <w:keepLines w:val="0"/>
              <w:pageBreakBefore w:val="0"/>
              <w:kinsoku/>
              <w:wordWrap/>
              <w:overflowPunct/>
              <w:topLinePunct w:val="0"/>
              <w:autoSpaceDN/>
              <w:bidi w:val="0"/>
              <w:spacing w:beforeLines="0" w:afterLines="0" w:line="240" w:lineRule="auto"/>
              <w:ind w:right="0" w:rightChars="0" w:firstLine="0" w:firstLineChars="0"/>
              <w:jc w:val="center"/>
              <w:textAlignment w:val="auto"/>
              <w:outlineLvl w:val="9"/>
              <w:rPr>
                <w:rFonts w:hint="eastAsia" w:ascii="Times New Roman" w:eastAsia="宋体" w:cs="Times New Roman"/>
                <w:kern w:val="21"/>
                <w:sz w:val="24"/>
                <w:szCs w:val="24"/>
                <w:lang w:val="en-US" w:eastAsia="zh-CN"/>
              </w:rPr>
            </w:pPr>
            <w:r>
              <w:rPr>
                <w:rFonts w:hint="eastAsia" w:ascii="Times New Roman" w:eastAsia="宋体" w:cs="Times New Roman"/>
                <w:kern w:val="21"/>
                <w:sz w:val="24"/>
                <w:szCs w:val="24"/>
                <w:lang w:val="en-US" w:eastAsia="zh-CN"/>
              </w:rPr>
              <w:t>+10</w:t>
            </w:r>
          </w:p>
        </w:tc>
      </w:tr>
      <w:tr w14:paraId="03455A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vAlign w:val="center"/>
          </w:tcPr>
          <w:p w14:paraId="666FBE65">
            <w:pPr>
              <w:pStyle w:val="37"/>
              <w:keepNext w:val="0"/>
              <w:keepLines w:val="0"/>
              <w:pageBreakBefore w:val="0"/>
              <w:kinsoku/>
              <w:wordWrap/>
              <w:overflowPunct/>
              <w:topLinePunct w:val="0"/>
              <w:autoSpaceDN/>
              <w:bidi w:val="0"/>
              <w:spacing w:beforeLines="0" w:afterLines="0" w:line="240" w:lineRule="auto"/>
              <w:ind w:right="0" w:firstLine="0" w:firstLineChars="0"/>
              <w:jc w:val="center"/>
              <w:textAlignment w:val="auto"/>
              <w:outlineLvl w:val="9"/>
              <w:rPr>
                <w:rFonts w:hint="default" w:ascii="Times New Roman" w:hAnsi="Times New Roman" w:eastAsia="宋体" w:cs="Times New Roman"/>
                <w:kern w:val="21"/>
                <w:sz w:val="24"/>
                <w:szCs w:val="24"/>
              </w:rPr>
            </w:pPr>
          </w:p>
        </w:tc>
        <w:tc>
          <w:tcPr>
            <w:tcW w:w="1417" w:type="dxa"/>
            <w:shd w:val="clear" w:color="auto" w:fill="auto"/>
            <w:vAlign w:val="center"/>
          </w:tcPr>
          <w:p w14:paraId="34D6EB59">
            <w:pPr>
              <w:keepNext w:val="0"/>
              <w:keepLines w:val="0"/>
              <w:pageBreakBefore w:val="0"/>
              <w:kinsoku/>
              <w:wordWrap/>
              <w:overflowPunct/>
              <w:topLinePunct w:val="0"/>
              <w:autoSpaceDN/>
              <w:bidi w:val="0"/>
              <w:spacing w:line="240" w:lineRule="auto"/>
              <w:ind w:right="0" w:rightChars="0" w:firstLine="0" w:firstLineChars="0"/>
              <w:jc w:val="center"/>
              <w:textAlignment w:val="auto"/>
              <w:outlineLvl w:val="9"/>
              <w:rPr>
                <w:rFonts w:hint="eastAsia" w:ascii="Times New Roman" w:hAnsi="Times New Roman" w:eastAsia="宋体" w:cs="Times New Roman"/>
                <w:kern w:val="2"/>
                <w:sz w:val="24"/>
                <w:szCs w:val="24"/>
                <w:lang w:val="en-US" w:eastAsia="zh-CN" w:bidi="ar"/>
              </w:rPr>
            </w:pPr>
            <w:r>
              <w:rPr>
                <w:rFonts w:hint="eastAsia" w:cs="Times New Roman"/>
                <w:sz w:val="24"/>
                <w:lang w:val="en-US" w:eastAsia="zh-CN" w:bidi="ar"/>
              </w:rPr>
              <w:t>污泥</w:t>
            </w:r>
          </w:p>
        </w:tc>
        <w:tc>
          <w:tcPr>
            <w:tcW w:w="1701" w:type="dxa"/>
            <w:shd w:val="clear" w:color="auto" w:fill="auto"/>
            <w:vAlign w:val="center"/>
          </w:tcPr>
          <w:p w14:paraId="30ED405E">
            <w:pPr>
              <w:keepNext w:val="0"/>
              <w:keepLines w:val="0"/>
              <w:pageBreakBefore w:val="0"/>
              <w:kinsoku/>
              <w:wordWrap/>
              <w:overflowPunct/>
              <w:topLinePunct w:val="0"/>
              <w:autoSpaceDN/>
              <w:bidi w:val="0"/>
              <w:spacing w:line="240" w:lineRule="auto"/>
              <w:ind w:right="0" w:rightChars="0" w:firstLine="0" w:firstLineChars="0"/>
              <w:jc w:val="center"/>
              <w:textAlignment w:val="auto"/>
              <w:outlineLvl w:val="9"/>
              <w:rPr>
                <w:rFonts w:hint="default" w:ascii="Times New Roman" w:hAnsi="Times New Roman" w:eastAsia="宋体" w:cs="Times New Roman"/>
                <w:snapToGrid w:val="0"/>
                <w:color w:val="000000"/>
                <w:kern w:val="21"/>
                <w:sz w:val="24"/>
                <w:szCs w:val="24"/>
                <w:lang w:val="en-US" w:eastAsia="zh-CN" w:bidi="ar-SA"/>
              </w:rPr>
            </w:pPr>
            <w:r>
              <w:rPr>
                <w:rFonts w:hint="default" w:ascii="Times New Roman" w:hAnsi="Times New Roman" w:eastAsia="宋体" w:cs="Times New Roman"/>
                <w:kern w:val="21"/>
                <w:sz w:val="24"/>
                <w:szCs w:val="24"/>
              </w:rPr>
              <w:t>/</w:t>
            </w:r>
          </w:p>
        </w:tc>
        <w:tc>
          <w:tcPr>
            <w:tcW w:w="1276" w:type="dxa"/>
            <w:shd w:val="clear" w:color="auto" w:fill="auto"/>
            <w:vAlign w:val="center"/>
          </w:tcPr>
          <w:p w14:paraId="0D374617">
            <w:pPr>
              <w:keepNext w:val="0"/>
              <w:keepLines w:val="0"/>
              <w:pageBreakBefore w:val="0"/>
              <w:kinsoku/>
              <w:wordWrap/>
              <w:overflowPunct/>
              <w:topLinePunct w:val="0"/>
              <w:autoSpaceDN/>
              <w:bidi w:val="0"/>
              <w:spacing w:line="240" w:lineRule="auto"/>
              <w:ind w:right="0" w:rightChars="0" w:firstLine="0" w:firstLineChars="0"/>
              <w:jc w:val="center"/>
              <w:textAlignment w:val="auto"/>
              <w:outlineLvl w:val="9"/>
              <w:rPr>
                <w:rFonts w:hint="default" w:ascii="Times New Roman" w:hAnsi="Times New Roman" w:eastAsia="宋体" w:cs="Times New Roman"/>
                <w:snapToGrid w:val="0"/>
                <w:color w:val="000000"/>
                <w:kern w:val="21"/>
                <w:sz w:val="24"/>
                <w:szCs w:val="24"/>
                <w:lang w:val="en-US" w:eastAsia="zh-CN" w:bidi="ar-SA"/>
              </w:rPr>
            </w:pPr>
            <w:r>
              <w:rPr>
                <w:rFonts w:hint="default" w:ascii="Times New Roman" w:hAnsi="Times New Roman" w:eastAsia="宋体" w:cs="Times New Roman"/>
                <w:kern w:val="21"/>
                <w:sz w:val="24"/>
                <w:szCs w:val="24"/>
              </w:rPr>
              <w:t>/</w:t>
            </w:r>
          </w:p>
        </w:tc>
        <w:tc>
          <w:tcPr>
            <w:tcW w:w="1701" w:type="dxa"/>
            <w:shd w:val="clear" w:color="auto" w:fill="auto"/>
            <w:vAlign w:val="center"/>
          </w:tcPr>
          <w:p w14:paraId="7B6C7716">
            <w:pPr>
              <w:keepNext w:val="0"/>
              <w:keepLines w:val="0"/>
              <w:pageBreakBefore w:val="0"/>
              <w:kinsoku/>
              <w:wordWrap/>
              <w:overflowPunct/>
              <w:topLinePunct w:val="0"/>
              <w:autoSpaceDN/>
              <w:bidi w:val="0"/>
              <w:spacing w:line="240" w:lineRule="auto"/>
              <w:ind w:right="0" w:rightChars="0" w:firstLine="0" w:firstLineChars="0"/>
              <w:jc w:val="center"/>
              <w:textAlignment w:val="auto"/>
              <w:outlineLvl w:val="9"/>
              <w:rPr>
                <w:rFonts w:hint="default" w:ascii="Times New Roman" w:hAnsi="Times New Roman" w:eastAsia="宋体" w:cs="Times New Roman"/>
                <w:snapToGrid w:val="0"/>
                <w:color w:val="000000"/>
                <w:kern w:val="21"/>
                <w:sz w:val="24"/>
                <w:szCs w:val="24"/>
                <w:lang w:val="en-US" w:eastAsia="zh-CN" w:bidi="ar-SA"/>
              </w:rPr>
            </w:pPr>
            <w:r>
              <w:rPr>
                <w:rFonts w:hint="default" w:ascii="Times New Roman" w:hAnsi="Times New Roman" w:eastAsia="宋体" w:cs="Times New Roman"/>
                <w:kern w:val="21"/>
                <w:sz w:val="24"/>
                <w:szCs w:val="24"/>
              </w:rPr>
              <w:t>/</w:t>
            </w:r>
          </w:p>
        </w:tc>
        <w:tc>
          <w:tcPr>
            <w:tcW w:w="1559" w:type="dxa"/>
            <w:shd w:val="clear" w:color="auto" w:fill="auto"/>
            <w:vAlign w:val="center"/>
          </w:tcPr>
          <w:p w14:paraId="6D6E1930">
            <w:pPr>
              <w:pStyle w:val="37"/>
              <w:keepNext w:val="0"/>
              <w:keepLines w:val="0"/>
              <w:pageBreakBefore w:val="0"/>
              <w:kinsoku/>
              <w:wordWrap/>
              <w:overflowPunct/>
              <w:topLinePunct w:val="0"/>
              <w:autoSpaceDN/>
              <w:bidi w:val="0"/>
              <w:spacing w:beforeLines="0" w:afterLines="0" w:line="240" w:lineRule="auto"/>
              <w:ind w:right="0" w:rightChars="0" w:firstLine="0" w:firstLineChars="0"/>
              <w:jc w:val="center"/>
              <w:textAlignment w:val="auto"/>
              <w:outlineLvl w:val="9"/>
              <w:rPr>
                <w:rFonts w:hint="eastAsia" w:ascii="Times New Roman" w:hAnsi="Times New Roman" w:eastAsia="宋体" w:cs="Times New Roman"/>
                <w:spacing w:val="-4"/>
                <w:kern w:val="21"/>
                <w:sz w:val="24"/>
                <w:szCs w:val="24"/>
                <w:lang w:val="en-US" w:eastAsia="zh-CN" w:bidi="ar-SA"/>
              </w:rPr>
            </w:pPr>
            <w:r>
              <w:rPr>
                <w:rFonts w:hint="eastAsia" w:ascii="Times New Roman" w:eastAsia="宋体" w:cs="Times New Roman"/>
                <w:kern w:val="21"/>
                <w:sz w:val="24"/>
                <w:szCs w:val="24"/>
                <w:lang w:val="en-US" w:eastAsia="zh-CN"/>
              </w:rPr>
              <w:t>11.76</w:t>
            </w:r>
          </w:p>
        </w:tc>
        <w:tc>
          <w:tcPr>
            <w:tcW w:w="1707" w:type="dxa"/>
            <w:shd w:val="clear" w:color="auto" w:fill="auto"/>
            <w:vAlign w:val="center"/>
          </w:tcPr>
          <w:p w14:paraId="63B0FCC4">
            <w:pPr>
              <w:keepNext w:val="0"/>
              <w:keepLines w:val="0"/>
              <w:pageBreakBefore w:val="0"/>
              <w:kinsoku/>
              <w:wordWrap/>
              <w:overflowPunct/>
              <w:topLinePunct w:val="0"/>
              <w:autoSpaceDN/>
              <w:bidi w:val="0"/>
              <w:spacing w:beforeLines="0" w:afterLines="0" w:line="240" w:lineRule="auto"/>
              <w:ind w:right="0" w:rightChars="0" w:firstLine="0" w:firstLineChars="0"/>
              <w:jc w:val="center"/>
              <w:textAlignment w:val="auto"/>
              <w:outlineLvl w:val="9"/>
              <w:rPr>
                <w:rFonts w:hint="default" w:ascii="Times New Roman" w:hAnsi="Times New Roman" w:eastAsia="宋体" w:cs="Times New Roman"/>
                <w:kern w:val="21"/>
                <w:sz w:val="24"/>
                <w:szCs w:val="24"/>
                <w:lang w:val="en-US" w:eastAsia="zh-CN" w:bidi="ar-SA"/>
              </w:rPr>
            </w:pPr>
            <w:r>
              <w:rPr>
                <w:rFonts w:hint="default" w:ascii="Times New Roman" w:hAnsi="Times New Roman" w:eastAsia="宋体" w:cs="Times New Roman"/>
                <w:kern w:val="21"/>
                <w:sz w:val="24"/>
                <w:szCs w:val="24"/>
              </w:rPr>
              <w:t>/</w:t>
            </w:r>
          </w:p>
        </w:tc>
        <w:tc>
          <w:tcPr>
            <w:tcW w:w="1627" w:type="dxa"/>
            <w:shd w:val="clear" w:color="auto" w:fill="auto"/>
            <w:vAlign w:val="center"/>
          </w:tcPr>
          <w:p w14:paraId="6FFEA925">
            <w:pPr>
              <w:pStyle w:val="37"/>
              <w:keepNext w:val="0"/>
              <w:keepLines w:val="0"/>
              <w:pageBreakBefore w:val="0"/>
              <w:kinsoku/>
              <w:wordWrap/>
              <w:overflowPunct/>
              <w:topLinePunct w:val="0"/>
              <w:autoSpaceDN/>
              <w:bidi w:val="0"/>
              <w:spacing w:beforeLines="0" w:afterLines="0" w:line="240" w:lineRule="auto"/>
              <w:ind w:right="0" w:rightChars="0" w:firstLine="0" w:firstLineChars="0"/>
              <w:jc w:val="center"/>
              <w:textAlignment w:val="auto"/>
              <w:outlineLvl w:val="9"/>
              <w:rPr>
                <w:rFonts w:hint="eastAsia" w:ascii="Times New Roman" w:hAnsi="Times New Roman" w:eastAsia="宋体" w:cs="Times New Roman"/>
                <w:spacing w:val="-4"/>
                <w:kern w:val="21"/>
                <w:sz w:val="24"/>
                <w:szCs w:val="24"/>
                <w:lang w:val="en-US" w:eastAsia="zh-CN" w:bidi="ar-SA"/>
              </w:rPr>
            </w:pPr>
            <w:r>
              <w:rPr>
                <w:rFonts w:hint="eastAsia" w:ascii="Times New Roman" w:eastAsia="宋体" w:cs="Times New Roman"/>
                <w:kern w:val="21"/>
                <w:sz w:val="24"/>
                <w:szCs w:val="24"/>
                <w:lang w:val="en-US" w:eastAsia="zh-CN"/>
              </w:rPr>
              <w:t>11.76</w:t>
            </w:r>
          </w:p>
        </w:tc>
        <w:tc>
          <w:tcPr>
            <w:tcW w:w="1212" w:type="dxa"/>
            <w:shd w:val="clear" w:color="auto" w:fill="auto"/>
            <w:vAlign w:val="center"/>
          </w:tcPr>
          <w:p w14:paraId="09458460">
            <w:pPr>
              <w:pStyle w:val="37"/>
              <w:keepNext w:val="0"/>
              <w:keepLines w:val="0"/>
              <w:pageBreakBefore w:val="0"/>
              <w:kinsoku/>
              <w:wordWrap/>
              <w:overflowPunct/>
              <w:topLinePunct w:val="0"/>
              <w:autoSpaceDN/>
              <w:bidi w:val="0"/>
              <w:spacing w:beforeLines="0" w:afterLines="0" w:line="240" w:lineRule="auto"/>
              <w:ind w:right="0" w:rightChars="0" w:firstLine="0" w:firstLineChars="0"/>
              <w:jc w:val="center"/>
              <w:textAlignment w:val="auto"/>
              <w:outlineLvl w:val="9"/>
              <w:rPr>
                <w:rFonts w:hint="eastAsia" w:ascii="Times New Roman" w:hAnsi="Times New Roman" w:eastAsia="宋体" w:cs="Times New Roman"/>
                <w:spacing w:val="-4"/>
                <w:kern w:val="21"/>
                <w:sz w:val="24"/>
                <w:szCs w:val="24"/>
                <w:lang w:val="en-US" w:eastAsia="zh-CN" w:bidi="ar-SA"/>
              </w:rPr>
            </w:pPr>
            <w:r>
              <w:rPr>
                <w:rFonts w:hint="eastAsia" w:ascii="Times New Roman" w:eastAsia="宋体" w:cs="Times New Roman"/>
                <w:kern w:val="21"/>
                <w:sz w:val="24"/>
                <w:szCs w:val="24"/>
                <w:lang w:val="en-US" w:eastAsia="zh-CN"/>
              </w:rPr>
              <w:t>+11.76</w:t>
            </w:r>
          </w:p>
        </w:tc>
      </w:tr>
      <w:tr w14:paraId="41916D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vAlign w:val="center"/>
          </w:tcPr>
          <w:p w14:paraId="7AFD2459">
            <w:pPr>
              <w:pStyle w:val="37"/>
              <w:keepNext w:val="0"/>
              <w:keepLines w:val="0"/>
              <w:pageBreakBefore w:val="0"/>
              <w:kinsoku/>
              <w:wordWrap/>
              <w:overflowPunct/>
              <w:topLinePunct w:val="0"/>
              <w:autoSpaceDN/>
              <w:bidi w:val="0"/>
              <w:spacing w:beforeLines="0" w:afterLines="0" w:line="240" w:lineRule="auto"/>
              <w:ind w:right="0" w:firstLine="0" w:firstLineChars="0"/>
              <w:jc w:val="center"/>
              <w:textAlignment w:val="auto"/>
              <w:outlineLvl w:val="9"/>
              <w:rPr>
                <w:rFonts w:hint="default" w:ascii="Times New Roman" w:hAnsi="Times New Roman" w:eastAsia="宋体" w:cs="Times New Roman"/>
                <w:kern w:val="21"/>
                <w:sz w:val="24"/>
                <w:szCs w:val="24"/>
              </w:rPr>
            </w:pPr>
          </w:p>
        </w:tc>
        <w:tc>
          <w:tcPr>
            <w:tcW w:w="1417" w:type="dxa"/>
            <w:shd w:val="clear" w:color="auto" w:fill="auto"/>
            <w:vAlign w:val="center"/>
          </w:tcPr>
          <w:p w14:paraId="0CD223C0">
            <w:pPr>
              <w:keepNext w:val="0"/>
              <w:keepLines w:val="0"/>
              <w:pageBreakBefore w:val="0"/>
              <w:kinsoku/>
              <w:wordWrap/>
              <w:overflowPunct/>
              <w:topLinePunct w:val="0"/>
              <w:autoSpaceDN/>
              <w:bidi w:val="0"/>
              <w:spacing w:line="240" w:lineRule="auto"/>
              <w:ind w:right="0" w:rightChars="0" w:firstLine="0" w:firstLineChars="0"/>
              <w:jc w:val="center"/>
              <w:textAlignment w:val="auto"/>
              <w:outlineLvl w:val="9"/>
              <w:rPr>
                <w:rFonts w:hint="default" w:ascii="Times New Roman" w:hAnsi="Times New Roman" w:eastAsia="宋体" w:cs="Times New Roman"/>
                <w:kern w:val="2"/>
                <w:sz w:val="24"/>
                <w:szCs w:val="24"/>
                <w:lang w:val="en-US" w:eastAsia="zh-CN" w:bidi="ar"/>
              </w:rPr>
            </w:pPr>
            <w:r>
              <w:rPr>
                <w:rFonts w:hint="eastAsia" w:cs="Times New Roman"/>
                <w:sz w:val="24"/>
                <w:lang w:val="en-US" w:eastAsia="zh-CN" w:bidi="ar"/>
              </w:rPr>
              <w:t>废纯水制备材料</w:t>
            </w:r>
          </w:p>
        </w:tc>
        <w:tc>
          <w:tcPr>
            <w:tcW w:w="1701" w:type="dxa"/>
            <w:shd w:val="clear" w:color="auto" w:fill="auto"/>
            <w:vAlign w:val="center"/>
          </w:tcPr>
          <w:p w14:paraId="709108BB">
            <w:pPr>
              <w:keepNext w:val="0"/>
              <w:keepLines w:val="0"/>
              <w:pageBreakBefore w:val="0"/>
              <w:kinsoku/>
              <w:wordWrap/>
              <w:overflowPunct/>
              <w:topLinePunct w:val="0"/>
              <w:autoSpaceDN/>
              <w:bidi w:val="0"/>
              <w:spacing w:line="240" w:lineRule="auto"/>
              <w:ind w:right="0" w:rightChars="0" w:firstLine="0" w:firstLineChars="0"/>
              <w:jc w:val="center"/>
              <w:textAlignment w:val="auto"/>
              <w:outlineLvl w:val="9"/>
              <w:rPr>
                <w:rFonts w:hint="default" w:ascii="Times New Roman" w:hAnsi="Times New Roman" w:eastAsia="宋体" w:cs="Times New Roman"/>
                <w:snapToGrid w:val="0"/>
                <w:color w:val="000000"/>
                <w:kern w:val="21"/>
                <w:sz w:val="24"/>
                <w:szCs w:val="24"/>
                <w:lang w:val="en-US" w:eastAsia="zh-CN" w:bidi="ar-SA"/>
              </w:rPr>
            </w:pPr>
            <w:r>
              <w:rPr>
                <w:rFonts w:hint="default" w:ascii="Times New Roman" w:hAnsi="Times New Roman" w:eastAsia="宋体" w:cs="Times New Roman"/>
                <w:kern w:val="21"/>
                <w:sz w:val="24"/>
                <w:szCs w:val="24"/>
              </w:rPr>
              <w:t>/</w:t>
            </w:r>
          </w:p>
        </w:tc>
        <w:tc>
          <w:tcPr>
            <w:tcW w:w="1276" w:type="dxa"/>
            <w:shd w:val="clear" w:color="auto" w:fill="auto"/>
            <w:vAlign w:val="center"/>
          </w:tcPr>
          <w:p w14:paraId="2656204E">
            <w:pPr>
              <w:keepNext w:val="0"/>
              <w:keepLines w:val="0"/>
              <w:pageBreakBefore w:val="0"/>
              <w:kinsoku/>
              <w:wordWrap/>
              <w:overflowPunct/>
              <w:topLinePunct w:val="0"/>
              <w:autoSpaceDN/>
              <w:bidi w:val="0"/>
              <w:spacing w:line="240" w:lineRule="auto"/>
              <w:ind w:right="0" w:rightChars="0" w:firstLine="0" w:firstLineChars="0"/>
              <w:jc w:val="center"/>
              <w:textAlignment w:val="auto"/>
              <w:outlineLvl w:val="9"/>
              <w:rPr>
                <w:rFonts w:hint="default" w:ascii="Times New Roman" w:hAnsi="Times New Roman" w:eastAsia="宋体" w:cs="Times New Roman"/>
                <w:snapToGrid w:val="0"/>
                <w:color w:val="000000"/>
                <w:kern w:val="21"/>
                <w:sz w:val="24"/>
                <w:szCs w:val="24"/>
                <w:lang w:val="en-US" w:eastAsia="zh-CN" w:bidi="ar-SA"/>
              </w:rPr>
            </w:pPr>
            <w:r>
              <w:rPr>
                <w:rFonts w:hint="default" w:ascii="Times New Roman" w:hAnsi="Times New Roman" w:eastAsia="宋体" w:cs="Times New Roman"/>
                <w:kern w:val="21"/>
                <w:sz w:val="24"/>
                <w:szCs w:val="24"/>
              </w:rPr>
              <w:t>/</w:t>
            </w:r>
          </w:p>
        </w:tc>
        <w:tc>
          <w:tcPr>
            <w:tcW w:w="1701" w:type="dxa"/>
            <w:shd w:val="clear" w:color="auto" w:fill="auto"/>
            <w:vAlign w:val="center"/>
          </w:tcPr>
          <w:p w14:paraId="31218BC6">
            <w:pPr>
              <w:keepNext w:val="0"/>
              <w:keepLines w:val="0"/>
              <w:pageBreakBefore w:val="0"/>
              <w:kinsoku/>
              <w:wordWrap/>
              <w:overflowPunct/>
              <w:topLinePunct w:val="0"/>
              <w:autoSpaceDN/>
              <w:bidi w:val="0"/>
              <w:spacing w:line="240" w:lineRule="auto"/>
              <w:ind w:right="0" w:rightChars="0" w:firstLine="0" w:firstLineChars="0"/>
              <w:jc w:val="center"/>
              <w:textAlignment w:val="auto"/>
              <w:outlineLvl w:val="9"/>
              <w:rPr>
                <w:rFonts w:hint="default" w:ascii="Times New Roman" w:hAnsi="Times New Roman" w:eastAsia="宋体" w:cs="Times New Roman"/>
                <w:snapToGrid w:val="0"/>
                <w:color w:val="000000"/>
                <w:kern w:val="21"/>
                <w:sz w:val="24"/>
                <w:szCs w:val="24"/>
                <w:lang w:val="en-US" w:eastAsia="zh-CN" w:bidi="ar-SA"/>
              </w:rPr>
            </w:pPr>
            <w:r>
              <w:rPr>
                <w:rFonts w:hint="default" w:ascii="Times New Roman" w:hAnsi="Times New Roman" w:eastAsia="宋体" w:cs="Times New Roman"/>
                <w:kern w:val="21"/>
                <w:sz w:val="24"/>
                <w:szCs w:val="24"/>
              </w:rPr>
              <w:t>/</w:t>
            </w:r>
          </w:p>
        </w:tc>
        <w:tc>
          <w:tcPr>
            <w:tcW w:w="1559" w:type="dxa"/>
            <w:shd w:val="clear" w:color="auto" w:fill="auto"/>
            <w:vAlign w:val="center"/>
          </w:tcPr>
          <w:p w14:paraId="0B419D1F">
            <w:pPr>
              <w:pStyle w:val="37"/>
              <w:keepNext w:val="0"/>
              <w:keepLines w:val="0"/>
              <w:pageBreakBefore w:val="0"/>
              <w:kinsoku/>
              <w:wordWrap/>
              <w:overflowPunct/>
              <w:topLinePunct w:val="0"/>
              <w:autoSpaceDN/>
              <w:bidi w:val="0"/>
              <w:spacing w:beforeLines="0" w:afterLines="0" w:line="240" w:lineRule="auto"/>
              <w:ind w:right="0" w:rightChars="0" w:firstLine="0" w:firstLineChars="0"/>
              <w:jc w:val="center"/>
              <w:textAlignment w:val="auto"/>
              <w:outlineLvl w:val="9"/>
              <w:rPr>
                <w:rFonts w:hint="default" w:ascii="Times New Roman" w:hAnsi="Times New Roman" w:eastAsia="宋体" w:cs="Times New Roman"/>
                <w:spacing w:val="-4"/>
                <w:kern w:val="21"/>
                <w:sz w:val="24"/>
                <w:szCs w:val="24"/>
                <w:lang w:val="en-US" w:eastAsia="zh-CN" w:bidi="ar-SA"/>
              </w:rPr>
            </w:pPr>
            <w:r>
              <w:rPr>
                <w:rFonts w:hint="eastAsia" w:ascii="Times New Roman" w:eastAsia="宋体" w:cs="Times New Roman"/>
                <w:kern w:val="21"/>
                <w:sz w:val="24"/>
                <w:szCs w:val="24"/>
                <w:lang w:val="en-US" w:eastAsia="zh-CN"/>
              </w:rPr>
              <w:t>0.5</w:t>
            </w:r>
          </w:p>
        </w:tc>
        <w:tc>
          <w:tcPr>
            <w:tcW w:w="1707" w:type="dxa"/>
            <w:shd w:val="clear" w:color="auto" w:fill="auto"/>
            <w:vAlign w:val="center"/>
          </w:tcPr>
          <w:p w14:paraId="69B53F80">
            <w:pPr>
              <w:keepNext w:val="0"/>
              <w:keepLines w:val="0"/>
              <w:pageBreakBefore w:val="0"/>
              <w:kinsoku/>
              <w:wordWrap/>
              <w:overflowPunct/>
              <w:topLinePunct w:val="0"/>
              <w:autoSpaceDN/>
              <w:bidi w:val="0"/>
              <w:spacing w:beforeLines="0" w:afterLines="0" w:line="240" w:lineRule="auto"/>
              <w:ind w:right="0" w:rightChars="0" w:firstLine="0" w:firstLineChars="0"/>
              <w:jc w:val="center"/>
              <w:textAlignment w:val="auto"/>
              <w:outlineLvl w:val="9"/>
              <w:rPr>
                <w:rFonts w:hint="default" w:ascii="Times New Roman" w:hAnsi="Times New Roman" w:eastAsia="宋体" w:cs="Times New Roman"/>
                <w:kern w:val="21"/>
                <w:sz w:val="24"/>
                <w:szCs w:val="24"/>
                <w:lang w:val="en-US" w:eastAsia="zh-CN" w:bidi="ar-SA"/>
              </w:rPr>
            </w:pPr>
            <w:r>
              <w:rPr>
                <w:rFonts w:hint="default" w:ascii="Times New Roman" w:hAnsi="Times New Roman" w:eastAsia="宋体" w:cs="Times New Roman"/>
                <w:kern w:val="21"/>
                <w:sz w:val="24"/>
                <w:szCs w:val="24"/>
              </w:rPr>
              <w:t>/</w:t>
            </w:r>
          </w:p>
        </w:tc>
        <w:tc>
          <w:tcPr>
            <w:tcW w:w="1627" w:type="dxa"/>
            <w:shd w:val="clear" w:color="auto" w:fill="auto"/>
            <w:vAlign w:val="center"/>
          </w:tcPr>
          <w:p w14:paraId="42F69DCD">
            <w:pPr>
              <w:pStyle w:val="37"/>
              <w:keepNext w:val="0"/>
              <w:keepLines w:val="0"/>
              <w:pageBreakBefore w:val="0"/>
              <w:kinsoku/>
              <w:wordWrap/>
              <w:overflowPunct/>
              <w:topLinePunct w:val="0"/>
              <w:autoSpaceDN/>
              <w:bidi w:val="0"/>
              <w:spacing w:beforeLines="0" w:afterLines="0" w:line="240" w:lineRule="auto"/>
              <w:ind w:right="0" w:rightChars="0" w:firstLine="0" w:firstLineChars="0"/>
              <w:jc w:val="center"/>
              <w:textAlignment w:val="auto"/>
              <w:outlineLvl w:val="9"/>
              <w:rPr>
                <w:rFonts w:hint="default" w:ascii="Times New Roman" w:hAnsi="Times New Roman" w:eastAsia="宋体" w:cs="Times New Roman"/>
                <w:spacing w:val="-4"/>
                <w:kern w:val="21"/>
                <w:sz w:val="24"/>
                <w:szCs w:val="24"/>
                <w:lang w:val="en-US" w:eastAsia="zh-CN" w:bidi="ar-SA"/>
              </w:rPr>
            </w:pPr>
            <w:r>
              <w:rPr>
                <w:rFonts w:hint="eastAsia" w:ascii="Times New Roman" w:eastAsia="宋体" w:cs="Times New Roman"/>
                <w:kern w:val="21"/>
                <w:sz w:val="24"/>
                <w:szCs w:val="24"/>
                <w:lang w:val="en-US" w:eastAsia="zh-CN"/>
              </w:rPr>
              <w:t>0.5</w:t>
            </w:r>
          </w:p>
        </w:tc>
        <w:tc>
          <w:tcPr>
            <w:tcW w:w="1212" w:type="dxa"/>
            <w:shd w:val="clear" w:color="auto" w:fill="auto"/>
            <w:vAlign w:val="center"/>
          </w:tcPr>
          <w:p w14:paraId="06B82B38">
            <w:pPr>
              <w:pStyle w:val="37"/>
              <w:keepNext w:val="0"/>
              <w:keepLines w:val="0"/>
              <w:pageBreakBefore w:val="0"/>
              <w:kinsoku/>
              <w:wordWrap/>
              <w:overflowPunct/>
              <w:topLinePunct w:val="0"/>
              <w:autoSpaceDN/>
              <w:bidi w:val="0"/>
              <w:spacing w:beforeLines="0" w:afterLines="0" w:line="240" w:lineRule="auto"/>
              <w:ind w:right="0" w:rightChars="0" w:firstLine="0" w:firstLineChars="0"/>
              <w:jc w:val="center"/>
              <w:textAlignment w:val="auto"/>
              <w:outlineLvl w:val="9"/>
              <w:rPr>
                <w:rFonts w:hint="default" w:ascii="Times New Roman" w:hAnsi="Times New Roman" w:eastAsia="宋体" w:cs="Times New Roman"/>
                <w:spacing w:val="-4"/>
                <w:kern w:val="21"/>
                <w:sz w:val="24"/>
                <w:szCs w:val="24"/>
                <w:lang w:val="en-US" w:eastAsia="zh-CN" w:bidi="ar-SA"/>
              </w:rPr>
            </w:pPr>
            <w:r>
              <w:rPr>
                <w:rFonts w:hint="eastAsia" w:ascii="Times New Roman" w:eastAsia="宋体" w:cs="Times New Roman"/>
                <w:kern w:val="21"/>
                <w:sz w:val="24"/>
                <w:szCs w:val="24"/>
                <w:lang w:val="en-US" w:eastAsia="zh-CN"/>
              </w:rPr>
              <w:t>+0.5</w:t>
            </w:r>
          </w:p>
        </w:tc>
      </w:tr>
      <w:tr w14:paraId="37DE9E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Align w:val="center"/>
          </w:tcPr>
          <w:p w14:paraId="097DD9DC">
            <w:pPr>
              <w:pStyle w:val="37"/>
              <w:keepNext w:val="0"/>
              <w:keepLines w:val="0"/>
              <w:pageBreakBefore w:val="0"/>
              <w:kinsoku/>
              <w:wordWrap/>
              <w:overflowPunct/>
              <w:topLinePunct w:val="0"/>
              <w:autoSpaceDN/>
              <w:bidi w:val="0"/>
              <w:spacing w:beforeLines="0" w:afterLines="0" w:line="240" w:lineRule="auto"/>
              <w:ind w:right="0" w:firstLine="0" w:firstLineChars="0"/>
              <w:jc w:val="center"/>
              <w:textAlignment w:val="auto"/>
              <w:outlineLvl w:val="9"/>
              <w:rPr>
                <w:rFonts w:hint="default" w:ascii="Times New Roman" w:hAnsi="Times New Roman" w:eastAsia="宋体" w:cs="Times New Roman"/>
                <w:kern w:val="21"/>
                <w:sz w:val="24"/>
                <w:szCs w:val="24"/>
              </w:rPr>
            </w:pPr>
            <w:r>
              <w:rPr>
                <w:rFonts w:hint="default" w:ascii="Times New Roman" w:hAnsi="Times New Roman" w:eastAsia="宋体" w:cs="Times New Roman"/>
                <w:kern w:val="21"/>
                <w:sz w:val="24"/>
                <w:szCs w:val="24"/>
              </w:rPr>
              <w:t>危险废物</w:t>
            </w:r>
          </w:p>
        </w:tc>
        <w:tc>
          <w:tcPr>
            <w:tcW w:w="1417" w:type="dxa"/>
            <w:vAlign w:val="center"/>
          </w:tcPr>
          <w:p w14:paraId="705877F5">
            <w:pPr>
              <w:keepNext w:val="0"/>
              <w:keepLines w:val="0"/>
              <w:pageBreakBefore w:val="0"/>
              <w:kinsoku/>
              <w:wordWrap/>
              <w:overflowPunct/>
              <w:topLinePunct w:val="0"/>
              <w:autoSpaceDN/>
              <w:bidi w:val="0"/>
              <w:spacing w:line="240" w:lineRule="auto"/>
              <w:ind w:right="0" w:firstLine="0" w:firstLineChars="0"/>
              <w:jc w:val="center"/>
              <w:textAlignment w:val="auto"/>
              <w:outlineLvl w:val="9"/>
              <w:rPr>
                <w:rFonts w:hint="eastAsia" w:ascii="Times New Roman" w:hAnsi="Times New Roman" w:eastAsia="宋体" w:cs="Times New Roman"/>
                <w:sz w:val="24"/>
                <w:lang w:val="en-US" w:eastAsia="zh-CN" w:bidi="ar"/>
              </w:rPr>
            </w:pPr>
            <w:r>
              <w:rPr>
                <w:rFonts w:hint="eastAsia" w:ascii="Times New Roman" w:hAnsi="Times New Roman" w:eastAsia="宋体" w:cs="Times New Roman"/>
                <w:sz w:val="24"/>
                <w:lang w:bidi="ar"/>
              </w:rPr>
              <w:t>实验检验废物</w:t>
            </w:r>
          </w:p>
        </w:tc>
        <w:tc>
          <w:tcPr>
            <w:tcW w:w="1701" w:type="dxa"/>
            <w:vAlign w:val="center"/>
          </w:tcPr>
          <w:p w14:paraId="5A1A5462">
            <w:pPr>
              <w:keepNext w:val="0"/>
              <w:keepLines w:val="0"/>
              <w:pageBreakBefore w:val="0"/>
              <w:kinsoku/>
              <w:wordWrap/>
              <w:overflowPunct/>
              <w:topLinePunct w:val="0"/>
              <w:autoSpaceDN/>
              <w:bidi w:val="0"/>
              <w:spacing w:line="240" w:lineRule="auto"/>
              <w:ind w:right="0" w:rightChars="0" w:firstLine="0" w:firstLineChars="0"/>
              <w:jc w:val="center"/>
              <w:textAlignment w:val="auto"/>
              <w:outlineLvl w:val="9"/>
              <w:rPr>
                <w:rFonts w:hint="default" w:ascii="Times New Roman" w:hAnsi="Times New Roman" w:eastAsia="宋体" w:cs="Times New Roman"/>
                <w:sz w:val="24"/>
                <w:lang w:bidi="ar"/>
              </w:rPr>
            </w:pPr>
            <w:r>
              <w:rPr>
                <w:rFonts w:hint="default" w:ascii="Times New Roman" w:hAnsi="Times New Roman" w:eastAsia="宋体" w:cs="Times New Roman"/>
                <w:snapToGrid w:val="0"/>
                <w:color w:val="000000"/>
                <w:kern w:val="21"/>
                <w:sz w:val="24"/>
              </w:rPr>
              <w:t>/</w:t>
            </w:r>
          </w:p>
        </w:tc>
        <w:tc>
          <w:tcPr>
            <w:tcW w:w="1276" w:type="dxa"/>
            <w:vAlign w:val="center"/>
          </w:tcPr>
          <w:p w14:paraId="5EEFEA04">
            <w:pPr>
              <w:keepNext w:val="0"/>
              <w:keepLines w:val="0"/>
              <w:pageBreakBefore w:val="0"/>
              <w:kinsoku/>
              <w:wordWrap/>
              <w:overflowPunct/>
              <w:topLinePunct w:val="0"/>
              <w:autoSpaceDN/>
              <w:bidi w:val="0"/>
              <w:spacing w:line="240" w:lineRule="auto"/>
              <w:ind w:right="0" w:rightChars="0" w:firstLine="0" w:firstLineChars="0"/>
              <w:jc w:val="center"/>
              <w:textAlignment w:val="auto"/>
              <w:outlineLvl w:val="9"/>
              <w:rPr>
                <w:rFonts w:hint="eastAsia" w:ascii="Times New Roman" w:hAnsi="Times New Roman" w:eastAsia="宋体" w:cs="Times New Roman"/>
                <w:sz w:val="24"/>
                <w:lang w:eastAsia="zh-CN" w:bidi="ar"/>
              </w:rPr>
            </w:pPr>
            <w:r>
              <w:rPr>
                <w:rFonts w:hint="default" w:ascii="Times New Roman" w:hAnsi="Times New Roman" w:eastAsia="宋体" w:cs="Times New Roman"/>
                <w:snapToGrid w:val="0"/>
                <w:color w:val="000000"/>
                <w:kern w:val="21"/>
                <w:sz w:val="24"/>
              </w:rPr>
              <w:t>/</w:t>
            </w:r>
          </w:p>
        </w:tc>
        <w:tc>
          <w:tcPr>
            <w:tcW w:w="1701" w:type="dxa"/>
            <w:vAlign w:val="center"/>
          </w:tcPr>
          <w:p w14:paraId="51974E01">
            <w:pPr>
              <w:keepNext w:val="0"/>
              <w:keepLines w:val="0"/>
              <w:pageBreakBefore w:val="0"/>
              <w:kinsoku/>
              <w:wordWrap/>
              <w:overflowPunct/>
              <w:topLinePunct w:val="0"/>
              <w:autoSpaceDN/>
              <w:bidi w:val="0"/>
              <w:spacing w:line="240" w:lineRule="auto"/>
              <w:ind w:right="0" w:firstLine="0" w:firstLineChars="0"/>
              <w:jc w:val="center"/>
              <w:textAlignment w:val="auto"/>
              <w:outlineLvl w:val="9"/>
              <w:rPr>
                <w:rFonts w:hint="eastAsia" w:ascii="Times New Roman" w:hAnsi="Times New Roman" w:eastAsia="宋体" w:cs="Times New Roman"/>
                <w:sz w:val="24"/>
                <w:lang w:eastAsia="zh-CN" w:bidi="ar"/>
              </w:rPr>
            </w:pPr>
            <w:r>
              <w:rPr>
                <w:rFonts w:hint="eastAsia" w:ascii="Times New Roman" w:hAnsi="Times New Roman" w:eastAsia="宋体" w:cs="Times New Roman"/>
                <w:sz w:val="24"/>
                <w:lang w:val="en-US" w:eastAsia="zh-CN" w:bidi="ar"/>
              </w:rPr>
              <w:t>/</w:t>
            </w:r>
          </w:p>
        </w:tc>
        <w:tc>
          <w:tcPr>
            <w:tcW w:w="1559" w:type="dxa"/>
            <w:vAlign w:val="center"/>
          </w:tcPr>
          <w:p w14:paraId="1EAC68BB">
            <w:pPr>
              <w:keepNext w:val="0"/>
              <w:keepLines w:val="0"/>
              <w:pageBreakBefore w:val="0"/>
              <w:kinsoku/>
              <w:wordWrap/>
              <w:overflowPunct/>
              <w:topLinePunct w:val="0"/>
              <w:autoSpaceDN/>
              <w:bidi w:val="0"/>
              <w:spacing w:line="240" w:lineRule="auto"/>
              <w:ind w:right="0" w:firstLine="0" w:firstLineChars="0"/>
              <w:jc w:val="center"/>
              <w:textAlignment w:val="auto"/>
              <w:outlineLvl w:val="9"/>
              <w:rPr>
                <w:rFonts w:hint="default" w:ascii="Times New Roman" w:hAnsi="Times New Roman" w:eastAsia="宋体" w:cs="Times New Roman"/>
                <w:sz w:val="24"/>
                <w:lang w:val="en-US" w:bidi="ar"/>
              </w:rPr>
            </w:pPr>
            <w:r>
              <w:rPr>
                <w:rFonts w:hint="eastAsia" w:ascii="Times New Roman" w:hAnsi="Times New Roman" w:eastAsia="宋体" w:cs="Times New Roman"/>
                <w:sz w:val="24"/>
                <w:lang w:val="en-US" w:eastAsia="zh-CN" w:bidi="ar"/>
              </w:rPr>
              <w:t>0.0</w:t>
            </w:r>
            <w:r>
              <w:rPr>
                <w:rFonts w:hint="eastAsia" w:cs="Times New Roman"/>
                <w:sz w:val="24"/>
                <w:lang w:val="en-US" w:eastAsia="zh-CN" w:bidi="ar"/>
              </w:rPr>
              <w:t>1</w:t>
            </w:r>
          </w:p>
        </w:tc>
        <w:tc>
          <w:tcPr>
            <w:tcW w:w="1707" w:type="dxa"/>
            <w:vAlign w:val="center"/>
          </w:tcPr>
          <w:p w14:paraId="6DEE10FC">
            <w:pPr>
              <w:keepNext w:val="0"/>
              <w:keepLines w:val="0"/>
              <w:pageBreakBefore w:val="0"/>
              <w:kinsoku/>
              <w:wordWrap/>
              <w:overflowPunct/>
              <w:topLinePunct w:val="0"/>
              <w:autoSpaceDN/>
              <w:bidi w:val="0"/>
              <w:spacing w:line="240" w:lineRule="auto"/>
              <w:ind w:right="0" w:firstLine="0" w:firstLineChars="0"/>
              <w:jc w:val="center"/>
              <w:textAlignment w:val="auto"/>
              <w:outlineLvl w:val="9"/>
              <w:rPr>
                <w:rFonts w:hint="default" w:ascii="Times New Roman" w:hAnsi="Times New Roman" w:eastAsia="宋体" w:cs="Times New Roman"/>
                <w:sz w:val="24"/>
                <w:lang w:bidi="ar"/>
              </w:rPr>
            </w:pPr>
            <w:r>
              <w:rPr>
                <w:rFonts w:hint="eastAsia" w:ascii="Times New Roman" w:hAnsi="Times New Roman" w:eastAsia="宋体" w:cs="Times New Roman"/>
                <w:sz w:val="24"/>
                <w:lang w:val="en-US" w:eastAsia="zh-CN" w:bidi="ar"/>
              </w:rPr>
              <w:t>/</w:t>
            </w:r>
          </w:p>
        </w:tc>
        <w:tc>
          <w:tcPr>
            <w:tcW w:w="1627" w:type="dxa"/>
            <w:vAlign w:val="center"/>
          </w:tcPr>
          <w:p w14:paraId="258FABD6">
            <w:pPr>
              <w:keepNext w:val="0"/>
              <w:keepLines w:val="0"/>
              <w:pageBreakBefore w:val="0"/>
              <w:kinsoku/>
              <w:wordWrap/>
              <w:overflowPunct/>
              <w:topLinePunct w:val="0"/>
              <w:autoSpaceDN/>
              <w:bidi w:val="0"/>
              <w:spacing w:line="240" w:lineRule="auto"/>
              <w:ind w:right="0" w:rightChars="0" w:firstLine="0" w:firstLineChars="0"/>
              <w:jc w:val="center"/>
              <w:textAlignment w:val="auto"/>
              <w:outlineLvl w:val="9"/>
              <w:rPr>
                <w:rFonts w:hint="default" w:ascii="Times New Roman" w:hAnsi="Times New Roman" w:eastAsia="宋体" w:cs="Times New Roman"/>
                <w:sz w:val="24"/>
                <w:lang w:bidi="ar"/>
              </w:rPr>
            </w:pPr>
            <w:r>
              <w:rPr>
                <w:rFonts w:hint="eastAsia" w:ascii="Times New Roman" w:hAnsi="Times New Roman" w:eastAsia="宋体" w:cs="Times New Roman"/>
                <w:sz w:val="24"/>
                <w:lang w:val="en-US" w:eastAsia="zh-CN" w:bidi="ar"/>
              </w:rPr>
              <w:t>0.0</w:t>
            </w:r>
            <w:r>
              <w:rPr>
                <w:rFonts w:hint="eastAsia" w:cs="Times New Roman"/>
                <w:sz w:val="24"/>
                <w:lang w:val="en-US" w:eastAsia="zh-CN" w:bidi="ar"/>
              </w:rPr>
              <w:t>1</w:t>
            </w:r>
          </w:p>
        </w:tc>
        <w:tc>
          <w:tcPr>
            <w:tcW w:w="1212" w:type="dxa"/>
            <w:vAlign w:val="center"/>
          </w:tcPr>
          <w:p w14:paraId="5A6311B5">
            <w:pPr>
              <w:keepNext w:val="0"/>
              <w:keepLines w:val="0"/>
              <w:pageBreakBefore w:val="0"/>
              <w:kinsoku/>
              <w:wordWrap/>
              <w:overflowPunct/>
              <w:topLinePunct w:val="0"/>
              <w:autoSpaceDN/>
              <w:bidi w:val="0"/>
              <w:spacing w:line="240" w:lineRule="auto"/>
              <w:ind w:right="0" w:rightChars="0" w:firstLine="0" w:firstLineChars="0"/>
              <w:jc w:val="center"/>
              <w:textAlignment w:val="auto"/>
              <w:outlineLvl w:val="9"/>
              <w:rPr>
                <w:rFonts w:hint="default" w:ascii="Times New Roman" w:hAnsi="Times New Roman" w:eastAsia="宋体" w:cs="Times New Roman"/>
                <w:sz w:val="24"/>
                <w:lang w:bidi="ar"/>
              </w:rPr>
            </w:pPr>
            <w:r>
              <w:rPr>
                <w:rFonts w:hint="eastAsia" w:ascii="Times New Roman" w:hAnsi="Times New Roman" w:eastAsia="宋体" w:cs="Times New Roman"/>
                <w:sz w:val="24"/>
                <w:lang w:val="en-US" w:eastAsia="zh-CN" w:bidi="ar"/>
              </w:rPr>
              <w:t>+0.0</w:t>
            </w:r>
            <w:r>
              <w:rPr>
                <w:rFonts w:hint="eastAsia" w:cs="Times New Roman"/>
                <w:sz w:val="24"/>
                <w:lang w:val="en-US" w:eastAsia="zh-CN" w:bidi="ar"/>
              </w:rPr>
              <w:t>1</w:t>
            </w:r>
          </w:p>
        </w:tc>
      </w:tr>
    </w:tbl>
    <w:p w14:paraId="56FE242E">
      <w:pPr>
        <w:pStyle w:val="37"/>
        <w:spacing w:before="192" w:beforeLines="80" w:after="24"/>
        <w:jc w:val="left"/>
        <w:rPr>
          <w:rFonts w:hint="default" w:ascii="Times New Roman" w:hAnsi="Times New Roman" w:eastAsia="宋体" w:cs="Times New Roman"/>
        </w:rPr>
      </w:pPr>
      <w:r>
        <w:rPr>
          <w:rFonts w:hint="default" w:ascii="Times New Roman" w:hAnsi="Times New Roman" w:eastAsia="宋体" w:cs="Times New Roman"/>
          <w:kern w:val="21"/>
          <w:szCs w:val="21"/>
        </w:rPr>
        <w:t>注</w:t>
      </w:r>
      <w:r>
        <w:rPr>
          <w:rFonts w:hint="default" w:ascii="Times New Roman" w:hAnsi="Times New Roman" w:eastAsia="宋体" w:cs="Times New Roman"/>
          <w:kern w:val="21"/>
          <w:szCs w:val="21"/>
          <w:lang w:val="en-US"/>
        </w:rPr>
        <w:t>：</w:t>
      </w:r>
      <w:r>
        <w:rPr>
          <w:rFonts w:hint="default" w:ascii="Times New Roman" w:hAnsi="Times New Roman" w:eastAsia="宋体" w:cs="Times New Roman"/>
          <w:spacing w:val="-16"/>
          <w:kern w:val="21"/>
          <w:szCs w:val="21"/>
        </w:rPr>
        <w:fldChar w:fldCharType="begin"/>
      </w:r>
      <w:r>
        <w:rPr>
          <w:rFonts w:hint="default" w:ascii="Times New Roman" w:hAnsi="Times New Roman" w:eastAsia="宋体" w:cs="Times New Roman"/>
          <w:spacing w:val="-16"/>
          <w:kern w:val="21"/>
          <w:szCs w:val="21"/>
          <w:lang w:val="en-US"/>
        </w:rPr>
        <w:instrText xml:space="preserve"> = 6 \* GB3 \* MERGEFORMAT </w:instrText>
      </w:r>
      <w:r>
        <w:rPr>
          <w:rFonts w:hint="default" w:ascii="Times New Roman" w:hAnsi="Times New Roman" w:eastAsia="宋体" w:cs="Times New Roman"/>
          <w:spacing w:val="-16"/>
          <w:kern w:val="21"/>
          <w:szCs w:val="21"/>
        </w:rPr>
        <w:fldChar w:fldCharType="separate"/>
      </w:r>
      <w:r>
        <w:rPr>
          <w:rFonts w:hint="default" w:ascii="Times New Roman" w:hAnsi="Times New Roman" w:eastAsia="宋体" w:cs="Times New Roman"/>
          <w:szCs w:val="21"/>
          <w:lang w:val="en-US"/>
        </w:rPr>
        <w:t>⑥</w:t>
      </w:r>
      <w:r>
        <w:rPr>
          <w:rFonts w:hint="default" w:ascii="Times New Roman" w:hAnsi="Times New Roman" w:eastAsia="宋体" w:cs="Times New Roman"/>
          <w:spacing w:val="-16"/>
          <w:kern w:val="21"/>
          <w:szCs w:val="21"/>
        </w:rPr>
        <w:fldChar w:fldCharType="end"/>
      </w:r>
      <w:r>
        <w:rPr>
          <w:rFonts w:hint="default" w:ascii="Times New Roman" w:hAnsi="Times New Roman" w:eastAsia="宋体" w:cs="Times New Roman"/>
          <w:spacing w:val="-16"/>
          <w:kern w:val="21"/>
          <w:szCs w:val="21"/>
          <w:lang w:val="en-US"/>
        </w:rPr>
        <w:t>=</w:t>
      </w:r>
      <w:r>
        <w:rPr>
          <w:rFonts w:hint="default" w:ascii="Times New Roman" w:hAnsi="Times New Roman" w:eastAsia="宋体" w:cs="Times New Roman"/>
          <w:spacing w:val="-6"/>
          <w:kern w:val="21"/>
          <w:szCs w:val="21"/>
        </w:rPr>
        <w:fldChar w:fldCharType="begin"/>
      </w:r>
      <w:r>
        <w:rPr>
          <w:rFonts w:hint="default" w:ascii="Times New Roman" w:hAnsi="Times New Roman" w:eastAsia="宋体" w:cs="Times New Roman"/>
          <w:spacing w:val="-6"/>
          <w:kern w:val="21"/>
          <w:szCs w:val="21"/>
          <w:lang w:val="en-US"/>
        </w:rPr>
        <w:instrText xml:space="preserve"> = 1 \* GB3 \* MERGEFORMAT </w:instrText>
      </w:r>
      <w:r>
        <w:rPr>
          <w:rFonts w:hint="default" w:ascii="Times New Roman" w:hAnsi="Times New Roman" w:eastAsia="宋体" w:cs="Times New Roman"/>
          <w:spacing w:val="-6"/>
          <w:kern w:val="21"/>
          <w:szCs w:val="21"/>
        </w:rPr>
        <w:fldChar w:fldCharType="separate"/>
      </w:r>
      <w:r>
        <w:rPr>
          <w:rFonts w:hint="default" w:ascii="Times New Roman" w:hAnsi="Times New Roman" w:eastAsia="宋体" w:cs="Times New Roman"/>
          <w:szCs w:val="21"/>
          <w:lang w:val="en-US"/>
        </w:rPr>
        <w:t>①</w:t>
      </w:r>
      <w:r>
        <w:rPr>
          <w:rFonts w:hint="default" w:ascii="Times New Roman" w:hAnsi="Times New Roman" w:eastAsia="宋体" w:cs="Times New Roman"/>
          <w:spacing w:val="-6"/>
          <w:kern w:val="21"/>
          <w:szCs w:val="21"/>
        </w:rPr>
        <w:fldChar w:fldCharType="end"/>
      </w:r>
      <w:r>
        <w:rPr>
          <w:rFonts w:hint="default" w:ascii="Times New Roman" w:hAnsi="Times New Roman" w:eastAsia="宋体" w:cs="Times New Roman"/>
          <w:spacing w:val="-6"/>
          <w:kern w:val="21"/>
          <w:szCs w:val="21"/>
          <w:lang w:val="en-US"/>
        </w:rPr>
        <w:t>+</w:t>
      </w:r>
      <w:r>
        <w:rPr>
          <w:rFonts w:hint="default" w:ascii="Times New Roman" w:hAnsi="Times New Roman" w:eastAsia="宋体" w:cs="Times New Roman"/>
          <w:spacing w:val="-6"/>
          <w:kern w:val="21"/>
          <w:szCs w:val="21"/>
        </w:rPr>
        <w:fldChar w:fldCharType="begin"/>
      </w:r>
      <w:r>
        <w:rPr>
          <w:rFonts w:hint="default" w:ascii="Times New Roman" w:hAnsi="Times New Roman" w:eastAsia="宋体" w:cs="Times New Roman"/>
          <w:spacing w:val="-6"/>
          <w:kern w:val="21"/>
          <w:szCs w:val="21"/>
          <w:lang w:val="en-US"/>
        </w:rPr>
        <w:instrText xml:space="preserve"> = 3 \* GB3 \* MERGEFORMAT </w:instrText>
      </w:r>
      <w:r>
        <w:rPr>
          <w:rFonts w:hint="default" w:ascii="Times New Roman" w:hAnsi="Times New Roman" w:eastAsia="宋体" w:cs="Times New Roman"/>
          <w:spacing w:val="-6"/>
          <w:kern w:val="21"/>
          <w:szCs w:val="21"/>
        </w:rPr>
        <w:fldChar w:fldCharType="separate"/>
      </w:r>
      <w:r>
        <w:rPr>
          <w:rFonts w:hint="default" w:ascii="Times New Roman" w:hAnsi="Times New Roman" w:eastAsia="宋体" w:cs="Times New Roman"/>
          <w:szCs w:val="21"/>
          <w:lang w:val="en-US"/>
        </w:rPr>
        <w:t>③</w:t>
      </w:r>
      <w:r>
        <w:rPr>
          <w:rFonts w:hint="default" w:ascii="Times New Roman" w:hAnsi="Times New Roman" w:eastAsia="宋体" w:cs="Times New Roman"/>
          <w:spacing w:val="-6"/>
          <w:kern w:val="21"/>
          <w:szCs w:val="21"/>
        </w:rPr>
        <w:fldChar w:fldCharType="end"/>
      </w:r>
      <w:r>
        <w:rPr>
          <w:rFonts w:hint="default" w:ascii="Times New Roman" w:hAnsi="Times New Roman" w:eastAsia="宋体" w:cs="Times New Roman"/>
          <w:spacing w:val="-6"/>
          <w:kern w:val="21"/>
          <w:szCs w:val="21"/>
          <w:lang w:val="en-US"/>
        </w:rPr>
        <w:t>+</w:t>
      </w:r>
      <w:r>
        <w:rPr>
          <w:rFonts w:hint="default" w:ascii="Times New Roman" w:hAnsi="Times New Roman" w:eastAsia="宋体" w:cs="Times New Roman"/>
          <w:spacing w:val="-6"/>
          <w:kern w:val="21"/>
          <w:szCs w:val="21"/>
        </w:rPr>
        <w:fldChar w:fldCharType="begin"/>
      </w:r>
      <w:r>
        <w:rPr>
          <w:rFonts w:hint="default" w:ascii="Times New Roman" w:hAnsi="Times New Roman" w:eastAsia="宋体" w:cs="Times New Roman"/>
          <w:spacing w:val="-6"/>
          <w:kern w:val="21"/>
          <w:szCs w:val="21"/>
          <w:lang w:val="en-US"/>
        </w:rPr>
        <w:instrText xml:space="preserve"> = 4 \* GB3 \* MERGEFORMAT </w:instrText>
      </w:r>
      <w:r>
        <w:rPr>
          <w:rFonts w:hint="default" w:ascii="Times New Roman" w:hAnsi="Times New Roman" w:eastAsia="宋体" w:cs="Times New Roman"/>
          <w:spacing w:val="-6"/>
          <w:kern w:val="21"/>
          <w:szCs w:val="21"/>
        </w:rPr>
        <w:fldChar w:fldCharType="separate"/>
      </w:r>
      <w:r>
        <w:rPr>
          <w:rFonts w:hint="default" w:ascii="Times New Roman" w:hAnsi="Times New Roman" w:eastAsia="宋体" w:cs="Times New Roman"/>
          <w:szCs w:val="21"/>
          <w:lang w:val="en-US"/>
        </w:rPr>
        <w:t>④</w:t>
      </w:r>
      <w:r>
        <w:rPr>
          <w:rFonts w:hint="default" w:ascii="Times New Roman" w:hAnsi="Times New Roman" w:eastAsia="宋体" w:cs="Times New Roman"/>
          <w:spacing w:val="-6"/>
          <w:kern w:val="21"/>
          <w:szCs w:val="21"/>
        </w:rPr>
        <w:fldChar w:fldCharType="end"/>
      </w:r>
      <w:r>
        <w:rPr>
          <w:rFonts w:hint="default" w:ascii="Times New Roman" w:hAnsi="Times New Roman" w:eastAsia="宋体" w:cs="Times New Roman"/>
          <w:spacing w:val="-6"/>
          <w:kern w:val="21"/>
          <w:szCs w:val="21"/>
          <w:lang w:val="en-US"/>
        </w:rPr>
        <w:t>-</w:t>
      </w:r>
      <w:r>
        <w:rPr>
          <w:rFonts w:hint="default" w:ascii="Times New Roman" w:hAnsi="Times New Roman" w:eastAsia="宋体" w:cs="Times New Roman"/>
          <w:spacing w:val="-16"/>
          <w:kern w:val="21"/>
          <w:szCs w:val="21"/>
        </w:rPr>
        <w:fldChar w:fldCharType="begin"/>
      </w:r>
      <w:r>
        <w:rPr>
          <w:rFonts w:hint="default" w:ascii="Times New Roman" w:hAnsi="Times New Roman" w:eastAsia="宋体" w:cs="Times New Roman"/>
          <w:spacing w:val="-16"/>
          <w:kern w:val="21"/>
          <w:szCs w:val="21"/>
          <w:lang w:val="en-US"/>
        </w:rPr>
        <w:instrText xml:space="preserve"> = 5 \* GB3 \* MERGEFORMAT </w:instrText>
      </w:r>
      <w:r>
        <w:rPr>
          <w:rFonts w:hint="default" w:ascii="Times New Roman" w:hAnsi="Times New Roman" w:eastAsia="宋体" w:cs="Times New Roman"/>
          <w:spacing w:val="-16"/>
          <w:kern w:val="21"/>
          <w:szCs w:val="21"/>
        </w:rPr>
        <w:fldChar w:fldCharType="separate"/>
      </w:r>
      <w:r>
        <w:rPr>
          <w:rFonts w:hint="default" w:ascii="Times New Roman" w:hAnsi="Times New Roman" w:eastAsia="宋体" w:cs="Times New Roman"/>
          <w:szCs w:val="21"/>
          <w:lang w:val="en-US"/>
        </w:rPr>
        <w:t>⑤</w:t>
      </w:r>
      <w:r>
        <w:rPr>
          <w:rFonts w:hint="default" w:ascii="Times New Roman" w:hAnsi="Times New Roman" w:eastAsia="宋体" w:cs="Times New Roman"/>
          <w:spacing w:val="-16"/>
          <w:kern w:val="21"/>
          <w:szCs w:val="21"/>
        </w:rPr>
        <w:fldChar w:fldCharType="end"/>
      </w:r>
      <w:r>
        <w:rPr>
          <w:rFonts w:hint="default" w:ascii="Times New Roman" w:hAnsi="Times New Roman" w:eastAsia="宋体" w:cs="Times New Roman"/>
          <w:spacing w:val="-16"/>
          <w:kern w:val="21"/>
          <w:szCs w:val="21"/>
          <w:lang w:val="en-US"/>
        </w:rPr>
        <w:t>；</w:t>
      </w:r>
      <w:r>
        <w:rPr>
          <w:rFonts w:hint="default" w:ascii="Times New Roman" w:hAnsi="Times New Roman" w:eastAsia="宋体" w:cs="Times New Roman"/>
          <w:spacing w:val="-6"/>
          <w:kern w:val="21"/>
          <w:szCs w:val="21"/>
        </w:rPr>
        <w:fldChar w:fldCharType="begin"/>
      </w:r>
      <w:r>
        <w:rPr>
          <w:rFonts w:hint="default" w:ascii="Times New Roman" w:hAnsi="Times New Roman" w:eastAsia="宋体" w:cs="Times New Roman"/>
          <w:spacing w:val="-6"/>
          <w:kern w:val="21"/>
          <w:szCs w:val="21"/>
          <w:lang w:val="en-US"/>
        </w:rPr>
        <w:instrText xml:space="preserve"> = 7 \* GB3 \* MERGEFORMAT </w:instrText>
      </w:r>
      <w:r>
        <w:rPr>
          <w:rFonts w:hint="default" w:ascii="Times New Roman" w:hAnsi="Times New Roman" w:eastAsia="宋体" w:cs="Times New Roman"/>
          <w:spacing w:val="-6"/>
          <w:kern w:val="21"/>
          <w:szCs w:val="21"/>
        </w:rPr>
        <w:fldChar w:fldCharType="separate"/>
      </w:r>
      <w:r>
        <w:rPr>
          <w:rFonts w:hint="default" w:ascii="Times New Roman" w:hAnsi="Times New Roman" w:eastAsia="宋体" w:cs="Times New Roman"/>
          <w:szCs w:val="21"/>
          <w:lang w:val="en-US"/>
        </w:rPr>
        <w:t>⑦</w:t>
      </w:r>
      <w:r>
        <w:rPr>
          <w:rFonts w:hint="default" w:ascii="Times New Roman" w:hAnsi="Times New Roman" w:eastAsia="宋体" w:cs="Times New Roman"/>
          <w:spacing w:val="-6"/>
          <w:kern w:val="21"/>
          <w:szCs w:val="21"/>
        </w:rPr>
        <w:fldChar w:fldCharType="end"/>
      </w:r>
      <w:r>
        <w:rPr>
          <w:rFonts w:hint="default" w:ascii="Times New Roman" w:hAnsi="Times New Roman" w:eastAsia="宋体" w:cs="Times New Roman"/>
          <w:spacing w:val="-6"/>
          <w:kern w:val="21"/>
          <w:szCs w:val="21"/>
          <w:lang w:val="en-US"/>
        </w:rPr>
        <w:t>=</w:t>
      </w:r>
      <w:r>
        <w:rPr>
          <w:rFonts w:hint="default" w:ascii="Times New Roman" w:hAnsi="Times New Roman" w:eastAsia="宋体" w:cs="Times New Roman"/>
          <w:spacing w:val="-16"/>
          <w:kern w:val="21"/>
          <w:szCs w:val="21"/>
        </w:rPr>
        <w:fldChar w:fldCharType="begin"/>
      </w:r>
      <w:r>
        <w:rPr>
          <w:rFonts w:hint="default" w:ascii="Times New Roman" w:hAnsi="Times New Roman" w:eastAsia="宋体" w:cs="Times New Roman"/>
          <w:spacing w:val="-16"/>
          <w:kern w:val="21"/>
          <w:szCs w:val="21"/>
          <w:lang w:val="en-US"/>
        </w:rPr>
        <w:instrText xml:space="preserve"> = 6 \* GB3 \* MERGEFORMAT </w:instrText>
      </w:r>
      <w:r>
        <w:rPr>
          <w:rFonts w:hint="default" w:ascii="Times New Roman" w:hAnsi="Times New Roman" w:eastAsia="宋体" w:cs="Times New Roman"/>
          <w:spacing w:val="-16"/>
          <w:kern w:val="21"/>
          <w:szCs w:val="21"/>
        </w:rPr>
        <w:fldChar w:fldCharType="separate"/>
      </w:r>
      <w:r>
        <w:rPr>
          <w:rFonts w:hint="default" w:ascii="Times New Roman" w:hAnsi="Times New Roman" w:eastAsia="宋体" w:cs="Times New Roman"/>
          <w:szCs w:val="21"/>
          <w:lang w:val="en-US"/>
        </w:rPr>
        <w:t>⑥</w:t>
      </w:r>
      <w:r>
        <w:rPr>
          <w:rFonts w:hint="default" w:ascii="Times New Roman" w:hAnsi="Times New Roman" w:eastAsia="宋体" w:cs="Times New Roman"/>
          <w:spacing w:val="-16"/>
          <w:kern w:val="21"/>
          <w:szCs w:val="21"/>
        </w:rPr>
        <w:fldChar w:fldCharType="end"/>
      </w:r>
      <w:r>
        <w:rPr>
          <w:rFonts w:hint="default" w:ascii="Times New Roman" w:hAnsi="Times New Roman" w:eastAsia="宋体" w:cs="Times New Roman"/>
          <w:spacing w:val="-16"/>
          <w:kern w:val="21"/>
          <w:szCs w:val="21"/>
          <w:lang w:val="en-US"/>
        </w:rPr>
        <w:t>-</w:t>
      </w:r>
      <w:r>
        <w:rPr>
          <w:rFonts w:hint="default" w:ascii="Times New Roman" w:hAnsi="Times New Roman" w:eastAsia="宋体" w:cs="Times New Roman"/>
          <w:spacing w:val="-6"/>
          <w:kern w:val="21"/>
          <w:szCs w:val="21"/>
        </w:rPr>
        <w:fldChar w:fldCharType="begin"/>
      </w:r>
      <w:r>
        <w:rPr>
          <w:rFonts w:hint="default" w:ascii="Times New Roman" w:hAnsi="Times New Roman" w:eastAsia="宋体" w:cs="Times New Roman"/>
          <w:spacing w:val="-6"/>
          <w:kern w:val="21"/>
          <w:szCs w:val="21"/>
          <w:lang w:val="en-US"/>
        </w:rPr>
        <w:instrText xml:space="preserve"> = 1 \* GB3 \* MERGEFORMAT </w:instrText>
      </w:r>
      <w:r>
        <w:rPr>
          <w:rFonts w:hint="default" w:ascii="Times New Roman" w:hAnsi="Times New Roman" w:eastAsia="宋体" w:cs="Times New Roman"/>
          <w:spacing w:val="-6"/>
          <w:kern w:val="21"/>
          <w:szCs w:val="21"/>
        </w:rPr>
        <w:fldChar w:fldCharType="separate"/>
      </w:r>
      <w:r>
        <w:rPr>
          <w:rFonts w:hint="default" w:ascii="Times New Roman" w:hAnsi="Times New Roman" w:eastAsia="宋体" w:cs="Times New Roman"/>
          <w:szCs w:val="21"/>
          <w:lang w:val="en-US"/>
        </w:rPr>
        <w:t>①</w:t>
      </w:r>
      <w:r>
        <w:rPr>
          <w:rFonts w:hint="default" w:ascii="Times New Roman" w:hAnsi="Times New Roman" w:eastAsia="宋体" w:cs="Times New Roman"/>
          <w:spacing w:val="-6"/>
          <w:kern w:val="21"/>
          <w:szCs w:val="21"/>
        </w:rPr>
        <w:fldChar w:fldCharType="end"/>
      </w:r>
    </w:p>
    <w:sectPr>
      <w:footerReference r:id="rId6" w:type="default"/>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BA"/>
    <w:family w:val="roman"/>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altName w:val="noto sans thai"/>
    <w:panose1 w:val="020B0604030504040204"/>
    <w:charset w:val="00"/>
    <w:family w:val="auto"/>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华文宋体">
    <w:altName w:val="宋体"/>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Wingdings 2">
    <w:altName w:val="国标宋体-超大字符集扩"/>
    <w:panose1 w:val="05020102010507070707"/>
    <w:charset w:val="02"/>
    <w:family w:val="roman"/>
    <w:pitch w:val="default"/>
    <w:sig w:usb0="00000000" w:usb1="00000000" w:usb2="00000000" w:usb3="00000000" w:csb0="80000000" w:csb1="00000000"/>
  </w:font>
  <w:font w:name="国标宋体-超大字符集扩">
    <w:panose1 w:val="00000500000000000000"/>
    <w:charset w:val="86"/>
    <w:family w:val="auto"/>
    <w:pitch w:val="default"/>
    <w:sig w:usb0="00000001" w:usb1="08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TimesNewRomanPSMT">
    <w:altName w:val="DejaVu Sans"/>
    <w:panose1 w:val="00000000000000000000"/>
    <w:charset w:val="00"/>
    <w:family w:val="auto"/>
    <w:pitch w:val="default"/>
    <w:sig w:usb0="00000000"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83DAF">
    <w:pPr>
      <w:pStyle w:val="1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77A5C">
    <w:pPr>
      <w:pStyle w:val="16"/>
      <w:framePr w:wrap="around" w:vAnchor="text" w:hAnchor="margin" w:xAlign="center" w:y="1"/>
      <w:rPr>
        <w:rStyle w:val="27"/>
      </w:rPr>
    </w:pPr>
    <w:r>
      <w:fldChar w:fldCharType="begin"/>
    </w:r>
    <w:r>
      <w:rPr>
        <w:rStyle w:val="27"/>
      </w:rPr>
      <w:instrText xml:space="preserve">PAGE  </w:instrText>
    </w:r>
    <w:r>
      <w:fldChar w:fldCharType="end"/>
    </w:r>
  </w:p>
  <w:p w14:paraId="6EAD9953">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066D3">
    <w:pPr>
      <w:pStyle w:val="16"/>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33020</wp:posOffset>
              </wp:positionV>
              <wp:extent cx="194310" cy="193040"/>
              <wp:effectExtent l="0" t="0" r="0" b="0"/>
              <wp:wrapNone/>
              <wp:docPr id="13" name="文本框 2049"/>
              <wp:cNvGraphicFramePr/>
              <a:graphic xmlns:a="http://schemas.openxmlformats.org/drawingml/2006/main">
                <a:graphicData uri="http://schemas.microsoft.com/office/word/2010/wordprocessingShape">
                  <wps:wsp>
                    <wps:cNvSpPr txBox="1"/>
                    <wps:spPr>
                      <a:xfrm>
                        <a:off x="0" y="0"/>
                        <a:ext cx="194310" cy="193040"/>
                      </a:xfrm>
                      <a:prstGeom prst="rect">
                        <a:avLst/>
                      </a:prstGeom>
                      <a:noFill/>
                      <a:ln>
                        <a:noFill/>
                      </a:ln>
                    </wps:spPr>
                    <wps:txbx>
                      <w:txbxContent>
                        <w:p w14:paraId="24E4F380">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vert="horz" wrap="square" lIns="0" tIns="0" rIns="0" bIns="0" anchor="t"/>
                  </wps:wsp>
                </a:graphicData>
              </a:graphic>
            </wp:anchor>
          </w:drawing>
        </mc:Choice>
        <mc:Fallback>
          <w:pict>
            <v:shape id="文本框 2049" o:spid="_x0000_s1026" o:spt="202" type="#_x0000_t202" style="position:absolute;left:0pt;margin-top:2.6pt;height:15.2pt;width:15.3pt;mso-position-horizontal:center;mso-position-horizontal-relative:margin;z-index:251659264;mso-width-relative:page;mso-height-relative:page;" filled="f" stroked="f" coordsize="21600,21600" o:gfxdata="UEsDBAoAAAAAAIdO4kAAAAAAAAAAAAAAAAAEAAAAZHJzL1BLAwQUAAAACACHTuJAivgO59UAAAAE&#10;AQAADwAAAGRycy9kb3ducmV2LnhtbE2PzU7DMBCE70i8g7VI3KjdVo0gxKkqRE9IiDQcODrxNrEa&#10;r9PY/eHtWU5wWo1mNPNtsb76QZxxii6QhvlMgUBqg3XUafistw+PIGIyZM0QCDV8Y4R1eXtTmNyG&#10;C1V43qVOcAnF3GjoUxpzKWPbozdxFkYk9vZh8iaxnDppJ3Phcj/IhVKZ9MYRL/RmxJce28Pu5DVs&#10;vqh6dcf35qPaV66unxS9ZQet7+/m6hlEwmv6C8MvPqNDyUxNOJGNYtDAjyQNqwUINpcqA9HwXWUg&#10;y0L+hy9/AFBLAwQUAAAACACHTuJA8FNTQ84BAACOAwAADgAAAGRycy9lMm9Eb2MueG1srVPNjtMw&#10;EL4j8Q6W7zTpjxCNmq6EqkVICJAWHsB1nMaS/5hxm5QHgDfgxIU7z9Xn2LHbdGG57IFLMp4ZfzPf&#10;N+PVzWANOyhA7V3Np5OSM+Wkb7Tb1fzzp9sXrzjDKFwjjHeq5keF/Gb9/NmqD5Wa+c6bRgEjEIdV&#10;H2rexRiqokDZKStw4oNyFGw9WBHpCLuiAdETujXFrCxfFr2HJoCXCpG8m3OQXxDhKYC+bbVUGy/3&#10;Vrl4RgVlRCRK2OmAfJ27bVsl44e2RRWZqTkxjflLRcjepm+xXolqByJ0Wl5aEE9p4REnK7Sjoleo&#10;jYiC7UH/A2W1BI++jRPpbXEmkhUhFtPykTZ3nQgqcyGpMVxFx/8HK98fPgLTDW3CnDMnLE389OP7&#10;6efv069vbFYulkmiPmBFmXeBcuPw2g+UPvqRnIn50IJNf+LEKE4CH68CqyEymS4tF/MpRSSFpst5&#10;ucgDKB4uB8D4RnnLklFzoPllWcXhHUZqhFLHlFTL+VttTJ6hcX85KDF5itT5ucNkxWE7XOhsfXMk&#10;NvQQqE7n4StnPa1BzfHLXoDizLx1pHPamdGA0diOhnCSrtY8JjFyLRpT7vKyUmkP/jznrIdntL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ivgO59UAAAAEAQAADwAAAAAAAAABACAAAAAiAAAAZHJz&#10;L2Rvd25yZXYueG1sUEsBAhQAFAAAAAgAh07iQPBTU0POAQAAjgMAAA4AAAAAAAAAAQAgAAAAJAEA&#10;AGRycy9lMm9Eb2MueG1sUEsFBgAAAAAGAAYAWQEAAGQFAAAAAA==&#10;">
              <v:fill on="f" focussize="0,0"/>
              <v:stroke on="f"/>
              <v:imagedata o:title=""/>
              <o:lock v:ext="edit" aspectratio="f"/>
              <v:textbox inset="0mm,0mm,0mm,0mm">
                <w:txbxContent>
                  <w:p w14:paraId="24E4F380">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06296">
    <w:pPr>
      <w:pStyle w:val="16"/>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8D9A27">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29</w:t>
                          </w:r>
                          <w:r>
                            <w:rPr>
                              <w:rFonts w:hint="eastAsia"/>
                            </w:rPr>
                            <w:fldChar w:fldCharType="end"/>
                          </w:r>
                        </w:p>
                      </w:txbxContent>
                    </wps:txbx>
                    <wps:bodyPr wrap="none" lIns="0" tIns="0" rIns="0" bIns="0">
                      <a:spAutoFit/>
                    </wps:bodyPr>
                  </wps:wsp>
                </a:graphicData>
              </a:graphic>
            </wp:anchor>
          </w:drawing>
        </mc:Choice>
        <mc:Fallback>
          <w:pict>
            <v:shape id="文本框 205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i0eoMQBAACRAwAADgAAAGRycy9lMm9Eb2MueG1srVPNjtMwEL4j8Q6W&#10;79RppUV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rFTbihxHGLE7/8+H75+fvy6xtZ&#10;VTfLLFEfoMbM+4C5aXjrB0yf/YDOzHxQ0eYvciIYR4HPV4HlkIjIj9ar9brCkMDYfEF89vA8REjv&#10;pLckGw2NOMEiLD99gDSmzim5mvN32pgyReP+ciBm9rDc+9hjttKwHyZCe9+ekU+Pw2+ow12nxLx3&#10;qG3ek9mIs7GfjFwDwptjwsKln4w6Qk3FcFKF0bRVeRUe30vWw5+0/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Di0eoMQBAACRAwAADgAAAAAAAAABACAAAAAeAQAAZHJzL2Uyb0RvYy54bWxQ&#10;SwUGAAAAAAYABgBZAQAAVAUAAAAA&#10;">
              <v:fill on="f" focussize="0,0"/>
              <v:stroke on="f"/>
              <v:imagedata o:title=""/>
              <o:lock v:ext="edit" aspectratio="f"/>
              <v:textbox inset="0mm,0mm,0mm,0mm" style="mso-fit-shape-to-text:t;">
                <w:txbxContent>
                  <w:p w14:paraId="598D9A27">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29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807697"/>
    <w:multiLevelType w:val="singleLevel"/>
    <w:tmpl w:val="58807697"/>
    <w:lvl w:ilvl="0" w:tentative="0">
      <w:start w:val="1"/>
      <w:numFmt w:val="decimal"/>
      <w:pStyle w:val="64"/>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hZTljYTE1YzM3NDcyYTdiMjY5ODY5YTNkYmMxOGIifQ=="/>
  </w:docVars>
  <w:rsids>
    <w:rsidRoot w:val="00172A27"/>
    <w:rsid w:val="00000E66"/>
    <w:rsid w:val="000060B3"/>
    <w:rsid w:val="0004350A"/>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4C45"/>
    <w:rsid w:val="001357F1"/>
    <w:rsid w:val="00140FA8"/>
    <w:rsid w:val="00142FEB"/>
    <w:rsid w:val="00143A2D"/>
    <w:rsid w:val="00145A41"/>
    <w:rsid w:val="00151675"/>
    <w:rsid w:val="00157435"/>
    <w:rsid w:val="00172A27"/>
    <w:rsid w:val="0017504D"/>
    <w:rsid w:val="0017671A"/>
    <w:rsid w:val="00177422"/>
    <w:rsid w:val="00184590"/>
    <w:rsid w:val="001870D1"/>
    <w:rsid w:val="0018781E"/>
    <w:rsid w:val="0019262D"/>
    <w:rsid w:val="0019637D"/>
    <w:rsid w:val="001A1B35"/>
    <w:rsid w:val="001A48A2"/>
    <w:rsid w:val="001A6F61"/>
    <w:rsid w:val="001B72B8"/>
    <w:rsid w:val="001C69B3"/>
    <w:rsid w:val="001D5595"/>
    <w:rsid w:val="001D7874"/>
    <w:rsid w:val="001D7F22"/>
    <w:rsid w:val="001E0A08"/>
    <w:rsid w:val="001F0F17"/>
    <w:rsid w:val="001F3347"/>
    <w:rsid w:val="001F69E4"/>
    <w:rsid w:val="002125B4"/>
    <w:rsid w:val="002155B8"/>
    <w:rsid w:val="00224839"/>
    <w:rsid w:val="002249B2"/>
    <w:rsid w:val="00226574"/>
    <w:rsid w:val="002278EC"/>
    <w:rsid w:val="00230FC1"/>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6C2B"/>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1A8F"/>
    <w:rsid w:val="003D794D"/>
    <w:rsid w:val="003E3058"/>
    <w:rsid w:val="003E76A9"/>
    <w:rsid w:val="003F0809"/>
    <w:rsid w:val="003F6997"/>
    <w:rsid w:val="003F6A8C"/>
    <w:rsid w:val="003F755C"/>
    <w:rsid w:val="00406F01"/>
    <w:rsid w:val="00416D50"/>
    <w:rsid w:val="00416FD5"/>
    <w:rsid w:val="00417772"/>
    <w:rsid w:val="00420E6A"/>
    <w:rsid w:val="00425A9E"/>
    <w:rsid w:val="00426D6B"/>
    <w:rsid w:val="00431E6C"/>
    <w:rsid w:val="00433CE7"/>
    <w:rsid w:val="00446C77"/>
    <w:rsid w:val="00446CD6"/>
    <w:rsid w:val="00452738"/>
    <w:rsid w:val="00456091"/>
    <w:rsid w:val="00466321"/>
    <w:rsid w:val="00484B9B"/>
    <w:rsid w:val="004855F6"/>
    <w:rsid w:val="0048661E"/>
    <w:rsid w:val="00494670"/>
    <w:rsid w:val="004A3823"/>
    <w:rsid w:val="004B07B6"/>
    <w:rsid w:val="004B538C"/>
    <w:rsid w:val="004E6946"/>
    <w:rsid w:val="004F1AD8"/>
    <w:rsid w:val="005039CB"/>
    <w:rsid w:val="0050558F"/>
    <w:rsid w:val="00506286"/>
    <w:rsid w:val="00510813"/>
    <w:rsid w:val="00511990"/>
    <w:rsid w:val="00511DE0"/>
    <w:rsid w:val="00514870"/>
    <w:rsid w:val="00514B9B"/>
    <w:rsid w:val="00515C5E"/>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2F06"/>
    <w:rsid w:val="005A68A7"/>
    <w:rsid w:val="005D36AB"/>
    <w:rsid w:val="005D672A"/>
    <w:rsid w:val="005E69B1"/>
    <w:rsid w:val="00617CC3"/>
    <w:rsid w:val="006377A6"/>
    <w:rsid w:val="00637A3D"/>
    <w:rsid w:val="006411EF"/>
    <w:rsid w:val="006748B8"/>
    <w:rsid w:val="006775C3"/>
    <w:rsid w:val="0069290A"/>
    <w:rsid w:val="0069775A"/>
    <w:rsid w:val="00697813"/>
    <w:rsid w:val="006A3EE8"/>
    <w:rsid w:val="006A72BF"/>
    <w:rsid w:val="006B03F2"/>
    <w:rsid w:val="006B1366"/>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477A"/>
    <w:rsid w:val="007967E8"/>
    <w:rsid w:val="007A2170"/>
    <w:rsid w:val="007A22BF"/>
    <w:rsid w:val="007A3323"/>
    <w:rsid w:val="007A6690"/>
    <w:rsid w:val="007B72B8"/>
    <w:rsid w:val="007B7A58"/>
    <w:rsid w:val="007C0F2D"/>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26C17"/>
    <w:rsid w:val="0093037A"/>
    <w:rsid w:val="009340BE"/>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0576C"/>
    <w:rsid w:val="00A14947"/>
    <w:rsid w:val="00A32761"/>
    <w:rsid w:val="00A32A83"/>
    <w:rsid w:val="00A36597"/>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3368"/>
    <w:rsid w:val="00BA7142"/>
    <w:rsid w:val="00BB237C"/>
    <w:rsid w:val="00BB41A3"/>
    <w:rsid w:val="00BC32DC"/>
    <w:rsid w:val="00BC35B6"/>
    <w:rsid w:val="00BD1B51"/>
    <w:rsid w:val="00BD4596"/>
    <w:rsid w:val="00BE1405"/>
    <w:rsid w:val="00BE312D"/>
    <w:rsid w:val="00BF1C20"/>
    <w:rsid w:val="00BF229D"/>
    <w:rsid w:val="00C10578"/>
    <w:rsid w:val="00C135BC"/>
    <w:rsid w:val="00C15C95"/>
    <w:rsid w:val="00C2596A"/>
    <w:rsid w:val="00C27537"/>
    <w:rsid w:val="00C328FE"/>
    <w:rsid w:val="00C33507"/>
    <w:rsid w:val="00C4366F"/>
    <w:rsid w:val="00C4409D"/>
    <w:rsid w:val="00C44E72"/>
    <w:rsid w:val="00C45A06"/>
    <w:rsid w:val="00C47E5B"/>
    <w:rsid w:val="00C51C4E"/>
    <w:rsid w:val="00C61E4B"/>
    <w:rsid w:val="00C64BFF"/>
    <w:rsid w:val="00C704E9"/>
    <w:rsid w:val="00C763C9"/>
    <w:rsid w:val="00C769D1"/>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376A3"/>
    <w:rsid w:val="00E412D0"/>
    <w:rsid w:val="00E46A50"/>
    <w:rsid w:val="00E56322"/>
    <w:rsid w:val="00E60982"/>
    <w:rsid w:val="00E62C62"/>
    <w:rsid w:val="00E654C1"/>
    <w:rsid w:val="00E65D97"/>
    <w:rsid w:val="00E72A5A"/>
    <w:rsid w:val="00E73354"/>
    <w:rsid w:val="00E9242D"/>
    <w:rsid w:val="00E97E17"/>
    <w:rsid w:val="00EB5255"/>
    <w:rsid w:val="00EB5C47"/>
    <w:rsid w:val="00ED0639"/>
    <w:rsid w:val="00EF4755"/>
    <w:rsid w:val="00EF7135"/>
    <w:rsid w:val="00F027DB"/>
    <w:rsid w:val="00F14A7A"/>
    <w:rsid w:val="00F22985"/>
    <w:rsid w:val="00F30945"/>
    <w:rsid w:val="00F3383E"/>
    <w:rsid w:val="00F465A7"/>
    <w:rsid w:val="00F50B7C"/>
    <w:rsid w:val="00F550E6"/>
    <w:rsid w:val="00F74345"/>
    <w:rsid w:val="00F80A0A"/>
    <w:rsid w:val="00F82B19"/>
    <w:rsid w:val="00F9212D"/>
    <w:rsid w:val="00F965DA"/>
    <w:rsid w:val="00FA406A"/>
    <w:rsid w:val="00FB503A"/>
    <w:rsid w:val="00FB516C"/>
    <w:rsid w:val="00FB7164"/>
    <w:rsid w:val="00FC3890"/>
    <w:rsid w:val="00FD0236"/>
    <w:rsid w:val="00FD18F4"/>
    <w:rsid w:val="00FD54DB"/>
    <w:rsid w:val="00FD619F"/>
    <w:rsid w:val="01147CA8"/>
    <w:rsid w:val="01290F7E"/>
    <w:rsid w:val="01395070"/>
    <w:rsid w:val="015D1E09"/>
    <w:rsid w:val="016B245B"/>
    <w:rsid w:val="0187041D"/>
    <w:rsid w:val="018E7C21"/>
    <w:rsid w:val="02217FDE"/>
    <w:rsid w:val="02697903"/>
    <w:rsid w:val="02757869"/>
    <w:rsid w:val="028E13EB"/>
    <w:rsid w:val="02D313B6"/>
    <w:rsid w:val="02F96569"/>
    <w:rsid w:val="0300642A"/>
    <w:rsid w:val="0308418B"/>
    <w:rsid w:val="03370C3A"/>
    <w:rsid w:val="03431706"/>
    <w:rsid w:val="038D6EEA"/>
    <w:rsid w:val="03A013D6"/>
    <w:rsid w:val="03E322AC"/>
    <w:rsid w:val="03EA7B21"/>
    <w:rsid w:val="03F51722"/>
    <w:rsid w:val="042E24FA"/>
    <w:rsid w:val="04437768"/>
    <w:rsid w:val="04912C03"/>
    <w:rsid w:val="04DC0C65"/>
    <w:rsid w:val="053B7608"/>
    <w:rsid w:val="0587477E"/>
    <w:rsid w:val="05BC7D8C"/>
    <w:rsid w:val="05C00EF6"/>
    <w:rsid w:val="05C501A9"/>
    <w:rsid w:val="05CA44E8"/>
    <w:rsid w:val="05F4145A"/>
    <w:rsid w:val="05F83EAE"/>
    <w:rsid w:val="06190FCC"/>
    <w:rsid w:val="063E7D85"/>
    <w:rsid w:val="065B15E4"/>
    <w:rsid w:val="06EE06E3"/>
    <w:rsid w:val="0704495B"/>
    <w:rsid w:val="07225A4C"/>
    <w:rsid w:val="07293586"/>
    <w:rsid w:val="07295285"/>
    <w:rsid w:val="07636392"/>
    <w:rsid w:val="07770C56"/>
    <w:rsid w:val="07784135"/>
    <w:rsid w:val="07C66F31"/>
    <w:rsid w:val="08340BF9"/>
    <w:rsid w:val="089B2A00"/>
    <w:rsid w:val="09053772"/>
    <w:rsid w:val="092217DD"/>
    <w:rsid w:val="092B4153"/>
    <w:rsid w:val="093A7294"/>
    <w:rsid w:val="09631528"/>
    <w:rsid w:val="09D2576F"/>
    <w:rsid w:val="09DF60E8"/>
    <w:rsid w:val="09FD1969"/>
    <w:rsid w:val="0A263993"/>
    <w:rsid w:val="0A2D3AC2"/>
    <w:rsid w:val="0A3B4979"/>
    <w:rsid w:val="0A740EC6"/>
    <w:rsid w:val="0A9B28F7"/>
    <w:rsid w:val="0AA755DF"/>
    <w:rsid w:val="0ADF4592"/>
    <w:rsid w:val="0AF437A8"/>
    <w:rsid w:val="0B120D44"/>
    <w:rsid w:val="0B445062"/>
    <w:rsid w:val="0B733189"/>
    <w:rsid w:val="0B8C3D30"/>
    <w:rsid w:val="0BD27BF6"/>
    <w:rsid w:val="0BDB136F"/>
    <w:rsid w:val="0C3721AC"/>
    <w:rsid w:val="0C3B3C7D"/>
    <w:rsid w:val="0C452B1A"/>
    <w:rsid w:val="0C6A2581"/>
    <w:rsid w:val="0C6E2DA8"/>
    <w:rsid w:val="0C884F8C"/>
    <w:rsid w:val="0CAB2EAE"/>
    <w:rsid w:val="0CAF4E7C"/>
    <w:rsid w:val="0CB24D52"/>
    <w:rsid w:val="0CB41656"/>
    <w:rsid w:val="0CC86958"/>
    <w:rsid w:val="0CE1722F"/>
    <w:rsid w:val="0CFB4345"/>
    <w:rsid w:val="0D0227BA"/>
    <w:rsid w:val="0D2C65A9"/>
    <w:rsid w:val="0D3A63F7"/>
    <w:rsid w:val="0D3D5F61"/>
    <w:rsid w:val="0D4B355C"/>
    <w:rsid w:val="0D4E2C3A"/>
    <w:rsid w:val="0D621C7D"/>
    <w:rsid w:val="0DE63300"/>
    <w:rsid w:val="0E23065E"/>
    <w:rsid w:val="0E527771"/>
    <w:rsid w:val="0E5C414B"/>
    <w:rsid w:val="0E73034D"/>
    <w:rsid w:val="0E9535E9"/>
    <w:rsid w:val="0E9815C4"/>
    <w:rsid w:val="0E9B081A"/>
    <w:rsid w:val="0EA64FC6"/>
    <w:rsid w:val="0EDD3C16"/>
    <w:rsid w:val="0EEC1973"/>
    <w:rsid w:val="0EFE5203"/>
    <w:rsid w:val="0F1306A2"/>
    <w:rsid w:val="0F13775A"/>
    <w:rsid w:val="0F1457B6"/>
    <w:rsid w:val="0F360E40"/>
    <w:rsid w:val="0F5F45FE"/>
    <w:rsid w:val="0F7C1DF5"/>
    <w:rsid w:val="0F9A112B"/>
    <w:rsid w:val="0FA31E97"/>
    <w:rsid w:val="0FB46783"/>
    <w:rsid w:val="0FFE358C"/>
    <w:rsid w:val="10022C46"/>
    <w:rsid w:val="100D7DF3"/>
    <w:rsid w:val="10306C16"/>
    <w:rsid w:val="106C51AC"/>
    <w:rsid w:val="106D2F64"/>
    <w:rsid w:val="10747B27"/>
    <w:rsid w:val="10A2678D"/>
    <w:rsid w:val="10B63710"/>
    <w:rsid w:val="10B66513"/>
    <w:rsid w:val="10F10820"/>
    <w:rsid w:val="11084FB0"/>
    <w:rsid w:val="11166833"/>
    <w:rsid w:val="111C2F7A"/>
    <w:rsid w:val="11417E22"/>
    <w:rsid w:val="1158509E"/>
    <w:rsid w:val="11665CA1"/>
    <w:rsid w:val="11D54941"/>
    <w:rsid w:val="12033998"/>
    <w:rsid w:val="127D2E09"/>
    <w:rsid w:val="129B0468"/>
    <w:rsid w:val="12DB2BB5"/>
    <w:rsid w:val="132C233E"/>
    <w:rsid w:val="13457FBA"/>
    <w:rsid w:val="13951726"/>
    <w:rsid w:val="14314D14"/>
    <w:rsid w:val="14396509"/>
    <w:rsid w:val="143A0A8B"/>
    <w:rsid w:val="1477677F"/>
    <w:rsid w:val="14895493"/>
    <w:rsid w:val="14B66BA5"/>
    <w:rsid w:val="14BA313C"/>
    <w:rsid w:val="14DD2C3C"/>
    <w:rsid w:val="150739CC"/>
    <w:rsid w:val="151A0036"/>
    <w:rsid w:val="154D42E7"/>
    <w:rsid w:val="158226E9"/>
    <w:rsid w:val="16087E1D"/>
    <w:rsid w:val="161D7EC3"/>
    <w:rsid w:val="164200CB"/>
    <w:rsid w:val="164877A8"/>
    <w:rsid w:val="16503A74"/>
    <w:rsid w:val="16582EDC"/>
    <w:rsid w:val="167945CD"/>
    <w:rsid w:val="16BA05BA"/>
    <w:rsid w:val="16D244FD"/>
    <w:rsid w:val="16F51E76"/>
    <w:rsid w:val="17701D14"/>
    <w:rsid w:val="17735226"/>
    <w:rsid w:val="17797B1C"/>
    <w:rsid w:val="17B778C2"/>
    <w:rsid w:val="17D70433"/>
    <w:rsid w:val="17D86D38"/>
    <w:rsid w:val="17F35B20"/>
    <w:rsid w:val="18106BE9"/>
    <w:rsid w:val="18920D39"/>
    <w:rsid w:val="189F624C"/>
    <w:rsid w:val="18A32063"/>
    <w:rsid w:val="192D5062"/>
    <w:rsid w:val="1940524F"/>
    <w:rsid w:val="194C7953"/>
    <w:rsid w:val="19773305"/>
    <w:rsid w:val="19AC7BB5"/>
    <w:rsid w:val="19B231FF"/>
    <w:rsid w:val="19D64574"/>
    <w:rsid w:val="19DC4392"/>
    <w:rsid w:val="1A044015"/>
    <w:rsid w:val="1A112C69"/>
    <w:rsid w:val="1A1C66C0"/>
    <w:rsid w:val="1A2E1312"/>
    <w:rsid w:val="1A42393B"/>
    <w:rsid w:val="1A5D1977"/>
    <w:rsid w:val="1A6E387C"/>
    <w:rsid w:val="1A7C0250"/>
    <w:rsid w:val="1AAD45DE"/>
    <w:rsid w:val="1AC733DE"/>
    <w:rsid w:val="1ADC791D"/>
    <w:rsid w:val="1AE67427"/>
    <w:rsid w:val="1B046F80"/>
    <w:rsid w:val="1B1E5757"/>
    <w:rsid w:val="1B220A4F"/>
    <w:rsid w:val="1B3267B5"/>
    <w:rsid w:val="1B40161D"/>
    <w:rsid w:val="1B441859"/>
    <w:rsid w:val="1B490759"/>
    <w:rsid w:val="1B6606B1"/>
    <w:rsid w:val="1B6C0EE8"/>
    <w:rsid w:val="1BC82E20"/>
    <w:rsid w:val="1BE319CE"/>
    <w:rsid w:val="1BEA3ACB"/>
    <w:rsid w:val="1C161DDD"/>
    <w:rsid w:val="1C5D17BA"/>
    <w:rsid w:val="1C5E7925"/>
    <w:rsid w:val="1C734345"/>
    <w:rsid w:val="1C8D4427"/>
    <w:rsid w:val="1CA61FB7"/>
    <w:rsid w:val="1CBC0BD7"/>
    <w:rsid w:val="1CFD070F"/>
    <w:rsid w:val="1D083E1C"/>
    <w:rsid w:val="1D1125A5"/>
    <w:rsid w:val="1D5F6196"/>
    <w:rsid w:val="1D6132A5"/>
    <w:rsid w:val="1D8E56D5"/>
    <w:rsid w:val="1D966B8A"/>
    <w:rsid w:val="1DD61315"/>
    <w:rsid w:val="1DF3463A"/>
    <w:rsid w:val="1E33639B"/>
    <w:rsid w:val="1E4A0464"/>
    <w:rsid w:val="1E5E181A"/>
    <w:rsid w:val="1E7A43DA"/>
    <w:rsid w:val="1EC069E8"/>
    <w:rsid w:val="1EE700E8"/>
    <w:rsid w:val="1EF40F8E"/>
    <w:rsid w:val="1F1A1985"/>
    <w:rsid w:val="1F4E4AA7"/>
    <w:rsid w:val="1F5A6485"/>
    <w:rsid w:val="1F764CB2"/>
    <w:rsid w:val="1F817EB6"/>
    <w:rsid w:val="1FBE0451"/>
    <w:rsid w:val="1FC32C90"/>
    <w:rsid w:val="1FE7539E"/>
    <w:rsid w:val="200A6421"/>
    <w:rsid w:val="203E7C00"/>
    <w:rsid w:val="2059123A"/>
    <w:rsid w:val="205D198D"/>
    <w:rsid w:val="20671BE0"/>
    <w:rsid w:val="20963CB8"/>
    <w:rsid w:val="20A6151C"/>
    <w:rsid w:val="20A81A1B"/>
    <w:rsid w:val="20B07FB6"/>
    <w:rsid w:val="20B646FB"/>
    <w:rsid w:val="20D74AA1"/>
    <w:rsid w:val="20F130D0"/>
    <w:rsid w:val="20F21841"/>
    <w:rsid w:val="20F63D5F"/>
    <w:rsid w:val="211014F1"/>
    <w:rsid w:val="213B74B1"/>
    <w:rsid w:val="215A2310"/>
    <w:rsid w:val="2174799D"/>
    <w:rsid w:val="21D249F9"/>
    <w:rsid w:val="21DE318A"/>
    <w:rsid w:val="21EF5B80"/>
    <w:rsid w:val="221E496E"/>
    <w:rsid w:val="22383484"/>
    <w:rsid w:val="22576990"/>
    <w:rsid w:val="22BD2FB3"/>
    <w:rsid w:val="22C165FF"/>
    <w:rsid w:val="22E2737E"/>
    <w:rsid w:val="22F47480"/>
    <w:rsid w:val="23553472"/>
    <w:rsid w:val="239163C8"/>
    <w:rsid w:val="23DE1C48"/>
    <w:rsid w:val="23DE6D1A"/>
    <w:rsid w:val="240210CD"/>
    <w:rsid w:val="24392B0D"/>
    <w:rsid w:val="24BB5001"/>
    <w:rsid w:val="24BF09F7"/>
    <w:rsid w:val="24CF6FCD"/>
    <w:rsid w:val="24D868BF"/>
    <w:rsid w:val="24FA6740"/>
    <w:rsid w:val="250801A7"/>
    <w:rsid w:val="252D53FE"/>
    <w:rsid w:val="25393FD3"/>
    <w:rsid w:val="25397A98"/>
    <w:rsid w:val="25447125"/>
    <w:rsid w:val="25EC2D81"/>
    <w:rsid w:val="25FC61FD"/>
    <w:rsid w:val="267C4F33"/>
    <w:rsid w:val="26BD2C6B"/>
    <w:rsid w:val="26D3135F"/>
    <w:rsid w:val="26DB1BD7"/>
    <w:rsid w:val="2702368A"/>
    <w:rsid w:val="277057A2"/>
    <w:rsid w:val="27767BD4"/>
    <w:rsid w:val="281D44F4"/>
    <w:rsid w:val="281D4676"/>
    <w:rsid w:val="2839080E"/>
    <w:rsid w:val="284E480F"/>
    <w:rsid w:val="285C7D55"/>
    <w:rsid w:val="289F108A"/>
    <w:rsid w:val="28C11323"/>
    <w:rsid w:val="28DB5305"/>
    <w:rsid w:val="28E9419A"/>
    <w:rsid w:val="28EE7325"/>
    <w:rsid w:val="290849F3"/>
    <w:rsid w:val="29206EB8"/>
    <w:rsid w:val="29595666"/>
    <w:rsid w:val="29874881"/>
    <w:rsid w:val="298A17EC"/>
    <w:rsid w:val="298A7967"/>
    <w:rsid w:val="29C44EA5"/>
    <w:rsid w:val="29E325E0"/>
    <w:rsid w:val="2A2B5E5C"/>
    <w:rsid w:val="2A452503"/>
    <w:rsid w:val="2A5833C3"/>
    <w:rsid w:val="2A773078"/>
    <w:rsid w:val="2AAE77E7"/>
    <w:rsid w:val="2ABD7B7D"/>
    <w:rsid w:val="2B154C70"/>
    <w:rsid w:val="2B4C581C"/>
    <w:rsid w:val="2B4F2D00"/>
    <w:rsid w:val="2B6C37C8"/>
    <w:rsid w:val="2B72520D"/>
    <w:rsid w:val="2B916DFE"/>
    <w:rsid w:val="2B9F23B4"/>
    <w:rsid w:val="2BA936A8"/>
    <w:rsid w:val="2BB53A7F"/>
    <w:rsid w:val="2BC272BF"/>
    <w:rsid w:val="2BC91DEF"/>
    <w:rsid w:val="2C275941"/>
    <w:rsid w:val="2C293F03"/>
    <w:rsid w:val="2C315A5A"/>
    <w:rsid w:val="2C4B1C25"/>
    <w:rsid w:val="2C604777"/>
    <w:rsid w:val="2CD11238"/>
    <w:rsid w:val="2CF708B9"/>
    <w:rsid w:val="2D095047"/>
    <w:rsid w:val="2D2500D2"/>
    <w:rsid w:val="2D991EA7"/>
    <w:rsid w:val="2D99461C"/>
    <w:rsid w:val="2D9E56F5"/>
    <w:rsid w:val="2DB925F5"/>
    <w:rsid w:val="2DC83813"/>
    <w:rsid w:val="2DD41AF8"/>
    <w:rsid w:val="2E2A2166"/>
    <w:rsid w:val="2E667F96"/>
    <w:rsid w:val="2E8226AB"/>
    <w:rsid w:val="2E932EBE"/>
    <w:rsid w:val="2E9D638E"/>
    <w:rsid w:val="2EEE0998"/>
    <w:rsid w:val="2F106F89"/>
    <w:rsid w:val="2F115F90"/>
    <w:rsid w:val="2F234EAE"/>
    <w:rsid w:val="2F3E36CD"/>
    <w:rsid w:val="2F4866CE"/>
    <w:rsid w:val="2FA96269"/>
    <w:rsid w:val="2FD065E6"/>
    <w:rsid w:val="2FD13178"/>
    <w:rsid w:val="2FD96870"/>
    <w:rsid w:val="301B57BD"/>
    <w:rsid w:val="30405223"/>
    <w:rsid w:val="30450EC9"/>
    <w:rsid w:val="30561E20"/>
    <w:rsid w:val="30580BC9"/>
    <w:rsid w:val="30911F12"/>
    <w:rsid w:val="30921B3C"/>
    <w:rsid w:val="309B73E4"/>
    <w:rsid w:val="30DD6966"/>
    <w:rsid w:val="310820C5"/>
    <w:rsid w:val="311E2ED7"/>
    <w:rsid w:val="313B2BFB"/>
    <w:rsid w:val="315619EE"/>
    <w:rsid w:val="315C449C"/>
    <w:rsid w:val="316A69FC"/>
    <w:rsid w:val="319D4C6E"/>
    <w:rsid w:val="31B82709"/>
    <w:rsid w:val="31C966E0"/>
    <w:rsid w:val="31D05482"/>
    <w:rsid w:val="31E77D6E"/>
    <w:rsid w:val="31F84F28"/>
    <w:rsid w:val="32222E32"/>
    <w:rsid w:val="322A618B"/>
    <w:rsid w:val="32400B34"/>
    <w:rsid w:val="324C4352"/>
    <w:rsid w:val="329E6876"/>
    <w:rsid w:val="331550D9"/>
    <w:rsid w:val="333015F2"/>
    <w:rsid w:val="334B6320"/>
    <w:rsid w:val="3369683F"/>
    <w:rsid w:val="33A749E0"/>
    <w:rsid w:val="33A81036"/>
    <w:rsid w:val="33D934D4"/>
    <w:rsid w:val="33F1329E"/>
    <w:rsid w:val="33FE2F6A"/>
    <w:rsid w:val="34015D57"/>
    <w:rsid w:val="34076784"/>
    <w:rsid w:val="340E07E5"/>
    <w:rsid w:val="34235BF7"/>
    <w:rsid w:val="34296DE6"/>
    <w:rsid w:val="342F7A89"/>
    <w:rsid w:val="350678BF"/>
    <w:rsid w:val="351F6D34"/>
    <w:rsid w:val="3545783E"/>
    <w:rsid w:val="35656A6F"/>
    <w:rsid w:val="35842ACF"/>
    <w:rsid w:val="3585619F"/>
    <w:rsid w:val="358C5FA8"/>
    <w:rsid w:val="35C15DF1"/>
    <w:rsid w:val="36074A7F"/>
    <w:rsid w:val="36121410"/>
    <w:rsid w:val="36177C25"/>
    <w:rsid w:val="36923549"/>
    <w:rsid w:val="36931EEA"/>
    <w:rsid w:val="36B75FBF"/>
    <w:rsid w:val="36BD0C45"/>
    <w:rsid w:val="37223F82"/>
    <w:rsid w:val="37572AA5"/>
    <w:rsid w:val="37E00298"/>
    <w:rsid w:val="37E70466"/>
    <w:rsid w:val="38286CC9"/>
    <w:rsid w:val="38B302F9"/>
    <w:rsid w:val="38BD38B5"/>
    <w:rsid w:val="38C40F69"/>
    <w:rsid w:val="38F12CD3"/>
    <w:rsid w:val="38F94775"/>
    <w:rsid w:val="391858B6"/>
    <w:rsid w:val="392971ED"/>
    <w:rsid w:val="39325651"/>
    <w:rsid w:val="398D31A4"/>
    <w:rsid w:val="3A3D6694"/>
    <w:rsid w:val="3A836438"/>
    <w:rsid w:val="3A872856"/>
    <w:rsid w:val="3AB31219"/>
    <w:rsid w:val="3AF903BE"/>
    <w:rsid w:val="3B052403"/>
    <w:rsid w:val="3B1874C8"/>
    <w:rsid w:val="3B192AA3"/>
    <w:rsid w:val="3B3140E6"/>
    <w:rsid w:val="3B3763D1"/>
    <w:rsid w:val="3B3836C7"/>
    <w:rsid w:val="3B4C5F8A"/>
    <w:rsid w:val="3B4E4C98"/>
    <w:rsid w:val="3B8C1F66"/>
    <w:rsid w:val="3BC46D08"/>
    <w:rsid w:val="3C12170A"/>
    <w:rsid w:val="3C2F6E1E"/>
    <w:rsid w:val="3C4F64BA"/>
    <w:rsid w:val="3CDA245A"/>
    <w:rsid w:val="3D1E06B7"/>
    <w:rsid w:val="3DA45E91"/>
    <w:rsid w:val="3DB20FFB"/>
    <w:rsid w:val="3E644E73"/>
    <w:rsid w:val="3EBD6A03"/>
    <w:rsid w:val="3EDA0523"/>
    <w:rsid w:val="3EE03D7A"/>
    <w:rsid w:val="3EE9669D"/>
    <w:rsid w:val="3F133E6F"/>
    <w:rsid w:val="3F1760B6"/>
    <w:rsid w:val="3F3917BB"/>
    <w:rsid w:val="3F580242"/>
    <w:rsid w:val="3F582DB4"/>
    <w:rsid w:val="3F75355D"/>
    <w:rsid w:val="3FC419CD"/>
    <w:rsid w:val="3FE1257F"/>
    <w:rsid w:val="401E2B79"/>
    <w:rsid w:val="4033339C"/>
    <w:rsid w:val="407A6407"/>
    <w:rsid w:val="4088099B"/>
    <w:rsid w:val="40C41DC9"/>
    <w:rsid w:val="40CD665F"/>
    <w:rsid w:val="40E045E4"/>
    <w:rsid w:val="40E52E65"/>
    <w:rsid w:val="40FB4B2B"/>
    <w:rsid w:val="40FD50EC"/>
    <w:rsid w:val="410641B1"/>
    <w:rsid w:val="410F0A26"/>
    <w:rsid w:val="41156ECA"/>
    <w:rsid w:val="4162149D"/>
    <w:rsid w:val="41B658F6"/>
    <w:rsid w:val="41F74BB1"/>
    <w:rsid w:val="4200449D"/>
    <w:rsid w:val="42191A02"/>
    <w:rsid w:val="423630DF"/>
    <w:rsid w:val="423669F9"/>
    <w:rsid w:val="423906AC"/>
    <w:rsid w:val="423A3BCC"/>
    <w:rsid w:val="424E57D2"/>
    <w:rsid w:val="429A4C67"/>
    <w:rsid w:val="42A96E2B"/>
    <w:rsid w:val="42AE0368"/>
    <w:rsid w:val="42B15B0D"/>
    <w:rsid w:val="42B26C49"/>
    <w:rsid w:val="42C86039"/>
    <w:rsid w:val="4317351F"/>
    <w:rsid w:val="43244531"/>
    <w:rsid w:val="433A6FE6"/>
    <w:rsid w:val="43480868"/>
    <w:rsid w:val="4350713C"/>
    <w:rsid w:val="436653E0"/>
    <w:rsid w:val="43682E0C"/>
    <w:rsid w:val="438048CA"/>
    <w:rsid w:val="43882D11"/>
    <w:rsid w:val="43AD6002"/>
    <w:rsid w:val="43C4431A"/>
    <w:rsid w:val="44230306"/>
    <w:rsid w:val="44626CD7"/>
    <w:rsid w:val="44B951CC"/>
    <w:rsid w:val="44CD14E0"/>
    <w:rsid w:val="44F20B0B"/>
    <w:rsid w:val="452E5F4C"/>
    <w:rsid w:val="454E294E"/>
    <w:rsid w:val="45612018"/>
    <w:rsid w:val="456926CF"/>
    <w:rsid w:val="45743CD1"/>
    <w:rsid w:val="458946E9"/>
    <w:rsid w:val="45921C25"/>
    <w:rsid w:val="459A5BC5"/>
    <w:rsid w:val="45A47C0E"/>
    <w:rsid w:val="46066D89"/>
    <w:rsid w:val="461D4BCB"/>
    <w:rsid w:val="462B4EBD"/>
    <w:rsid w:val="46577FD6"/>
    <w:rsid w:val="46B02CAB"/>
    <w:rsid w:val="46B30DE6"/>
    <w:rsid w:val="46D955A7"/>
    <w:rsid w:val="47133957"/>
    <w:rsid w:val="474653BD"/>
    <w:rsid w:val="474C247C"/>
    <w:rsid w:val="475A13D1"/>
    <w:rsid w:val="47664E5A"/>
    <w:rsid w:val="47837A0B"/>
    <w:rsid w:val="47A07E0C"/>
    <w:rsid w:val="47A57C43"/>
    <w:rsid w:val="47E50E6D"/>
    <w:rsid w:val="481D6B0C"/>
    <w:rsid w:val="481E1E96"/>
    <w:rsid w:val="4870272E"/>
    <w:rsid w:val="489E2BB7"/>
    <w:rsid w:val="48D54149"/>
    <w:rsid w:val="49C12AD9"/>
    <w:rsid w:val="49C67075"/>
    <w:rsid w:val="49DC7715"/>
    <w:rsid w:val="4A023139"/>
    <w:rsid w:val="4A2D63C1"/>
    <w:rsid w:val="4A5348DA"/>
    <w:rsid w:val="4A5E43CE"/>
    <w:rsid w:val="4A782B32"/>
    <w:rsid w:val="4A7B576F"/>
    <w:rsid w:val="4AC72E43"/>
    <w:rsid w:val="4AE5022F"/>
    <w:rsid w:val="4AF561A9"/>
    <w:rsid w:val="4AFE2517"/>
    <w:rsid w:val="4B490E00"/>
    <w:rsid w:val="4B4B2FA2"/>
    <w:rsid w:val="4B5A31E5"/>
    <w:rsid w:val="4B7A5635"/>
    <w:rsid w:val="4BB3672C"/>
    <w:rsid w:val="4BC92119"/>
    <w:rsid w:val="4BCF37CF"/>
    <w:rsid w:val="4C0A1256"/>
    <w:rsid w:val="4C1D5D6C"/>
    <w:rsid w:val="4C3C5B7B"/>
    <w:rsid w:val="4C4A0649"/>
    <w:rsid w:val="4C642554"/>
    <w:rsid w:val="4C7E5ECA"/>
    <w:rsid w:val="4C876AA5"/>
    <w:rsid w:val="4C8E4096"/>
    <w:rsid w:val="4CD601D5"/>
    <w:rsid w:val="4D0E00FB"/>
    <w:rsid w:val="4D1473C4"/>
    <w:rsid w:val="4D176606"/>
    <w:rsid w:val="4D3B2BA3"/>
    <w:rsid w:val="4DDC6C4C"/>
    <w:rsid w:val="4DEC4FB0"/>
    <w:rsid w:val="4E075D8A"/>
    <w:rsid w:val="4E1C6F66"/>
    <w:rsid w:val="4E2732FE"/>
    <w:rsid w:val="4E3C2431"/>
    <w:rsid w:val="4E517E06"/>
    <w:rsid w:val="4E712D20"/>
    <w:rsid w:val="4EBD41B7"/>
    <w:rsid w:val="4EC00FAD"/>
    <w:rsid w:val="4EF35686"/>
    <w:rsid w:val="4F5968F5"/>
    <w:rsid w:val="4F9843DC"/>
    <w:rsid w:val="4FA9329B"/>
    <w:rsid w:val="4FB70C06"/>
    <w:rsid w:val="4FC62A8C"/>
    <w:rsid w:val="4FD55FA1"/>
    <w:rsid w:val="4FE20F0D"/>
    <w:rsid w:val="4FE51552"/>
    <w:rsid w:val="50125E3D"/>
    <w:rsid w:val="50504C4B"/>
    <w:rsid w:val="509C6E7C"/>
    <w:rsid w:val="50A30FF0"/>
    <w:rsid w:val="50C50530"/>
    <w:rsid w:val="50FD4D3F"/>
    <w:rsid w:val="513444D8"/>
    <w:rsid w:val="51475FBA"/>
    <w:rsid w:val="5162104E"/>
    <w:rsid w:val="5162517B"/>
    <w:rsid w:val="51BB273D"/>
    <w:rsid w:val="51BC0756"/>
    <w:rsid w:val="51C94C21"/>
    <w:rsid w:val="51E036BA"/>
    <w:rsid w:val="5204227D"/>
    <w:rsid w:val="52051E65"/>
    <w:rsid w:val="52B61649"/>
    <w:rsid w:val="53576105"/>
    <w:rsid w:val="53670B95"/>
    <w:rsid w:val="53A039CC"/>
    <w:rsid w:val="53A1505A"/>
    <w:rsid w:val="54063E08"/>
    <w:rsid w:val="54111402"/>
    <w:rsid w:val="543437E8"/>
    <w:rsid w:val="546A2443"/>
    <w:rsid w:val="54D07B4B"/>
    <w:rsid w:val="54DD0B09"/>
    <w:rsid w:val="54F73313"/>
    <w:rsid w:val="54F80955"/>
    <w:rsid w:val="551461C7"/>
    <w:rsid w:val="551F0D2D"/>
    <w:rsid w:val="554027C6"/>
    <w:rsid w:val="5540344C"/>
    <w:rsid w:val="554A3B63"/>
    <w:rsid w:val="555170A7"/>
    <w:rsid w:val="55693C74"/>
    <w:rsid w:val="5587536D"/>
    <w:rsid w:val="559B174B"/>
    <w:rsid w:val="55B81234"/>
    <w:rsid w:val="55CE0CF4"/>
    <w:rsid w:val="55CE3C8F"/>
    <w:rsid w:val="561F12B3"/>
    <w:rsid w:val="56410EA1"/>
    <w:rsid w:val="56620FEE"/>
    <w:rsid w:val="56665134"/>
    <w:rsid w:val="56AB3EA2"/>
    <w:rsid w:val="56B22A9C"/>
    <w:rsid w:val="56F61955"/>
    <w:rsid w:val="571E156B"/>
    <w:rsid w:val="574F5BC8"/>
    <w:rsid w:val="5780080A"/>
    <w:rsid w:val="579F6DCF"/>
    <w:rsid w:val="57B72A76"/>
    <w:rsid w:val="57C3426C"/>
    <w:rsid w:val="57CE11E3"/>
    <w:rsid w:val="57CE1F93"/>
    <w:rsid w:val="57F86260"/>
    <w:rsid w:val="5818245E"/>
    <w:rsid w:val="58256929"/>
    <w:rsid w:val="588743D1"/>
    <w:rsid w:val="5887701A"/>
    <w:rsid w:val="58AF6302"/>
    <w:rsid w:val="58BB2D31"/>
    <w:rsid w:val="58F85B1E"/>
    <w:rsid w:val="58FA6008"/>
    <w:rsid w:val="591300EB"/>
    <w:rsid w:val="59254E33"/>
    <w:rsid w:val="595B59B4"/>
    <w:rsid w:val="5981499D"/>
    <w:rsid w:val="59851D75"/>
    <w:rsid w:val="59C0439F"/>
    <w:rsid w:val="59EF3692"/>
    <w:rsid w:val="5A142D51"/>
    <w:rsid w:val="5A7F67C4"/>
    <w:rsid w:val="5A837DE0"/>
    <w:rsid w:val="5AA25D57"/>
    <w:rsid w:val="5ABE2233"/>
    <w:rsid w:val="5AD703AE"/>
    <w:rsid w:val="5AE8158A"/>
    <w:rsid w:val="5AF043CF"/>
    <w:rsid w:val="5B0C7A54"/>
    <w:rsid w:val="5B1306B9"/>
    <w:rsid w:val="5B8F0C89"/>
    <w:rsid w:val="5B95685F"/>
    <w:rsid w:val="5BA55F45"/>
    <w:rsid w:val="5BB5655B"/>
    <w:rsid w:val="5BDF5D95"/>
    <w:rsid w:val="5BFE7528"/>
    <w:rsid w:val="5C6F4B2A"/>
    <w:rsid w:val="5C835514"/>
    <w:rsid w:val="5CCA2F37"/>
    <w:rsid w:val="5CE8399D"/>
    <w:rsid w:val="5DC44013"/>
    <w:rsid w:val="5DC81954"/>
    <w:rsid w:val="5DFC03EB"/>
    <w:rsid w:val="5E2467F1"/>
    <w:rsid w:val="5E447A06"/>
    <w:rsid w:val="5E541E21"/>
    <w:rsid w:val="5E5835B4"/>
    <w:rsid w:val="5E8E6D0A"/>
    <w:rsid w:val="5E9B4F41"/>
    <w:rsid w:val="5EA031AD"/>
    <w:rsid w:val="5F1A2B43"/>
    <w:rsid w:val="5F514973"/>
    <w:rsid w:val="5F65123A"/>
    <w:rsid w:val="5F8B5C0B"/>
    <w:rsid w:val="5FB837BB"/>
    <w:rsid w:val="5FC23040"/>
    <w:rsid w:val="601654D5"/>
    <w:rsid w:val="60485733"/>
    <w:rsid w:val="608F5287"/>
    <w:rsid w:val="60CC405A"/>
    <w:rsid w:val="6126799A"/>
    <w:rsid w:val="6138458B"/>
    <w:rsid w:val="61C471B3"/>
    <w:rsid w:val="61DE64C6"/>
    <w:rsid w:val="61E215D8"/>
    <w:rsid w:val="621B3775"/>
    <w:rsid w:val="62364782"/>
    <w:rsid w:val="623F34E4"/>
    <w:rsid w:val="627B33BA"/>
    <w:rsid w:val="62A0377C"/>
    <w:rsid w:val="62BE4836"/>
    <w:rsid w:val="62E0626E"/>
    <w:rsid w:val="63751105"/>
    <w:rsid w:val="637A3FCD"/>
    <w:rsid w:val="638862BD"/>
    <w:rsid w:val="6394356A"/>
    <w:rsid w:val="63BA086D"/>
    <w:rsid w:val="63C61B2C"/>
    <w:rsid w:val="63D40BE9"/>
    <w:rsid w:val="64102431"/>
    <w:rsid w:val="64210370"/>
    <w:rsid w:val="64A5243A"/>
    <w:rsid w:val="64F051DE"/>
    <w:rsid w:val="64F531DE"/>
    <w:rsid w:val="6501217F"/>
    <w:rsid w:val="651F307E"/>
    <w:rsid w:val="65332E77"/>
    <w:rsid w:val="65373578"/>
    <w:rsid w:val="65500A9D"/>
    <w:rsid w:val="656767D3"/>
    <w:rsid w:val="65866144"/>
    <w:rsid w:val="65B732B6"/>
    <w:rsid w:val="66003666"/>
    <w:rsid w:val="667E0A9B"/>
    <w:rsid w:val="66A03D4A"/>
    <w:rsid w:val="66E65429"/>
    <w:rsid w:val="671F124A"/>
    <w:rsid w:val="67742476"/>
    <w:rsid w:val="677A33C6"/>
    <w:rsid w:val="67801DFD"/>
    <w:rsid w:val="67962E45"/>
    <w:rsid w:val="67D97CAA"/>
    <w:rsid w:val="681F6961"/>
    <w:rsid w:val="68610A2F"/>
    <w:rsid w:val="68614624"/>
    <w:rsid w:val="68805514"/>
    <w:rsid w:val="68C55CEA"/>
    <w:rsid w:val="68D66B8C"/>
    <w:rsid w:val="69054339"/>
    <w:rsid w:val="69316E2F"/>
    <w:rsid w:val="694B6269"/>
    <w:rsid w:val="694E2071"/>
    <w:rsid w:val="69601EB7"/>
    <w:rsid w:val="69766163"/>
    <w:rsid w:val="697A3B33"/>
    <w:rsid w:val="699B2EEF"/>
    <w:rsid w:val="69D44760"/>
    <w:rsid w:val="69DE0CFA"/>
    <w:rsid w:val="6A360376"/>
    <w:rsid w:val="6A520EC7"/>
    <w:rsid w:val="6A8A217F"/>
    <w:rsid w:val="6AB56E10"/>
    <w:rsid w:val="6AF87E20"/>
    <w:rsid w:val="6B120F8F"/>
    <w:rsid w:val="6B166B81"/>
    <w:rsid w:val="6B182A49"/>
    <w:rsid w:val="6B322639"/>
    <w:rsid w:val="6B526D02"/>
    <w:rsid w:val="6BCE7271"/>
    <w:rsid w:val="6C4B2FCE"/>
    <w:rsid w:val="6C605136"/>
    <w:rsid w:val="6C636C38"/>
    <w:rsid w:val="6C6E0447"/>
    <w:rsid w:val="6C856BF4"/>
    <w:rsid w:val="6CAF38B6"/>
    <w:rsid w:val="6CEE4BEB"/>
    <w:rsid w:val="6D3C22F3"/>
    <w:rsid w:val="6D655433"/>
    <w:rsid w:val="6DB34098"/>
    <w:rsid w:val="6DB545B6"/>
    <w:rsid w:val="6DE02FB4"/>
    <w:rsid w:val="6E3F7FEA"/>
    <w:rsid w:val="6E514CED"/>
    <w:rsid w:val="6E786F03"/>
    <w:rsid w:val="6EB563D5"/>
    <w:rsid w:val="6ED92677"/>
    <w:rsid w:val="6F225983"/>
    <w:rsid w:val="6F6A75EB"/>
    <w:rsid w:val="6F6C4631"/>
    <w:rsid w:val="6F7837F0"/>
    <w:rsid w:val="6F866F03"/>
    <w:rsid w:val="6F96218E"/>
    <w:rsid w:val="6FD260B9"/>
    <w:rsid w:val="6FDB5DF3"/>
    <w:rsid w:val="6FFC5590"/>
    <w:rsid w:val="70001CFE"/>
    <w:rsid w:val="70396783"/>
    <w:rsid w:val="70531E2E"/>
    <w:rsid w:val="706D1DD0"/>
    <w:rsid w:val="70856B87"/>
    <w:rsid w:val="709C46BD"/>
    <w:rsid w:val="70D527EE"/>
    <w:rsid w:val="70D77780"/>
    <w:rsid w:val="711C66C3"/>
    <w:rsid w:val="715B5300"/>
    <w:rsid w:val="71665B90"/>
    <w:rsid w:val="71844269"/>
    <w:rsid w:val="71D27F8A"/>
    <w:rsid w:val="7249173A"/>
    <w:rsid w:val="724F2AC9"/>
    <w:rsid w:val="72553024"/>
    <w:rsid w:val="72556331"/>
    <w:rsid w:val="7256768E"/>
    <w:rsid w:val="72CA214F"/>
    <w:rsid w:val="72DD6326"/>
    <w:rsid w:val="730F7D02"/>
    <w:rsid w:val="731004AA"/>
    <w:rsid w:val="73122968"/>
    <w:rsid w:val="731F5D5E"/>
    <w:rsid w:val="73365276"/>
    <w:rsid w:val="734824D7"/>
    <w:rsid w:val="73726A6F"/>
    <w:rsid w:val="7383063E"/>
    <w:rsid w:val="738616CD"/>
    <w:rsid w:val="7395275D"/>
    <w:rsid w:val="73AF2BF8"/>
    <w:rsid w:val="73C51AD5"/>
    <w:rsid w:val="741E793C"/>
    <w:rsid w:val="744F3BE1"/>
    <w:rsid w:val="745E3944"/>
    <w:rsid w:val="746E4B9F"/>
    <w:rsid w:val="74C06BF7"/>
    <w:rsid w:val="755E374E"/>
    <w:rsid w:val="75973B10"/>
    <w:rsid w:val="75CF1DAB"/>
    <w:rsid w:val="75FB11BD"/>
    <w:rsid w:val="762460AB"/>
    <w:rsid w:val="7635099D"/>
    <w:rsid w:val="76635F6A"/>
    <w:rsid w:val="768537A4"/>
    <w:rsid w:val="76A333E3"/>
    <w:rsid w:val="76AC2297"/>
    <w:rsid w:val="76BE4966"/>
    <w:rsid w:val="771C6D01"/>
    <w:rsid w:val="77202EE9"/>
    <w:rsid w:val="773D55E5"/>
    <w:rsid w:val="775841CD"/>
    <w:rsid w:val="77762421"/>
    <w:rsid w:val="77992864"/>
    <w:rsid w:val="77996CC0"/>
    <w:rsid w:val="77B56B1F"/>
    <w:rsid w:val="77B84C6C"/>
    <w:rsid w:val="780879A1"/>
    <w:rsid w:val="780F09F4"/>
    <w:rsid w:val="78393FFF"/>
    <w:rsid w:val="783B67B7"/>
    <w:rsid w:val="78717FF1"/>
    <w:rsid w:val="78A90480"/>
    <w:rsid w:val="78BC427F"/>
    <w:rsid w:val="78CC7378"/>
    <w:rsid w:val="78DF4BA6"/>
    <w:rsid w:val="791E55C6"/>
    <w:rsid w:val="794A1E46"/>
    <w:rsid w:val="794B3FEA"/>
    <w:rsid w:val="79557734"/>
    <w:rsid w:val="798718D5"/>
    <w:rsid w:val="79E31F2E"/>
    <w:rsid w:val="79FE311B"/>
    <w:rsid w:val="7A26386C"/>
    <w:rsid w:val="7A28761C"/>
    <w:rsid w:val="7A364017"/>
    <w:rsid w:val="7A8265E1"/>
    <w:rsid w:val="7A8E7335"/>
    <w:rsid w:val="7AC442D1"/>
    <w:rsid w:val="7B073F40"/>
    <w:rsid w:val="7B0F1047"/>
    <w:rsid w:val="7B1D148C"/>
    <w:rsid w:val="7B3F2E54"/>
    <w:rsid w:val="7B4A207F"/>
    <w:rsid w:val="7B4D4CB9"/>
    <w:rsid w:val="7B5D3CC6"/>
    <w:rsid w:val="7B686D42"/>
    <w:rsid w:val="7B7159BF"/>
    <w:rsid w:val="7B841746"/>
    <w:rsid w:val="7B8A49CA"/>
    <w:rsid w:val="7C550E3D"/>
    <w:rsid w:val="7C557D79"/>
    <w:rsid w:val="7C6B49A3"/>
    <w:rsid w:val="7C6C5AC7"/>
    <w:rsid w:val="7C725D31"/>
    <w:rsid w:val="7CC6544B"/>
    <w:rsid w:val="7CD27BC1"/>
    <w:rsid w:val="7CF06830"/>
    <w:rsid w:val="7D012C11"/>
    <w:rsid w:val="7D0239FF"/>
    <w:rsid w:val="7D067174"/>
    <w:rsid w:val="7D293218"/>
    <w:rsid w:val="7D2F2B3D"/>
    <w:rsid w:val="7D3840D7"/>
    <w:rsid w:val="7D444E5B"/>
    <w:rsid w:val="7D4A26D8"/>
    <w:rsid w:val="7D4D1DE7"/>
    <w:rsid w:val="7D5E40CD"/>
    <w:rsid w:val="7D6531A0"/>
    <w:rsid w:val="7D821FA4"/>
    <w:rsid w:val="7DBC0E06"/>
    <w:rsid w:val="7DC33E9A"/>
    <w:rsid w:val="7DCD56F2"/>
    <w:rsid w:val="7E024E93"/>
    <w:rsid w:val="7E220BE7"/>
    <w:rsid w:val="7E40695C"/>
    <w:rsid w:val="7E8D5881"/>
    <w:rsid w:val="7EB263E0"/>
    <w:rsid w:val="7EC94B0B"/>
    <w:rsid w:val="7ED96DCF"/>
    <w:rsid w:val="7EE54599"/>
    <w:rsid w:val="7EE82723"/>
    <w:rsid w:val="7EF35991"/>
    <w:rsid w:val="7F001CE7"/>
    <w:rsid w:val="7F1D01D6"/>
    <w:rsid w:val="7F62208D"/>
    <w:rsid w:val="7F95799F"/>
    <w:rsid w:val="7FAD01F2"/>
    <w:rsid w:val="7FE47E50"/>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nhideWhenUsed="0" w:uiPriority="0" w:semiHidden="0" w:name="heading 3" w:locked="1"/>
    <w:lsdException w:qFormat="1" w:unhideWhenUsed="0" w:uiPriority="9" w:semiHidden="0" w:name="heading 4" w:locked="1"/>
    <w:lsdException w:qFormat="1" w:unhideWhenUsed="0" w:uiPriority="1"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iPriority="99"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3"/>
    <w:basedOn w:val="1"/>
    <w:next w:val="1"/>
    <w:qFormat/>
    <w:locked/>
    <w:uiPriority w:val="0"/>
    <w:pPr>
      <w:keepNext/>
      <w:keepLines/>
      <w:spacing w:before="260" w:after="260" w:line="416" w:lineRule="auto"/>
      <w:outlineLvl w:val="2"/>
    </w:pPr>
    <w:rPr>
      <w:b/>
      <w:bCs/>
      <w:sz w:val="32"/>
      <w:szCs w:val="32"/>
    </w:rPr>
  </w:style>
  <w:style w:type="paragraph" w:styleId="4">
    <w:name w:val="heading 4"/>
    <w:basedOn w:val="1"/>
    <w:next w:val="1"/>
    <w:qFormat/>
    <w:locked/>
    <w:uiPriority w:val="9"/>
    <w:pPr>
      <w:keepNext/>
      <w:keepLines/>
      <w:spacing w:before="280" w:after="290" w:line="372" w:lineRule="auto"/>
      <w:outlineLvl w:val="3"/>
    </w:pPr>
    <w:rPr>
      <w:rFonts w:ascii="Arial" w:hAnsi="Arial" w:eastAsia="黑体"/>
      <w:b/>
    </w:rPr>
  </w:style>
  <w:style w:type="paragraph" w:styleId="5">
    <w:name w:val="heading 5"/>
    <w:basedOn w:val="1"/>
    <w:next w:val="1"/>
    <w:qFormat/>
    <w:locked/>
    <w:uiPriority w:val="1"/>
    <w:pPr>
      <w:keepNext/>
      <w:keepLines/>
      <w:spacing w:before="280" w:after="290" w:line="376" w:lineRule="auto"/>
      <w:outlineLvl w:val="4"/>
    </w:pPr>
    <w:rPr>
      <w:b/>
      <w:bCs/>
      <w:sz w:val="28"/>
      <w:szCs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7"/>
    <w:autoRedefine/>
    <w:qFormat/>
    <w:locked/>
    <w:uiPriority w:val="99"/>
    <w:pPr>
      <w:ind w:firstLine="420" w:firstLineChars="200"/>
    </w:pPr>
  </w:style>
  <w:style w:type="paragraph" w:styleId="7">
    <w:name w:val="Body Text First Indent 2"/>
    <w:basedOn w:val="8"/>
    <w:next w:val="1"/>
    <w:autoRedefine/>
    <w:qFormat/>
    <w:locked/>
    <w:uiPriority w:val="0"/>
    <w:pPr>
      <w:ind w:firstLine="420"/>
    </w:pPr>
  </w:style>
  <w:style w:type="paragraph" w:styleId="8">
    <w:name w:val="Body Text Indent"/>
    <w:basedOn w:val="1"/>
    <w:next w:val="9"/>
    <w:link w:val="51"/>
    <w:autoRedefine/>
    <w:qFormat/>
    <w:uiPriority w:val="0"/>
    <w:pPr>
      <w:spacing w:after="120"/>
      <w:ind w:left="420" w:leftChars="200"/>
    </w:pPr>
    <w:rPr>
      <w:kern w:val="0"/>
      <w:sz w:val="24"/>
      <w:szCs w:val="20"/>
    </w:rPr>
  </w:style>
  <w:style w:type="paragraph" w:styleId="9">
    <w:name w:val="Body Text Indent 2"/>
    <w:basedOn w:val="1"/>
    <w:next w:val="7"/>
    <w:autoRedefine/>
    <w:qFormat/>
    <w:locked/>
    <w:uiPriority w:val="0"/>
    <w:pPr>
      <w:spacing w:line="400" w:lineRule="exact"/>
      <w:ind w:firstLine="573"/>
    </w:pPr>
    <w:rPr>
      <w:rFonts w:ascii="宋体" w:hAnsi="宋体"/>
      <w:sz w:val="28"/>
    </w:rPr>
  </w:style>
  <w:style w:type="paragraph" w:styleId="10">
    <w:name w:val="caption"/>
    <w:basedOn w:val="1"/>
    <w:next w:val="1"/>
    <w:autoRedefine/>
    <w:qFormat/>
    <w:locked/>
    <w:uiPriority w:val="0"/>
    <w:pPr>
      <w:spacing w:before="120" w:line="360" w:lineRule="auto"/>
      <w:jc w:val="center"/>
    </w:pPr>
    <w:rPr>
      <w:rFonts w:eastAsia="黑体"/>
      <w:szCs w:val="20"/>
    </w:rPr>
  </w:style>
  <w:style w:type="paragraph" w:styleId="11">
    <w:name w:val="annotation text"/>
    <w:basedOn w:val="1"/>
    <w:link w:val="49"/>
    <w:autoRedefine/>
    <w:semiHidden/>
    <w:qFormat/>
    <w:uiPriority w:val="0"/>
    <w:pPr>
      <w:jc w:val="left"/>
    </w:pPr>
    <w:rPr>
      <w:kern w:val="0"/>
      <w:sz w:val="24"/>
      <w:szCs w:val="20"/>
    </w:rPr>
  </w:style>
  <w:style w:type="paragraph" w:styleId="12">
    <w:name w:val="Body Text"/>
    <w:basedOn w:val="1"/>
    <w:link w:val="50"/>
    <w:autoRedefine/>
    <w:qFormat/>
    <w:uiPriority w:val="0"/>
    <w:pPr>
      <w:widowControl/>
      <w:snapToGrid w:val="0"/>
      <w:spacing w:before="60" w:after="160" w:line="259" w:lineRule="auto"/>
      <w:ind w:right="113"/>
    </w:pPr>
    <w:rPr>
      <w:kern w:val="0"/>
      <w:sz w:val="18"/>
      <w:szCs w:val="20"/>
    </w:rPr>
  </w:style>
  <w:style w:type="paragraph" w:styleId="13">
    <w:name w:val="Plain Text"/>
    <w:basedOn w:val="1"/>
    <w:autoRedefine/>
    <w:unhideWhenUsed/>
    <w:qFormat/>
    <w:locked/>
    <w:uiPriority w:val="99"/>
    <w:pPr>
      <w:spacing w:line="360" w:lineRule="auto"/>
      <w:ind w:firstLine="200" w:firstLineChars="200"/>
    </w:pPr>
    <w:rPr>
      <w:rFonts w:ascii="宋体" w:hAnsi="Courier New"/>
    </w:rPr>
  </w:style>
  <w:style w:type="paragraph" w:styleId="14">
    <w:name w:val="Date"/>
    <w:basedOn w:val="1"/>
    <w:next w:val="1"/>
    <w:link w:val="52"/>
    <w:qFormat/>
    <w:uiPriority w:val="0"/>
    <w:pPr>
      <w:ind w:left="100" w:leftChars="2500"/>
    </w:pPr>
    <w:rPr>
      <w:kern w:val="0"/>
      <w:sz w:val="24"/>
      <w:szCs w:val="20"/>
    </w:rPr>
  </w:style>
  <w:style w:type="paragraph" w:styleId="15">
    <w:name w:val="Balloon Text"/>
    <w:basedOn w:val="1"/>
    <w:link w:val="53"/>
    <w:autoRedefine/>
    <w:semiHidden/>
    <w:qFormat/>
    <w:uiPriority w:val="0"/>
    <w:rPr>
      <w:kern w:val="0"/>
      <w:sz w:val="18"/>
      <w:szCs w:val="20"/>
    </w:rPr>
  </w:style>
  <w:style w:type="paragraph" w:styleId="16">
    <w:name w:val="footer"/>
    <w:basedOn w:val="1"/>
    <w:link w:val="54"/>
    <w:autoRedefine/>
    <w:qFormat/>
    <w:uiPriority w:val="99"/>
    <w:pPr>
      <w:tabs>
        <w:tab w:val="center" w:pos="4153"/>
        <w:tab w:val="right" w:pos="8306"/>
      </w:tabs>
      <w:snapToGrid w:val="0"/>
      <w:jc w:val="left"/>
    </w:pPr>
    <w:rPr>
      <w:kern w:val="0"/>
      <w:sz w:val="18"/>
      <w:szCs w:val="20"/>
    </w:rPr>
  </w:style>
  <w:style w:type="paragraph" w:styleId="17">
    <w:name w:val="header"/>
    <w:basedOn w:val="1"/>
    <w:link w:val="55"/>
    <w:autoRedefine/>
    <w:qFormat/>
    <w:uiPriority w:val="0"/>
    <w:pPr>
      <w:pBdr>
        <w:bottom w:val="single" w:color="auto" w:sz="6" w:space="1"/>
      </w:pBdr>
      <w:tabs>
        <w:tab w:val="center" w:pos="4153"/>
        <w:tab w:val="right" w:pos="8306"/>
      </w:tabs>
      <w:snapToGrid w:val="0"/>
      <w:jc w:val="center"/>
    </w:pPr>
    <w:rPr>
      <w:kern w:val="0"/>
      <w:sz w:val="18"/>
      <w:szCs w:val="20"/>
    </w:rPr>
  </w:style>
  <w:style w:type="paragraph" w:styleId="18">
    <w:name w:val="Body Text 2"/>
    <w:basedOn w:val="1"/>
    <w:autoRedefine/>
    <w:qFormat/>
    <w:locked/>
    <w:uiPriority w:val="0"/>
    <w:rPr>
      <w:b/>
      <w:bCs/>
      <w:sz w:val="24"/>
    </w:rPr>
  </w:style>
  <w:style w:type="paragraph" w:styleId="19">
    <w:name w:val="Normal (Web)"/>
    <w:basedOn w:val="1"/>
    <w:link w:val="56"/>
    <w:autoRedefine/>
    <w:qFormat/>
    <w:uiPriority w:val="0"/>
    <w:pPr>
      <w:widowControl/>
      <w:spacing w:before="100" w:beforeAutospacing="1" w:after="100" w:afterAutospacing="1"/>
      <w:jc w:val="left"/>
    </w:pPr>
    <w:rPr>
      <w:rFonts w:ascii="宋体" w:hAnsi="宋体"/>
      <w:kern w:val="0"/>
      <w:sz w:val="24"/>
      <w:szCs w:val="20"/>
    </w:rPr>
  </w:style>
  <w:style w:type="paragraph" w:styleId="20">
    <w:name w:val="index 1"/>
    <w:basedOn w:val="1"/>
    <w:next w:val="1"/>
    <w:qFormat/>
    <w:locked/>
    <w:uiPriority w:val="0"/>
    <w:pPr>
      <w:jc w:val="center"/>
    </w:pPr>
    <w:rPr>
      <w:rFonts w:eastAsia="黑体"/>
      <w:color w:val="000000"/>
      <w:sz w:val="21"/>
    </w:rPr>
  </w:style>
  <w:style w:type="paragraph" w:styleId="21">
    <w:name w:val="annotation subject"/>
    <w:basedOn w:val="11"/>
    <w:next w:val="11"/>
    <w:link w:val="57"/>
    <w:autoRedefine/>
    <w:semiHidden/>
    <w:qFormat/>
    <w:uiPriority w:val="0"/>
    <w:rPr>
      <w:b/>
    </w:rPr>
  </w:style>
  <w:style w:type="paragraph" w:styleId="22">
    <w:name w:val="Body Text First Indent"/>
    <w:basedOn w:val="12"/>
    <w:next w:val="7"/>
    <w:autoRedefine/>
    <w:qFormat/>
    <w:locked/>
    <w:uiPriority w:val="0"/>
    <w:pPr>
      <w:ind w:firstLine="420" w:firstLineChars="100"/>
    </w:pPr>
  </w:style>
  <w:style w:type="table" w:styleId="24">
    <w:name w:val="Table Grid"/>
    <w:basedOn w:val="2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locked/>
    <w:uiPriority w:val="0"/>
    <w:rPr>
      <w:b/>
    </w:rPr>
  </w:style>
  <w:style w:type="character" w:styleId="27">
    <w:name w:val="page number"/>
    <w:basedOn w:val="25"/>
    <w:autoRedefine/>
    <w:qFormat/>
    <w:locked/>
    <w:uiPriority w:val="0"/>
  </w:style>
  <w:style w:type="character" w:styleId="28">
    <w:name w:val="FollowedHyperlink"/>
    <w:basedOn w:val="25"/>
    <w:autoRedefine/>
    <w:qFormat/>
    <w:locked/>
    <w:uiPriority w:val="0"/>
    <w:rPr>
      <w:color w:val="000000"/>
      <w:u w:val="none"/>
    </w:rPr>
  </w:style>
  <w:style w:type="character" w:styleId="29">
    <w:name w:val="Hyperlink"/>
    <w:basedOn w:val="25"/>
    <w:autoRedefine/>
    <w:qFormat/>
    <w:locked/>
    <w:uiPriority w:val="0"/>
    <w:rPr>
      <w:rFonts w:ascii="Arial" w:hAnsi="Arial" w:cs="Arial"/>
      <w:color w:val="000000"/>
      <w:u w:val="none"/>
    </w:rPr>
  </w:style>
  <w:style w:type="character" w:styleId="30">
    <w:name w:val="annotation reference"/>
    <w:autoRedefine/>
    <w:semiHidden/>
    <w:qFormat/>
    <w:uiPriority w:val="0"/>
    <w:rPr>
      <w:sz w:val="21"/>
    </w:rPr>
  </w:style>
  <w:style w:type="paragraph" w:customStyle="1" w:styleId="31">
    <w:name w:val="表头"/>
    <w:basedOn w:val="32"/>
    <w:next w:val="1"/>
    <w:autoRedefine/>
    <w:qFormat/>
    <w:uiPriority w:val="0"/>
    <w:pPr>
      <w:tabs>
        <w:tab w:val="left" w:pos="893"/>
      </w:tabs>
      <w:jc w:val="center"/>
    </w:pPr>
    <w:rPr>
      <w:rFonts w:eastAsia="黑体"/>
      <w:color w:val="000000"/>
      <w:sz w:val="28"/>
      <w:szCs w:val="28"/>
    </w:rPr>
  </w:style>
  <w:style w:type="paragraph" w:customStyle="1" w:styleId="32">
    <w:name w:val="正文1"/>
    <w:basedOn w:val="1"/>
    <w:qFormat/>
    <w:uiPriority w:val="0"/>
    <w:pPr>
      <w:snapToGrid w:val="0"/>
      <w:spacing w:line="440" w:lineRule="exact"/>
      <w:ind w:firstLine="480" w:firstLineChars="200"/>
    </w:pPr>
    <w:rPr>
      <w:rFonts w:ascii="Times New Roman" w:hAnsi="Times New Roman" w:eastAsia="宋体" w:cs="Times New Roman"/>
      <w:szCs w:val="24"/>
    </w:rPr>
  </w:style>
  <w:style w:type="paragraph" w:customStyle="1" w:styleId="33">
    <w:name w:val="表格内容"/>
    <w:basedOn w:val="34"/>
    <w:next w:val="1"/>
    <w:autoRedefine/>
    <w:qFormat/>
    <w:uiPriority w:val="0"/>
    <w:pPr>
      <w:spacing w:line="240" w:lineRule="atLeast"/>
      <w:jc w:val="center"/>
    </w:pPr>
    <w:rPr>
      <w:szCs w:val="20"/>
    </w:rPr>
  </w:style>
  <w:style w:type="paragraph" w:customStyle="1" w:styleId="34">
    <w:name w:val="表格标题"/>
    <w:basedOn w:val="22"/>
    <w:next w:val="33"/>
    <w:autoRedefine/>
    <w:qFormat/>
    <w:uiPriority w:val="0"/>
    <w:pPr>
      <w:spacing w:line="240" w:lineRule="auto"/>
      <w:ind w:firstLine="0" w:firstLineChars="0"/>
      <w:jc w:val="center"/>
    </w:pPr>
    <w:rPr>
      <w:b/>
      <w:sz w:val="21"/>
    </w:rPr>
  </w:style>
  <w:style w:type="paragraph" w:customStyle="1" w:styleId="35">
    <w:name w:val="表格文字"/>
    <w:basedOn w:val="12"/>
    <w:next w:val="12"/>
    <w:autoRedefine/>
    <w:qFormat/>
    <w:uiPriority w:val="0"/>
    <w:pPr>
      <w:spacing w:after="0" w:line="360" w:lineRule="exact"/>
      <w:jc w:val="center"/>
    </w:pPr>
    <w:rPr>
      <w:spacing w:val="-4"/>
      <w:sz w:val="24"/>
      <w:szCs w:val="28"/>
    </w:rPr>
  </w:style>
  <w:style w:type="paragraph" w:customStyle="1" w:styleId="36">
    <w:name w:val="xl2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37">
    <w:name w:val="表格"/>
    <w:basedOn w:val="35"/>
    <w:next w:val="1"/>
    <w:link w:val="62"/>
    <w:autoRedefine/>
    <w:qFormat/>
    <w:uiPriority w:val="0"/>
    <w:pPr>
      <w:tabs>
        <w:tab w:val="left" w:pos="893"/>
      </w:tabs>
      <w:adjustRightInd w:val="0"/>
      <w:snapToGrid w:val="0"/>
      <w:spacing w:beforeLines="10" w:afterLines="10" w:line="259" w:lineRule="auto"/>
    </w:pPr>
    <w:rPr>
      <w:rFonts w:ascii="宋体"/>
      <w:szCs w:val="20"/>
    </w:rPr>
  </w:style>
  <w:style w:type="paragraph" w:customStyle="1" w:styleId="38">
    <w:name w:val="A正文"/>
    <w:basedOn w:val="1"/>
    <w:autoRedefine/>
    <w:qFormat/>
    <w:uiPriority w:val="0"/>
    <w:pPr>
      <w:tabs>
        <w:tab w:val="left" w:pos="893"/>
      </w:tabs>
      <w:spacing w:before="100" w:beforeAutospacing="1"/>
      <w:jc w:val="left"/>
    </w:pPr>
    <w:rPr>
      <w:snapToGrid w:val="0"/>
      <w:kern w:val="0"/>
      <w:szCs w:val="20"/>
      <w:lang w:val="zh-CN"/>
    </w:rPr>
  </w:style>
  <w:style w:type="paragraph" w:customStyle="1" w:styleId="39">
    <w:name w:val="表格样式"/>
    <w:basedOn w:val="1"/>
    <w:autoRedefine/>
    <w:qFormat/>
    <w:uiPriority w:val="0"/>
    <w:pPr>
      <w:shd w:val="clear" w:color="auto" w:fill="FFFFFF"/>
      <w:autoSpaceDE w:val="0"/>
      <w:jc w:val="center"/>
    </w:pPr>
    <w:rPr>
      <w:rFonts w:cs="宋体"/>
      <w:color w:val="FFFFFF"/>
      <w:spacing w:val="-1"/>
      <w:position w:val="-1"/>
      <w:szCs w:val="21"/>
    </w:rPr>
  </w:style>
  <w:style w:type="paragraph" w:customStyle="1" w:styleId="40">
    <w:name w:val="A标准格式"/>
    <w:basedOn w:val="1"/>
    <w:autoRedefine/>
    <w:qFormat/>
    <w:uiPriority w:val="0"/>
    <w:pPr>
      <w:spacing w:line="440" w:lineRule="exact"/>
      <w:ind w:firstLine="480" w:firstLineChars="200"/>
    </w:pPr>
    <w:rPr>
      <w:sz w:val="24"/>
    </w:rPr>
  </w:style>
  <w:style w:type="paragraph" w:customStyle="1" w:styleId="41">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普通(网站)2"/>
    <w:basedOn w:val="1"/>
    <w:autoRedefine/>
    <w:qFormat/>
    <w:uiPriority w:val="0"/>
    <w:pPr>
      <w:widowControl/>
      <w:spacing w:before="100" w:beforeAutospacing="1" w:after="100" w:afterAutospacing="1"/>
      <w:jc w:val="left"/>
    </w:pPr>
    <w:rPr>
      <w:rFonts w:ascii="宋体" w:hAnsi="宋体"/>
      <w:sz w:val="24"/>
      <w:szCs w:val="20"/>
    </w:rPr>
  </w:style>
  <w:style w:type="paragraph" w:customStyle="1" w:styleId="43">
    <w:name w:val="24磅正文"/>
    <w:basedOn w:val="1"/>
    <w:autoRedefine/>
    <w:qFormat/>
    <w:uiPriority w:val="0"/>
    <w:pPr>
      <w:spacing w:line="480" w:lineRule="exact"/>
      <w:ind w:firstLine="480" w:firstLineChars="200"/>
    </w:pPr>
    <w:rPr>
      <w:sz w:val="24"/>
    </w:rPr>
  </w:style>
  <w:style w:type="paragraph" w:customStyle="1" w:styleId="44">
    <w:name w:val="！正文"/>
    <w:basedOn w:val="1"/>
    <w:autoRedefine/>
    <w:qFormat/>
    <w:uiPriority w:val="0"/>
    <w:pPr>
      <w:ind w:firstLine="480"/>
    </w:pPr>
    <w:rPr>
      <w:rFonts w:cs="宋体"/>
      <w:szCs w:val="20"/>
    </w:rPr>
  </w:style>
  <w:style w:type="paragraph" w:customStyle="1" w:styleId="45">
    <w:name w:val="正文文字"/>
    <w:basedOn w:val="1"/>
    <w:autoRedefine/>
    <w:qFormat/>
    <w:uiPriority w:val="0"/>
    <w:pPr>
      <w:spacing w:line="560" w:lineRule="exact"/>
      <w:ind w:firstLine="200" w:firstLineChars="200"/>
    </w:pPr>
    <w:rPr>
      <w:sz w:val="24"/>
      <w:szCs w:val="20"/>
    </w:rPr>
  </w:style>
  <w:style w:type="paragraph" w:customStyle="1" w:styleId="46">
    <w:name w:val="表格内容自定"/>
    <w:basedOn w:val="1"/>
    <w:autoRedefine/>
    <w:qFormat/>
    <w:uiPriority w:val="0"/>
    <w:pPr>
      <w:spacing w:line="280" w:lineRule="exact"/>
      <w:jc w:val="center"/>
    </w:pPr>
    <w:rPr>
      <w:kern w:val="0"/>
      <w:sz w:val="18"/>
      <w:szCs w:val="21"/>
    </w:rPr>
  </w:style>
  <w:style w:type="paragraph" w:customStyle="1" w:styleId="47">
    <w:name w:val="Table Paragraph"/>
    <w:basedOn w:val="1"/>
    <w:autoRedefine/>
    <w:qFormat/>
    <w:uiPriority w:val="1"/>
    <w:pPr>
      <w:jc w:val="center"/>
    </w:pPr>
    <w:rPr>
      <w:rFonts w:ascii="宋体" w:hAnsi="宋体" w:cs="宋体"/>
      <w:lang w:val="zh-CN" w:bidi="zh-CN"/>
    </w:rPr>
  </w:style>
  <w:style w:type="paragraph" w:customStyle="1" w:styleId="48">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49">
    <w:name w:val="批注文字 字符"/>
    <w:link w:val="11"/>
    <w:autoRedefine/>
    <w:qFormat/>
    <w:locked/>
    <w:uiPriority w:val="0"/>
    <w:rPr>
      <w:rFonts w:ascii="Times New Roman" w:hAnsi="Times New Roman" w:eastAsia="宋体"/>
      <w:sz w:val="24"/>
    </w:rPr>
  </w:style>
  <w:style w:type="character" w:customStyle="1" w:styleId="50">
    <w:name w:val="正文文本 字符"/>
    <w:link w:val="12"/>
    <w:autoRedefine/>
    <w:qFormat/>
    <w:locked/>
    <w:uiPriority w:val="0"/>
    <w:rPr>
      <w:sz w:val="18"/>
    </w:rPr>
  </w:style>
  <w:style w:type="character" w:customStyle="1" w:styleId="51">
    <w:name w:val="正文文本缩进 字符"/>
    <w:link w:val="8"/>
    <w:semiHidden/>
    <w:qFormat/>
    <w:locked/>
    <w:uiPriority w:val="0"/>
    <w:rPr>
      <w:rFonts w:ascii="Times New Roman" w:hAnsi="Times New Roman" w:eastAsia="宋体"/>
      <w:sz w:val="24"/>
    </w:rPr>
  </w:style>
  <w:style w:type="character" w:customStyle="1" w:styleId="52">
    <w:name w:val="日期 字符1"/>
    <w:link w:val="14"/>
    <w:autoRedefine/>
    <w:qFormat/>
    <w:locked/>
    <w:uiPriority w:val="0"/>
    <w:rPr>
      <w:rFonts w:ascii="Times New Roman" w:hAnsi="Times New Roman" w:eastAsia="宋体"/>
      <w:sz w:val="24"/>
    </w:rPr>
  </w:style>
  <w:style w:type="character" w:customStyle="1" w:styleId="53">
    <w:name w:val="批注框文本 字符"/>
    <w:link w:val="15"/>
    <w:autoRedefine/>
    <w:semiHidden/>
    <w:qFormat/>
    <w:locked/>
    <w:uiPriority w:val="0"/>
    <w:rPr>
      <w:rFonts w:ascii="Times New Roman" w:hAnsi="Times New Roman" w:eastAsia="宋体"/>
      <w:sz w:val="18"/>
    </w:rPr>
  </w:style>
  <w:style w:type="character" w:customStyle="1" w:styleId="54">
    <w:name w:val="页脚 字符1"/>
    <w:link w:val="16"/>
    <w:autoRedefine/>
    <w:qFormat/>
    <w:locked/>
    <w:uiPriority w:val="99"/>
    <w:rPr>
      <w:sz w:val="18"/>
    </w:rPr>
  </w:style>
  <w:style w:type="character" w:customStyle="1" w:styleId="55">
    <w:name w:val="页眉 字符"/>
    <w:link w:val="17"/>
    <w:autoRedefine/>
    <w:qFormat/>
    <w:locked/>
    <w:uiPriority w:val="0"/>
    <w:rPr>
      <w:sz w:val="18"/>
    </w:rPr>
  </w:style>
  <w:style w:type="character" w:customStyle="1" w:styleId="56">
    <w:name w:val="普通(网站) 字符"/>
    <w:link w:val="19"/>
    <w:autoRedefine/>
    <w:qFormat/>
    <w:locked/>
    <w:uiPriority w:val="0"/>
    <w:rPr>
      <w:rFonts w:ascii="宋体" w:hAnsi="宋体" w:eastAsia="宋体"/>
      <w:sz w:val="24"/>
    </w:rPr>
  </w:style>
  <w:style w:type="character" w:customStyle="1" w:styleId="57">
    <w:name w:val="批注主题 字符"/>
    <w:link w:val="21"/>
    <w:semiHidden/>
    <w:qFormat/>
    <w:locked/>
    <w:uiPriority w:val="0"/>
    <w:rPr>
      <w:rFonts w:ascii="Times New Roman" w:hAnsi="Times New Roman" w:eastAsia="宋体"/>
      <w:b/>
      <w:kern w:val="2"/>
      <w:sz w:val="24"/>
    </w:rPr>
  </w:style>
  <w:style w:type="character" w:customStyle="1" w:styleId="58">
    <w:name w:val="批注文字 字符1"/>
    <w:autoRedefine/>
    <w:semiHidden/>
    <w:qFormat/>
    <w:uiPriority w:val="0"/>
    <w:rPr>
      <w:rFonts w:ascii="Times New Roman" w:hAnsi="Times New Roman" w:eastAsia="宋体"/>
      <w:sz w:val="24"/>
    </w:rPr>
  </w:style>
  <w:style w:type="character" w:customStyle="1" w:styleId="59">
    <w:name w:val="日期 字符"/>
    <w:autoRedefine/>
    <w:semiHidden/>
    <w:qFormat/>
    <w:uiPriority w:val="0"/>
    <w:rPr>
      <w:rFonts w:ascii="Times New Roman" w:hAnsi="Times New Roman" w:eastAsia="宋体"/>
      <w:sz w:val="24"/>
    </w:rPr>
  </w:style>
  <w:style w:type="character" w:customStyle="1" w:styleId="60">
    <w:name w:val="正文文本 字符1"/>
    <w:autoRedefine/>
    <w:semiHidden/>
    <w:qFormat/>
    <w:uiPriority w:val="0"/>
    <w:rPr>
      <w:rFonts w:ascii="Times New Roman" w:hAnsi="Times New Roman" w:eastAsia="宋体"/>
      <w:sz w:val="24"/>
    </w:rPr>
  </w:style>
  <w:style w:type="character" w:customStyle="1" w:styleId="61">
    <w:name w:val="页脚 字符"/>
    <w:basedOn w:val="25"/>
    <w:autoRedefine/>
    <w:qFormat/>
    <w:uiPriority w:val="99"/>
  </w:style>
  <w:style w:type="character" w:customStyle="1" w:styleId="62">
    <w:name w:val="表格 Char"/>
    <w:link w:val="37"/>
    <w:autoRedefine/>
    <w:qFormat/>
    <w:locked/>
    <w:uiPriority w:val="0"/>
    <w:rPr>
      <w:rFonts w:ascii="宋体"/>
      <w:sz w:val="21"/>
    </w:rPr>
  </w:style>
  <w:style w:type="table" w:customStyle="1" w:styleId="63">
    <w:name w:val="Table Normal"/>
    <w:autoRedefine/>
    <w:semiHidden/>
    <w:unhideWhenUsed/>
    <w:qFormat/>
    <w:uiPriority w:val="0"/>
    <w:tblPr>
      <w:tblCellMar>
        <w:top w:w="0" w:type="dxa"/>
        <w:left w:w="0" w:type="dxa"/>
        <w:bottom w:w="0" w:type="dxa"/>
        <w:right w:w="0" w:type="dxa"/>
      </w:tblCellMar>
    </w:tblPr>
  </w:style>
  <w:style w:type="paragraph" w:customStyle="1" w:styleId="64">
    <w:name w:val="样式1"/>
    <w:basedOn w:val="1"/>
    <w:autoRedefine/>
    <w:qFormat/>
    <w:uiPriority w:val="0"/>
    <w:pPr>
      <w:numPr>
        <w:ilvl w:val="0"/>
        <w:numId w:val="1"/>
      </w:numPr>
      <w:spacing w:line="360" w:lineRule="auto"/>
    </w:pPr>
    <w:rPr>
      <w:sz w:val="24"/>
      <w:szCs w:val="20"/>
    </w:rPr>
  </w:style>
  <w:style w:type="paragraph" w:customStyle="1" w:styleId="65">
    <w:name w:val="样式1 + (西文) Times New Roman (中文) 新宋体"/>
    <w:basedOn w:val="1"/>
    <w:qFormat/>
    <w:uiPriority w:val="0"/>
    <w:pPr>
      <w:keepNext w:val="0"/>
      <w:keepLines w:val="0"/>
      <w:widowControl w:val="0"/>
      <w:suppressLineNumbers w:val="0"/>
      <w:spacing w:before="0" w:beforeAutospacing="0" w:after="0" w:afterAutospacing="0" w:line="500" w:lineRule="exact"/>
      <w:ind w:left="0" w:right="0" w:firstLine="200" w:firstLineChars="200"/>
      <w:jc w:val="both"/>
    </w:pPr>
    <w:rPr>
      <w:rFonts w:hint="default" w:ascii="Calibri" w:hAnsi="Calibri" w:eastAsia="宋体" w:cs="Tahoma"/>
      <w:kern w:val="2"/>
      <w:sz w:val="24"/>
      <w:szCs w:val="24"/>
      <w:lang w:val="en-US" w:eastAsia="zh-CN" w:bidi="ar"/>
    </w:rPr>
  </w:style>
  <w:style w:type="paragraph" w:customStyle="1" w:styleId="66">
    <w:name w:val="无间隔2"/>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表文字"/>
    <w:basedOn w:val="12"/>
    <w:next w:val="1"/>
    <w:autoRedefine/>
    <w:qFormat/>
    <w:uiPriority w:val="0"/>
    <w:pPr>
      <w:spacing w:line="240" w:lineRule="auto"/>
      <w:jc w:val="center"/>
    </w:pPr>
    <w:rPr>
      <w:sz w:val="21"/>
      <w:szCs w:val="21"/>
    </w:rPr>
  </w:style>
  <w:style w:type="paragraph" w:customStyle="1" w:styleId="68">
    <w:name w:val="Table Text"/>
    <w:basedOn w:val="1"/>
    <w:semiHidden/>
    <w:qFormat/>
    <w:uiPriority w:val="0"/>
    <w:rPr>
      <w:rFonts w:ascii="华文宋体" w:hAnsi="华文宋体" w:eastAsia="华文宋体" w:cs="华文宋体"/>
      <w:sz w:val="24"/>
      <w:szCs w:val="24"/>
      <w:lang w:val="en-US" w:eastAsia="en-US" w:bidi="ar-SA"/>
    </w:rPr>
  </w:style>
  <w:style w:type="paragraph" w:customStyle="1" w:styleId="69">
    <w:name w:val="p0"/>
    <w:basedOn w:val="1"/>
    <w:autoRedefine/>
    <w:qFormat/>
    <w:uiPriority w:val="0"/>
    <w:pPr>
      <w:widowControl/>
      <w:spacing w:before="100" w:beforeAutospacing="1" w:after="100" w:afterAutospacing="1"/>
      <w:jc w:val="left"/>
    </w:pPr>
    <w:rPr>
      <w:rFonts w:ascii="宋体" w:hAnsi="宋体" w:cs="宋体"/>
      <w:kern w:val="0"/>
    </w:rPr>
  </w:style>
  <w:style w:type="character" w:customStyle="1" w:styleId="70">
    <w:name w:val="font61"/>
    <w:basedOn w:val="25"/>
    <w:qFormat/>
    <w:uiPriority w:val="0"/>
    <w:rPr>
      <w:rFonts w:hint="default" w:ascii="Times New Roman" w:hAnsi="Times New Roman" w:cs="Times New Roman"/>
      <w:color w:val="FF0000"/>
      <w:sz w:val="21"/>
      <w:szCs w:val="21"/>
      <w:u w:val="none"/>
    </w:rPr>
  </w:style>
  <w:style w:type="character" w:customStyle="1" w:styleId="71">
    <w:name w:val="font11"/>
    <w:basedOn w:val="25"/>
    <w:autoRedefine/>
    <w:qFormat/>
    <w:uiPriority w:val="0"/>
    <w:rPr>
      <w:rFonts w:hint="eastAsia" w:ascii="宋体" w:hAnsi="宋体" w:eastAsia="宋体" w:cs="宋体"/>
      <w:color w:val="000000"/>
      <w:sz w:val="20"/>
      <w:szCs w:val="20"/>
      <w:u w:val="none"/>
    </w:rPr>
  </w:style>
  <w:style w:type="character" w:customStyle="1" w:styleId="72">
    <w:name w:val="font51"/>
    <w:basedOn w:val="25"/>
    <w:qFormat/>
    <w:uiPriority w:val="0"/>
    <w:rPr>
      <w:rFonts w:hint="eastAsia" w:ascii="宋体" w:hAnsi="宋体" w:eastAsia="宋体" w:cs="宋体"/>
      <w:color w:val="FF0000"/>
      <w:sz w:val="21"/>
      <w:szCs w:val="21"/>
      <w:u w:val="none"/>
    </w:rPr>
  </w:style>
  <w:style w:type="character" w:customStyle="1" w:styleId="73">
    <w:name w:val="font31"/>
    <w:basedOn w:val="25"/>
    <w:qFormat/>
    <w:uiPriority w:val="0"/>
    <w:rPr>
      <w:rFonts w:hint="default" w:ascii="Times New Roman" w:hAnsi="Times New Roman" w:cs="Times New Roman"/>
      <w:color w:val="000000"/>
      <w:sz w:val="21"/>
      <w:szCs w:val="21"/>
      <w:u w:val="none"/>
    </w:rPr>
  </w:style>
  <w:style w:type="character" w:customStyle="1" w:styleId="74">
    <w:name w:val="font41"/>
    <w:basedOn w:val="25"/>
    <w:qFormat/>
    <w:uiPriority w:val="0"/>
    <w:rPr>
      <w:rFonts w:hint="default" w:ascii="Times New Roman" w:hAnsi="Times New Roman" w:cs="Times New Roman"/>
      <w:color w:val="000000"/>
      <w:sz w:val="21"/>
      <w:szCs w:val="21"/>
      <w:u w:val="none"/>
      <w:vertAlign w:val="superscript"/>
    </w:rPr>
  </w:style>
  <w:style w:type="paragraph" w:customStyle="1" w:styleId="75">
    <w:name w:val="11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6">
    <w:name w:val="[1]正文"/>
    <w:basedOn w:val="1"/>
    <w:qFormat/>
    <w:uiPriority w:val="0"/>
    <w:pPr>
      <w:autoSpaceDE w:val="0"/>
      <w:autoSpaceDN w:val="0"/>
      <w:ind w:firstLine="200" w:firstLineChars="200"/>
    </w:pPr>
    <w:rPr>
      <w:color w:val="000000"/>
      <w:kern w:val="0"/>
      <w:szCs w:val="22"/>
      <w:lang w:val="zh-CN"/>
    </w:rPr>
  </w:style>
  <w:style w:type="paragraph" w:customStyle="1" w:styleId="77">
    <w:name w:val="D-表格格式"/>
    <w:qFormat/>
    <w:uiPriority w:val="0"/>
    <w:pPr>
      <w:jc w:val="center"/>
    </w:pPr>
    <w:rPr>
      <w:rFonts w:ascii="Times New Roman" w:hAnsi="Times New Roman"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6" Type="http://schemas.openxmlformats.org/officeDocument/2006/relationships/fontTable" Target="fontTable.xml"/><Relationship Id="rId65" Type="http://schemas.openxmlformats.org/officeDocument/2006/relationships/numbering" Target="numbering.xml"/><Relationship Id="rId64" Type="http://schemas.openxmlformats.org/officeDocument/2006/relationships/customXml" Target="../customXml/item1.xml"/><Relationship Id="rId63" Type="http://schemas.openxmlformats.org/officeDocument/2006/relationships/image" Target="media/image37.png"/><Relationship Id="rId62" Type="http://schemas.openxmlformats.org/officeDocument/2006/relationships/image" Target="media/image36.png"/><Relationship Id="rId61" Type="http://schemas.openxmlformats.org/officeDocument/2006/relationships/image" Target="media/image35.png"/><Relationship Id="rId60" Type="http://schemas.openxmlformats.org/officeDocument/2006/relationships/image" Target="media/image34.png"/><Relationship Id="rId6" Type="http://schemas.openxmlformats.org/officeDocument/2006/relationships/footer" Target="footer4.xml"/><Relationship Id="rId59" Type="http://schemas.openxmlformats.org/officeDocument/2006/relationships/image" Target="media/image33.png"/><Relationship Id="rId58" Type="http://schemas.openxmlformats.org/officeDocument/2006/relationships/image" Target="media/image32.png"/><Relationship Id="rId57" Type="http://schemas.openxmlformats.org/officeDocument/2006/relationships/image" Target="media/image31.png"/><Relationship Id="rId56" Type="http://schemas.openxmlformats.org/officeDocument/2006/relationships/image" Target="media/image30.png"/><Relationship Id="rId55" Type="http://schemas.openxmlformats.org/officeDocument/2006/relationships/image" Target="media/image29.wmf"/><Relationship Id="rId54" Type="http://schemas.openxmlformats.org/officeDocument/2006/relationships/oleObject" Target="embeddings/oleObject19.bin"/><Relationship Id="rId53" Type="http://schemas.openxmlformats.org/officeDocument/2006/relationships/image" Target="media/image28.wmf"/><Relationship Id="rId52" Type="http://schemas.openxmlformats.org/officeDocument/2006/relationships/oleObject" Target="embeddings/oleObject18.bin"/><Relationship Id="rId51" Type="http://schemas.openxmlformats.org/officeDocument/2006/relationships/image" Target="media/image27.wmf"/><Relationship Id="rId50" Type="http://schemas.openxmlformats.org/officeDocument/2006/relationships/oleObject" Target="embeddings/oleObject17.bin"/><Relationship Id="rId5" Type="http://schemas.openxmlformats.org/officeDocument/2006/relationships/footer" Target="footer3.xml"/><Relationship Id="rId49" Type="http://schemas.openxmlformats.org/officeDocument/2006/relationships/image" Target="media/image26.wmf"/><Relationship Id="rId48" Type="http://schemas.openxmlformats.org/officeDocument/2006/relationships/oleObject" Target="embeddings/oleObject16.bin"/><Relationship Id="rId47" Type="http://schemas.openxmlformats.org/officeDocument/2006/relationships/image" Target="media/image25.png"/><Relationship Id="rId46" Type="http://schemas.openxmlformats.org/officeDocument/2006/relationships/image" Target="media/image24.png"/><Relationship Id="rId45" Type="http://schemas.openxmlformats.org/officeDocument/2006/relationships/image" Target="media/image23.png"/><Relationship Id="rId44" Type="http://schemas.openxmlformats.org/officeDocument/2006/relationships/image" Target="media/image22.png"/><Relationship Id="rId43" Type="http://schemas.openxmlformats.org/officeDocument/2006/relationships/image" Target="media/image21.png"/><Relationship Id="rId42" Type="http://schemas.openxmlformats.org/officeDocument/2006/relationships/image" Target="media/image20.png"/><Relationship Id="rId41" Type="http://schemas.openxmlformats.org/officeDocument/2006/relationships/image" Target="media/image19.png"/><Relationship Id="rId40" Type="http://schemas.openxmlformats.org/officeDocument/2006/relationships/image" Target="media/image18.png"/><Relationship Id="rId4" Type="http://schemas.openxmlformats.org/officeDocument/2006/relationships/footer" Target="footer2.xml"/><Relationship Id="rId39" Type="http://schemas.openxmlformats.org/officeDocument/2006/relationships/image" Target="media/image17.png"/><Relationship Id="rId38" Type="http://schemas.openxmlformats.org/officeDocument/2006/relationships/image" Target="media/image16.wmf"/><Relationship Id="rId37" Type="http://schemas.openxmlformats.org/officeDocument/2006/relationships/oleObject" Target="embeddings/oleObject15.bin"/><Relationship Id="rId36" Type="http://schemas.openxmlformats.org/officeDocument/2006/relationships/image" Target="media/image15.wmf"/><Relationship Id="rId35" Type="http://schemas.openxmlformats.org/officeDocument/2006/relationships/oleObject" Target="embeddings/oleObject14.bin"/><Relationship Id="rId34" Type="http://schemas.openxmlformats.org/officeDocument/2006/relationships/image" Target="media/image14.wmf"/><Relationship Id="rId33" Type="http://schemas.openxmlformats.org/officeDocument/2006/relationships/oleObject" Target="embeddings/oleObject13.bin"/><Relationship Id="rId32" Type="http://schemas.openxmlformats.org/officeDocument/2006/relationships/image" Target="media/image13.wmf"/><Relationship Id="rId31" Type="http://schemas.openxmlformats.org/officeDocument/2006/relationships/oleObject" Target="embeddings/oleObject12.bin"/><Relationship Id="rId30" Type="http://schemas.openxmlformats.org/officeDocument/2006/relationships/image" Target="media/image12.wmf"/><Relationship Id="rId3" Type="http://schemas.openxmlformats.org/officeDocument/2006/relationships/footer" Target="footer1.xml"/><Relationship Id="rId29" Type="http://schemas.openxmlformats.org/officeDocument/2006/relationships/oleObject" Target="embeddings/oleObject11.bin"/><Relationship Id="rId28" Type="http://schemas.openxmlformats.org/officeDocument/2006/relationships/image" Target="media/image11.wmf"/><Relationship Id="rId27" Type="http://schemas.openxmlformats.org/officeDocument/2006/relationships/oleObject" Target="embeddings/oleObject10.bin"/><Relationship Id="rId26" Type="http://schemas.openxmlformats.org/officeDocument/2006/relationships/image" Target="media/image10.wmf"/><Relationship Id="rId25" Type="http://schemas.openxmlformats.org/officeDocument/2006/relationships/oleObject" Target="embeddings/oleObject9.bin"/><Relationship Id="rId24" Type="http://schemas.openxmlformats.org/officeDocument/2006/relationships/image" Target="media/image9.wmf"/><Relationship Id="rId23" Type="http://schemas.openxmlformats.org/officeDocument/2006/relationships/oleObject" Target="embeddings/oleObject8.bin"/><Relationship Id="rId22" Type="http://schemas.openxmlformats.org/officeDocument/2006/relationships/image" Target="media/image8.wmf"/><Relationship Id="rId21" Type="http://schemas.openxmlformats.org/officeDocument/2006/relationships/oleObject" Target="embeddings/oleObject7.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6.wmf"/><Relationship Id="rId17" Type="http://schemas.openxmlformats.org/officeDocument/2006/relationships/oleObject" Target="embeddings/oleObject5.bin"/><Relationship Id="rId16" Type="http://schemas.openxmlformats.org/officeDocument/2006/relationships/image" Target="media/image5.emf"/><Relationship Id="rId15" Type="http://schemas.openxmlformats.org/officeDocument/2006/relationships/oleObject" Target="embeddings/oleObject4.bin"/><Relationship Id="rId14" Type="http://schemas.openxmlformats.org/officeDocument/2006/relationships/image" Target="media/image4.emf"/><Relationship Id="rId13" Type="http://schemas.openxmlformats.org/officeDocument/2006/relationships/oleObject" Target="embeddings/oleObject3.bin"/><Relationship Id="rId12" Type="http://schemas.openxmlformats.org/officeDocument/2006/relationships/image" Target="media/image3.png"/><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125</Words>
  <Characters>148</Characters>
  <Lines>228</Lines>
  <Paragraphs>64</Paragraphs>
  <TotalTime>5</TotalTime>
  <ScaleCrop>false</ScaleCrop>
  <LinksUpToDate>false</LinksUpToDate>
  <CharactersWithSpaces>176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2020-12-24T17:29:00Z</dcterms:created>
  <dc:creator>lhj</dc:creator>
  <cp:lastModifiedBy>uos</cp:lastModifiedBy>
  <cp:lastPrinted>2021-08-04T23:49:00Z</cp:lastPrinted>
  <dcterms:modified xsi:type="dcterms:W3CDTF">2026-06-18T10:31:08Z</dcterms:modified>
  <dc:title>附件2</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B7D15E83696DF6F2E1FC316AE31B33EC_43</vt:lpwstr>
  </property>
  <property fmtid="{D5CDD505-2E9C-101B-9397-08002B2CF9AE}" pid="4" name="KSOTemplateDocerSaveRecord">
    <vt:lpwstr>eyJoZGlkIjoiOTdmZmNjYmNiNzMzOWJhNGUyMDFhNDQ5OTViMmIwYzAiLCJ1c2VySWQiOiI2MzM1MjczOTAifQ==</vt:lpwstr>
  </property>
</Properties>
</file>