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12" w:rsidRDefault="003D4C39">
      <w:pPr>
        <w:pStyle w:val="1"/>
        <w:widowControl/>
        <w:shd w:val="clear" w:color="auto" w:fill="FFFFFF"/>
        <w:spacing w:beforeAutospacing="0" w:afterAutospacing="0" w:line="900" w:lineRule="atLeast"/>
        <w:jc w:val="center"/>
        <w:rPr>
          <w:rFonts w:ascii="微软雅黑" w:eastAsia="微软雅黑" w:hAnsi="微软雅黑" w:cs="微软雅黑" w:hint="default"/>
          <w:b w:val="0"/>
          <w:color w:val="333333"/>
        </w:rPr>
      </w:pPr>
      <w:r>
        <w:rPr>
          <w:rFonts w:ascii="微软雅黑" w:eastAsia="微软雅黑" w:hAnsi="微软雅黑" w:cs="微软雅黑"/>
          <w:b w:val="0"/>
          <w:color w:val="333333"/>
          <w:shd w:val="clear" w:color="auto" w:fill="FFFFFF"/>
        </w:rPr>
        <w:t>丁湖</w:t>
      </w:r>
      <w:r w:rsidR="00B12209">
        <w:rPr>
          <w:rFonts w:ascii="微软雅黑" w:eastAsia="微软雅黑" w:hAnsi="微软雅黑" w:cs="微软雅黑"/>
          <w:b w:val="0"/>
          <w:color w:val="333333"/>
          <w:shd w:val="clear" w:color="auto" w:fill="FFFFFF"/>
        </w:rPr>
        <w:t>镇人民政府机构职能目录</w:t>
      </w:r>
    </w:p>
    <w:tbl>
      <w:tblPr>
        <w:tblpPr w:leftFromText="180" w:rightFromText="180" w:vertAnchor="text" w:horzAnchor="page" w:tblpX="981" w:tblpY="432"/>
        <w:tblOverlap w:val="never"/>
        <w:tblW w:w="5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01"/>
        <w:gridCol w:w="993"/>
        <w:gridCol w:w="8930"/>
        <w:gridCol w:w="2366"/>
      </w:tblGrid>
      <w:tr w:rsidR="00B54012">
        <w:trPr>
          <w:trHeight w:val="654"/>
        </w:trPr>
        <w:tc>
          <w:tcPr>
            <w:tcW w:w="928"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黑体简体"/>
                <w:bCs/>
                <w:sz w:val="28"/>
                <w:szCs w:val="28"/>
              </w:rPr>
            </w:pPr>
            <w:r>
              <w:rPr>
                <w:rFonts w:asciiTheme="majorEastAsia" w:eastAsiaTheme="majorEastAsia" w:hAnsiTheme="majorEastAsia" w:cs="方正黑体简体" w:hint="eastAsia"/>
                <w:bCs/>
                <w:color w:val="000000"/>
                <w:kern w:val="0"/>
                <w:sz w:val="28"/>
                <w:szCs w:val="28"/>
              </w:rPr>
              <w:t>主要职责</w:t>
            </w: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黑体简体"/>
                <w:bCs/>
                <w:sz w:val="28"/>
                <w:szCs w:val="28"/>
              </w:rPr>
            </w:pPr>
            <w:r>
              <w:rPr>
                <w:rFonts w:asciiTheme="majorEastAsia" w:eastAsiaTheme="majorEastAsia" w:hAnsiTheme="majorEastAsia" w:cs="方正黑体简体" w:hint="eastAsia"/>
                <w:bCs/>
                <w:color w:val="000000"/>
                <w:kern w:val="0"/>
                <w:sz w:val="28"/>
                <w:szCs w:val="28"/>
              </w:rPr>
              <w:t>序号</w:t>
            </w:r>
          </w:p>
        </w:tc>
        <w:tc>
          <w:tcPr>
            <w:tcW w:w="295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黑体简体"/>
                <w:bCs/>
                <w:sz w:val="28"/>
                <w:szCs w:val="28"/>
              </w:rPr>
            </w:pPr>
            <w:r>
              <w:rPr>
                <w:rFonts w:asciiTheme="majorEastAsia" w:eastAsiaTheme="majorEastAsia" w:hAnsiTheme="majorEastAsia" w:cs="方正黑体简体" w:hint="eastAsia"/>
                <w:bCs/>
                <w:color w:val="000000"/>
                <w:kern w:val="0"/>
                <w:sz w:val="28"/>
                <w:szCs w:val="28"/>
              </w:rPr>
              <w:t>名称</w:t>
            </w:r>
          </w:p>
        </w:tc>
        <w:tc>
          <w:tcPr>
            <w:tcW w:w="784"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黑体简体"/>
                <w:bCs/>
                <w:sz w:val="28"/>
                <w:szCs w:val="28"/>
              </w:rPr>
            </w:pPr>
            <w:r>
              <w:rPr>
                <w:rFonts w:asciiTheme="majorEastAsia" w:eastAsiaTheme="majorEastAsia" w:hAnsiTheme="majorEastAsia" w:cs="方正黑体简体" w:hint="eastAsia"/>
                <w:bCs/>
                <w:color w:val="000000"/>
                <w:kern w:val="0"/>
                <w:sz w:val="28"/>
                <w:szCs w:val="28"/>
              </w:rPr>
              <w:t>实施部门</w:t>
            </w:r>
          </w:p>
        </w:tc>
      </w:tr>
      <w:tr w:rsidR="00B54012">
        <w:trPr>
          <w:trHeight w:val="1183"/>
        </w:trPr>
        <w:tc>
          <w:tcPr>
            <w:tcW w:w="928" w:type="pct"/>
            <w:vMerge w:val="restar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黑体简体"/>
                <w:sz w:val="28"/>
                <w:szCs w:val="28"/>
              </w:rPr>
            </w:pPr>
            <w:r>
              <w:rPr>
                <w:rFonts w:asciiTheme="majorEastAsia" w:eastAsiaTheme="majorEastAsia" w:hAnsiTheme="majorEastAsia" w:cs="方正黑体简体" w:hint="eastAsia"/>
                <w:sz w:val="28"/>
                <w:szCs w:val="28"/>
                <w:shd w:val="clear" w:color="auto" w:fill="FFFFFF"/>
              </w:rPr>
              <w:t>（一）</w:t>
            </w:r>
            <w:r>
              <w:rPr>
                <w:rFonts w:asciiTheme="majorEastAsia" w:eastAsiaTheme="majorEastAsia" w:hAnsiTheme="majorEastAsia" w:hint="eastAsia"/>
                <w:color w:val="333333"/>
                <w:sz w:val="28"/>
                <w:szCs w:val="28"/>
                <w:shd w:val="clear" w:color="auto" w:fill="FFFFFF"/>
              </w:rPr>
              <w:t>创造发展环境</w:t>
            </w: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1</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抓好新农村建设整体规划和经济发展规划，促进农村经济社会健康发展；</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theme="majorEastAsia"/>
                <w:sz w:val="28"/>
                <w:szCs w:val="28"/>
                <w:shd w:val="clear" w:color="auto" w:fill="FFFFFF"/>
              </w:rPr>
            </w:pPr>
            <w:r>
              <w:rPr>
                <w:rFonts w:asciiTheme="majorEastAsia" w:eastAsiaTheme="majorEastAsia" w:hAnsiTheme="majorEastAsia" w:cstheme="majorEastAsia" w:hint="eastAsia"/>
                <w:sz w:val="28"/>
                <w:szCs w:val="28"/>
                <w:shd w:val="clear" w:color="auto" w:fill="FFFFFF"/>
              </w:rPr>
              <w:t>住建</w:t>
            </w:r>
            <w:r>
              <w:rPr>
                <w:rFonts w:asciiTheme="majorEastAsia" w:eastAsiaTheme="majorEastAsia" w:hAnsiTheme="majorEastAsia" w:cstheme="majorEastAsia" w:hint="eastAsia"/>
                <w:sz w:val="28"/>
                <w:szCs w:val="28"/>
                <w:shd w:val="clear" w:color="auto" w:fill="FFFFFF"/>
              </w:rPr>
              <w:t>规划所、经济发展办公室</w:t>
            </w:r>
          </w:p>
        </w:tc>
      </w:tr>
      <w:tr w:rsidR="00B54012">
        <w:trPr>
          <w:trHeight w:val="1183"/>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sz w:val="28"/>
                <w:szCs w:val="28"/>
              </w:rPr>
              <w:t>2</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改善软硬环境，为市场主体提供便利条件和优质服务，优化发展环境；</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theme="majorEastAsia"/>
                <w:sz w:val="28"/>
                <w:szCs w:val="28"/>
                <w:shd w:val="clear" w:color="auto" w:fill="FFFFFF"/>
              </w:rPr>
            </w:pPr>
            <w:r>
              <w:rPr>
                <w:rFonts w:asciiTheme="majorEastAsia" w:eastAsiaTheme="majorEastAsia" w:hAnsiTheme="majorEastAsia" w:cstheme="majorEastAsia" w:hint="eastAsia"/>
                <w:sz w:val="28"/>
                <w:szCs w:val="28"/>
                <w:shd w:val="clear" w:color="auto" w:fill="FFFFFF"/>
              </w:rPr>
              <w:t>经济发展办公室</w:t>
            </w:r>
          </w:p>
        </w:tc>
      </w:tr>
      <w:tr w:rsidR="00B54012">
        <w:trPr>
          <w:trHeight w:val="1183"/>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sz w:val="28"/>
                <w:szCs w:val="28"/>
              </w:rPr>
              <w:t>3</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组织引导农村富余劳动力转移和就业，提高农村城镇化水平；</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人社所</w:t>
            </w:r>
          </w:p>
        </w:tc>
      </w:tr>
      <w:tr w:rsidR="00B54012">
        <w:trPr>
          <w:trHeight w:val="1183"/>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sz w:val="28"/>
                <w:szCs w:val="28"/>
              </w:rPr>
              <w:t>4</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扶持和发展特色经济、优势产业，推进农业产业化，促进农民增收；</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农村经济技术工作站、畜牧站</w:t>
            </w:r>
          </w:p>
        </w:tc>
      </w:tr>
      <w:tr w:rsidR="00B54012">
        <w:trPr>
          <w:trHeight w:val="1183"/>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sz w:val="28"/>
                <w:szCs w:val="28"/>
              </w:rPr>
              <w:t>5</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olor w:val="333333"/>
                <w:sz w:val="28"/>
                <w:szCs w:val="28"/>
                <w:shd w:val="clear" w:color="auto" w:fill="FFFFFF"/>
              </w:rPr>
            </w:pPr>
            <w:r>
              <w:rPr>
                <w:rFonts w:asciiTheme="majorEastAsia" w:eastAsiaTheme="majorEastAsia" w:hAnsiTheme="majorEastAsia" w:hint="eastAsia"/>
                <w:color w:val="333333"/>
                <w:sz w:val="28"/>
                <w:szCs w:val="28"/>
                <w:shd w:val="clear" w:color="auto" w:fill="FFFFFF"/>
              </w:rPr>
              <w:t>培育多种形式的农村专业经济合作组织，提高农业集约化的程度和农民进入市场的组织化程度。</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农村经济技术工作站、畜牧站</w:t>
            </w:r>
          </w:p>
        </w:tc>
      </w:tr>
      <w:tr w:rsidR="00B54012">
        <w:trPr>
          <w:trHeight w:val="1183"/>
        </w:trPr>
        <w:tc>
          <w:tcPr>
            <w:tcW w:w="928" w:type="pct"/>
            <w:vMerge w:val="restar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黑体简体"/>
                <w:sz w:val="28"/>
                <w:szCs w:val="28"/>
                <w:shd w:val="clear" w:color="auto" w:fill="FFFFFF"/>
              </w:rPr>
            </w:pPr>
            <w:r>
              <w:rPr>
                <w:rFonts w:asciiTheme="majorEastAsia" w:eastAsiaTheme="majorEastAsia" w:hAnsiTheme="majorEastAsia" w:cs="方正黑体简体" w:hint="eastAsia"/>
                <w:sz w:val="28"/>
                <w:szCs w:val="28"/>
                <w:shd w:val="clear" w:color="auto" w:fill="FFFFFF"/>
              </w:rPr>
              <w:lastRenderedPageBreak/>
              <w:t>（二）</w:t>
            </w:r>
            <w:r>
              <w:rPr>
                <w:rFonts w:asciiTheme="majorEastAsia" w:eastAsiaTheme="majorEastAsia" w:hAnsiTheme="majorEastAsia" w:hint="eastAsia"/>
                <w:color w:val="333333"/>
                <w:sz w:val="28"/>
                <w:szCs w:val="28"/>
                <w:shd w:val="clear" w:color="auto" w:fill="FFFFFF"/>
              </w:rPr>
              <w:t>加强社会管理</w:t>
            </w:r>
          </w:p>
          <w:p w:rsidR="00B54012" w:rsidRDefault="00B54012">
            <w:pPr>
              <w:widowControl/>
              <w:jc w:val="center"/>
              <w:rPr>
                <w:rFonts w:asciiTheme="majorEastAsia" w:eastAsiaTheme="majorEastAsia" w:hAnsiTheme="majorEastAsia" w:cs="方正黑体简体"/>
                <w:kern w:val="0"/>
                <w:sz w:val="28"/>
                <w:szCs w:val="28"/>
              </w:rPr>
            </w:pP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1</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按规定权限管理或协助上级政府部门管理本行政区域内的教育、公安、民政、劳动保障、安全生产、文化、卫生、人口与计划生育、保护耕地、环境保护、村镇规划建设管理等行政工作；</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theme="majorEastAsia"/>
                <w:sz w:val="28"/>
                <w:szCs w:val="28"/>
                <w:shd w:val="clear" w:color="auto" w:fill="FFFFFF"/>
              </w:rPr>
            </w:pPr>
            <w:r>
              <w:rPr>
                <w:rFonts w:asciiTheme="majorEastAsia" w:eastAsiaTheme="majorEastAsia" w:hAnsiTheme="majorEastAsia" w:cstheme="majorEastAsia" w:hint="eastAsia"/>
                <w:sz w:val="28"/>
                <w:szCs w:val="28"/>
                <w:shd w:val="clear" w:color="auto" w:fill="FFFFFF"/>
              </w:rPr>
              <w:t>中学、中心校、派出所、民政所、人社所、安监办、文广站、卫生院、卫生与计划生育办公室、自然资源所、</w:t>
            </w:r>
            <w:hyperlink r:id="rId7" w:tgtFrame="http://zwgk.lingbi.gov.cn/public/column/_blank" w:history="1">
              <w:r>
                <w:rPr>
                  <w:rFonts w:asciiTheme="majorEastAsia" w:eastAsiaTheme="majorEastAsia" w:hAnsiTheme="majorEastAsia" w:cstheme="majorEastAsia" w:hint="eastAsia"/>
                  <w:sz w:val="28"/>
                  <w:szCs w:val="28"/>
                  <w:shd w:val="clear" w:color="auto" w:fill="FFFFFF"/>
                </w:rPr>
                <w:t>生态环境保护工作站</w:t>
              </w:r>
            </w:hyperlink>
            <w:r>
              <w:rPr>
                <w:rFonts w:asciiTheme="majorEastAsia" w:eastAsiaTheme="majorEastAsia" w:hAnsiTheme="majorEastAsia" w:cstheme="majorEastAsia" w:hint="eastAsia"/>
                <w:sz w:val="28"/>
                <w:szCs w:val="28"/>
                <w:shd w:val="clear" w:color="auto" w:fill="FFFFFF"/>
              </w:rPr>
              <w:t>、</w:t>
            </w:r>
            <w:r>
              <w:rPr>
                <w:rFonts w:asciiTheme="majorEastAsia" w:eastAsiaTheme="majorEastAsia" w:hAnsiTheme="majorEastAsia" w:cstheme="majorEastAsia" w:hint="eastAsia"/>
                <w:sz w:val="28"/>
                <w:szCs w:val="28"/>
                <w:shd w:val="clear" w:color="auto" w:fill="FFFFFF"/>
              </w:rPr>
              <w:t>住建</w:t>
            </w:r>
            <w:r>
              <w:rPr>
                <w:rFonts w:asciiTheme="majorEastAsia" w:eastAsiaTheme="majorEastAsia" w:hAnsiTheme="majorEastAsia" w:cstheme="majorEastAsia" w:hint="eastAsia"/>
                <w:sz w:val="28"/>
                <w:szCs w:val="28"/>
                <w:shd w:val="clear" w:color="auto" w:fill="FFFFFF"/>
              </w:rPr>
              <w:t>所</w:t>
            </w:r>
          </w:p>
        </w:tc>
      </w:tr>
      <w:tr w:rsidR="00B54012">
        <w:trPr>
          <w:trHeight w:val="1183"/>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sz w:val="28"/>
                <w:szCs w:val="28"/>
              </w:rPr>
              <w:t>2</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协同有关部门搞好农村市场监管，维护市场秩序；</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市场监督管理所</w:t>
            </w:r>
          </w:p>
        </w:tc>
      </w:tr>
      <w:tr w:rsidR="00B54012">
        <w:trPr>
          <w:trHeight w:val="598"/>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shd w:val="clear" w:color="auto" w:fill="FFFFFF"/>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3</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建立重大疫情、灾情等公共突发事件预防和应急机制，提高应对公共危机能力。</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theme="majorEastAsia" w:hint="eastAsia"/>
                <w:sz w:val="28"/>
                <w:szCs w:val="28"/>
                <w:shd w:val="clear" w:color="auto" w:fill="FFFFFF"/>
              </w:rPr>
              <w:t>安监办、卫生院、畜牧站、卫生与计划生育办公室、武</w:t>
            </w:r>
            <w:r>
              <w:rPr>
                <w:rFonts w:asciiTheme="majorEastAsia" w:eastAsiaTheme="majorEastAsia" w:hAnsiTheme="majorEastAsia" w:cstheme="majorEastAsia" w:hint="eastAsia"/>
                <w:sz w:val="28"/>
                <w:szCs w:val="28"/>
                <w:shd w:val="clear" w:color="auto" w:fill="FFFFFF"/>
              </w:rPr>
              <w:lastRenderedPageBreak/>
              <w:t>装部、民政所</w:t>
            </w:r>
          </w:p>
        </w:tc>
      </w:tr>
      <w:tr w:rsidR="00B54012">
        <w:trPr>
          <w:trHeight w:val="598"/>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shd w:val="clear" w:color="auto" w:fill="FFFFFF"/>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4</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指导村（居）民自治活动，推动农村民主政治建设和村民自治。</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民政所</w:t>
            </w:r>
          </w:p>
        </w:tc>
      </w:tr>
      <w:tr w:rsidR="00B54012">
        <w:trPr>
          <w:trHeight w:val="1207"/>
        </w:trPr>
        <w:tc>
          <w:tcPr>
            <w:tcW w:w="928" w:type="pct"/>
            <w:vMerge w:val="restar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黑体简体"/>
                <w:sz w:val="28"/>
                <w:szCs w:val="28"/>
              </w:rPr>
            </w:pPr>
            <w:r>
              <w:rPr>
                <w:rFonts w:asciiTheme="majorEastAsia" w:eastAsiaTheme="majorEastAsia" w:hAnsiTheme="majorEastAsia" w:cs="方正黑体简体" w:hint="eastAsia"/>
                <w:sz w:val="28"/>
                <w:szCs w:val="28"/>
                <w:shd w:val="clear" w:color="auto" w:fill="FFFFFF"/>
              </w:rPr>
              <w:t>（三）</w:t>
            </w:r>
            <w:r>
              <w:rPr>
                <w:rFonts w:asciiTheme="majorEastAsia" w:eastAsiaTheme="majorEastAsia" w:hAnsiTheme="majorEastAsia" w:hint="eastAsia"/>
                <w:color w:val="333333"/>
                <w:sz w:val="28"/>
                <w:szCs w:val="28"/>
                <w:shd w:val="clear" w:color="auto" w:fill="FFFFFF"/>
              </w:rPr>
              <w:t>搞好公共服务</w:t>
            </w: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1</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hint="eastAsia"/>
                <w:color w:val="333333"/>
                <w:sz w:val="28"/>
                <w:szCs w:val="28"/>
                <w:shd w:val="clear" w:color="auto" w:fill="FFFFFF"/>
              </w:rPr>
              <w:t>按规定权限负责或协助上级政府部门抓好农田水利、乡村道路、广播电视、供水、供电等基础设施建设与管理，改善农村生产生活条件；</w:t>
            </w:r>
          </w:p>
        </w:tc>
        <w:tc>
          <w:tcPr>
            <w:tcW w:w="784"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水利站、文广站、供电站、移动公司、电信公司、</w:t>
            </w:r>
            <w:r>
              <w:rPr>
                <w:rFonts w:asciiTheme="majorEastAsia" w:eastAsiaTheme="majorEastAsia" w:hAnsiTheme="majorEastAsia" w:cs="方正仿宋简体" w:hint="eastAsia"/>
                <w:kern w:val="0"/>
                <w:sz w:val="28"/>
                <w:szCs w:val="28"/>
              </w:rPr>
              <w:t>住建</w:t>
            </w:r>
            <w:r>
              <w:rPr>
                <w:rFonts w:asciiTheme="majorEastAsia" w:eastAsiaTheme="majorEastAsia" w:hAnsiTheme="majorEastAsia" w:cs="方正仿宋简体" w:hint="eastAsia"/>
                <w:kern w:val="0"/>
                <w:sz w:val="28"/>
                <w:szCs w:val="28"/>
              </w:rPr>
              <w:t>所</w:t>
            </w:r>
          </w:p>
        </w:tc>
      </w:tr>
      <w:tr w:rsidR="00B54012">
        <w:trPr>
          <w:trHeight w:val="719"/>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sz w:val="28"/>
                <w:szCs w:val="28"/>
              </w:rPr>
              <w:t>2</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加快农村教育、文化、科技、卫生等社会公共事业建设，提高农民的思想道德、科学文化和健康素质；</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中学、中心校、文广站、卫生院</w:t>
            </w:r>
          </w:p>
        </w:tc>
      </w:tr>
      <w:tr w:rsidR="00B54012">
        <w:trPr>
          <w:trHeight w:val="891"/>
        </w:trPr>
        <w:tc>
          <w:tcPr>
            <w:tcW w:w="928" w:type="pct"/>
            <w:vMerge/>
            <w:shd w:val="clear" w:color="auto" w:fill="auto"/>
            <w:tcMar>
              <w:top w:w="0" w:type="dxa"/>
              <w:left w:w="108" w:type="dxa"/>
              <w:bottom w:w="0" w:type="dxa"/>
              <w:right w:w="108" w:type="dxa"/>
            </w:tcMar>
            <w:vAlign w:val="center"/>
          </w:tcPr>
          <w:p w:rsidR="00B54012" w:rsidRDefault="00B54012">
            <w:pPr>
              <w:pStyle w:val="p"/>
              <w:shd w:val="clear" w:color="auto" w:fill="FFFFFF"/>
              <w:autoSpaceDE w:val="0"/>
              <w:spacing w:line="600" w:lineRule="exact"/>
              <w:jc w:val="center"/>
              <w:rPr>
                <w:rFonts w:asciiTheme="majorEastAsia" w:eastAsiaTheme="majorEastAsia" w:hAnsiTheme="majorEastAsia" w:cs="方正黑体简体"/>
                <w:sz w:val="28"/>
                <w:szCs w:val="28"/>
                <w:shd w:val="clear" w:color="auto" w:fill="FFFFFF"/>
              </w:rPr>
            </w:pPr>
          </w:p>
        </w:tc>
        <w:tc>
          <w:tcPr>
            <w:tcW w:w="32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方正仿宋简体" w:hint="eastAsia"/>
                <w:sz w:val="28"/>
                <w:szCs w:val="28"/>
                <w:shd w:val="clear" w:color="auto" w:fill="FFFFFF"/>
              </w:rPr>
              <w:t>3</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hint="eastAsia"/>
                <w:color w:val="333333"/>
                <w:sz w:val="28"/>
                <w:szCs w:val="28"/>
                <w:shd w:val="clear" w:color="auto" w:fill="FFFFFF"/>
              </w:rPr>
              <w:t>建立健全农业服务体系，为农民群众和市场主体提供政策、科技、信息服务。</w:t>
            </w:r>
          </w:p>
        </w:tc>
        <w:tc>
          <w:tcPr>
            <w:tcW w:w="784"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shd w:val="clear" w:color="auto" w:fill="FFFFFF"/>
              </w:rPr>
            </w:pPr>
            <w:r>
              <w:rPr>
                <w:rFonts w:asciiTheme="majorEastAsia" w:eastAsiaTheme="majorEastAsia" w:hAnsiTheme="majorEastAsia" w:cstheme="majorEastAsia" w:hint="eastAsia"/>
                <w:sz w:val="28"/>
                <w:szCs w:val="28"/>
                <w:shd w:val="clear" w:color="auto" w:fill="FFFFFF"/>
              </w:rPr>
              <w:t>农村经济技术工作站、林业站、畜牧站</w:t>
            </w:r>
          </w:p>
        </w:tc>
      </w:tr>
      <w:tr w:rsidR="00B54012">
        <w:trPr>
          <w:trHeight w:val="620"/>
        </w:trPr>
        <w:tc>
          <w:tcPr>
            <w:tcW w:w="928" w:type="pct"/>
            <w:vMerge w:val="restar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黑体简体"/>
                <w:sz w:val="28"/>
                <w:szCs w:val="28"/>
              </w:rPr>
            </w:pPr>
            <w:r>
              <w:rPr>
                <w:rFonts w:asciiTheme="majorEastAsia" w:eastAsiaTheme="majorEastAsia" w:hAnsiTheme="majorEastAsia" w:cs="方正黑体简体" w:hint="eastAsia"/>
                <w:sz w:val="28"/>
                <w:szCs w:val="28"/>
                <w:shd w:val="clear" w:color="auto" w:fill="FFFFFF"/>
              </w:rPr>
              <w:t>（四）</w:t>
            </w:r>
            <w:r>
              <w:rPr>
                <w:rFonts w:asciiTheme="majorEastAsia" w:eastAsiaTheme="majorEastAsia" w:hAnsiTheme="majorEastAsia" w:hint="eastAsia"/>
                <w:color w:val="333333"/>
                <w:sz w:val="28"/>
                <w:szCs w:val="28"/>
                <w:shd w:val="clear" w:color="auto" w:fill="FFFFFF"/>
              </w:rPr>
              <w:t>促进稳定和谐。</w:t>
            </w: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1</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hint="eastAsia"/>
                <w:color w:val="333333"/>
                <w:sz w:val="28"/>
                <w:szCs w:val="28"/>
                <w:shd w:val="clear" w:color="auto" w:fill="FFFFFF"/>
              </w:rPr>
              <w:t>做好农村扶贫开发、五保户供养、农村贫困人口救助工作。</w:t>
            </w:r>
          </w:p>
        </w:tc>
        <w:tc>
          <w:tcPr>
            <w:tcW w:w="784"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扶贫工作站、民政办</w:t>
            </w:r>
          </w:p>
        </w:tc>
      </w:tr>
      <w:tr w:rsidR="00B54012">
        <w:trPr>
          <w:trHeight w:val="620"/>
        </w:trPr>
        <w:tc>
          <w:tcPr>
            <w:tcW w:w="928" w:type="pct"/>
            <w:vMerge/>
            <w:shd w:val="clear" w:color="auto" w:fill="auto"/>
            <w:tcMar>
              <w:top w:w="0" w:type="dxa"/>
              <w:left w:w="108" w:type="dxa"/>
              <w:bottom w:w="0" w:type="dxa"/>
              <w:right w:w="108" w:type="dxa"/>
            </w:tcMar>
            <w:vAlign w:val="center"/>
          </w:tcPr>
          <w:p w:rsidR="00B54012" w:rsidRDefault="00B54012">
            <w:pPr>
              <w:widowControl/>
              <w:jc w:val="center"/>
              <w:rPr>
                <w:rFonts w:asciiTheme="majorEastAsia" w:eastAsiaTheme="majorEastAsia" w:hAnsiTheme="majorEastAsia" w:cs="方正黑体简体"/>
                <w:sz w:val="28"/>
                <w:szCs w:val="28"/>
              </w:rPr>
            </w:pP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sz w:val="28"/>
                <w:szCs w:val="28"/>
              </w:rPr>
            </w:pPr>
            <w:r>
              <w:rPr>
                <w:rFonts w:asciiTheme="majorEastAsia" w:eastAsiaTheme="majorEastAsia" w:hAnsiTheme="majorEastAsia" w:cs="方正仿宋简体" w:hint="eastAsia"/>
                <w:kern w:val="0"/>
                <w:sz w:val="28"/>
                <w:szCs w:val="28"/>
              </w:rPr>
              <w:t>2</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hint="eastAsia"/>
                <w:color w:val="333333"/>
                <w:sz w:val="28"/>
                <w:szCs w:val="28"/>
                <w:shd w:val="clear" w:color="auto" w:fill="FFFFFF"/>
              </w:rPr>
              <w:t>积极创造条件，配合上级政府建立并落实与当地经济发展水平相适应的农村社会救助和社会保障体系，推进农村养老保险、新型合作医疗、医疗救助、社会救助、失地农民保障等制度建设。</w:t>
            </w:r>
          </w:p>
        </w:tc>
        <w:tc>
          <w:tcPr>
            <w:tcW w:w="784"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民政办、人社所、卫生院</w:t>
            </w:r>
          </w:p>
        </w:tc>
      </w:tr>
      <w:tr w:rsidR="00B54012">
        <w:trPr>
          <w:trHeight w:val="1230"/>
        </w:trPr>
        <w:tc>
          <w:tcPr>
            <w:tcW w:w="928" w:type="pct"/>
            <w:vMerge/>
            <w:shd w:val="clear" w:color="auto" w:fill="auto"/>
            <w:tcMar>
              <w:top w:w="0" w:type="dxa"/>
              <w:left w:w="108" w:type="dxa"/>
              <w:bottom w:w="0" w:type="dxa"/>
              <w:right w:w="108" w:type="dxa"/>
            </w:tcMar>
            <w:vAlign w:val="center"/>
          </w:tcPr>
          <w:p w:rsidR="00B54012" w:rsidRDefault="00B54012">
            <w:pPr>
              <w:widowControl/>
              <w:jc w:val="center"/>
              <w:rPr>
                <w:rFonts w:asciiTheme="majorEastAsia" w:eastAsiaTheme="majorEastAsia" w:hAnsiTheme="majorEastAsia" w:cs="方正黑体简体"/>
                <w:kern w:val="0"/>
                <w:sz w:val="28"/>
                <w:szCs w:val="28"/>
              </w:rPr>
            </w:pP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3</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s="方正仿宋简体"/>
                <w:sz w:val="28"/>
                <w:szCs w:val="28"/>
              </w:rPr>
            </w:pPr>
            <w:r>
              <w:rPr>
                <w:rFonts w:asciiTheme="majorEastAsia" w:eastAsiaTheme="majorEastAsia" w:hAnsiTheme="majorEastAsia" w:hint="eastAsia"/>
                <w:color w:val="333333"/>
                <w:sz w:val="28"/>
                <w:szCs w:val="28"/>
                <w:shd w:val="clear" w:color="auto" w:fill="FFFFFF"/>
              </w:rPr>
              <w:t>加强农村政策法制宣传教育，协调社会利益关系，回应农民诉求，保护农民权益，维护社会公平、正义。</w:t>
            </w:r>
          </w:p>
        </w:tc>
        <w:tc>
          <w:tcPr>
            <w:tcW w:w="784"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农</w:t>
            </w:r>
            <w:r>
              <w:rPr>
                <w:rFonts w:asciiTheme="majorEastAsia" w:eastAsiaTheme="majorEastAsia" w:hAnsiTheme="majorEastAsia" w:cs="方正仿宋简体" w:hint="eastAsia"/>
                <w:kern w:val="0"/>
                <w:sz w:val="28"/>
                <w:szCs w:val="28"/>
              </w:rPr>
              <w:t>经</w:t>
            </w:r>
            <w:bookmarkStart w:id="0" w:name="_GoBack"/>
            <w:bookmarkEnd w:id="0"/>
            <w:r>
              <w:rPr>
                <w:rFonts w:asciiTheme="majorEastAsia" w:eastAsiaTheme="majorEastAsia" w:hAnsiTheme="majorEastAsia" w:cs="方正仿宋简体" w:hint="eastAsia"/>
                <w:kern w:val="0"/>
                <w:sz w:val="28"/>
                <w:szCs w:val="28"/>
              </w:rPr>
              <w:t>站、综治办、派出所、司法所、信访办</w:t>
            </w:r>
          </w:p>
        </w:tc>
      </w:tr>
      <w:tr w:rsidR="00B54012">
        <w:trPr>
          <w:trHeight w:val="1230"/>
        </w:trPr>
        <w:tc>
          <w:tcPr>
            <w:tcW w:w="928" w:type="pct"/>
            <w:vMerge/>
            <w:shd w:val="clear" w:color="auto" w:fill="auto"/>
            <w:tcMar>
              <w:top w:w="0" w:type="dxa"/>
              <w:left w:w="108" w:type="dxa"/>
              <w:bottom w:w="0" w:type="dxa"/>
              <w:right w:w="108" w:type="dxa"/>
            </w:tcMar>
            <w:vAlign w:val="center"/>
          </w:tcPr>
          <w:p w:rsidR="00B54012" w:rsidRDefault="00B54012">
            <w:pPr>
              <w:widowControl/>
              <w:jc w:val="center"/>
              <w:rPr>
                <w:rFonts w:asciiTheme="majorEastAsia" w:eastAsiaTheme="majorEastAsia" w:hAnsiTheme="majorEastAsia" w:cs="方正黑体简体"/>
                <w:kern w:val="0"/>
                <w:sz w:val="28"/>
                <w:szCs w:val="28"/>
              </w:rPr>
            </w:pPr>
          </w:p>
        </w:tc>
        <w:tc>
          <w:tcPr>
            <w:tcW w:w="329"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4</w:t>
            </w:r>
          </w:p>
        </w:tc>
        <w:tc>
          <w:tcPr>
            <w:tcW w:w="2959" w:type="pct"/>
            <w:shd w:val="clear" w:color="auto" w:fill="auto"/>
            <w:tcMar>
              <w:top w:w="0" w:type="dxa"/>
              <w:left w:w="108" w:type="dxa"/>
              <w:bottom w:w="0" w:type="dxa"/>
              <w:right w:w="108" w:type="dxa"/>
            </w:tcMar>
            <w:vAlign w:val="center"/>
          </w:tcPr>
          <w:p w:rsidR="00B54012" w:rsidRDefault="00B12209">
            <w:pPr>
              <w:pStyle w:val="p"/>
              <w:shd w:val="clear" w:color="auto" w:fill="FFFFFF"/>
              <w:autoSpaceDE w:val="0"/>
              <w:spacing w:line="600" w:lineRule="exact"/>
              <w:jc w:val="center"/>
              <w:rPr>
                <w:rFonts w:asciiTheme="majorEastAsia" w:eastAsiaTheme="majorEastAsia" w:hAnsiTheme="majorEastAsia"/>
                <w:color w:val="333333"/>
                <w:sz w:val="28"/>
                <w:szCs w:val="28"/>
                <w:shd w:val="clear" w:color="auto" w:fill="FFFFFF"/>
              </w:rPr>
            </w:pPr>
            <w:r>
              <w:rPr>
                <w:rFonts w:asciiTheme="majorEastAsia" w:eastAsiaTheme="majorEastAsia" w:hAnsiTheme="majorEastAsia" w:hint="eastAsia"/>
                <w:color w:val="333333"/>
                <w:sz w:val="28"/>
                <w:szCs w:val="28"/>
                <w:shd w:val="clear" w:color="auto" w:fill="FFFFFF"/>
              </w:rPr>
              <w:t>做好农村信访工作，加强各类矛盾纠纷调处，强化社会治安综合治理，维护社会稳定。</w:t>
            </w:r>
          </w:p>
        </w:tc>
        <w:tc>
          <w:tcPr>
            <w:tcW w:w="784" w:type="pct"/>
            <w:shd w:val="clear" w:color="auto" w:fill="auto"/>
            <w:tcMar>
              <w:top w:w="0" w:type="dxa"/>
              <w:left w:w="108" w:type="dxa"/>
              <w:bottom w:w="0" w:type="dxa"/>
              <w:right w:w="108" w:type="dxa"/>
            </w:tcMar>
            <w:vAlign w:val="center"/>
          </w:tcPr>
          <w:p w:rsidR="00B54012" w:rsidRDefault="00B12209">
            <w:pPr>
              <w:widowControl/>
              <w:jc w:val="center"/>
              <w:rPr>
                <w:rFonts w:asciiTheme="majorEastAsia" w:eastAsiaTheme="majorEastAsia" w:hAnsiTheme="majorEastAsia" w:cs="方正仿宋简体"/>
                <w:kern w:val="0"/>
                <w:sz w:val="28"/>
                <w:szCs w:val="28"/>
              </w:rPr>
            </w:pPr>
            <w:r>
              <w:rPr>
                <w:rFonts w:asciiTheme="majorEastAsia" w:eastAsiaTheme="majorEastAsia" w:hAnsiTheme="majorEastAsia" w:cs="方正仿宋简体" w:hint="eastAsia"/>
                <w:kern w:val="0"/>
                <w:sz w:val="28"/>
                <w:szCs w:val="28"/>
              </w:rPr>
              <w:t>信访办、综治办</w:t>
            </w:r>
          </w:p>
        </w:tc>
      </w:tr>
    </w:tbl>
    <w:p w:rsidR="00B54012" w:rsidRDefault="00B54012">
      <w:pPr>
        <w:widowControl/>
        <w:shd w:val="clear" w:color="auto" w:fill="FFFFFF"/>
        <w:spacing w:line="510" w:lineRule="atLeast"/>
        <w:jc w:val="left"/>
        <w:rPr>
          <w:rFonts w:ascii="方正仿宋简体" w:eastAsia="方正仿宋简体" w:hAnsi="方正仿宋简体" w:cs="方正仿宋简体"/>
        </w:rPr>
      </w:pPr>
      <w:hyperlink r:id="rId8" w:tooltip="分享到微信" w:history="1"/>
      <w:hyperlink r:id="rId9" w:tooltip="分享到新浪微博" w:history="1"/>
      <w:hyperlink r:id="rId10" w:tooltip="分享到QQ空间" w:history="1"/>
    </w:p>
    <w:sectPr w:rsidR="00B54012" w:rsidSect="00B5401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209" w:rsidRDefault="00B12209" w:rsidP="003D4C39">
      <w:r>
        <w:separator/>
      </w:r>
    </w:p>
  </w:endnote>
  <w:endnote w:type="continuationSeparator" w:id="1">
    <w:p w:rsidR="00B12209" w:rsidRDefault="00B12209" w:rsidP="003D4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黑体简体">
    <w:altName w:val="微软雅黑"/>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209" w:rsidRDefault="00B12209" w:rsidP="003D4C39">
      <w:r>
        <w:separator/>
      </w:r>
    </w:p>
  </w:footnote>
  <w:footnote w:type="continuationSeparator" w:id="1">
    <w:p w:rsidR="00B12209" w:rsidRDefault="00B12209" w:rsidP="003D4C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04D15DC"/>
    <w:rsid w:val="003D4C39"/>
    <w:rsid w:val="00852B40"/>
    <w:rsid w:val="00A70209"/>
    <w:rsid w:val="00B12209"/>
    <w:rsid w:val="00B54012"/>
    <w:rsid w:val="00D24AA3"/>
    <w:rsid w:val="00F26768"/>
    <w:rsid w:val="01755FE9"/>
    <w:rsid w:val="052027FE"/>
    <w:rsid w:val="05243B17"/>
    <w:rsid w:val="07966B26"/>
    <w:rsid w:val="082F4B4B"/>
    <w:rsid w:val="0DF564BA"/>
    <w:rsid w:val="11547B06"/>
    <w:rsid w:val="13886EEF"/>
    <w:rsid w:val="14076811"/>
    <w:rsid w:val="189152E1"/>
    <w:rsid w:val="1B296D15"/>
    <w:rsid w:val="1E8B50AD"/>
    <w:rsid w:val="23911BA1"/>
    <w:rsid w:val="26486C84"/>
    <w:rsid w:val="2772122B"/>
    <w:rsid w:val="2C035F03"/>
    <w:rsid w:val="2C634748"/>
    <w:rsid w:val="2C7D726D"/>
    <w:rsid w:val="2D7372FD"/>
    <w:rsid w:val="31244A06"/>
    <w:rsid w:val="32445CF6"/>
    <w:rsid w:val="32E81359"/>
    <w:rsid w:val="33C407F7"/>
    <w:rsid w:val="3845630D"/>
    <w:rsid w:val="39055175"/>
    <w:rsid w:val="3B593CAB"/>
    <w:rsid w:val="3D193EEF"/>
    <w:rsid w:val="3E1F2A19"/>
    <w:rsid w:val="404D15DC"/>
    <w:rsid w:val="427A203B"/>
    <w:rsid w:val="44F959CE"/>
    <w:rsid w:val="45383D8A"/>
    <w:rsid w:val="478669A7"/>
    <w:rsid w:val="4838536C"/>
    <w:rsid w:val="4CDB553C"/>
    <w:rsid w:val="500C0C7E"/>
    <w:rsid w:val="516D3A12"/>
    <w:rsid w:val="51D57AD9"/>
    <w:rsid w:val="533F65ED"/>
    <w:rsid w:val="537D14ED"/>
    <w:rsid w:val="55BB36E6"/>
    <w:rsid w:val="5766194B"/>
    <w:rsid w:val="5B3469DF"/>
    <w:rsid w:val="5D7A0F12"/>
    <w:rsid w:val="5D7C1781"/>
    <w:rsid w:val="5E916692"/>
    <w:rsid w:val="5F0329CC"/>
    <w:rsid w:val="5FAE1CDE"/>
    <w:rsid w:val="600562F4"/>
    <w:rsid w:val="60BC35FC"/>
    <w:rsid w:val="60E323EF"/>
    <w:rsid w:val="61293697"/>
    <w:rsid w:val="62112AAA"/>
    <w:rsid w:val="621667E0"/>
    <w:rsid w:val="621C1693"/>
    <w:rsid w:val="645642E3"/>
    <w:rsid w:val="6BE9438A"/>
    <w:rsid w:val="6D976998"/>
    <w:rsid w:val="707020C6"/>
    <w:rsid w:val="717863D0"/>
    <w:rsid w:val="7215746C"/>
    <w:rsid w:val="73E0120C"/>
    <w:rsid w:val="74E9297E"/>
    <w:rsid w:val="772D21FA"/>
    <w:rsid w:val="7C02068D"/>
    <w:rsid w:val="7D16193B"/>
    <w:rsid w:val="7E1A266F"/>
    <w:rsid w:val="7F2E06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01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54012"/>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54012"/>
    <w:rPr>
      <w:b/>
    </w:rPr>
  </w:style>
  <w:style w:type="character" w:styleId="a4">
    <w:name w:val="Hyperlink"/>
    <w:basedOn w:val="a0"/>
    <w:qFormat/>
    <w:rsid w:val="00B54012"/>
    <w:rPr>
      <w:color w:val="0000FF"/>
      <w:u w:val="single"/>
    </w:rPr>
  </w:style>
  <w:style w:type="paragraph" w:customStyle="1" w:styleId="p">
    <w:name w:val="p"/>
    <w:basedOn w:val="a"/>
    <w:qFormat/>
    <w:rsid w:val="00B54012"/>
    <w:pPr>
      <w:widowControl/>
      <w:jc w:val="left"/>
    </w:pPr>
    <w:rPr>
      <w:rFonts w:ascii="宋体" w:hAnsi="宋体" w:cs="宋体"/>
      <w:kern w:val="0"/>
      <w:sz w:val="24"/>
    </w:rPr>
  </w:style>
  <w:style w:type="paragraph" w:styleId="a5">
    <w:name w:val="header"/>
    <w:basedOn w:val="a"/>
    <w:link w:val="Char"/>
    <w:rsid w:val="003D4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4C39"/>
    <w:rPr>
      <w:rFonts w:asciiTheme="minorHAnsi" w:eastAsiaTheme="minorEastAsia" w:hAnsiTheme="minorHAnsi" w:cstheme="minorBidi"/>
      <w:kern w:val="2"/>
      <w:sz w:val="18"/>
      <w:szCs w:val="18"/>
    </w:rPr>
  </w:style>
  <w:style w:type="paragraph" w:styleId="a6">
    <w:name w:val="footer"/>
    <w:basedOn w:val="a"/>
    <w:link w:val="Char0"/>
    <w:rsid w:val="003D4C39"/>
    <w:pPr>
      <w:tabs>
        <w:tab w:val="center" w:pos="4153"/>
        <w:tab w:val="right" w:pos="8306"/>
      </w:tabs>
      <w:snapToGrid w:val="0"/>
      <w:jc w:val="left"/>
    </w:pPr>
    <w:rPr>
      <w:sz w:val="18"/>
      <w:szCs w:val="18"/>
    </w:rPr>
  </w:style>
  <w:style w:type="character" w:customStyle="1" w:styleId="Char0">
    <w:name w:val="页脚 Char"/>
    <w:basedOn w:val="a0"/>
    <w:link w:val="a6"/>
    <w:rsid w:val="003D4C3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k.ahsz.gov.cn/public/2655573/javascript:void(0)" TargetMode="External"/><Relationship Id="rId3" Type="http://schemas.openxmlformats.org/officeDocument/2006/relationships/settings" Target="settings.xml"/><Relationship Id="rId7" Type="http://schemas.openxmlformats.org/officeDocument/2006/relationships/hyperlink" Target="http://zwgk.lingbi.gov.cn/3714766/5682562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gk.ahsz.gov.cn/public/2655573/javascript:void(0)" TargetMode="External"/><Relationship Id="rId4" Type="http://schemas.openxmlformats.org/officeDocument/2006/relationships/webSettings" Target="webSettings.xml"/><Relationship Id="rId9" Type="http://schemas.openxmlformats.org/officeDocument/2006/relationships/hyperlink" Target="http://gk.ahsz.gov.cn/public/2655573/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dc:creator>
  <cp:lastModifiedBy>Windows 用户</cp:lastModifiedBy>
  <cp:revision>2</cp:revision>
  <cp:lastPrinted>2020-09-14T07:22:00Z</cp:lastPrinted>
  <dcterms:created xsi:type="dcterms:W3CDTF">2020-10-15T01:32:00Z</dcterms:created>
  <dcterms:modified xsi:type="dcterms:W3CDTF">2020-10-15T01:32:00Z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