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泗县运河南苑城中村改造项目水土保持</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方案报告书的批复</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37</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泗县经济开发区创新产业园</w:t>
      </w:r>
      <w:r>
        <w:rPr>
          <w:rFonts w:hint="eastAsia" w:asciiTheme="minorEastAsia" w:hAnsiTheme="minorEastAsia" w:cstheme="minorEastAsia"/>
          <w:sz w:val="32"/>
          <w:szCs w:val="40"/>
          <w:lang w:val="en-US" w:eastAsia="zh-CN"/>
        </w:rPr>
        <w:t>水土保持方案</w:t>
      </w:r>
      <w:r>
        <w:rPr>
          <w:rFonts w:hint="eastAsia" w:asciiTheme="minorEastAsia" w:hAnsiTheme="minorEastAsia" w:eastAsiaTheme="minorEastAsia" w:cstheme="minorEastAsia"/>
          <w:sz w:val="32"/>
          <w:szCs w:val="40"/>
        </w:rPr>
        <w:t>项目</w:t>
      </w:r>
    </w:p>
    <w:p>
      <w:pPr>
        <w:ind w:firstLine="1280" w:firstLineChars="4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2019-341324-47-01-029118</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泗县经济开发区创新产业园项目位于泗县经济开发区南三环与东三环交汇处西北角。工程总占地面积15.98hm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，均为永久占地。</w:t>
      </w:r>
      <w:r>
        <w:rPr>
          <w:rFonts w:hint="eastAsia" w:asciiTheme="minorEastAsia" w:hAnsiTheme="minorEastAsia" w:eastAsiaTheme="minorEastAsia" w:cstheme="minorEastAsia"/>
          <w:sz w:val="32"/>
          <w:szCs w:val="40"/>
        </w:rPr>
        <w:t>基本同意水土流失防治责任范围的界定和防治区划分。同意项目水土流失防治标准，执行北方土石山区建设类项目一级标准。基本同意水土流失调查方法与结果。基本同意水土保持估算成果。基本同意本项目水土保持补偿费</w:t>
      </w:r>
      <w:r>
        <w:rPr>
          <w:rFonts w:hint="eastAsia" w:asciiTheme="minorEastAsia" w:hAnsiTheme="minorEastAsia" w:cstheme="minorEastAsia"/>
          <w:sz w:val="32"/>
          <w:szCs w:val="40"/>
          <w:lang w:val="en-US" w:eastAsia="zh-CN"/>
        </w:rPr>
        <w:t>1.4</w:t>
      </w:r>
      <w:r>
        <w:rPr>
          <w:rFonts w:hint="eastAsia" w:asciiTheme="minorEastAsia" w:hAnsiTheme="minorEastAsia" w:eastAsiaTheme="minorEastAsia" w:cstheme="minorEastAsia"/>
          <w:sz w:val="32"/>
          <w:szCs w:val="40"/>
          <w:lang w:val="en-US" w:eastAsia="zh-CN"/>
        </w:rPr>
        <w:t>8</w:t>
      </w:r>
      <w:r>
        <w:rPr>
          <w:rFonts w:hint="eastAsia" w:asciiTheme="minorEastAsia" w:hAnsiTheme="minorEastAsia" w:eastAsiaTheme="minorEastAsia" w:cstheme="minorEastAsia"/>
          <w:sz w:val="32"/>
          <w:szCs w:val="40"/>
        </w:rPr>
        <w:t>万元</w:t>
      </w:r>
      <w:r>
        <w:rPr>
          <w:rFonts w:hint="eastAsia" w:asciiTheme="minorEastAsia" w:hAnsiTheme="minorEastAsia" w:eastAsiaTheme="minorEastAsia" w:cstheme="minorEastAsia"/>
          <w:sz w:val="32"/>
          <w:szCs w:val="40"/>
          <w:lang w:eastAsia="zh-CN"/>
        </w:rPr>
        <w:t>。</w:t>
      </w:r>
      <w:bookmarkStart w:id="0" w:name="_GoBack"/>
      <w:bookmarkEnd w:id="0"/>
      <w:r>
        <w:rPr>
          <w:rFonts w:hint="eastAsia" w:asciiTheme="minorEastAsia" w:hAnsiTheme="minorEastAsia" w:eastAsiaTheme="minorEastAsia" w:cstheme="minorEastAsia"/>
          <w:sz w:val="32"/>
          <w:szCs w:val="40"/>
        </w:rPr>
        <w:t>切实做好水土保持监测、监理工作，并按规定向我局提交水土保持监测实施方案、季度报告及总结报告。在水土保持设施自主验收通过后3个月内，向我局报备水土保持设施验收材料。水土保持设施未经验收或者验收不合格的，项目不得投产使用。</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泗县虹乡建设发展有限责任公司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六、行政相对人代码：913413240822202929</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杨申</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6</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28</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270601BC"/>
    <w:rsid w:val="354D332B"/>
    <w:rsid w:val="45262FEC"/>
    <w:rsid w:val="62F03745"/>
    <w:rsid w:val="66066439"/>
    <w:rsid w:val="66BC0935"/>
    <w:rsid w:val="674F359D"/>
    <w:rsid w:val="6A7B1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2021-06-29T01:53:31Z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50645BE6D2574A4F99DA196C9126B45D</vt:lpwstr>
  </property>
</Properties>
</file>