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cs="方正小标宋简体" w:asciiTheme="minorEastAsia" w:hAnsiTheme="minorEastAsia" w:eastAsiaTheme="minorEastAsia"/>
          <w:sz w:val="32"/>
          <w:szCs w:val="32"/>
        </w:rPr>
      </w:pPr>
    </w:p>
    <w:p>
      <w:pPr>
        <w:jc w:val="center"/>
        <w:rPr>
          <w:rFonts w:hint="eastAsia" w:cs="方正小标宋简体" w:asciiTheme="minorEastAsia" w:hAnsiTheme="minorEastAsia" w:eastAsiaTheme="minorEastAsia"/>
          <w:sz w:val="32"/>
          <w:szCs w:val="32"/>
        </w:rPr>
      </w:pPr>
    </w:p>
    <w:p>
      <w:pPr>
        <w:jc w:val="center"/>
        <w:rPr>
          <w:rFonts w:hint="eastAsia" w:cs="方正小标宋简体" w:asciiTheme="minorEastAsia" w:hAnsiTheme="minorEastAsia" w:eastAsiaTheme="minorEastAsia"/>
          <w:sz w:val="32"/>
          <w:szCs w:val="32"/>
        </w:rPr>
      </w:pPr>
    </w:p>
    <w:p>
      <w:pPr>
        <w:keepNext w:val="0"/>
        <w:keepLines w:val="0"/>
        <w:pageBreakBefore w:val="0"/>
        <w:widowControl/>
        <w:kinsoku/>
        <w:wordWrap/>
        <w:overflowPunct/>
        <w:topLinePunct w:val="0"/>
        <w:autoSpaceDE/>
        <w:autoSpaceDN/>
        <w:bidi w:val="0"/>
        <w:adjustRightInd w:val="0"/>
        <w:snapToGrid w:val="0"/>
        <w:spacing w:after="721" w:afterLines="200" w:line="560" w:lineRule="exact"/>
        <w:jc w:val="both"/>
        <w:textAlignment w:val="auto"/>
        <w:rPr>
          <w:rFonts w:hint="eastAsia" w:ascii="楷体_GB2312" w:hAnsi="楷体_GB2312" w:eastAsia="楷体_GB2312" w:cs="楷体_GB2312"/>
          <w:sz w:val="32"/>
          <w:szCs w:val="32"/>
        </w:rPr>
      </w:pPr>
    </w:p>
    <w:p>
      <w:pPr>
        <w:keepNext w:val="0"/>
        <w:keepLines w:val="0"/>
        <w:pageBreakBefore w:val="0"/>
        <w:widowControl/>
        <w:kinsoku/>
        <w:wordWrap/>
        <w:overflowPunct/>
        <w:topLinePunct w:val="0"/>
        <w:autoSpaceDE/>
        <w:autoSpaceDN/>
        <w:bidi w:val="0"/>
        <w:adjustRightInd w:val="0"/>
        <w:snapToGrid w:val="0"/>
        <w:spacing w:after="901" w:afterLines="250" w:line="560" w:lineRule="exact"/>
        <w:jc w:val="center"/>
        <w:textAlignment w:val="auto"/>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泗</w:t>
      </w:r>
      <w:r>
        <w:rPr>
          <w:rFonts w:hint="eastAsia" w:ascii="楷体_GB2312" w:hAnsi="楷体_GB2312" w:eastAsia="楷体_GB2312" w:cs="楷体_GB2312"/>
          <w:sz w:val="32"/>
          <w:szCs w:val="32"/>
          <w:lang w:eastAsia="zh-CN"/>
        </w:rPr>
        <w:t>民发</w:t>
      </w: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lang w:val="en-US" w:eastAsia="zh-CN"/>
        </w:rPr>
        <w:t>202</w:t>
      </w:r>
      <w:r>
        <w:rPr>
          <w:rFonts w:hint="eastAsia" w:ascii="Times New Roman" w:hAnsi="Times New Roman" w:eastAsia="楷体_GB2312" w:cs="Times New Roman"/>
          <w:sz w:val="32"/>
          <w:szCs w:val="32"/>
          <w:lang w:val="en-US" w:eastAsia="zh-CN"/>
        </w:rPr>
        <w:t>1</w:t>
      </w: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lang w:val="en-US" w:eastAsia="zh-CN"/>
        </w:rPr>
        <w:t>6</w:t>
      </w:r>
      <w:r>
        <w:rPr>
          <w:rFonts w:hint="eastAsia" w:ascii="楷体_GB2312" w:hAnsi="楷体_GB2312" w:eastAsia="楷体_GB2312" w:cs="楷体_GB2312"/>
          <w:sz w:val="32"/>
          <w:szCs w:val="32"/>
        </w:rPr>
        <w:t>号</w:t>
      </w:r>
    </w:p>
    <w:bookmarkEnd w:id="0"/>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sz w:val="44"/>
          <w:szCs w:val="44"/>
        </w:rPr>
        <w:t>关于印发《</w:t>
      </w:r>
      <w:r>
        <w:rPr>
          <w:rFonts w:hint="eastAsia" w:ascii="方正小标宋简体" w:hAnsi="方正小标宋简体" w:eastAsia="方正小标宋简体" w:cs="方正小标宋简体"/>
          <w:kern w:val="0"/>
          <w:sz w:val="44"/>
          <w:szCs w:val="44"/>
          <w:lang w:eastAsia="zh-CN"/>
        </w:rPr>
        <w:t>泗县</w:t>
      </w:r>
      <w:r>
        <w:rPr>
          <w:rFonts w:hint="eastAsia" w:ascii="方正小标宋简体" w:hAnsi="方正小标宋简体" w:eastAsia="方正小标宋简体" w:cs="方正小标宋简体"/>
          <w:bCs/>
          <w:kern w:val="0"/>
          <w:sz w:val="44"/>
          <w:szCs w:val="44"/>
        </w:rPr>
        <w:t>特困人员救助供养</w:t>
      </w:r>
    </w:p>
    <w:p>
      <w:pPr>
        <w:keepNext w:val="0"/>
        <w:keepLines w:val="0"/>
        <w:pageBreakBefore w:val="0"/>
        <w:widowControl w:val="0"/>
        <w:kinsoku/>
        <w:wordWrap/>
        <w:overflowPunct/>
        <w:topLinePunct w:val="0"/>
        <w:autoSpaceDE/>
        <w:autoSpaceDN/>
        <w:bidi w:val="0"/>
        <w:adjustRightInd/>
        <w:snapToGrid/>
        <w:spacing w:after="541" w:afterLines="150" w:line="560" w:lineRule="exact"/>
        <w:ind w:left="0" w:leftChars="0" w:right="0" w:rightChars="0" w:firstLine="0" w:firstLineChars="0"/>
        <w:jc w:val="center"/>
        <w:textAlignment w:val="auto"/>
        <w:outlineLvl w:val="9"/>
        <w:rPr>
          <w:rFonts w:hint="eastAsia" w:ascii="方正仿宋_GBK" w:eastAsia="方正仿宋_GBK"/>
          <w:sz w:val="32"/>
          <w:szCs w:val="32"/>
        </w:rPr>
      </w:pPr>
      <w:r>
        <w:rPr>
          <w:rFonts w:hint="eastAsia" w:ascii="方正小标宋简体" w:hAnsi="方正小标宋简体" w:eastAsia="方正小标宋简体" w:cs="方正小标宋简体"/>
          <w:bCs/>
          <w:kern w:val="0"/>
          <w:sz w:val="44"/>
          <w:szCs w:val="44"/>
        </w:rPr>
        <w:t>实施办法</w:t>
      </w:r>
      <w:r>
        <w:rPr>
          <w:rFonts w:hint="eastAsia" w:ascii="方正小标宋简体" w:hAnsi="方正小标宋简体" w:eastAsia="方正小标宋简体" w:cs="方正小标宋简体"/>
          <w:bCs/>
          <w:sz w:val="44"/>
          <w:szCs w:val="44"/>
        </w:rPr>
        <w:t>》的通知</w:t>
      </w: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lang w:val="en-US" w:eastAsia="zh-CN"/>
        </w:rPr>
        <w:t>开发区</w:t>
      </w:r>
      <w:r>
        <w:rPr>
          <w:rFonts w:hint="default" w:ascii="Times New Roman" w:hAnsi="Times New Roman" w:eastAsia="仿宋" w:cs="Times New Roman"/>
          <w:sz w:val="32"/>
          <w:szCs w:val="32"/>
        </w:rPr>
        <w:t>民政</w:t>
      </w:r>
      <w:r>
        <w:rPr>
          <w:rFonts w:hint="default" w:ascii="Times New Roman" w:hAnsi="Times New Roman" w:eastAsia="仿宋" w:cs="Times New Roman"/>
          <w:sz w:val="32"/>
          <w:szCs w:val="32"/>
          <w:lang w:eastAsia="zh-CN"/>
        </w:rPr>
        <w:t>所</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eastAsia="zh-CN"/>
        </w:rPr>
        <w:t>所</w:t>
      </w:r>
      <w:r>
        <w:rPr>
          <w:rFonts w:hint="default"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 xml:space="preserve">    现将《</w:t>
      </w:r>
      <w:r>
        <w:rPr>
          <w:rFonts w:hint="default" w:ascii="Times New Roman" w:hAnsi="Times New Roman" w:eastAsia="仿宋" w:cs="Times New Roman"/>
          <w:kern w:val="0"/>
          <w:sz w:val="32"/>
          <w:szCs w:val="32"/>
          <w:lang w:eastAsia="zh-CN"/>
        </w:rPr>
        <w:t>泗县</w:t>
      </w:r>
      <w:r>
        <w:rPr>
          <w:rFonts w:hint="default" w:ascii="Times New Roman" w:hAnsi="Times New Roman" w:eastAsia="仿宋" w:cs="Times New Roman"/>
          <w:bCs/>
          <w:kern w:val="0"/>
          <w:sz w:val="32"/>
          <w:szCs w:val="32"/>
        </w:rPr>
        <w:t>特困人员救助供养实施办法</w:t>
      </w:r>
      <w:r>
        <w:rPr>
          <w:rFonts w:hint="default" w:ascii="Times New Roman" w:hAnsi="Times New Roman" w:eastAsia="仿宋" w:cs="Times New Roman"/>
          <w:sz w:val="32"/>
          <w:szCs w:val="32"/>
        </w:rPr>
        <w:t>》印发给你们，请遵照执行。</w:t>
      </w: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仿宋" w:cs="Times New Roman"/>
          <w:sz w:val="32"/>
          <w:szCs w:val="32"/>
        </w:rPr>
      </w:pPr>
    </w:p>
    <w:p>
      <w:pPr>
        <w:pStyle w:val="2"/>
        <w:ind w:left="0" w:leftChars="0" w:firstLine="0" w:firstLineChars="0"/>
        <w:rPr>
          <w:rFonts w:hint="default"/>
        </w:rPr>
      </w:pPr>
    </w:p>
    <w:p>
      <w:pPr>
        <w:keepNext w:val="0"/>
        <w:keepLines w:val="0"/>
        <w:pageBreakBefore w:val="0"/>
        <w:widowControl/>
        <w:kinsoku/>
        <w:wordWrap w:val="0"/>
        <w:overflowPunct/>
        <w:topLinePunct w:val="0"/>
        <w:autoSpaceDE/>
        <w:autoSpaceDN/>
        <w:bidi w:val="0"/>
        <w:spacing w:after="0"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泗县</w:t>
      </w:r>
      <w:r>
        <w:rPr>
          <w:rFonts w:hint="default" w:ascii="Times New Roman" w:hAnsi="Times New Roman" w:eastAsia="仿宋" w:cs="Times New Roman"/>
          <w:sz w:val="32"/>
          <w:szCs w:val="32"/>
        </w:rPr>
        <w:t xml:space="preserve">民政局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泗县</w:t>
      </w:r>
      <w:r>
        <w:rPr>
          <w:rFonts w:hint="default" w:ascii="Times New Roman" w:hAnsi="Times New Roman" w:eastAsia="仿宋" w:cs="Times New Roman"/>
          <w:sz w:val="32"/>
          <w:szCs w:val="32"/>
        </w:rPr>
        <w:t>财政局</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spacing w:after="0" w:line="560" w:lineRule="exact"/>
        <w:jc w:val="righ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rPr>
        <w:t>日</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仿宋" w:cs="Times New Roman"/>
          <w:bCs/>
          <w:spacing w:val="20"/>
          <w:sz w:val="32"/>
          <w:szCs w:val="32"/>
        </w:rPr>
      </w:pPr>
    </w:p>
    <w:p>
      <w:pPr>
        <w:pStyle w:val="3"/>
        <w:keepNext w:val="0"/>
        <w:keepLines w:val="0"/>
        <w:pageBreakBefore w:val="0"/>
        <w:widowControl/>
        <w:suppressLineNumbers w:val="0"/>
        <w:kinsoku/>
        <w:wordWrap/>
        <w:overflowPunct/>
        <w:topLinePunct w:val="0"/>
        <w:autoSpaceDE/>
        <w:autoSpaceDN/>
        <w:bidi w:val="0"/>
        <w:spacing w:before="0" w:after="0" w:line="560" w:lineRule="exact"/>
        <w:ind w:left="0" w:right="0"/>
        <w:jc w:val="both"/>
        <w:textAlignment w:val="auto"/>
        <w:rPr>
          <w:rFonts w:hint="default" w:ascii="Times New Roman" w:hAnsi="Times New Roman" w:eastAsia="仿宋" w:cs="Times New Roman"/>
          <w:b w:val="0"/>
          <w:bCs w:val="0"/>
          <w:sz w:val="32"/>
          <w:szCs w:val="32"/>
          <w:lang w:eastAsia="zh-CN"/>
        </w:rPr>
      </w:pPr>
    </w:p>
    <w:p>
      <w:pPr>
        <w:pStyle w:val="3"/>
        <w:keepNext w:val="0"/>
        <w:keepLines w:val="0"/>
        <w:pageBreakBefore w:val="0"/>
        <w:widowControl/>
        <w:suppressLineNumbers w:val="0"/>
        <w:kinsoku/>
        <w:wordWrap/>
        <w:overflowPunct/>
        <w:topLinePunct w:val="0"/>
        <w:autoSpaceDE/>
        <w:autoSpaceDN/>
        <w:bidi w:val="0"/>
        <w:spacing w:before="0" w:after="0" w:line="560" w:lineRule="exact"/>
        <w:ind w:left="0" w:right="0"/>
        <w:jc w:val="both"/>
        <w:textAlignment w:val="auto"/>
        <w:rPr>
          <w:rFonts w:hint="default" w:ascii="Times New Roman" w:hAnsi="Times New Roman" w:eastAsia="仿宋" w:cs="Times New Roman"/>
          <w:b w:val="0"/>
          <w:bCs w:val="0"/>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0" w:after="541" w:afterLines="150" w:line="560" w:lineRule="exact"/>
        <w:ind w:left="0" w:right="0"/>
        <w:jc w:val="center"/>
        <w:textAlignment w:val="auto"/>
        <w:rPr>
          <w:rFonts w:hint="default" w:ascii="Times New Roman" w:hAnsi="Times New Roman" w:eastAsia="方正小标宋简体" w:cs="Times New Roman"/>
          <w:b w:val="0"/>
          <w:bCs w:val="0"/>
          <w:sz w:val="44"/>
          <w:szCs w:val="44"/>
          <w:lang w:eastAsia="zh-CN"/>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0" w:after="541" w:afterLines="150"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泗县</w:t>
      </w:r>
      <w:r>
        <w:rPr>
          <w:rFonts w:hint="default" w:ascii="Times New Roman" w:hAnsi="Times New Roman" w:eastAsia="方正小标宋简体" w:cs="Times New Roman"/>
          <w:b w:val="0"/>
          <w:bCs w:val="0"/>
          <w:sz w:val="44"/>
          <w:szCs w:val="44"/>
        </w:rPr>
        <w:t>特困人员救助供养实施</w:t>
      </w:r>
      <w:r>
        <w:rPr>
          <w:rFonts w:hint="default" w:ascii="Times New Roman" w:hAnsi="Times New Roman" w:eastAsia="方正小标宋简体" w:cs="Times New Roman"/>
          <w:b w:val="0"/>
          <w:bCs w:val="0"/>
          <w:sz w:val="44"/>
          <w:szCs w:val="44"/>
          <w:lang w:eastAsia="zh-CN"/>
        </w:rPr>
        <w:t>办法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为贯彻落实十九届五中全会及习近平总书记考察安徽重要讲话指示精神，扎实推进省委办公厅、省政府办公厅《关于改革完善社会救助制度的实施意见》（皖办发〔2020〕25号）贯彻落实，不断完善特困人员救助供养制度，提升特困人员救助供养工作水平，根据国务院《社会救助暂行办法》（国务院令第649号）、《农村五保供养工作条例》（国务院令第456号）、《安徽省特困人员认定办法》（皖民社救字〔2017〕129号）、</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lang w:eastAsia="zh-CN"/>
        </w:rPr>
        <w:t>宿州市</w:t>
      </w:r>
      <w:r>
        <w:rPr>
          <w:rFonts w:hint="default" w:ascii="Times New Roman" w:hAnsi="Times New Roman" w:eastAsia="仿宋" w:cs="Times New Roman"/>
          <w:bCs/>
          <w:kern w:val="0"/>
          <w:sz w:val="32"/>
          <w:szCs w:val="32"/>
        </w:rPr>
        <w:t>特困人员救助供养实施办法</w:t>
      </w:r>
      <w:r>
        <w:rPr>
          <w:rFonts w:hint="default" w:ascii="Times New Roman" w:hAnsi="Times New Roman" w:eastAsia="仿宋" w:cs="Times New Roman"/>
          <w:sz w:val="32"/>
          <w:szCs w:val="32"/>
        </w:rPr>
        <w:t>》</w:t>
      </w:r>
      <w:r>
        <w:rPr>
          <w:rFonts w:hint="default" w:ascii="Times New Roman" w:hAnsi="Times New Roman" w:eastAsia="仿宋" w:cs="Times New Roman"/>
          <w:kern w:val="2"/>
          <w:sz w:val="32"/>
          <w:szCs w:val="32"/>
          <w:lang w:val="en-US" w:eastAsia="zh-CN" w:bidi="ar"/>
        </w:rPr>
        <w:t>（宿民发〔2021〕31号）等文件精神，结合我县实际，制定本实施办法。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以习近平新时代中国特色社会主义思想为指导，贯彻党的十九大和十九届二中、三中、四中、五中全会精神，落实习近平总书记关于民政工作和考察安徽重要讲话指示精神，尽力而为、量力而行，不断完善与我县经济社会发展水平相适应的特困人员救助供养制度，织密特困供养对象安全网，兜牢特困供养对象基本生活底线。</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二、保障对象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具有我县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三、保障标准</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b w:val="0"/>
          <w:bCs/>
          <w:kern w:val="0"/>
          <w:sz w:val="32"/>
          <w:szCs w:val="32"/>
        </w:rPr>
      </w:pPr>
      <w:r>
        <w:rPr>
          <w:rFonts w:hint="eastAsia" w:ascii="楷体" w:hAnsi="楷体" w:eastAsia="楷体" w:cs="楷体"/>
          <w:b w:val="0"/>
          <w:bCs/>
          <w:kern w:val="0"/>
          <w:sz w:val="32"/>
          <w:szCs w:val="32"/>
        </w:rPr>
        <w:t>（一）基本生活标准</w:t>
      </w:r>
      <w:r>
        <w:rPr>
          <w:rFonts w:hint="eastAsia" w:ascii="楷体" w:hAnsi="楷体" w:eastAsia="楷体" w:cs="楷体"/>
          <w:b/>
          <w:kern w:val="0"/>
          <w:sz w:val="32"/>
          <w:szCs w:val="32"/>
        </w:rPr>
        <w:t>。</w:t>
      </w:r>
      <w:r>
        <w:rPr>
          <w:rFonts w:hint="default" w:ascii="Times New Roman" w:hAnsi="Times New Roman" w:eastAsia="仿宋" w:cs="Times New Roman"/>
          <w:kern w:val="0"/>
          <w:sz w:val="32"/>
          <w:szCs w:val="32"/>
        </w:rPr>
        <w:t>按照不低于上年度当地城乡居民人均消费性支出的</w:t>
      </w:r>
      <w:r>
        <w:rPr>
          <w:rFonts w:hint="default" w:ascii="Times New Roman" w:hAnsi="Times New Roman" w:eastAsia="仿宋" w:cs="Times New Roman"/>
          <w:sz w:val="32"/>
          <w:szCs w:val="32"/>
        </w:rPr>
        <w:t>60%</w:t>
      </w:r>
      <w:r>
        <w:rPr>
          <w:rFonts w:hint="default" w:ascii="Times New Roman" w:hAnsi="Times New Roman" w:eastAsia="仿宋" w:cs="Times New Roman"/>
          <w:kern w:val="0"/>
          <w:sz w:val="32"/>
          <w:szCs w:val="32"/>
        </w:rPr>
        <w:t>确定，原则上不低于当地最低生活保障标准的</w:t>
      </w:r>
      <w:r>
        <w:rPr>
          <w:rFonts w:hint="default" w:ascii="Times New Roman" w:hAnsi="Times New Roman" w:eastAsia="仿宋" w:cs="Times New Roman"/>
          <w:kern w:val="2"/>
          <w:sz w:val="32"/>
          <w:szCs w:val="32"/>
          <w:lang w:val="en-US" w:eastAsia="zh-CN" w:bidi="ar"/>
        </w:rPr>
        <w:t>1.3</w:t>
      </w:r>
      <w:r>
        <w:rPr>
          <w:rFonts w:hint="default" w:ascii="Times New Roman" w:hAnsi="Times New Roman" w:eastAsia="仿宋" w:cs="Times New Roman"/>
          <w:kern w:val="0"/>
          <w:sz w:val="32"/>
          <w:szCs w:val="32"/>
        </w:rPr>
        <w:t>倍</w:t>
      </w:r>
      <w:r>
        <w:rPr>
          <w:rFonts w:hint="default" w:ascii="Times New Roman" w:hAnsi="Times New Roman" w:eastAsia="仿宋" w:cs="Times New Roman"/>
          <w:kern w:val="2"/>
          <w:sz w:val="32"/>
          <w:szCs w:val="32"/>
          <w:lang w:val="en-US" w:eastAsia="zh-CN" w:bidi="ar"/>
        </w:rPr>
        <w:t>，就高不就低。</w:t>
      </w:r>
      <w:r>
        <w:rPr>
          <w:rFonts w:hint="default" w:ascii="Times New Roman" w:hAnsi="Times New Roman" w:eastAsia="仿宋" w:cs="Times New Roman"/>
          <w:kern w:val="0"/>
          <w:sz w:val="32"/>
          <w:szCs w:val="32"/>
        </w:rPr>
        <w:t>基本生活标准包括各级财政补助资金、救助供养对象领取的基础养老金、养老服务补贴、高龄</w:t>
      </w:r>
      <w:r>
        <w:rPr>
          <w:rFonts w:hint="default" w:ascii="Times New Roman" w:hAnsi="Times New Roman" w:eastAsia="仿宋" w:cs="Times New Roman"/>
          <w:b w:val="0"/>
          <w:bCs/>
          <w:kern w:val="0"/>
          <w:sz w:val="32"/>
          <w:szCs w:val="32"/>
        </w:rPr>
        <w:t>津贴、承包土地收益、房屋租金等个人财产性收入等。</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r>
        <w:rPr>
          <w:rFonts w:hint="default" w:ascii="楷体" w:hAnsi="楷体" w:eastAsia="楷体" w:cs="楷体"/>
          <w:b w:val="0"/>
          <w:bCs/>
          <w:kern w:val="0"/>
          <w:sz w:val="32"/>
          <w:szCs w:val="32"/>
        </w:rPr>
        <w:t>（二）照料护理标准。</w:t>
      </w:r>
      <w:r>
        <w:rPr>
          <w:rFonts w:hint="default" w:ascii="Times New Roman" w:hAnsi="Times New Roman" w:eastAsia="仿宋" w:cs="Times New Roman"/>
          <w:kern w:val="0"/>
          <w:sz w:val="32"/>
          <w:szCs w:val="32"/>
        </w:rPr>
        <w:t>对经评估为</w:t>
      </w:r>
      <w:r>
        <w:rPr>
          <w:rFonts w:hint="default" w:ascii="Times New Roman" w:hAnsi="Times New Roman" w:eastAsia="仿宋" w:cs="Times New Roman"/>
          <w:kern w:val="0"/>
          <w:sz w:val="32"/>
          <w:szCs w:val="32"/>
          <w:lang w:eastAsia="zh-CN"/>
        </w:rPr>
        <w:t>有生活自理能力、</w:t>
      </w:r>
      <w:r>
        <w:rPr>
          <w:rFonts w:hint="default" w:ascii="Times New Roman" w:hAnsi="Times New Roman" w:eastAsia="仿宋" w:cs="Times New Roman"/>
          <w:sz w:val="32"/>
          <w:szCs w:val="32"/>
        </w:rPr>
        <w:t>部分丧失生活自理能力</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kern w:val="0"/>
          <w:sz w:val="32"/>
          <w:szCs w:val="32"/>
        </w:rPr>
        <w:t>完全丧失</w:t>
      </w:r>
      <w:r>
        <w:rPr>
          <w:rFonts w:hint="default" w:ascii="Times New Roman" w:hAnsi="Times New Roman" w:eastAsia="仿宋" w:cs="Times New Roman"/>
          <w:sz w:val="32"/>
          <w:szCs w:val="32"/>
        </w:rPr>
        <w:t>生活自理能力的特困人员，分别按照</w:t>
      </w:r>
      <w:r>
        <w:rPr>
          <w:rFonts w:hint="default" w:ascii="Times New Roman" w:hAnsi="Times New Roman" w:eastAsia="仿宋" w:cs="Times New Roman"/>
          <w:sz w:val="32"/>
          <w:szCs w:val="32"/>
          <w:lang w:eastAsia="zh-CN"/>
        </w:rPr>
        <w:t>全自</w:t>
      </w:r>
      <w:r>
        <w:rPr>
          <w:rFonts w:hint="default" w:ascii="Times New Roman" w:hAnsi="Times New Roman" w:eastAsia="仿宋" w:cs="Times New Roman"/>
          <w:sz w:val="32"/>
          <w:szCs w:val="32"/>
        </w:rPr>
        <w:t>理、半护理</w:t>
      </w:r>
      <w:r>
        <w:rPr>
          <w:rFonts w:hint="default" w:ascii="Times New Roman" w:hAnsi="Times New Roman" w:eastAsia="仿宋" w:cs="Times New Roman"/>
          <w:sz w:val="32"/>
          <w:szCs w:val="32"/>
          <w:lang w:eastAsia="zh-CN"/>
        </w:rPr>
        <w:t>、全护理三</w:t>
      </w:r>
      <w:r>
        <w:rPr>
          <w:rFonts w:hint="default" w:ascii="Times New Roman" w:hAnsi="Times New Roman" w:eastAsia="仿宋" w:cs="Times New Roman"/>
          <w:sz w:val="32"/>
          <w:szCs w:val="32"/>
        </w:rPr>
        <w:t>个档次</w:t>
      </w:r>
      <w:r>
        <w:rPr>
          <w:rFonts w:hint="default" w:ascii="Times New Roman" w:hAnsi="Times New Roman" w:eastAsia="仿宋" w:cs="Times New Roman"/>
          <w:sz w:val="32"/>
          <w:szCs w:val="32"/>
          <w:lang w:eastAsia="zh-CN"/>
        </w:rPr>
        <w:t>，对评估为</w:t>
      </w:r>
      <w:r>
        <w:rPr>
          <w:rFonts w:hint="default" w:ascii="Times New Roman" w:hAnsi="Times New Roman" w:eastAsia="仿宋" w:cs="Times New Roman"/>
          <w:sz w:val="32"/>
          <w:szCs w:val="32"/>
        </w:rPr>
        <w:t>半护理</w:t>
      </w:r>
      <w:r>
        <w:rPr>
          <w:rFonts w:hint="default" w:ascii="Times New Roman" w:hAnsi="Times New Roman" w:eastAsia="仿宋" w:cs="Times New Roman"/>
          <w:sz w:val="32"/>
          <w:szCs w:val="32"/>
          <w:lang w:eastAsia="zh-CN"/>
        </w:rPr>
        <w:t>、全护理的特困供养人员</w:t>
      </w:r>
      <w:r>
        <w:rPr>
          <w:rFonts w:hint="default" w:ascii="Times New Roman" w:hAnsi="Times New Roman" w:eastAsia="仿宋" w:cs="Times New Roman"/>
          <w:sz w:val="32"/>
          <w:szCs w:val="32"/>
        </w:rPr>
        <w:t>发放护理补贴，其</w:t>
      </w:r>
      <w:r>
        <w:rPr>
          <w:rFonts w:hint="default" w:ascii="Times New Roman" w:hAnsi="Times New Roman" w:eastAsia="仿宋" w:cs="Times New Roman"/>
          <w:kern w:val="0"/>
          <w:sz w:val="32"/>
          <w:szCs w:val="32"/>
        </w:rPr>
        <w:t>护理标准不得低于基本生活标准的</w:t>
      </w:r>
      <w:r>
        <w:rPr>
          <w:rFonts w:hint="default" w:ascii="Times New Roman" w:hAnsi="Times New Roman" w:eastAsia="仿宋" w:cs="Times New Roman"/>
          <w:sz w:val="32"/>
          <w:szCs w:val="32"/>
        </w:rPr>
        <w:t>10%</w:t>
      </w:r>
      <w:r>
        <w:rPr>
          <w:rFonts w:hint="default" w:ascii="Times New Roman" w:hAnsi="Times New Roman" w:eastAsia="仿宋" w:cs="Times New Roman"/>
          <w:kern w:val="0"/>
          <w:sz w:val="32"/>
          <w:szCs w:val="32"/>
        </w:rPr>
        <w:t>。</w:t>
      </w:r>
      <w:r>
        <w:rPr>
          <w:rFonts w:hint="eastAsia" w:ascii="仿宋" w:hAnsi="仿宋" w:eastAsia="仿宋" w:cs="仿宋"/>
          <w:color w:val="auto"/>
          <w:kern w:val="2"/>
          <w:sz w:val="32"/>
          <w:szCs w:val="32"/>
          <w:lang w:val="en-US" w:eastAsia="zh-CN" w:bidi="ar"/>
        </w:rPr>
        <w:t>到2021年底，失能、半失能特困人员集中供养率要达到</w:t>
      </w:r>
      <w:r>
        <w:rPr>
          <w:rFonts w:hint="eastAsia" w:ascii="仿宋" w:hAnsi="仿宋" w:eastAsia="仿宋" w:cs="仿宋"/>
          <w:color w:val="auto"/>
          <w:sz w:val="32"/>
          <w:szCs w:val="32"/>
          <w:lang w:val="en-US" w:eastAsia="zh-CN"/>
        </w:rPr>
        <w:t>55%以上</w:t>
      </w:r>
      <w:r>
        <w:rPr>
          <w:rFonts w:hint="eastAsia" w:ascii="仿宋" w:hAnsi="仿宋" w:eastAsia="仿宋" w:cs="仿宋"/>
          <w:color w:val="auto"/>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四、实施程序</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val="en-US" w:eastAsia="zh-CN"/>
        </w:rPr>
        <w:t>（一）申请程序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申请特困人员救助供养，应当由本人向户籍所在地镇人民政府（开发区管委会）提出书面申请。本人申请有困难的，可以委托村（居）民委员会或者他人代为提出申请。</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申请材料主要包括本人有效身份证明，劳动能力、生活来源、财产状况以及赡养、抚养、扶养情况的书面声明，承诺所提供信息真实、完整的承诺书，残疾人还应当提供第二代《中华人民共和国残疾证》。申请人应当履行授权核查家庭经济状况的相关手续。</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val="en-US" w:eastAsia="zh-CN"/>
        </w:rPr>
        <w:t>（二）审核审批程序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县民政部门加强监督指导。特困办理时限压缩到20个工作日内。</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镇人民政府（开发区管委会）应当自受理申请之日起7个工作日内，通过入户调查、邻里访问、信函索证、民主评议、信息核对等方式，对申请人的经济状况、实际生活状况以及赡养、抚养、扶养状况等进行调查核实（对经济状况核对和入户调查无异议的救助申请家庭，可不进行民主评议），并提出审核意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申请人以及有关单位、组织或者个人应当配合调查，如实提供有关情况。村（居）民委员会应当协助镇人民政府（开发区管委会）开展调查核实。</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调查核实过程中，有异议或了解不清楚的镇人民政府（开发区管委会）可视情组织民主评议，在村（居）民委员会协助下，对申请人书面声明内容的真实性、完整性及调查核实结果的客观性进行评议。</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镇人民政府（开发区管委会）应当将审核意见及时在申请人所在村（居）委会公示。公示期为7天。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公示期满无异议的，由镇人民政府（开发区管委会）确认后，发给《特困人员救助供养证》，建立救助供养档案，从批准之日下月起给予救助供养待遇，并通过镇人民政府（开发区管委会）在申请人所在村（居）委会公布，并报县民政部门备案。对公示有异议的，镇人民政府（开发区管委会）应当重新组织调查核实，在10个工作日内提出审核意见，并重新公示。对不符合救助供养条件的申请，镇人民政府（开发区管委会）不予批准，并书面告知申请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五、动态管理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镇人民政府、开发区管委会应当及时了解掌握居民的生活情况，发现符合特困供养条件的人员，应当告知其救助供养政策，对无民事行为能力等无法自主申请的，应当主动帮助其申请。</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特困人员生活自理能力发生变化的，村（居）民委员会或者供养服务机构应当通过镇人民政府（开发区管委会）及时报告县民政部门，县民政部门应当自接到报告之日起10个工作日内组织复核评估，并根据评估结果及时调整特困人员生活自理能力认定类别。</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特困供养人员因死亡或其他原因不再符合供养条件的，村民委员会、居民委员会或者供养服务机构应当告知镇人民政府、开发区管委会，由镇人民政府、开发区管委会审核确认后，终止供养并予以公示。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供养对象每年都应进行抽查核实。供养对象实行县、镇（开发区）两级档案管理；县民政部门根据安徽省最低生活保障信息系统负责基础信息数据库的日常管理。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六、资金筹措及管理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b w:val="0"/>
          <w:bCs w:val="0"/>
          <w:sz w:val="32"/>
          <w:szCs w:val="32"/>
        </w:rPr>
      </w:pPr>
      <w:r>
        <w:rPr>
          <w:rFonts w:hint="eastAsia" w:ascii="楷体" w:hAnsi="楷体" w:eastAsia="楷体" w:cs="楷体"/>
          <w:b w:val="0"/>
          <w:bCs/>
          <w:kern w:val="0"/>
          <w:sz w:val="32"/>
          <w:szCs w:val="32"/>
          <w:lang w:val="en-US" w:eastAsia="zh-CN"/>
        </w:rPr>
        <w:t>（一）资金来源。</w:t>
      </w:r>
      <w:r>
        <w:rPr>
          <w:rFonts w:hint="default" w:ascii="Times New Roman" w:hAnsi="Times New Roman" w:eastAsia="仿宋" w:cs="Times New Roman"/>
          <w:b w:val="0"/>
          <w:bCs w:val="0"/>
          <w:kern w:val="2"/>
          <w:sz w:val="32"/>
          <w:szCs w:val="32"/>
          <w:lang w:val="en-US" w:eastAsia="zh-CN" w:bidi="ar"/>
        </w:rPr>
        <w:t>市、县区财政一般预算安排的资金；1福利彩票公益金安排的资金；其他资金。</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楷体" w:hAnsi="楷体" w:eastAsia="楷体" w:cs="楷体"/>
          <w:b w:val="0"/>
          <w:bCs/>
          <w:kern w:val="0"/>
          <w:sz w:val="32"/>
          <w:szCs w:val="32"/>
          <w:lang w:val="en-US" w:eastAsia="zh-CN"/>
        </w:rPr>
        <w:t>（二）资金筹措。</w:t>
      </w:r>
      <w:r>
        <w:rPr>
          <w:rFonts w:hint="default" w:ascii="Times New Roman" w:hAnsi="Times New Roman" w:eastAsia="仿宋" w:cs="Times New Roman"/>
          <w:kern w:val="2"/>
          <w:sz w:val="32"/>
          <w:szCs w:val="32"/>
          <w:lang w:val="en-US" w:eastAsia="zh-CN" w:bidi="ar"/>
        </w:rPr>
        <w:t>结合本县实际统筹中央和省级补助资金，用于特困供养人员基本生活、照料护理、医疗救治、丧葬等支出。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楷体" w:hAnsi="楷体" w:eastAsia="楷体" w:cs="楷体"/>
          <w:b w:val="0"/>
          <w:bCs/>
          <w:kern w:val="0"/>
          <w:sz w:val="32"/>
          <w:szCs w:val="32"/>
          <w:lang w:val="en-US" w:eastAsia="zh-CN"/>
        </w:rPr>
        <w:t>（三）资金管理。</w:t>
      </w:r>
      <w:r>
        <w:rPr>
          <w:rFonts w:hint="default" w:ascii="Times New Roman" w:hAnsi="Times New Roman" w:eastAsia="仿宋" w:cs="Times New Roman"/>
          <w:kern w:val="2"/>
          <w:sz w:val="32"/>
          <w:szCs w:val="32"/>
          <w:lang w:val="en-US" w:eastAsia="zh-CN" w:bidi="ar"/>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七、保障措施</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eastAsia" w:ascii="楷体" w:hAnsi="楷体" w:eastAsia="楷体" w:cs="楷体"/>
          <w:b w:val="0"/>
          <w:bCs/>
          <w:kern w:val="0"/>
          <w:sz w:val="32"/>
          <w:szCs w:val="32"/>
          <w:lang w:val="en-US" w:eastAsia="zh-CN"/>
        </w:rPr>
        <w:t>（一）明确职责分工</w:t>
      </w:r>
      <w:r>
        <w:rPr>
          <w:rFonts w:hint="eastAsia" w:ascii="楷体" w:hAnsi="楷体" w:eastAsia="楷体" w:cs="楷体"/>
          <w:b w:val="0"/>
          <w:bCs w:val="0"/>
          <w:kern w:val="2"/>
          <w:sz w:val="32"/>
          <w:szCs w:val="32"/>
          <w:lang w:val="en-US" w:eastAsia="zh-CN" w:bidi="ar"/>
        </w:rPr>
        <w:t>。</w:t>
      </w:r>
      <w:r>
        <w:rPr>
          <w:rFonts w:hint="default" w:ascii="Times New Roman" w:hAnsi="Times New Roman" w:eastAsia="仿宋" w:cs="Times New Roman"/>
          <w:kern w:val="2"/>
          <w:sz w:val="32"/>
          <w:szCs w:val="32"/>
          <w:lang w:val="en-US" w:eastAsia="zh-CN" w:bidi="ar"/>
        </w:rPr>
        <w:t>民政局、财政局按照职能分工各负其责。民政局负责编制实施内容、制订管理制度和对实施情况进行督查考核。财政局负责安排落实财政资金，并对补助资金的管理使用进行监督检查。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楷体" w:hAnsi="楷体" w:eastAsia="楷体" w:cs="楷体"/>
          <w:b w:val="0"/>
          <w:bCs/>
          <w:kern w:val="0"/>
          <w:sz w:val="32"/>
          <w:szCs w:val="32"/>
          <w:lang w:val="en-US" w:eastAsia="zh-CN"/>
        </w:rPr>
        <w:t>（二）健全落实机制。</w:t>
      </w:r>
      <w:r>
        <w:rPr>
          <w:rFonts w:hint="default" w:ascii="Times New Roman" w:hAnsi="Times New Roman" w:eastAsia="仿宋" w:cs="Times New Roman"/>
          <w:kern w:val="2"/>
          <w:sz w:val="32"/>
          <w:szCs w:val="32"/>
          <w:lang w:val="en-US" w:eastAsia="zh-CN" w:bidi="ar"/>
        </w:rPr>
        <w:t>县人民政府是特困人员救助供养工作的责任主体，负责本县特困人员救助供养工作的组织领导、制度制定、资金落实、监督执行等事项，各相关部门根据各自职能分工履行职责。</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楷体" w:hAnsi="楷体" w:eastAsia="楷体" w:cs="楷体"/>
          <w:b w:val="0"/>
          <w:bCs/>
          <w:kern w:val="0"/>
          <w:sz w:val="32"/>
          <w:szCs w:val="32"/>
          <w:lang w:val="en-US" w:eastAsia="zh-CN"/>
        </w:rPr>
        <w:t>（三）强化监督考核。</w:t>
      </w:r>
      <w:r>
        <w:rPr>
          <w:rFonts w:hint="default" w:ascii="Times New Roman" w:hAnsi="Times New Roman" w:eastAsia="仿宋" w:cs="Times New Roman"/>
          <w:kern w:val="2"/>
          <w:sz w:val="32"/>
          <w:szCs w:val="32"/>
          <w:lang w:val="en-US" w:eastAsia="zh-CN" w:bidi="ar"/>
        </w:rPr>
        <w:t>建立健全绩效考评机制，加强特困人员救助供养保障范围、供养标准、动态管理等的监督考核，切实保障特困对象基本生活权益。自觉接受人大、政协、纪检、监察、审计、新闻媒体和群众监督，对挤占、挪用、套取资金等违规违纪违法行为的，按规定严肃处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八、附则</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本办法自</w:t>
      </w:r>
      <w:r>
        <w:rPr>
          <w:rFonts w:hint="default" w:ascii="Times New Roman" w:hAnsi="Times New Roman" w:eastAsia="仿宋" w:cs="Times New Roman"/>
          <w:kern w:val="2"/>
          <w:sz w:val="32"/>
          <w:szCs w:val="32"/>
          <w:lang w:val="en-US" w:eastAsia="zh-CN" w:bidi="ar"/>
        </w:rPr>
        <w:t>2021</w:t>
      </w:r>
      <w:r>
        <w:rPr>
          <w:rFonts w:hint="default" w:ascii="Times New Roman" w:hAnsi="Times New Roman" w:eastAsia="仿宋" w:cs="Times New Roman"/>
          <w:sz w:val="32"/>
          <w:szCs w:val="32"/>
        </w:rPr>
        <w:t>年</w:t>
      </w:r>
      <w:r>
        <w:rPr>
          <w:rFonts w:hint="default" w:ascii="Times New Roman" w:hAnsi="Times New Roman" w:eastAsia="仿宋" w:cs="Times New Roman"/>
          <w:kern w:val="2"/>
          <w:sz w:val="32"/>
          <w:szCs w:val="32"/>
          <w:lang w:val="en-US" w:eastAsia="zh-CN" w:bidi="ar"/>
        </w:rPr>
        <w:t>6</w:t>
      </w:r>
      <w:r>
        <w:rPr>
          <w:rFonts w:hint="default" w:ascii="Times New Roman" w:hAnsi="Times New Roman" w:eastAsia="仿宋" w:cs="Times New Roman"/>
          <w:sz w:val="32"/>
          <w:szCs w:val="32"/>
        </w:rPr>
        <w:t>月</w:t>
      </w:r>
      <w:r>
        <w:rPr>
          <w:rFonts w:hint="default" w:ascii="Times New Roman" w:hAnsi="Times New Roman" w:eastAsia="仿宋" w:cs="Times New Roman"/>
          <w:kern w:val="2"/>
          <w:sz w:val="32"/>
          <w:szCs w:val="32"/>
          <w:lang w:val="en-US" w:eastAsia="zh-CN" w:bidi="ar"/>
        </w:rPr>
        <w:t>1</w:t>
      </w:r>
      <w:r>
        <w:rPr>
          <w:rFonts w:hint="default" w:ascii="Times New Roman" w:hAnsi="Times New Roman" w:eastAsia="仿宋" w:cs="Times New Roman"/>
          <w:sz w:val="32"/>
          <w:szCs w:val="32"/>
        </w:rPr>
        <w:t>日起执行，由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民政局负责解释。</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 w:cs="Times New Roman"/>
          <w:sz w:val="32"/>
          <w:szCs w:val="32"/>
        </w:rPr>
      </w:pPr>
    </w:p>
    <w:sectPr>
      <w:pgSz w:w="11906" w:h="16838"/>
      <w:pgMar w:top="1440" w:right="1558"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C3574"/>
    <w:rsid w:val="098C1B44"/>
    <w:rsid w:val="3C30441B"/>
    <w:rsid w:val="44F40481"/>
    <w:rsid w:val="461032B9"/>
    <w:rsid w:val="4DC51978"/>
    <w:rsid w:val="56D46744"/>
    <w:rsid w:val="5B0C7232"/>
    <w:rsid w:val="710E2919"/>
    <w:rsid w:val="77D74224"/>
    <w:rsid w:val="78B3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b/>
      <w:bCs/>
      <w:kern w:val="44"/>
      <w:sz w:val="42"/>
      <w:szCs w:val="42"/>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2020-04-02T10:34:00Z</dcterms:created>
  <dc:creator>Administrator</dc:creator>
  <cp:lastModifiedBy>Administrator</cp:lastModifiedBy>
  <cp:lastPrinted>2021-05-06T01:57:00Z</cp:lastPrinted>
  <dcterms:modified xsi:type="dcterms:W3CDTF">2021-07-09T08:37:33Z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666D0B9C718A440F96DB49F9EDB81974</vt:lpwstr>
  </property>
</Properties>
</file>