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both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both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的反馈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应急管理局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《泗县突发事件总体应急预案》《泗县防汛抗旱应急预案》等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6个应急预案征求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收悉，经研究，我委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提出以下意见：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建议在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《泗县防汛抗旱应急预案（征求意见稿）》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6页，发改委职责中“承担电力建设工程防洪安全监督管理，电力设施和电能保护的监督管理工作，协调保障防汛抗洪抢险电力应急供应，协调落实农业抗灾用电指标。”修改为“承担协调保障防汛抗洪抢险电力应急供应，协调落实农业抗灾用电指标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泗县发展和改革委员会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4DA9"/>
    <w:rsid w:val="1DF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2021-11-29T07:13:00Z</dcterms:created>
  <dc:creator>发改委</dc:creator>
  <cp:lastModifiedBy>发改委</cp:lastModifiedBy>
  <cp:lastPrinted>2021-11-29T07:20:20Z</cp:lastPrinted>
  <dcterms:modified xsi:type="dcterms:W3CDTF">2021-11-29T07:27:06Z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2CA2445A9D84432BAEE70C5BF2447CF5</vt:lpwstr>
  </property>
</Properties>
</file>