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宿州环保工程学校分校项目水土保持行政许可承诺书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83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宿州环保工程学校分校项目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2020-341324-83-01-008744</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宿州环保工程学校分校</w:t>
      </w:r>
      <w:r>
        <w:rPr>
          <w:rFonts w:hint="eastAsia" w:asciiTheme="minorEastAsia" w:hAnsiTheme="minorEastAsia" w:cstheme="minorEastAsia"/>
          <w:sz w:val="32"/>
          <w:szCs w:val="40"/>
          <w:lang w:val="en-US" w:eastAsia="zh-CN"/>
        </w:rPr>
        <w:t>位于安徽省宿州市泗县亚非影视城东侧、洋城湖路北侧、朝阳路西侧、规划路南侧。</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3.56h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3.56h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3.56万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宿州环保工程学校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六、行政相对人代码：123413246820526676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李良剑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eastAsiaTheme="minorEastAsia" w:cstheme="minorEastAsia"/>
          <w:sz w:val="32"/>
          <w:szCs w:val="40"/>
          <w:lang w:val="en-US" w:eastAsia="zh-CN"/>
        </w:rPr>
        <w:t>：2021年12月2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1EE505FD"/>
    <w:rsid w:val="238C12E9"/>
    <w:rsid w:val="3868645B"/>
    <w:rsid w:val="38BE45F9"/>
    <w:rsid w:val="3FAB70A4"/>
    <w:rsid w:val="45262FEC"/>
    <w:rsid w:val="461B73E1"/>
    <w:rsid w:val="48C53DF1"/>
    <w:rsid w:val="4F233527"/>
    <w:rsid w:val="529A58A5"/>
    <w:rsid w:val="54EB68BA"/>
    <w:rsid w:val="59A8383E"/>
    <w:rsid w:val="61B843AF"/>
    <w:rsid w:val="61D85D01"/>
    <w:rsid w:val="62B05C7A"/>
    <w:rsid w:val="62F03745"/>
    <w:rsid w:val="669B1AF3"/>
    <w:rsid w:val="66BC0935"/>
    <w:rsid w:val="673A7FBE"/>
    <w:rsid w:val="674F359D"/>
    <w:rsid w:val="6B2D06C1"/>
    <w:rsid w:val="73C55D55"/>
    <w:rsid w:val="7724669A"/>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2021-12-24T08:12:20Z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54150900374845AFACE2B80692DB9C20</vt:lpwstr>
  </property>
</Properties>
</file>